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rawings/drawing1.xml" ContentType="application/vnd.openxmlformats-officedocument.drawingml.chartshapes+xml"/>
  <Override PartName="/word/drawings/drawing2.xml" ContentType="application/vnd.openxmlformats-officedocument.drawingml.chartshapes+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theme/themeOverride2.xml" ContentType="application/vnd.openxmlformats-officedocument.themeOverride+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54D59" w:rsidRDefault="00DF2B6A" w:rsidP="00954D59">
      <w:pPr>
        <w:pStyle w:val="Title"/>
        <w:tabs>
          <w:tab w:val="left" w:pos="6663"/>
        </w:tabs>
      </w:pPr>
      <w:r>
        <w:rPr>
          <w:lang w:val="en-AU" w:eastAsia="en-AU"/>
        </w:rPr>
        <mc:AlternateContent>
          <mc:Choice Requires="wps">
            <w:drawing>
              <wp:anchor distT="0" distB="0" distL="114300" distR="114300" simplePos="0" relativeHeight="251653120" behindDoc="1" locked="0" layoutInCell="1" allowOverlap="1" wp14:anchorId="610E2E1C" wp14:editId="780BC707">
                <wp:simplePos x="0" y="0"/>
                <wp:positionH relativeFrom="column">
                  <wp:posOffset>-918845</wp:posOffset>
                </wp:positionH>
                <wp:positionV relativeFrom="paragraph">
                  <wp:posOffset>-911860</wp:posOffset>
                </wp:positionV>
                <wp:extent cx="7658100" cy="10744200"/>
                <wp:effectExtent l="0" t="0" r="0" b="0"/>
                <wp:wrapNone/>
                <wp:docPr id="2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074420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72.35pt;margin-top:-71.8pt;width:603pt;height:8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" fillcolor="navy" stroked="f"/>
            </w:pict>
          </mc:Fallback>
        </mc:AlternateContent>
      </w:r>
      <w:r w:rsidR="00544914">
        <w:t>I</w:t>
      </w:r>
      <w:r w:rsidR="00544914" w:rsidRPr="00286A0D">
        <w:t xml:space="preserve">ndependent </w:t>
      </w:r>
      <w:r w:rsidR="00544914">
        <w:t>review</w:t>
      </w:r>
      <w:r w:rsidR="00544914" w:rsidRPr="00286A0D">
        <w:t xml:space="preserve"> of </w:t>
      </w:r>
      <w:r w:rsidR="00544914">
        <w:br/>
      </w:r>
      <w:r w:rsidR="00544914" w:rsidRPr="00286A0D">
        <w:t>Australia’s aid funding to the Samoa Law and Justice Sector</w:t>
      </w:r>
      <w:r w:rsidR="00544914">
        <w:br/>
      </w:r>
      <w:r w:rsidR="00544914">
        <w:br/>
      </w:r>
      <w:bookmarkStart w:id="1" w:name="_Ref291404782"/>
      <w:bookmarkStart w:id="2" w:name="_Ref291404913"/>
      <w:bookmarkStart w:id="3" w:name="_Ref291405006"/>
      <w:bookmarkStart w:id="4" w:name="_Ref291405631"/>
      <w:bookmarkStart w:id="5" w:name="_Ref291406205"/>
      <w:bookmarkStart w:id="6" w:name="_Ref291406271"/>
      <w:bookmarkStart w:id="7" w:name="_Ref291406300"/>
      <w:bookmarkStart w:id="8" w:name="_Ref291489617"/>
      <w:bookmarkStart w:id="9" w:name="_Ref291489681"/>
      <w:bookmarkStart w:id="10" w:name="_Ref291517983"/>
      <w:bookmarkEnd w:id="1"/>
      <w:bookmarkEnd w:id="2"/>
      <w:bookmarkEnd w:id="3"/>
      <w:bookmarkEnd w:id="4"/>
      <w:bookmarkEnd w:id="5"/>
      <w:bookmarkEnd w:id="6"/>
      <w:bookmarkEnd w:id="7"/>
      <w:bookmarkEnd w:id="8"/>
      <w:bookmarkEnd w:id="9"/>
      <w:bookmarkEnd w:id="10"/>
      <w:r w:rsidR="008644D1">
        <w:t xml:space="preserve">Review </w:t>
      </w:r>
      <w:r w:rsidR="00544914">
        <w:t>(00</w:t>
      </w:r>
      <w:r w:rsidR="00D52FEE">
        <w:t>4</w:t>
      </w:r>
      <w:r w:rsidR="00954D59">
        <w:t>)</w:t>
      </w:r>
    </w:p>
    <w:p w:rsidR="00544914" w:rsidRPr="002F2DB2" w:rsidRDefault="00954D59" w:rsidP="00954D59">
      <w:pPr>
        <w:pStyle w:val="Body"/>
        <w:jc w:val="right"/>
        <w:rPr>
          <w:rFonts w:ascii="Helvetica" w:hAnsi="Helvetica" w:cs="Helvetica"/>
          <w:b/>
          <w:color w:val="FFFFFF"/>
          <w:sz w:val="28"/>
          <w:szCs w:val="28"/>
        </w:rPr>
      </w:pPr>
      <w:r w:rsidRPr="002F2DB2">
        <w:rPr>
          <w:rFonts w:ascii="Helvetica" w:hAnsi="Helvetica" w:cs="Helvetica"/>
          <w:b/>
          <w:color w:val="FFFFFF"/>
          <w:sz w:val="28"/>
          <w:szCs w:val="28"/>
        </w:rPr>
        <w:t xml:space="preserve">Dated </w:t>
      </w:r>
      <w:r w:rsidR="002A3BD3">
        <w:rPr>
          <w:rFonts w:ascii="Helvetica" w:hAnsi="Helvetica" w:cs="Helvetica"/>
          <w:b/>
          <w:color w:val="FFFFFF"/>
          <w:sz w:val="28"/>
          <w:szCs w:val="28"/>
        </w:rPr>
        <w:t>14</w:t>
      </w:r>
      <w:r w:rsidR="00F75720">
        <w:rPr>
          <w:rFonts w:ascii="Helvetica" w:hAnsi="Helvetica" w:cs="Helvetica"/>
          <w:b/>
          <w:color w:val="FFFFFF"/>
          <w:sz w:val="28"/>
          <w:szCs w:val="28"/>
        </w:rPr>
        <w:t xml:space="preserve"> Oct</w:t>
      </w:r>
      <w:r w:rsidR="00AF2996">
        <w:rPr>
          <w:rFonts w:ascii="Helvetica" w:hAnsi="Helvetica" w:cs="Helvetica"/>
          <w:b/>
          <w:color w:val="FFFFFF"/>
          <w:sz w:val="28"/>
          <w:szCs w:val="28"/>
        </w:rPr>
        <w:t xml:space="preserve"> 2015</w:t>
      </w:r>
    </w:p>
    <w:p w:rsidR="00954D59" w:rsidRPr="00954D59" w:rsidRDefault="00954D59" w:rsidP="00954D59">
      <w:pPr>
        <w:pStyle w:val="Subtitle"/>
        <w:rPr>
          <w:sz w:val="28"/>
          <w:szCs w:val="28"/>
        </w:rPr>
        <w:sectPr w:rsidR="00954D59" w:rsidRPr="00954D59" w:rsidSect="00AA45A4">
          <w:headerReference w:type="even" r:id="rId9"/>
          <w:headerReference w:type="default" r:id="rId10"/>
          <w:footerReference w:type="even" r:id="rId11"/>
          <w:footerReference w:type="default" r:id="rId12"/>
          <w:headerReference w:type="first" r:id="rId13"/>
          <w:footerReference w:type="first" r:id="rId14"/>
          <w:type w:val="oddPage"/>
          <w:pgSz w:w="11906" w:h="16838" w:code="9"/>
          <w:pgMar w:top="1440" w:right="1440" w:bottom="1440" w:left="1440" w:header="576" w:footer="576" w:gutter="0"/>
          <w:pgNumType w:fmt="lowerRoman"/>
          <w:cols w:space="720"/>
          <w:titlePg/>
        </w:sectPr>
      </w:pPr>
    </w:p>
    <w:p w:rsidR="00544914" w:rsidRPr="008C2146" w:rsidRDefault="00544914" w:rsidP="004902E0">
      <w:pPr>
        <w:pStyle w:val="SectionTitle"/>
      </w:pPr>
      <w:bookmarkStart w:id="11" w:name="_Toc381953318"/>
      <w:bookmarkStart w:id="12" w:name="_Toc291506421"/>
      <w:bookmarkStart w:id="13" w:name="_Toc431828750"/>
      <w:r w:rsidRPr="008C2146">
        <w:lastRenderedPageBreak/>
        <w:t>Contents</w:t>
      </w:r>
      <w:bookmarkEnd w:id="11"/>
      <w:bookmarkEnd w:id="12"/>
      <w:bookmarkEnd w:id="13"/>
    </w:p>
    <w:p w:rsidR="00090E4C" w:rsidRDefault="000510B7">
      <w:pPr>
        <w:pStyle w:val="TOC1"/>
        <w:rPr>
          <w:rFonts w:asciiTheme="minorHAnsi" w:eastAsiaTheme="minorEastAsia" w:hAnsiTheme="minorHAnsi" w:cstheme="minorBidi"/>
          <w:bCs w:val="0"/>
          <w:color w:val="auto"/>
          <w:sz w:val="22"/>
          <w:szCs w:val="22"/>
          <w:lang w:eastAsia="en-AU"/>
        </w:rPr>
      </w:pPr>
      <w:r>
        <w:rPr>
          <w:b/>
          <w:bCs w:val="0"/>
          <w:color w:val="007C92"/>
          <w:sz w:val="32"/>
        </w:rPr>
        <w:fldChar w:fldCharType="begin"/>
      </w:r>
      <w:r>
        <w:rPr>
          <w:b/>
          <w:bCs w:val="0"/>
          <w:color w:val="007C92"/>
          <w:sz w:val="32"/>
        </w:rPr>
        <w:instrText xml:space="preserve"> TOC \o "1-2" \h \z \u </w:instrText>
      </w:r>
      <w:r>
        <w:rPr>
          <w:b/>
          <w:bCs w:val="0"/>
          <w:color w:val="007C92"/>
          <w:sz w:val="32"/>
        </w:rPr>
        <w:fldChar w:fldCharType="separate"/>
      </w:r>
      <w:hyperlink w:anchor="_Toc431828750" w:history="1">
        <w:r w:rsidR="00090E4C" w:rsidRPr="00767ABE">
          <w:rPr>
            <w:rStyle w:val="Hyperlink"/>
          </w:rPr>
          <w:t>Contents</w:t>
        </w:r>
        <w:r w:rsidR="00090E4C">
          <w:rPr>
            <w:webHidden/>
          </w:rPr>
          <w:tab/>
        </w:r>
        <w:r w:rsidR="00090E4C">
          <w:rPr>
            <w:webHidden/>
          </w:rPr>
          <w:fldChar w:fldCharType="begin"/>
        </w:r>
        <w:r w:rsidR="00090E4C">
          <w:rPr>
            <w:webHidden/>
          </w:rPr>
          <w:instrText xml:space="preserve"> PAGEREF _Toc431828750 \h </w:instrText>
        </w:r>
        <w:r w:rsidR="00090E4C">
          <w:rPr>
            <w:webHidden/>
          </w:rPr>
        </w:r>
        <w:r w:rsidR="00090E4C">
          <w:rPr>
            <w:webHidden/>
          </w:rPr>
          <w:fldChar w:fldCharType="separate"/>
        </w:r>
        <w:r w:rsidR="00A8459C">
          <w:rPr>
            <w:webHidden/>
          </w:rPr>
          <w:t>ii</w:t>
        </w:r>
        <w:r w:rsidR="00090E4C">
          <w:rPr>
            <w:webHidden/>
          </w:rPr>
          <w:fldChar w:fldCharType="end"/>
        </w:r>
      </w:hyperlink>
    </w:p>
    <w:p w:rsidR="00090E4C" w:rsidRDefault="008E23A0">
      <w:pPr>
        <w:pStyle w:val="TOC1"/>
        <w:rPr>
          <w:rFonts w:asciiTheme="minorHAnsi" w:eastAsiaTheme="minorEastAsia" w:hAnsiTheme="minorHAnsi" w:cstheme="minorBidi"/>
          <w:bCs w:val="0"/>
          <w:color w:val="auto"/>
          <w:sz w:val="22"/>
          <w:szCs w:val="22"/>
          <w:lang w:eastAsia="en-AU"/>
        </w:rPr>
      </w:pPr>
      <w:hyperlink w:anchor="_Toc431828751" w:history="1">
        <w:r w:rsidR="00090E4C" w:rsidRPr="00767ABE">
          <w:rPr>
            <w:rStyle w:val="Hyperlink"/>
          </w:rPr>
          <w:t>Acknowledgements</w:t>
        </w:r>
        <w:r w:rsidR="00090E4C">
          <w:rPr>
            <w:webHidden/>
          </w:rPr>
          <w:tab/>
        </w:r>
        <w:r w:rsidR="00090E4C">
          <w:rPr>
            <w:webHidden/>
          </w:rPr>
          <w:fldChar w:fldCharType="begin"/>
        </w:r>
        <w:r w:rsidR="00090E4C">
          <w:rPr>
            <w:webHidden/>
          </w:rPr>
          <w:instrText xml:space="preserve"> PAGEREF _Toc431828751 \h </w:instrText>
        </w:r>
        <w:r w:rsidR="00090E4C">
          <w:rPr>
            <w:webHidden/>
          </w:rPr>
        </w:r>
        <w:r w:rsidR="00090E4C">
          <w:rPr>
            <w:webHidden/>
          </w:rPr>
          <w:fldChar w:fldCharType="separate"/>
        </w:r>
        <w:r w:rsidR="00A8459C">
          <w:rPr>
            <w:webHidden/>
          </w:rPr>
          <w:t>iii</w:t>
        </w:r>
        <w:r w:rsidR="00090E4C">
          <w:rPr>
            <w:webHidden/>
          </w:rPr>
          <w:fldChar w:fldCharType="end"/>
        </w:r>
      </w:hyperlink>
    </w:p>
    <w:p w:rsidR="00090E4C" w:rsidRDefault="008E23A0">
      <w:pPr>
        <w:pStyle w:val="TOC1"/>
        <w:rPr>
          <w:rFonts w:asciiTheme="minorHAnsi" w:eastAsiaTheme="minorEastAsia" w:hAnsiTheme="minorHAnsi" w:cstheme="minorBidi"/>
          <w:bCs w:val="0"/>
          <w:color w:val="auto"/>
          <w:sz w:val="22"/>
          <w:szCs w:val="22"/>
          <w:lang w:eastAsia="en-AU"/>
        </w:rPr>
      </w:pPr>
      <w:hyperlink w:anchor="_Toc431828752" w:history="1">
        <w:r w:rsidR="00090E4C" w:rsidRPr="00767ABE">
          <w:rPr>
            <w:rStyle w:val="Hyperlink"/>
          </w:rPr>
          <w:t>Key Data</w:t>
        </w:r>
        <w:r w:rsidR="00090E4C">
          <w:rPr>
            <w:webHidden/>
          </w:rPr>
          <w:tab/>
        </w:r>
        <w:r w:rsidR="00090E4C">
          <w:rPr>
            <w:webHidden/>
          </w:rPr>
          <w:fldChar w:fldCharType="begin"/>
        </w:r>
        <w:r w:rsidR="00090E4C">
          <w:rPr>
            <w:webHidden/>
          </w:rPr>
          <w:instrText xml:space="preserve"> PAGEREF _Toc431828752 \h </w:instrText>
        </w:r>
        <w:r w:rsidR="00090E4C">
          <w:rPr>
            <w:webHidden/>
          </w:rPr>
        </w:r>
        <w:r w:rsidR="00090E4C">
          <w:rPr>
            <w:webHidden/>
          </w:rPr>
          <w:fldChar w:fldCharType="separate"/>
        </w:r>
        <w:r w:rsidR="00A8459C">
          <w:rPr>
            <w:webHidden/>
          </w:rPr>
          <w:t>iv</w:t>
        </w:r>
        <w:r w:rsidR="00090E4C">
          <w:rPr>
            <w:webHidden/>
          </w:rPr>
          <w:fldChar w:fldCharType="end"/>
        </w:r>
      </w:hyperlink>
    </w:p>
    <w:p w:rsidR="00090E4C" w:rsidRDefault="008E23A0">
      <w:pPr>
        <w:pStyle w:val="TOC1"/>
        <w:rPr>
          <w:rFonts w:asciiTheme="minorHAnsi" w:eastAsiaTheme="minorEastAsia" w:hAnsiTheme="minorHAnsi" w:cstheme="minorBidi"/>
          <w:bCs w:val="0"/>
          <w:color w:val="auto"/>
          <w:sz w:val="22"/>
          <w:szCs w:val="22"/>
          <w:lang w:eastAsia="en-AU"/>
        </w:rPr>
      </w:pPr>
      <w:hyperlink w:anchor="_Toc431828753" w:history="1">
        <w:r w:rsidR="00090E4C" w:rsidRPr="00767ABE">
          <w:rPr>
            <w:rStyle w:val="Hyperlink"/>
          </w:rPr>
          <w:t>Executive Summary</w:t>
        </w:r>
        <w:r w:rsidR="00090E4C">
          <w:rPr>
            <w:webHidden/>
          </w:rPr>
          <w:tab/>
        </w:r>
        <w:r w:rsidR="00090E4C">
          <w:rPr>
            <w:webHidden/>
          </w:rPr>
          <w:fldChar w:fldCharType="begin"/>
        </w:r>
        <w:r w:rsidR="00090E4C">
          <w:rPr>
            <w:webHidden/>
          </w:rPr>
          <w:instrText xml:space="preserve"> PAGEREF _Toc431828753 \h </w:instrText>
        </w:r>
        <w:r w:rsidR="00090E4C">
          <w:rPr>
            <w:webHidden/>
          </w:rPr>
        </w:r>
        <w:r w:rsidR="00090E4C">
          <w:rPr>
            <w:webHidden/>
          </w:rPr>
          <w:fldChar w:fldCharType="separate"/>
        </w:r>
        <w:r w:rsidR="00A8459C">
          <w:rPr>
            <w:webHidden/>
          </w:rPr>
          <w:t>v</w:t>
        </w:r>
        <w:r w:rsidR="00090E4C">
          <w:rPr>
            <w:webHidden/>
          </w:rPr>
          <w:fldChar w:fldCharType="end"/>
        </w:r>
      </w:hyperlink>
    </w:p>
    <w:p w:rsidR="00090E4C" w:rsidRDefault="008E23A0">
      <w:pPr>
        <w:pStyle w:val="TOC1"/>
        <w:rPr>
          <w:rFonts w:asciiTheme="minorHAnsi" w:eastAsiaTheme="minorEastAsia" w:hAnsiTheme="minorHAnsi" w:cstheme="minorBidi"/>
          <w:bCs w:val="0"/>
          <w:color w:val="auto"/>
          <w:sz w:val="22"/>
          <w:szCs w:val="22"/>
          <w:lang w:eastAsia="en-AU"/>
        </w:rPr>
      </w:pPr>
      <w:hyperlink w:anchor="_Toc431828754" w:history="1">
        <w:r w:rsidR="00090E4C" w:rsidRPr="00767ABE">
          <w:rPr>
            <w:rStyle w:val="Hyperlink"/>
          </w:rPr>
          <w:t>1.</w:t>
        </w:r>
        <w:r w:rsidR="00090E4C">
          <w:rPr>
            <w:rFonts w:asciiTheme="minorHAnsi" w:eastAsiaTheme="minorEastAsia" w:hAnsiTheme="minorHAnsi" w:cstheme="minorBidi"/>
            <w:bCs w:val="0"/>
            <w:color w:val="auto"/>
            <w:sz w:val="22"/>
            <w:szCs w:val="22"/>
            <w:lang w:eastAsia="en-AU"/>
          </w:rPr>
          <w:tab/>
        </w:r>
        <w:r w:rsidR="00090E4C" w:rsidRPr="00767ABE">
          <w:rPr>
            <w:rStyle w:val="Hyperlink"/>
          </w:rPr>
          <w:t>Introduction</w:t>
        </w:r>
        <w:r w:rsidR="00090E4C">
          <w:rPr>
            <w:webHidden/>
          </w:rPr>
          <w:tab/>
        </w:r>
        <w:r w:rsidR="00090E4C">
          <w:rPr>
            <w:webHidden/>
          </w:rPr>
          <w:fldChar w:fldCharType="begin"/>
        </w:r>
        <w:r w:rsidR="00090E4C">
          <w:rPr>
            <w:webHidden/>
          </w:rPr>
          <w:instrText xml:space="preserve"> PAGEREF _Toc431828754 \h </w:instrText>
        </w:r>
        <w:r w:rsidR="00090E4C">
          <w:rPr>
            <w:webHidden/>
          </w:rPr>
        </w:r>
        <w:r w:rsidR="00090E4C">
          <w:rPr>
            <w:webHidden/>
          </w:rPr>
          <w:fldChar w:fldCharType="separate"/>
        </w:r>
        <w:r w:rsidR="00A8459C">
          <w:rPr>
            <w:webHidden/>
          </w:rPr>
          <w:t>1</w:t>
        </w:r>
        <w:r w:rsidR="00090E4C">
          <w:rPr>
            <w:webHidden/>
          </w:rPr>
          <w:fldChar w:fldCharType="end"/>
        </w:r>
      </w:hyperlink>
    </w:p>
    <w:p w:rsidR="00090E4C" w:rsidRDefault="008E23A0">
      <w:pPr>
        <w:pStyle w:val="TOC1"/>
        <w:rPr>
          <w:rFonts w:asciiTheme="minorHAnsi" w:eastAsiaTheme="minorEastAsia" w:hAnsiTheme="minorHAnsi" w:cstheme="minorBidi"/>
          <w:bCs w:val="0"/>
          <w:color w:val="auto"/>
          <w:sz w:val="22"/>
          <w:szCs w:val="22"/>
          <w:lang w:eastAsia="en-AU"/>
        </w:rPr>
      </w:pPr>
      <w:hyperlink w:anchor="_Toc431828755" w:history="1">
        <w:r w:rsidR="00090E4C" w:rsidRPr="00767ABE">
          <w:rPr>
            <w:rStyle w:val="Hyperlink"/>
          </w:rPr>
          <w:t>2.</w:t>
        </w:r>
        <w:r w:rsidR="00090E4C">
          <w:rPr>
            <w:rFonts w:asciiTheme="minorHAnsi" w:eastAsiaTheme="minorEastAsia" w:hAnsiTheme="minorHAnsi" w:cstheme="minorBidi"/>
            <w:bCs w:val="0"/>
            <w:color w:val="auto"/>
            <w:sz w:val="22"/>
            <w:szCs w:val="22"/>
            <w:lang w:eastAsia="en-AU"/>
          </w:rPr>
          <w:tab/>
        </w:r>
        <w:r w:rsidR="00090E4C" w:rsidRPr="00767ABE">
          <w:rPr>
            <w:rStyle w:val="Hyperlink"/>
          </w:rPr>
          <w:t>The Samoa Law and Justice Sector (SLJS)</w:t>
        </w:r>
        <w:r w:rsidR="00090E4C">
          <w:rPr>
            <w:webHidden/>
          </w:rPr>
          <w:tab/>
        </w:r>
        <w:r w:rsidR="00090E4C">
          <w:rPr>
            <w:webHidden/>
          </w:rPr>
          <w:fldChar w:fldCharType="begin"/>
        </w:r>
        <w:r w:rsidR="00090E4C">
          <w:rPr>
            <w:webHidden/>
          </w:rPr>
          <w:instrText xml:space="preserve"> PAGEREF _Toc431828755 \h </w:instrText>
        </w:r>
        <w:r w:rsidR="00090E4C">
          <w:rPr>
            <w:webHidden/>
          </w:rPr>
        </w:r>
        <w:r w:rsidR="00090E4C">
          <w:rPr>
            <w:webHidden/>
          </w:rPr>
          <w:fldChar w:fldCharType="separate"/>
        </w:r>
        <w:r w:rsidR="00A8459C">
          <w:rPr>
            <w:webHidden/>
          </w:rPr>
          <w:t>2</w:t>
        </w:r>
        <w:r w:rsidR="00090E4C">
          <w:rPr>
            <w:webHidden/>
          </w:rPr>
          <w:fldChar w:fldCharType="end"/>
        </w:r>
      </w:hyperlink>
    </w:p>
    <w:p w:rsidR="00090E4C" w:rsidRDefault="008E23A0">
      <w:pPr>
        <w:pStyle w:val="TOC2"/>
        <w:rPr>
          <w:rFonts w:asciiTheme="minorHAnsi" w:eastAsiaTheme="minorEastAsia" w:hAnsiTheme="minorHAnsi" w:cstheme="minorBidi"/>
          <w:noProof/>
          <w:sz w:val="22"/>
          <w:szCs w:val="22"/>
          <w:lang w:eastAsia="en-AU"/>
        </w:rPr>
      </w:pPr>
      <w:hyperlink w:anchor="_Toc431828756" w:history="1">
        <w:r w:rsidR="00090E4C" w:rsidRPr="00767ABE">
          <w:rPr>
            <w:rStyle w:val="Hyperlink"/>
            <w:noProof/>
          </w:rPr>
          <w:t>2.1.</w:t>
        </w:r>
        <w:r w:rsidR="00090E4C">
          <w:rPr>
            <w:rFonts w:asciiTheme="minorHAnsi" w:eastAsiaTheme="minorEastAsia" w:hAnsiTheme="minorHAnsi" w:cstheme="minorBidi"/>
            <w:noProof/>
            <w:sz w:val="22"/>
            <w:szCs w:val="22"/>
            <w:lang w:eastAsia="en-AU"/>
          </w:rPr>
          <w:tab/>
        </w:r>
        <w:r w:rsidR="00090E4C" w:rsidRPr="00767ABE">
          <w:rPr>
            <w:rStyle w:val="Hyperlink"/>
            <w:noProof/>
          </w:rPr>
          <w:t>Development of the SLJS</w:t>
        </w:r>
        <w:r w:rsidR="00090E4C">
          <w:rPr>
            <w:noProof/>
            <w:webHidden/>
          </w:rPr>
          <w:tab/>
        </w:r>
        <w:r w:rsidR="00090E4C">
          <w:rPr>
            <w:noProof/>
            <w:webHidden/>
          </w:rPr>
          <w:fldChar w:fldCharType="begin"/>
        </w:r>
        <w:r w:rsidR="00090E4C">
          <w:rPr>
            <w:noProof/>
            <w:webHidden/>
          </w:rPr>
          <w:instrText xml:space="preserve"> PAGEREF _Toc431828756 \h </w:instrText>
        </w:r>
        <w:r w:rsidR="00090E4C">
          <w:rPr>
            <w:noProof/>
            <w:webHidden/>
          </w:rPr>
        </w:r>
        <w:r w:rsidR="00090E4C">
          <w:rPr>
            <w:noProof/>
            <w:webHidden/>
          </w:rPr>
          <w:fldChar w:fldCharType="separate"/>
        </w:r>
        <w:r w:rsidR="00A8459C">
          <w:rPr>
            <w:noProof/>
            <w:webHidden/>
          </w:rPr>
          <w:t>2</w:t>
        </w:r>
        <w:r w:rsidR="00090E4C">
          <w:rPr>
            <w:noProof/>
            <w:webHidden/>
          </w:rPr>
          <w:fldChar w:fldCharType="end"/>
        </w:r>
      </w:hyperlink>
    </w:p>
    <w:p w:rsidR="00090E4C" w:rsidRDefault="008E23A0">
      <w:pPr>
        <w:pStyle w:val="TOC2"/>
        <w:rPr>
          <w:rFonts w:asciiTheme="minorHAnsi" w:eastAsiaTheme="minorEastAsia" w:hAnsiTheme="minorHAnsi" w:cstheme="minorBidi"/>
          <w:noProof/>
          <w:sz w:val="22"/>
          <w:szCs w:val="22"/>
          <w:lang w:eastAsia="en-AU"/>
        </w:rPr>
      </w:pPr>
      <w:hyperlink w:anchor="_Toc431828757" w:history="1">
        <w:r w:rsidR="00090E4C" w:rsidRPr="00767ABE">
          <w:rPr>
            <w:rStyle w:val="Hyperlink"/>
            <w:noProof/>
          </w:rPr>
          <w:t>2.2.</w:t>
        </w:r>
        <w:r w:rsidR="00090E4C">
          <w:rPr>
            <w:rFonts w:asciiTheme="minorHAnsi" w:eastAsiaTheme="minorEastAsia" w:hAnsiTheme="minorHAnsi" w:cstheme="minorBidi"/>
            <w:noProof/>
            <w:sz w:val="22"/>
            <w:szCs w:val="22"/>
            <w:lang w:eastAsia="en-AU"/>
          </w:rPr>
          <w:tab/>
        </w:r>
        <w:r w:rsidR="00090E4C" w:rsidRPr="00767ABE">
          <w:rPr>
            <w:rStyle w:val="Hyperlink"/>
            <w:noProof/>
          </w:rPr>
          <w:t>Sector funding</w:t>
        </w:r>
        <w:r w:rsidR="00090E4C">
          <w:rPr>
            <w:noProof/>
            <w:webHidden/>
          </w:rPr>
          <w:tab/>
        </w:r>
        <w:r w:rsidR="00090E4C">
          <w:rPr>
            <w:noProof/>
            <w:webHidden/>
          </w:rPr>
          <w:fldChar w:fldCharType="begin"/>
        </w:r>
        <w:r w:rsidR="00090E4C">
          <w:rPr>
            <w:noProof/>
            <w:webHidden/>
          </w:rPr>
          <w:instrText xml:space="preserve"> PAGEREF _Toc431828757 \h </w:instrText>
        </w:r>
        <w:r w:rsidR="00090E4C">
          <w:rPr>
            <w:noProof/>
            <w:webHidden/>
          </w:rPr>
        </w:r>
        <w:r w:rsidR="00090E4C">
          <w:rPr>
            <w:noProof/>
            <w:webHidden/>
          </w:rPr>
          <w:fldChar w:fldCharType="separate"/>
        </w:r>
        <w:r w:rsidR="00A8459C">
          <w:rPr>
            <w:noProof/>
            <w:webHidden/>
          </w:rPr>
          <w:t>4</w:t>
        </w:r>
        <w:r w:rsidR="00090E4C">
          <w:rPr>
            <w:noProof/>
            <w:webHidden/>
          </w:rPr>
          <w:fldChar w:fldCharType="end"/>
        </w:r>
      </w:hyperlink>
    </w:p>
    <w:p w:rsidR="00090E4C" w:rsidRDefault="008E23A0">
      <w:pPr>
        <w:pStyle w:val="TOC1"/>
        <w:rPr>
          <w:rFonts w:asciiTheme="minorHAnsi" w:eastAsiaTheme="minorEastAsia" w:hAnsiTheme="minorHAnsi" w:cstheme="minorBidi"/>
          <w:bCs w:val="0"/>
          <w:color w:val="auto"/>
          <w:sz w:val="22"/>
          <w:szCs w:val="22"/>
          <w:lang w:eastAsia="en-AU"/>
        </w:rPr>
      </w:pPr>
      <w:hyperlink w:anchor="_Toc431828758" w:history="1">
        <w:r w:rsidR="00090E4C" w:rsidRPr="00767ABE">
          <w:rPr>
            <w:rStyle w:val="Hyperlink"/>
          </w:rPr>
          <w:t>3.</w:t>
        </w:r>
        <w:r w:rsidR="00090E4C">
          <w:rPr>
            <w:rFonts w:asciiTheme="minorHAnsi" w:eastAsiaTheme="minorEastAsia" w:hAnsiTheme="minorHAnsi" w:cstheme="minorBidi"/>
            <w:bCs w:val="0"/>
            <w:color w:val="auto"/>
            <w:sz w:val="22"/>
            <w:szCs w:val="22"/>
            <w:lang w:eastAsia="en-AU"/>
          </w:rPr>
          <w:tab/>
        </w:r>
        <w:r w:rsidR="00090E4C" w:rsidRPr="00767ABE">
          <w:rPr>
            <w:rStyle w:val="Hyperlink"/>
          </w:rPr>
          <w:t>Effectiveness/Impact</w:t>
        </w:r>
        <w:r w:rsidR="00090E4C">
          <w:rPr>
            <w:webHidden/>
          </w:rPr>
          <w:tab/>
        </w:r>
        <w:r w:rsidR="00090E4C">
          <w:rPr>
            <w:webHidden/>
          </w:rPr>
          <w:fldChar w:fldCharType="begin"/>
        </w:r>
        <w:r w:rsidR="00090E4C">
          <w:rPr>
            <w:webHidden/>
          </w:rPr>
          <w:instrText xml:space="preserve"> PAGEREF _Toc431828758 \h </w:instrText>
        </w:r>
        <w:r w:rsidR="00090E4C">
          <w:rPr>
            <w:webHidden/>
          </w:rPr>
        </w:r>
        <w:r w:rsidR="00090E4C">
          <w:rPr>
            <w:webHidden/>
          </w:rPr>
          <w:fldChar w:fldCharType="separate"/>
        </w:r>
        <w:r w:rsidR="00A8459C">
          <w:rPr>
            <w:webHidden/>
          </w:rPr>
          <w:t>5</w:t>
        </w:r>
        <w:r w:rsidR="00090E4C">
          <w:rPr>
            <w:webHidden/>
          </w:rPr>
          <w:fldChar w:fldCharType="end"/>
        </w:r>
      </w:hyperlink>
    </w:p>
    <w:p w:rsidR="00090E4C" w:rsidRDefault="008E23A0">
      <w:pPr>
        <w:pStyle w:val="TOC2"/>
        <w:rPr>
          <w:rFonts w:asciiTheme="minorHAnsi" w:eastAsiaTheme="minorEastAsia" w:hAnsiTheme="minorHAnsi" w:cstheme="minorBidi"/>
          <w:noProof/>
          <w:sz w:val="22"/>
          <w:szCs w:val="22"/>
          <w:lang w:eastAsia="en-AU"/>
        </w:rPr>
      </w:pPr>
      <w:hyperlink w:anchor="_Toc431828759" w:history="1">
        <w:r w:rsidR="00090E4C" w:rsidRPr="00767ABE">
          <w:rPr>
            <w:rStyle w:val="Hyperlink"/>
            <w:noProof/>
          </w:rPr>
          <w:t>3.1.</w:t>
        </w:r>
        <w:r w:rsidR="00090E4C">
          <w:rPr>
            <w:rFonts w:asciiTheme="minorHAnsi" w:eastAsiaTheme="minorEastAsia" w:hAnsiTheme="minorHAnsi" w:cstheme="minorBidi"/>
            <w:noProof/>
            <w:sz w:val="22"/>
            <w:szCs w:val="22"/>
            <w:lang w:eastAsia="en-AU"/>
          </w:rPr>
          <w:tab/>
        </w:r>
        <w:r w:rsidR="00090E4C" w:rsidRPr="00767ABE">
          <w:rPr>
            <w:rStyle w:val="Hyperlink"/>
            <w:noProof/>
          </w:rPr>
          <w:t>Establish SLJS</w:t>
        </w:r>
        <w:r w:rsidR="00090E4C">
          <w:rPr>
            <w:noProof/>
            <w:webHidden/>
          </w:rPr>
          <w:tab/>
        </w:r>
        <w:r w:rsidR="00090E4C">
          <w:rPr>
            <w:noProof/>
            <w:webHidden/>
          </w:rPr>
          <w:fldChar w:fldCharType="begin"/>
        </w:r>
        <w:r w:rsidR="00090E4C">
          <w:rPr>
            <w:noProof/>
            <w:webHidden/>
          </w:rPr>
          <w:instrText xml:space="preserve"> PAGEREF _Toc431828759 \h </w:instrText>
        </w:r>
        <w:r w:rsidR="00090E4C">
          <w:rPr>
            <w:noProof/>
            <w:webHidden/>
          </w:rPr>
        </w:r>
        <w:r w:rsidR="00090E4C">
          <w:rPr>
            <w:noProof/>
            <w:webHidden/>
          </w:rPr>
          <w:fldChar w:fldCharType="separate"/>
        </w:r>
        <w:r w:rsidR="00A8459C">
          <w:rPr>
            <w:noProof/>
            <w:webHidden/>
          </w:rPr>
          <w:t>6</w:t>
        </w:r>
        <w:r w:rsidR="00090E4C">
          <w:rPr>
            <w:noProof/>
            <w:webHidden/>
          </w:rPr>
          <w:fldChar w:fldCharType="end"/>
        </w:r>
      </w:hyperlink>
    </w:p>
    <w:p w:rsidR="00090E4C" w:rsidRDefault="008E23A0">
      <w:pPr>
        <w:pStyle w:val="TOC2"/>
        <w:rPr>
          <w:rFonts w:asciiTheme="minorHAnsi" w:eastAsiaTheme="minorEastAsia" w:hAnsiTheme="minorHAnsi" w:cstheme="minorBidi"/>
          <w:noProof/>
          <w:sz w:val="22"/>
          <w:szCs w:val="22"/>
          <w:lang w:eastAsia="en-AU"/>
        </w:rPr>
      </w:pPr>
      <w:hyperlink w:anchor="_Toc431828760" w:history="1">
        <w:r w:rsidR="00090E4C" w:rsidRPr="00767ABE">
          <w:rPr>
            <w:rStyle w:val="Hyperlink"/>
            <w:noProof/>
          </w:rPr>
          <w:t>3.2.</w:t>
        </w:r>
        <w:r w:rsidR="00090E4C">
          <w:rPr>
            <w:rFonts w:asciiTheme="minorHAnsi" w:eastAsiaTheme="minorEastAsia" w:hAnsiTheme="minorHAnsi" w:cstheme="minorBidi"/>
            <w:noProof/>
            <w:sz w:val="22"/>
            <w:szCs w:val="22"/>
            <w:lang w:eastAsia="en-AU"/>
          </w:rPr>
          <w:tab/>
        </w:r>
        <w:r w:rsidR="00090E4C" w:rsidRPr="00767ABE">
          <w:rPr>
            <w:rStyle w:val="Hyperlink"/>
            <w:noProof/>
          </w:rPr>
          <w:t>Goals in SLJS Strategic Plan</w:t>
        </w:r>
        <w:r w:rsidR="00090E4C">
          <w:rPr>
            <w:noProof/>
            <w:webHidden/>
          </w:rPr>
          <w:tab/>
        </w:r>
        <w:r w:rsidR="00090E4C">
          <w:rPr>
            <w:noProof/>
            <w:webHidden/>
          </w:rPr>
          <w:fldChar w:fldCharType="begin"/>
        </w:r>
        <w:r w:rsidR="00090E4C">
          <w:rPr>
            <w:noProof/>
            <w:webHidden/>
          </w:rPr>
          <w:instrText xml:space="preserve"> PAGEREF _Toc431828760 \h </w:instrText>
        </w:r>
        <w:r w:rsidR="00090E4C">
          <w:rPr>
            <w:noProof/>
            <w:webHidden/>
          </w:rPr>
        </w:r>
        <w:r w:rsidR="00090E4C">
          <w:rPr>
            <w:noProof/>
            <w:webHidden/>
          </w:rPr>
          <w:fldChar w:fldCharType="separate"/>
        </w:r>
        <w:r w:rsidR="00A8459C">
          <w:rPr>
            <w:noProof/>
            <w:webHidden/>
          </w:rPr>
          <w:t>8</w:t>
        </w:r>
        <w:r w:rsidR="00090E4C">
          <w:rPr>
            <w:noProof/>
            <w:webHidden/>
          </w:rPr>
          <w:fldChar w:fldCharType="end"/>
        </w:r>
      </w:hyperlink>
    </w:p>
    <w:p w:rsidR="00090E4C" w:rsidRDefault="008E23A0">
      <w:pPr>
        <w:pStyle w:val="TOC2"/>
        <w:rPr>
          <w:rFonts w:asciiTheme="minorHAnsi" w:eastAsiaTheme="minorEastAsia" w:hAnsiTheme="minorHAnsi" w:cstheme="minorBidi"/>
          <w:noProof/>
          <w:sz w:val="22"/>
          <w:szCs w:val="22"/>
          <w:lang w:eastAsia="en-AU"/>
        </w:rPr>
      </w:pPr>
      <w:hyperlink w:anchor="_Toc431828761" w:history="1">
        <w:r w:rsidR="00090E4C" w:rsidRPr="00767ABE">
          <w:rPr>
            <w:rStyle w:val="Hyperlink"/>
            <w:noProof/>
          </w:rPr>
          <w:t>3.3.</w:t>
        </w:r>
        <w:r w:rsidR="00090E4C">
          <w:rPr>
            <w:rFonts w:asciiTheme="minorHAnsi" w:eastAsiaTheme="minorEastAsia" w:hAnsiTheme="minorHAnsi" w:cstheme="minorBidi"/>
            <w:noProof/>
            <w:sz w:val="22"/>
            <w:szCs w:val="22"/>
            <w:lang w:eastAsia="en-AU"/>
          </w:rPr>
          <w:tab/>
        </w:r>
        <w:r w:rsidR="00090E4C" w:rsidRPr="00767ABE">
          <w:rPr>
            <w:rStyle w:val="Hyperlink"/>
            <w:noProof/>
          </w:rPr>
          <w:t>The Marginalised</w:t>
        </w:r>
        <w:r w:rsidR="00090E4C">
          <w:rPr>
            <w:noProof/>
            <w:webHidden/>
          </w:rPr>
          <w:tab/>
        </w:r>
        <w:r w:rsidR="00090E4C">
          <w:rPr>
            <w:noProof/>
            <w:webHidden/>
          </w:rPr>
          <w:fldChar w:fldCharType="begin"/>
        </w:r>
        <w:r w:rsidR="00090E4C">
          <w:rPr>
            <w:noProof/>
            <w:webHidden/>
          </w:rPr>
          <w:instrText xml:space="preserve"> PAGEREF _Toc431828761 \h </w:instrText>
        </w:r>
        <w:r w:rsidR="00090E4C">
          <w:rPr>
            <w:noProof/>
            <w:webHidden/>
          </w:rPr>
        </w:r>
        <w:r w:rsidR="00090E4C">
          <w:rPr>
            <w:noProof/>
            <w:webHidden/>
          </w:rPr>
          <w:fldChar w:fldCharType="separate"/>
        </w:r>
        <w:r w:rsidR="00A8459C">
          <w:rPr>
            <w:noProof/>
            <w:webHidden/>
          </w:rPr>
          <w:t>11</w:t>
        </w:r>
        <w:r w:rsidR="00090E4C">
          <w:rPr>
            <w:noProof/>
            <w:webHidden/>
          </w:rPr>
          <w:fldChar w:fldCharType="end"/>
        </w:r>
      </w:hyperlink>
    </w:p>
    <w:p w:rsidR="00090E4C" w:rsidRDefault="008E23A0">
      <w:pPr>
        <w:pStyle w:val="TOC1"/>
        <w:rPr>
          <w:rFonts w:asciiTheme="minorHAnsi" w:eastAsiaTheme="minorEastAsia" w:hAnsiTheme="minorHAnsi" w:cstheme="minorBidi"/>
          <w:bCs w:val="0"/>
          <w:color w:val="auto"/>
          <w:sz w:val="22"/>
          <w:szCs w:val="22"/>
          <w:lang w:eastAsia="en-AU"/>
        </w:rPr>
      </w:pPr>
      <w:hyperlink w:anchor="_Toc431828762" w:history="1">
        <w:r w:rsidR="00090E4C" w:rsidRPr="00767ABE">
          <w:rPr>
            <w:rStyle w:val="Hyperlink"/>
          </w:rPr>
          <w:t>4.</w:t>
        </w:r>
        <w:r w:rsidR="00090E4C">
          <w:rPr>
            <w:rFonts w:asciiTheme="minorHAnsi" w:eastAsiaTheme="minorEastAsia" w:hAnsiTheme="minorHAnsi" w:cstheme="minorBidi"/>
            <w:bCs w:val="0"/>
            <w:color w:val="auto"/>
            <w:sz w:val="22"/>
            <w:szCs w:val="22"/>
            <w:lang w:eastAsia="en-AU"/>
          </w:rPr>
          <w:tab/>
        </w:r>
        <w:r w:rsidR="00090E4C" w:rsidRPr="00767ABE">
          <w:rPr>
            <w:rStyle w:val="Hyperlink"/>
          </w:rPr>
          <w:t>Sustainability  &amp; Innovation</w:t>
        </w:r>
        <w:r w:rsidR="00090E4C">
          <w:rPr>
            <w:webHidden/>
          </w:rPr>
          <w:tab/>
        </w:r>
        <w:r w:rsidR="00090E4C">
          <w:rPr>
            <w:webHidden/>
          </w:rPr>
          <w:fldChar w:fldCharType="begin"/>
        </w:r>
        <w:r w:rsidR="00090E4C">
          <w:rPr>
            <w:webHidden/>
          </w:rPr>
          <w:instrText xml:space="preserve"> PAGEREF _Toc431828762 \h </w:instrText>
        </w:r>
        <w:r w:rsidR="00090E4C">
          <w:rPr>
            <w:webHidden/>
          </w:rPr>
        </w:r>
        <w:r w:rsidR="00090E4C">
          <w:rPr>
            <w:webHidden/>
          </w:rPr>
          <w:fldChar w:fldCharType="separate"/>
        </w:r>
        <w:r w:rsidR="00A8459C">
          <w:rPr>
            <w:webHidden/>
          </w:rPr>
          <w:t>13</w:t>
        </w:r>
        <w:r w:rsidR="00090E4C">
          <w:rPr>
            <w:webHidden/>
          </w:rPr>
          <w:fldChar w:fldCharType="end"/>
        </w:r>
      </w:hyperlink>
    </w:p>
    <w:p w:rsidR="00090E4C" w:rsidRDefault="008E23A0">
      <w:pPr>
        <w:pStyle w:val="TOC2"/>
        <w:rPr>
          <w:rFonts w:asciiTheme="minorHAnsi" w:eastAsiaTheme="minorEastAsia" w:hAnsiTheme="minorHAnsi" w:cstheme="minorBidi"/>
          <w:noProof/>
          <w:sz w:val="22"/>
          <w:szCs w:val="22"/>
          <w:lang w:eastAsia="en-AU"/>
        </w:rPr>
      </w:pPr>
      <w:hyperlink w:anchor="_Toc431828763" w:history="1">
        <w:r w:rsidR="00090E4C" w:rsidRPr="00767ABE">
          <w:rPr>
            <w:rStyle w:val="Hyperlink"/>
            <w:noProof/>
          </w:rPr>
          <w:t>4.1.</w:t>
        </w:r>
        <w:r w:rsidR="00090E4C">
          <w:rPr>
            <w:rFonts w:asciiTheme="minorHAnsi" w:eastAsiaTheme="minorEastAsia" w:hAnsiTheme="minorHAnsi" w:cstheme="minorBidi"/>
            <w:noProof/>
            <w:sz w:val="22"/>
            <w:szCs w:val="22"/>
            <w:lang w:eastAsia="en-AU"/>
          </w:rPr>
          <w:tab/>
        </w:r>
        <w:r w:rsidR="00090E4C" w:rsidRPr="00767ABE">
          <w:rPr>
            <w:rStyle w:val="Hyperlink"/>
            <w:noProof/>
          </w:rPr>
          <w:t>Sustainability of the sector</w:t>
        </w:r>
        <w:r w:rsidR="00090E4C">
          <w:rPr>
            <w:noProof/>
            <w:webHidden/>
          </w:rPr>
          <w:tab/>
        </w:r>
        <w:r w:rsidR="00090E4C">
          <w:rPr>
            <w:noProof/>
            <w:webHidden/>
          </w:rPr>
          <w:fldChar w:fldCharType="begin"/>
        </w:r>
        <w:r w:rsidR="00090E4C">
          <w:rPr>
            <w:noProof/>
            <w:webHidden/>
          </w:rPr>
          <w:instrText xml:space="preserve"> PAGEREF _Toc431828763 \h </w:instrText>
        </w:r>
        <w:r w:rsidR="00090E4C">
          <w:rPr>
            <w:noProof/>
            <w:webHidden/>
          </w:rPr>
        </w:r>
        <w:r w:rsidR="00090E4C">
          <w:rPr>
            <w:noProof/>
            <w:webHidden/>
          </w:rPr>
          <w:fldChar w:fldCharType="separate"/>
        </w:r>
        <w:r w:rsidR="00A8459C">
          <w:rPr>
            <w:noProof/>
            <w:webHidden/>
          </w:rPr>
          <w:t>13</w:t>
        </w:r>
        <w:r w:rsidR="00090E4C">
          <w:rPr>
            <w:noProof/>
            <w:webHidden/>
          </w:rPr>
          <w:fldChar w:fldCharType="end"/>
        </w:r>
      </w:hyperlink>
    </w:p>
    <w:p w:rsidR="00090E4C" w:rsidRDefault="008E23A0">
      <w:pPr>
        <w:pStyle w:val="TOC2"/>
        <w:rPr>
          <w:rFonts w:asciiTheme="minorHAnsi" w:eastAsiaTheme="minorEastAsia" w:hAnsiTheme="minorHAnsi" w:cstheme="minorBidi"/>
          <w:noProof/>
          <w:sz w:val="22"/>
          <w:szCs w:val="22"/>
          <w:lang w:eastAsia="en-AU"/>
        </w:rPr>
      </w:pPr>
      <w:hyperlink w:anchor="_Toc431828764" w:history="1">
        <w:r w:rsidR="00090E4C" w:rsidRPr="00767ABE">
          <w:rPr>
            <w:rStyle w:val="Hyperlink"/>
            <w:noProof/>
          </w:rPr>
          <w:t>4.2.</w:t>
        </w:r>
        <w:r w:rsidR="00090E4C">
          <w:rPr>
            <w:rFonts w:asciiTheme="minorHAnsi" w:eastAsiaTheme="minorEastAsia" w:hAnsiTheme="minorHAnsi" w:cstheme="minorBidi"/>
            <w:noProof/>
            <w:sz w:val="22"/>
            <w:szCs w:val="22"/>
            <w:lang w:eastAsia="en-AU"/>
          </w:rPr>
          <w:tab/>
        </w:r>
        <w:r w:rsidR="00090E4C" w:rsidRPr="00767ABE">
          <w:rPr>
            <w:rStyle w:val="Hyperlink"/>
            <w:noProof/>
          </w:rPr>
          <w:t>Sustainability of the project benefits</w:t>
        </w:r>
        <w:r w:rsidR="00090E4C">
          <w:rPr>
            <w:noProof/>
            <w:webHidden/>
          </w:rPr>
          <w:tab/>
        </w:r>
        <w:r w:rsidR="00090E4C">
          <w:rPr>
            <w:noProof/>
            <w:webHidden/>
          </w:rPr>
          <w:fldChar w:fldCharType="begin"/>
        </w:r>
        <w:r w:rsidR="00090E4C">
          <w:rPr>
            <w:noProof/>
            <w:webHidden/>
          </w:rPr>
          <w:instrText xml:space="preserve"> PAGEREF _Toc431828764 \h </w:instrText>
        </w:r>
        <w:r w:rsidR="00090E4C">
          <w:rPr>
            <w:noProof/>
            <w:webHidden/>
          </w:rPr>
        </w:r>
        <w:r w:rsidR="00090E4C">
          <w:rPr>
            <w:noProof/>
            <w:webHidden/>
          </w:rPr>
          <w:fldChar w:fldCharType="separate"/>
        </w:r>
        <w:r w:rsidR="00A8459C">
          <w:rPr>
            <w:noProof/>
            <w:webHidden/>
          </w:rPr>
          <w:t>13</w:t>
        </w:r>
        <w:r w:rsidR="00090E4C">
          <w:rPr>
            <w:noProof/>
            <w:webHidden/>
          </w:rPr>
          <w:fldChar w:fldCharType="end"/>
        </w:r>
      </w:hyperlink>
    </w:p>
    <w:p w:rsidR="00090E4C" w:rsidRDefault="008E23A0">
      <w:pPr>
        <w:pStyle w:val="TOC2"/>
        <w:rPr>
          <w:rFonts w:asciiTheme="minorHAnsi" w:eastAsiaTheme="minorEastAsia" w:hAnsiTheme="minorHAnsi" w:cstheme="minorBidi"/>
          <w:noProof/>
          <w:sz w:val="22"/>
          <w:szCs w:val="22"/>
          <w:lang w:eastAsia="en-AU"/>
        </w:rPr>
      </w:pPr>
      <w:hyperlink w:anchor="_Toc431828765" w:history="1">
        <w:r w:rsidR="00090E4C" w:rsidRPr="00767ABE">
          <w:rPr>
            <w:rStyle w:val="Hyperlink"/>
            <w:noProof/>
          </w:rPr>
          <w:t>4.3.</w:t>
        </w:r>
        <w:r w:rsidR="00090E4C">
          <w:rPr>
            <w:rFonts w:asciiTheme="minorHAnsi" w:eastAsiaTheme="minorEastAsia" w:hAnsiTheme="minorHAnsi" w:cstheme="minorBidi"/>
            <w:noProof/>
            <w:sz w:val="22"/>
            <w:szCs w:val="22"/>
            <w:lang w:eastAsia="en-AU"/>
          </w:rPr>
          <w:tab/>
        </w:r>
        <w:r w:rsidR="00090E4C" w:rsidRPr="00767ABE">
          <w:rPr>
            <w:rStyle w:val="Hyperlink"/>
            <w:noProof/>
          </w:rPr>
          <w:t>Innovation</w:t>
        </w:r>
        <w:r w:rsidR="00090E4C">
          <w:rPr>
            <w:noProof/>
            <w:webHidden/>
          </w:rPr>
          <w:tab/>
        </w:r>
        <w:r w:rsidR="00090E4C">
          <w:rPr>
            <w:noProof/>
            <w:webHidden/>
          </w:rPr>
          <w:fldChar w:fldCharType="begin"/>
        </w:r>
        <w:r w:rsidR="00090E4C">
          <w:rPr>
            <w:noProof/>
            <w:webHidden/>
          </w:rPr>
          <w:instrText xml:space="preserve"> PAGEREF _Toc431828765 \h </w:instrText>
        </w:r>
        <w:r w:rsidR="00090E4C">
          <w:rPr>
            <w:noProof/>
            <w:webHidden/>
          </w:rPr>
        </w:r>
        <w:r w:rsidR="00090E4C">
          <w:rPr>
            <w:noProof/>
            <w:webHidden/>
          </w:rPr>
          <w:fldChar w:fldCharType="separate"/>
        </w:r>
        <w:r w:rsidR="00A8459C">
          <w:rPr>
            <w:noProof/>
            <w:webHidden/>
          </w:rPr>
          <w:t>14</w:t>
        </w:r>
        <w:r w:rsidR="00090E4C">
          <w:rPr>
            <w:noProof/>
            <w:webHidden/>
          </w:rPr>
          <w:fldChar w:fldCharType="end"/>
        </w:r>
      </w:hyperlink>
    </w:p>
    <w:p w:rsidR="00090E4C" w:rsidRDefault="008E23A0">
      <w:pPr>
        <w:pStyle w:val="TOC1"/>
        <w:rPr>
          <w:rFonts w:asciiTheme="minorHAnsi" w:eastAsiaTheme="minorEastAsia" w:hAnsiTheme="minorHAnsi" w:cstheme="minorBidi"/>
          <w:bCs w:val="0"/>
          <w:color w:val="auto"/>
          <w:sz w:val="22"/>
          <w:szCs w:val="22"/>
          <w:lang w:eastAsia="en-AU"/>
        </w:rPr>
      </w:pPr>
      <w:hyperlink w:anchor="_Toc431828766" w:history="1">
        <w:r w:rsidR="00090E4C" w:rsidRPr="00767ABE">
          <w:rPr>
            <w:rStyle w:val="Hyperlink"/>
          </w:rPr>
          <w:t>5.</w:t>
        </w:r>
        <w:r w:rsidR="00090E4C">
          <w:rPr>
            <w:rFonts w:asciiTheme="minorHAnsi" w:eastAsiaTheme="minorEastAsia" w:hAnsiTheme="minorHAnsi" w:cstheme="minorBidi"/>
            <w:bCs w:val="0"/>
            <w:color w:val="auto"/>
            <w:sz w:val="22"/>
            <w:szCs w:val="22"/>
            <w:lang w:eastAsia="en-AU"/>
          </w:rPr>
          <w:tab/>
        </w:r>
        <w:r w:rsidR="00090E4C" w:rsidRPr="00767ABE">
          <w:rPr>
            <w:rStyle w:val="Hyperlink"/>
          </w:rPr>
          <w:t>Efficiency</w:t>
        </w:r>
        <w:r w:rsidR="00090E4C">
          <w:rPr>
            <w:webHidden/>
          </w:rPr>
          <w:tab/>
        </w:r>
        <w:r w:rsidR="00090E4C">
          <w:rPr>
            <w:webHidden/>
          </w:rPr>
          <w:fldChar w:fldCharType="begin"/>
        </w:r>
        <w:r w:rsidR="00090E4C">
          <w:rPr>
            <w:webHidden/>
          </w:rPr>
          <w:instrText xml:space="preserve"> PAGEREF _Toc431828766 \h </w:instrText>
        </w:r>
        <w:r w:rsidR="00090E4C">
          <w:rPr>
            <w:webHidden/>
          </w:rPr>
        </w:r>
        <w:r w:rsidR="00090E4C">
          <w:rPr>
            <w:webHidden/>
          </w:rPr>
          <w:fldChar w:fldCharType="separate"/>
        </w:r>
        <w:r w:rsidR="00A8459C">
          <w:rPr>
            <w:webHidden/>
          </w:rPr>
          <w:t>15</w:t>
        </w:r>
        <w:r w:rsidR="00090E4C">
          <w:rPr>
            <w:webHidden/>
          </w:rPr>
          <w:fldChar w:fldCharType="end"/>
        </w:r>
      </w:hyperlink>
    </w:p>
    <w:p w:rsidR="00090E4C" w:rsidRDefault="008E23A0">
      <w:pPr>
        <w:pStyle w:val="TOC2"/>
        <w:rPr>
          <w:rFonts w:asciiTheme="minorHAnsi" w:eastAsiaTheme="minorEastAsia" w:hAnsiTheme="minorHAnsi" w:cstheme="minorBidi"/>
          <w:noProof/>
          <w:sz w:val="22"/>
          <w:szCs w:val="22"/>
          <w:lang w:eastAsia="en-AU"/>
        </w:rPr>
      </w:pPr>
      <w:hyperlink w:anchor="_Toc431828767" w:history="1">
        <w:r w:rsidR="00090E4C" w:rsidRPr="00767ABE">
          <w:rPr>
            <w:rStyle w:val="Hyperlink"/>
            <w:noProof/>
          </w:rPr>
          <w:t>5.1.</w:t>
        </w:r>
        <w:r w:rsidR="00090E4C">
          <w:rPr>
            <w:rFonts w:asciiTheme="minorHAnsi" w:eastAsiaTheme="minorEastAsia" w:hAnsiTheme="minorHAnsi" w:cstheme="minorBidi"/>
            <w:noProof/>
            <w:sz w:val="22"/>
            <w:szCs w:val="22"/>
            <w:lang w:eastAsia="en-AU"/>
          </w:rPr>
          <w:tab/>
        </w:r>
        <w:r w:rsidR="00090E4C" w:rsidRPr="00767ABE">
          <w:rPr>
            <w:rStyle w:val="Hyperlink"/>
            <w:noProof/>
          </w:rPr>
          <w:t>Contractual matters</w:t>
        </w:r>
        <w:r w:rsidR="00090E4C">
          <w:rPr>
            <w:noProof/>
            <w:webHidden/>
          </w:rPr>
          <w:tab/>
        </w:r>
        <w:r w:rsidR="00090E4C">
          <w:rPr>
            <w:noProof/>
            <w:webHidden/>
          </w:rPr>
          <w:fldChar w:fldCharType="begin"/>
        </w:r>
        <w:r w:rsidR="00090E4C">
          <w:rPr>
            <w:noProof/>
            <w:webHidden/>
          </w:rPr>
          <w:instrText xml:space="preserve"> PAGEREF _Toc431828767 \h </w:instrText>
        </w:r>
        <w:r w:rsidR="00090E4C">
          <w:rPr>
            <w:noProof/>
            <w:webHidden/>
          </w:rPr>
        </w:r>
        <w:r w:rsidR="00090E4C">
          <w:rPr>
            <w:noProof/>
            <w:webHidden/>
          </w:rPr>
          <w:fldChar w:fldCharType="separate"/>
        </w:r>
        <w:r w:rsidR="00A8459C">
          <w:rPr>
            <w:noProof/>
            <w:webHidden/>
          </w:rPr>
          <w:t>15</w:t>
        </w:r>
        <w:r w:rsidR="00090E4C">
          <w:rPr>
            <w:noProof/>
            <w:webHidden/>
          </w:rPr>
          <w:fldChar w:fldCharType="end"/>
        </w:r>
      </w:hyperlink>
    </w:p>
    <w:p w:rsidR="00090E4C" w:rsidRDefault="008E23A0">
      <w:pPr>
        <w:pStyle w:val="TOC2"/>
        <w:rPr>
          <w:rFonts w:asciiTheme="minorHAnsi" w:eastAsiaTheme="minorEastAsia" w:hAnsiTheme="minorHAnsi" w:cstheme="minorBidi"/>
          <w:noProof/>
          <w:sz w:val="22"/>
          <w:szCs w:val="22"/>
          <w:lang w:eastAsia="en-AU"/>
        </w:rPr>
      </w:pPr>
      <w:hyperlink w:anchor="_Toc431828768" w:history="1">
        <w:r w:rsidR="00090E4C" w:rsidRPr="00767ABE">
          <w:rPr>
            <w:rStyle w:val="Hyperlink"/>
            <w:noProof/>
          </w:rPr>
          <w:t>5.2.</w:t>
        </w:r>
        <w:r w:rsidR="00090E4C">
          <w:rPr>
            <w:rFonts w:asciiTheme="minorHAnsi" w:eastAsiaTheme="minorEastAsia" w:hAnsiTheme="minorHAnsi" w:cstheme="minorBidi"/>
            <w:noProof/>
            <w:sz w:val="22"/>
            <w:szCs w:val="22"/>
            <w:lang w:eastAsia="en-AU"/>
          </w:rPr>
          <w:tab/>
        </w:r>
        <w:r w:rsidR="00090E4C" w:rsidRPr="00767ABE">
          <w:rPr>
            <w:rStyle w:val="Hyperlink"/>
            <w:noProof/>
          </w:rPr>
          <w:t>SLJS Management</w:t>
        </w:r>
        <w:r w:rsidR="00090E4C">
          <w:rPr>
            <w:noProof/>
            <w:webHidden/>
          </w:rPr>
          <w:tab/>
        </w:r>
        <w:r w:rsidR="00090E4C">
          <w:rPr>
            <w:noProof/>
            <w:webHidden/>
          </w:rPr>
          <w:fldChar w:fldCharType="begin"/>
        </w:r>
        <w:r w:rsidR="00090E4C">
          <w:rPr>
            <w:noProof/>
            <w:webHidden/>
          </w:rPr>
          <w:instrText xml:space="preserve"> PAGEREF _Toc431828768 \h </w:instrText>
        </w:r>
        <w:r w:rsidR="00090E4C">
          <w:rPr>
            <w:noProof/>
            <w:webHidden/>
          </w:rPr>
        </w:r>
        <w:r w:rsidR="00090E4C">
          <w:rPr>
            <w:noProof/>
            <w:webHidden/>
          </w:rPr>
          <w:fldChar w:fldCharType="separate"/>
        </w:r>
        <w:r w:rsidR="00A8459C">
          <w:rPr>
            <w:noProof/>
            <w:webHidden/>
          </w:rPr>
          <w:t>17</w:t>
        </w:r>
        <w:r w:rsidR="00090E4C">
          <w:rPr>
            <w:noProof/>
            <w:webHidden/>
          </w:rPr>
          <w:fldChar w:fldCharType="end"/>
        </w:r>
      </w:hyperlink>
    </w:p>
    <w:p w:rsidR="00090E4C" w:rsidRDefault="008E23A0">
      <w:pPr>
        <w:pStyle w:val="TOC2"/>
        <w:rPr>
          <w:rFonts w:asciiTheme="minorHAnsi" w:eastAsiaTheme="minorEastAsia" w:hAnsiTheme="minorHAnsi" w:cstheme="minorBidi"/>
          <w:noProof/>
          <w:sz w:val="22"/>
          <w:szCs w:val="22"/>
          <w:lang w:eastAsia="en-AU"/>
        </w:rPr>
      </w:pPr>
      <w:hyperlink w:anchor="_Toc431828770" w:history="1">
        <w:r w:rsidR="00090E4C" w:rsidRPr="00767ABE">
          <w:rPr>
            <w:rStyle w:val="Hyperlink"/>
            <w:noProof/>
          </w:rPr>
          <w:t>5.3.</w:t>
        </w:r>
        <w:r w:rsidR="00090E4C">
          <w:rPr>
            <w:rFonts w:asciiTheme="minorHAnsi" w:eastAsiaTheme="minorEastAsia" w:hAnsiTheme="minorHAnsi" w:cstheme="minorBidi"/>
            <w:noProof/>
            <w:sz w:val="22"/>
            <w:szCs w:val="22"/>
            <w:lang w:eastAsia="en-AU"/>
          </w:rPr>
          <w:tab/>
        </w:r>
        <w:r w:rsidR="00090E4C" w:rsidRPr="00767ABE">
          <w:rPr>
            <w:rStyle w:val="Hyperlink"/>
            <w:noProof/>
          </w:rPr>
          <w:t>Projects</w:t>
        </w:r>
        <w:r w:rsidR="00090E4C">
          <w:rPr>
            <w:noProof/>
            <w:webHidden/>
          </w:rPr>
          <w:tab/>
        </w:r>
        <w:r w:rsidR="00090E4C">
          <w:rPr>
            <w:noProof/>
            <w:webHidden/>
          </w:rPr>
          <w:fldChar w:fldCharType="begin"/>
        </w:r>
        <w:r w:rsidR="00090E4C">
          <w:rPr>
            <w:noProof/>
            <w:webHidden/>
          </w:rPr>
          <w:instrText xml:space="preserve"> PAGEREF _Toc431828770 \h </w:instrText>
        </w:r>
        <w:r w:rsidR="00090E4C">
          <w:rPr>
            <w:noProof/>
            <w:webHidden/>
          </w:rPr>
        </w:r>
        <w:r w:rsidR="00090E4C">
          <w:rPr>
            <w:noProof/>
            <w:webHidden/>
          </w:rPr>
          <w:fldChar w:fldCharType="separate"/>
        </w:r>
        <w:r w:rsidR="00A8459C">
          <w:rPr>
            <w:noProof/>
            <w:webHidden/>
          </w:rPr>
          <w:t>18</w:t>
        </w:r>
        <w:r w:rsidR="00090E4C">
          <w:rPr>
            <w:noProof/>
            <w:webHidden/>
          </w:rPr>
          <w:fldChar w:fldCharType="end"/>
        </w:r>
      </w:hyperlink>
    </w:p>
    <w:p w:rsidR="00090E4C" w:rsidRDefault="008E23A0">
      <w:pPr>
        <w:pStyle w:val="TOC1"/>
        <w:rPr>
          <w:rFonts w:asciiTheme="minorHAnsi" w:eastAsiaTheme="minorEastAsia" w:hAnsiTheme="minorHAnsi" w:cstheme="minorBidi"/>
          <w:bCs w:val="0"/>
          <w:color w:val="auto"/>
          <w:sz w:val="22"/>
          <w:szCs w:val="22"/>
          <w:lang w:eastAsia="en-AU"/>
        </w:rPr>
      </w:pPr>
      <w:hyperlink w:anchor="_Toc431828779" w:history="1">
        <w:r w:rsidR="00090E4C" w:rsidRPr="00767ABE">
          <w:rPr>
            <w:rStyle w:val="Hyperlink"/>
          </w:rPr>
          <w:t>6.</w:t>
        </w:r>
        <w:r w:rsidR="00090E4C">
          <w:rPr>
            <w:rFonts w:asciiTheme="minorHAnsi" w:eastAsiaTheme="minorEastAsia" w:hAnsiTheme="minorHAnsi" w:cstheme="minorBidi"/>
            <w:bCs w:val="0"/>
            <w:color w:val="auto"/>
            <w:sz w:val="22"/>
            <w:szCs w:val="22"/>
            <w:lang w:eastAsia="en-AU"/>
          </w:rPr>
          <w:tab/>
        </w:r>
        <w:r w:rsidR="00090E4C" w:rsidRPr="00767ABE">
          <w:rPr>
            <w:rStyle w:val="Hyperlink"/>
          </w:rPr>
          <w:t>Monitoring &amp; Review</w:t>
        </w:r>
        <w:r w:rsidR="00090E4C">
          <w:rPr>
            <w:webHidden/>
          </w:rPr>
          <w:tab/>
        </w:r>
        <w:r w:rsidR="00090E4C">
          <w:rPr>
            <w:webHidden/>
          </w:rPr>
          <w:fldChar w:fldCharType="begin"/>
        </w:r>
        <w:r w:rsidR="00090E4C">
          <w:rPr>
            <w:webHidden/>
          </w:rPr>
          <w:instrText xml:space="preserve"> PAGEREF _Toc431828779 \h </w:instrText>
        </w:r>
        <w:r w:rsidR="00090E4C">
          <w:rPr>
            <w:webHidden/>
          </w:rPr>
        </w:r>
        <w:r w:rsidR="00090E4C">
          <w:rPr>
            <w:webHidden/>
          </w:rPr>
          <w:fldChar w:fldCharType="separate"/>
        </w:r>
        <w:r w:rsidR="00A8459C">
          <w:rPr>
            <w:webHidden/>
          </w:rPr>
          <w:t>20</w:t>
        </w:r>
        <w:r w:rsidR="00090E4C">
          <w:rPr>
            <w:webHidden/>
          </w:rPr>
          <w:fldChar w:fldCharType="end"/>
        </w:r>
      </w:hyperlink>
    </w:p>
    <w:p w:rsidR="00090E4C" w:rsidRDefault="008E23A0">
      <w:pPr>
        <w:pStyle w:val="TOC2"/>
        <w:rPr>
          <w:rFonts w:asciiTheme="minorHAnsi" w:eastAsiaTheme="minorEastAsia" w:hAnsiTheme="minorHAnsi" w:cstheme="minorBidi"/>
          <w:noProof/>
          <w:sz w:val="22"/>
          <w:szCs w:val="22"/>
          <w:lang w:eastAsia="en-AU"/>
        </w:rPr>
      </w:pPr>
      <w:hyperlink w:anchor="_Toc431828780" w:history="1">
        <w:r w:rsidR="00090E4C" w:rsidRPr="00767ABE">
          <w:rPr>
            <w:rStyle w:val="Hyperlink"/>
            <w:noProof/>
          </w:rPr>
          <w:t>6.1.</w:t>
        </w:r>
        <w:r w:rsidR="00090E4C">
          <w:rPr>
            <w:rFonts w:asciiTheme="minorHAnsi" w:eastAsiaTheme="minorEastAsia" w:hAnsiTheme="minorHAnsi" w:cstheme="minorBidi"/>
            <w:noProof/>
            <w:sz w:val="22"/>
            <w:szCs w:val="22"/>
            <w:lang w:eastAsia="en-AU"/>
          </w:rPr>
          <w:tab/>
        </w:r>
        <w:r w:rsidR="00090E4C" w:rsidRPr="00767ABE">
          <w:rPr>
            <w:rStyle w:val="Hyperlink"/>
            <w:noProof/>
          </w:rPr>
          <w:t>Partnership indicators</w:t>
        </w:r>
        <w:r w:rsidR="00090E4C">
          <w:rPr>
            <w:noProof/>
            <w:webHidden/>
          </w:rPr>
          <w:tab/>
        </w:r>
        <w:r w:rsidR="00090E4C">
          <w:rPr>
            <w:noProof/>
            <w:webHidden/>
          </w:rPr>
          <w:fldChar w:fldCharType="begin"/>
        </w:r>
        <w:r w:rsidR="00090E4C">
          <w:rPr>
            <w:noProof/>
            <w:webHidden/>
          </w:rPr>
          <w:instrText xml:space="preserve"> PAGEREF _Toc431828780 \h </w:instrText>
        </w:r>
        <w:r w:rsidR="00090E4C">
          <w:rPr>
            <w:noProof/>
            <w:webHidden/>
          </w:rPr>
        </w:r>
        <w:r w:rsidR="00090E4C">
          <w:rPr>
            <w:noProof/>
            <w:webHidden/>
          </w:rPr>
          <w:fldChar w:fldCharType="separate"/>
        </w:r>
        <w:r w:rsidR="00A8459C">
          <w:rPr>
            <w:noProof/>
            <w:webHidden/>
          </w:rPr>
          <w:t>20</w:t>
        </w:r>
        <w:r w:rsidR="00090E4C">
          <w:rPr>
            <w:noProof/>
            <w:webHidden/>
          </w:rPr>
          <w:fldChar w:fldCharType="end"/>
        </w:r>
      </w:hyperlink>
    </w:p>
    <w:p w:rsidR="00090E4C" w:rsidRDefault="008E23A0">
      <w:pPr>
        <w:pStyle w:val="TOC2"/>
        <w:rPr>
          <w:rFonts w:asciiTheme="minorHAnsi" w:eastAsiaTheme="minorEastAsia" w:hAnsiTheme="minorHAnsi" w:cstheme="minorBidi"/>
          <w:noProof/>
          <w:sz w:val="22"/>
          <w:szCs w:val="22"/>
          <w:lang w:eastAsia="en-AU"/>
        </w:rPr>
      </w:pPr>
      <w:hyperlink w:anchor="_Toc431828781" w:history="1">
        <w:r w:rsidR="00090E4C" w:rsidRPr="00767ABE">
          <w:rPr>
            <w:rStyle w:val="Hyperlink"/>
            <w:noProof/>
          </w:rPr>
          <w:t>6.2.</w:t>
        </w:r>
        <w:r w:rsidR="00090E4C">
          <w:rPr>
            <w:rFonts w:asciiTheme="minorHAnsi" w:eastAsiaTheme="minorEastAsia" w:hAnsiTheme="minorHAnsi" w:cstheme="minorBidi"/>
            <w:noProof/>
            <w:sz w:val="22"/>
            <w:szCs w:val="22"/>
            <w:lang w:eastAsia="en-AU"/>
          </w:rPr>
          <w:tab/>
        </w:r>
        <w:r w:rsidR="00090E4C" w:rsidRPr="00767ABE">
          <w:rPr>
            <w:rStyle w:val="Hyperlink"/>
            <w:noProof/>
          </w:rPr>
          <w:t>Consistency with the ToC</w:t>
        </w:r>
        <w:r w:rsidR="00090E4C">
          <w:rPr>
            <w:noProof/>
            <w:webHidden/>
          </w:rPr>
          <w:tab/>
        </w:r>
        <w:r w:rsidR="00090E4C">
          <w:rPr>
            <w:noProof/>
            <w:webHidden/>
          </w:rPr>
          <w:fldChar w:fldCharType="begin"/>
        </w:r>
        <w:r w:rsidR="00090E4C">
          <w:rPr>
            <w:noProof/>
            <w:webHidden/>
          </w:rPr>
          <w:instrText xml:space="preserve"> PAGEREF _Toc431828781 \h </w:instrText>
        </w:r>
        <w:r w:rsidR="00090E4C">
          <w:rPr>
            <w:noProof/>
            <w:webHidden/>
          </w:rPr>
        </w:r>
        <w:r w:rsidR="00090E4C">
          <w:rPr>
            <w:noProof/>
            <w:webHidden/>
          </w:rPr>
          <w:fldChar w:fldCharType="separate"/>
        </w:r>
        <w:r w:rsidR="00A8459C">
          <w:rPr>
            <w:noProof/>
            <w:webHidden/>
          </w:rPr>
          <w:t>21</w:t>
        </w:r>
        <w:r w:rsidR="00090E4C">
          <w:rPr>
            <w:noProof/>
            <w:webHidden/>
          </w:rPr>
          <w:fldChar w:fldCharType="end"/>
        </w:r>
      </w:hyperlink>
    </w:p>
    <w:p w:rsidR="00090E4C" w:rsidRDefault="008E23A0">
      <w:pPr>
        <w:pStyle w:val="TOC2"/>
        <w:rPr>
          <w:rFonts w:asciiTheme="minorHAnsi" w:eastAsiaTheme="minorEastAsia" w:hAnsiTheme="minorHAnsi" w:cstheme="minorBidi"/>
          <w:noProof/>
          <w:sz w:val="22"/>
          <w:szCs w:val="22"/>
          <w:lang w:eastAsia="en-AU"/>
        </w:rPr>
      </w:pPr>
      <w:hyperlink w:anchor="_Toc431828782" w:history="1">
        <w:r w:rsidR="00090E4C" w:rsidRPr="00767ABE">
          <w:rPr>
            <w:rStyle w:val="Hyperlink"/>
            <w:noProof/>
          </w:rPr>
          <w:t>6.3.</w:t>
        </w:r>
        <w:r w:rsidR="00090E4C">
          <w:rPr>
            <w:rFonts w:asciiTheme="minorHAnsi" w:eastAsiaTheme="minorEastAsia" w:hAnsiTheme="minorHAnsi" w:cstheme="minorBidi"/>
            <w:noProof/>
            <w:sz w:val="22"/>
            <w:szCs w:val="22"/>
            <w:lang w:eastAsia="en-AU"/>
          </w:rPr>
          <w:tab/>
        </w:r>
        <w:r w:rsidR="00090E4C" w:rsidRPr="00767ABE">
          <w:rPr>
            <w:rStyle w:val="Hyperlink"/>
            <w:noProof/>
          </w:rPr>
          <w:t>Monitoring and reporting</w:t>
        </w:r>
        <w:r w:rsidR="00090E4C">
          <w:rPr>
            <w:noProof/>
            <w:webHidden/>
          </w:rPr>
          <w:tab/>
        </w:r>
        <w:r w:rsidR="00090E4C">
          <w:rPr>
            <w:noProof/>
            <w:webHidden/>
          </w:rPr>
          <w:fldChar w:fldCharType="begin"/>
        </w:r>
        <w:r w:rsidR="00090E4C">
          <w:rPr>
            <w:noProof/>
            <w:webHidden/>
          </w:rPr>
          <w:instrText xml:space="preserve"> PAGEREF _Toc431828782 \h </w:instrText>
        </w:r>
        <w:r w:rsidR="00090E4C">
          <w:rPr>
            <w:noProof/>
            <w:webHidden/>
          </w:rPr>
        </w:r>
        <w:r w:rsidR="00090E4C">
          <w:rPr>
            <w:noProof/>
            <w:webHidden/>
          </w:rPr>
          <w:fldChar w:fldCharType="separate"/>
        </w:r>
        <w:r w:rsidR="00A8459C">
          <w:rPr>
            <w:noProof/>
            <w:webHidden/>
          </w:rPr>
          <w:t>21</w:t>
        </w:r>
        <w:r w:rsidR="00090E4C">
          <w:rPr>
            <w:noProof/>
            <w:webHidden/>
          </w:rPr>
          <w:fldChar w:fldCharType="end"/>
        </w:r>
      </w:hyperlink>
    </w:p>
    <w:p w:rsidR="00090E4C" w:rsidRDefault="008E23A0">
      <w:pPr>
        <w:pStyle w:val="TOC2"/>
        <w:rPr>
          <w:rFonts w:asciiTheme="minorHAnsi" w:eastAsiaTheme="minorEastAsia" w:hAnsiTheme="minorHAnsi" w:cstheme="minorBidi"/>
          <w:noProof/>
          <w:sz w:val="22"/>
          <w:szCs w:val="22"/>
          <w:lang w:eastAsia="en-AU"/>
        </w:rPr>
      </w:pPr>
      <w:hyperlink w:anchor="_Toc431828783" w:history="1">
        <w:r w:rsidR="00090E4C" w:rsidRPr="00767ABE">
          <w:rPr>
            <w:rStyle w:val="Hyperlink"/>
            <w:noProof/>
          </w:rPr>
          <w:t>6.4.</w:t>
        </w:r>
        <w:r w:rsidR="00090E4C">
          <w:rPr>
            <w:rFonts w:asciiTheme="minorHAnsi" w:eastAsiaTheme="minorEastAsia" w:hAnsiTheme="minorHAnsi" w:cstheme="minorBidi"/>
            <w:noProof/>
            <w:sz w:val="22"/>
            <w:szCs w:val="22"/>
            <w:lang w:eastAsia="en-AU"/>
          </w:rPr>
          <w:tab/>
        </w:r>
        <w:r w:rsidR="00090E4C" w:rsidRPr="00767ABE">
          <w:rPr>
            <w:rStyle w:val="Hyperlink"/>
            <w:noProof/>
          </w:rPr>
          <w:t>Risk management</w:t>
        </w:r>
        <w:r w:rsidR="00090E4C">
          <w:rPr>
            <w:noProof/>
            <w:webHidden/>
          </w:rPr>
          <w:tab/>
        </w:r>
        <w:r w:rsidR="00090E4C">
          <w:rPr>
            <w:noProof/>
            <w:webHidden/>
          </w:rPr>
          <w:fldChar w:fldCharType="begin"/>
        </w:r>
        <w:r w:rsidR="00090E4C">
          <w:rPr>
            <w:noProof/>
            <w:webHidden/>
          </w:rPr>
          <w:instrText xml:space="preserve"> PAGEREF _Toc431828783 \h </w:instrText>
        </w:r>
        <w:r w:rsidR="00090E4C">
          <w:rPr>
            <w:noProof/>
            <w:webHidden/>
          </w:rPr>
        </w:r>
        <w:r w:rsidR="00090E4C">
          <w:rPr>
            <w:noProof/>
            <w:webHidden/>
          </w:rPr>
          <w:fldChar w:fldCharType="separate"/>
        </w:r>
        <w:r w:rsidR="00A8459C">
          <w:rPr>
            <w:noProof/>
            <w:webHidden/>
          </w:rPr>
          <w:t>21</w:t>
        </w:r>
        <w:r w:rsidR="00090E4C">
          <w:rPr>
            <w:noProof/>
            <w:webHidden/>
          </w:rPr>
          <w:fldChar w:fldCharType="end"/>
        </w:r>
      </w:hyperlink>
    </w:p>
    <w:p w:rsidR="00090E4C" w:rsidRDefault="008E23A0">
      <w:pPr>
        <w:pStyle w:val="TOC2"/>
        <w:rPr>
          <w:rFonts w:asciiTheme="minorHAnsi" w:eastAsiaTheme="minorEastAsia" w:hAnsiTheme="minorHAnsi" w:cstheme="minorBidi"/>
          <w:noProof/>
          <w:sz w:val="22"/>
          <w:szCs w:val="22"/>
          <w:lang w:eastAsia="en-AU"/>
        </w:rPr>
      </w:pPr>
      <w:hyperlink w:anchor="_Toc431828784" w:history="1">
        <w:r w:rsidR="00090E4C" w:rsidRPr="00767ABE">
          <w:rPr>
            <w:rStyle w:val="Hyperlink"/>
            <w:noProof/>
          </w:rPr>
          <w:t>6.5.</w:t>
        </w:r>
        <w:r w:rsidR="00090E4C">
          <w:rPr>
            <w:rFonts w:asciiTheme="minorHAnsi" w:eastAsiaTheme="minorEastAsia" w:hAnsiTheme="minorHAnsi" w:cstheme="minorBidi"/>
            <w:noProof/>
            <w:sz w:val="22"/>
            <w:szCs w:val="22"/>
            <w:lang w:eastAsia="en-AU"/>
          </w:rPr>
          <w:tab/>
        </w:r>
        <w:r w:rsidR="001612B4">
          <w:rPr>
            <w:rStyle w:val="Hyperlink"/>
            <w:noProof/>
          </w:rPr>
          <w:t>Australian Government representative</w:t>
        </w:r>
        <w:r w:rsidR="00090E4C" w:rsidRPr="00767ABE">
          <w:rPr>
            <w:rStyle w:val="Hyperlink"/>
            <w:noProof/>
          </w:rPr>
          <w:t xml:space="preserve"> and Steering Committee capacity</w:t>
        </w:r>
        <w:r w:rsidR="00090E4C">
          <w:rPr>
            <w:noProof/>
            <w:webHidden/>
          </w:rPr>
          <w:tab/>
        </w:r>
        <w:r w:rsidR="00090E4C">
          <w:rPr>
            <w:noProof/>
            <w:webHidden/>
          </w:rPr>
          <w:fldChar w:fldCharType="begin"/>
        </w:r>
        <w:r w:rsidR="00090E4C">
          <w:rPr>
            <w:noProof/>
            <w:webHidden/>
          </w:rPr>
          <w:instrText xml:space="preserve"> PAGEREF _Toc431828784 \h </w:instrText>
        </w:r>
        <w:r w:rsidR="00090E4C">
          <w:rPr>
            <w:noProof/>
            <w:webHidden/>
          </w:rPr>
        </w:r>
        <w:r w:rsidR="00090E4C">
          <w:rPr>
            <w:noProof/>
            <w:webHidden/>
          </w:rPr>
          <w:fldChar w:fldCharType="separate"/>
        </w:r>
        <w:r w:rsidR="00A8459C">
          <w:rPr>
            <w:noProof/>
            <w:webHidden/>
          </w:rPr>
          <w:t>22</w:t>
        </w:r>
        <w:r w:rsidR="00090E4C">
          <w:rPr>
            <w:noProof/>
            <w:webHidden/>
          </w:rPr>
          <w:fldChar w:fldCharType="end"/>
        </w:r>
      </w:hyperlink>
    </w:p>
    <w:p w:rsidR="00090E4C" w:rsidRDefault="008E23A0">
      <w:pPr>
        <w:pStyle w:val="TOC1"/>
        <w:rPr>
          <w:rFonts w:asciiTheme="minorHAnsi" w:eastAsiaTheme="minorEastAsia" w:hAnsiTheme="minorHAnsi" w:cstheme="minorBidi"/>
          <w:bCs w:val="0"/>
          <w:color w:val="auto"/>
          <w:sz w:val="22"/>
          <w:szCs w:val="22"/>
          <w:lang w:eastAsia="en-AU"/>
        </w:rPr>
      </w:pPr>
      <w:hyperlink w:anchor="_Toc431828785" w:history="1">
        <w:r w:rsidR="00090E4C" w:rsidRPr="00767ABE">
          <w:rPr>
            <w:rStyle w:val="Hyperlink"/>
          </w:rPr>
          <w:t>7.</w:t>
        </w:r>
        <w:bookmarkStart w:id="14" w:name="_Toc431223158"/>
        <w:r w:rsidR="00090E4C">
          <w:rPr>
            <w:rFonts w:asciiTheme="minorHAnsi" w:eastAsiaTheme="minorEastAsia" w:hAnsiTheme="minorHAnsi" w:cstheme="minorBidi"/>
            <w:bCs w:val="0"/>
            <w:color w:val="auto"/>
            <w:sz w:val="22"/>
            <w:szCs w:val="22"/>
            <w:lang w:eastAsia="en-AU"/>
          </w:rPr>
          <w:tab/>
        </w:r>
        <w:bookmarkEnd w:id="14"/>
        <w:r w:rsidR="00090E4C" w:rsidRPr="00767ABE">
          <w:rPr>
            <w:rStyle w:val="Hyperlink"/>
            <w:lang w:eastAsia="en-AU"/>
          </w:rPr>
          <w:t>The Future</w:t>
        </w:r>
        <w:r w:rsidR="00090E4C">
          <w:rPr>
            <w:webHidden/>
          </w:rPr>
          <w:tab/>
        </w:r>
        <w:r w:rsidR="00090E4C">
          <w:rPr>
            <w:webHidden/>
          </w:rPr>
          <w:fldChar w:fldCharType="begin"/>
        </w:r>
        <w:r w:rsidR="00090E4C">
          <w:rPr>
            <w:webHidden/>
          </w:rPr>
          <w:instrText xml:space="preserve"> PAGEREF _Toc431828785 \h </w:instrText>
        </w:r>
        <w:r w:rsidR="00090E4C">
          <w:rPr>
            <w:webHidden/>
          </w:rPr>
        </w:r>
        <w:r w:rsidR="00090E4C">
          <w:rPr>
            <w:webHidden/>
          </w:rPr>
          <w:fldChar w:fldCharType="separate"/>
        </w:r>
        <w:r w:rsidR="00A8459C">
          <w:rPr>
            <w:webHidden/>
          </w:rPr>
          <w:t>23</w:t>
        </w:r>
        <w:r w:rsidR="00090E4C">
          <w:rPr>
            <w:webHidden/>
          </w:rPr>
          <w:fldChar w:fldCharType="end"/>
        </w:r>
      </w:hyperlink>
    </w:p>
    <w:p w:rsidR="00090E4C" w:rsidRDefault="008E23A0">
      <w:pPr>
        <w:pStyle w:val="TOC2"/>
        <w:rPr>
          <w:rFonts w:asciiTheme="minorHAnsi" w:eastAsiaTheme="minorEastAsia" w:hAnsiTheme="minorHAnsi" w:cstheme="minorBidi"/>
          <w:noProof/>
          <w:sz w:val="22"/>
          <w:szCs w:val="22"/>
          <w:lang w:eastAsia="en-AU"/>
        </w:rPr>
      </w:pPr>
      <w:hyperlink w:anchor="_Toc431828786" w:history="1">
        <w:r w:rsidR="00090E4C" w:rsidRPr="00767ABE">
          <w:rPr>
            <w:rStyle w:val="Hyperlink"/>
            <w:noProof/>
          </w:rPr>
          <w:t>7.1.</w:t>
        </w:r>
        <w:r w:rsidR="00090E4C">
          <w:rPr>
            <w:rFonts w:asciiTheme="minorHAnsi" w:eastAsiaTheme="minorEastAsia" w:hAnsiTheme="minorHAnsi" w:cstheme="minorBidi"/>
            <w:noProof/>
            <w:sz w:val="22"/>
            <w:szCs w:val="22"/>
            <w:lang w:eastAsia="en-AU"/>
          </w:rPr>
          <w:tab/>
        </w:r>
        <w:r w:rsidR="00090E4C" w:rsidRPr="00767ABE">
          <w:rPr>
            <w:rStyle w:val="Hyperlink"/>
            <w:noProof/>
          </w:rPr>
          <w:t>Lessons Learnt</w:t>
        </w:r>
        <w:r w:rsidR="00090E4C">
          <w:rPr>
            <w:noProof/>
            <w:webHidden/>
          </w:rPr>
          <w:tab/>
        </w:r>
        <w:r w:rsidR="00090E4C">
          <w:rPr>
            <w:noProof/>
            <w:webHidden/>
          </w:rPr>
          <w:fldChar w:fldCharType="begin"/>
        </w:r>
        <w:r w:rsidR="00090E4C">
          <w:rPr>
            <w:noProof/>
            <w:webHidden/>
          </w:rPr>
          <w:instrText xml:space="preserve"> PAGEREF _Toc431828786 \h </w:instrText>
        </w:r>
        <w:r w:rsidR="00090E4C">
          <w:rPr>
            <w:noProof/>
            <w:webHidden/>
          </w:rPr>
        </w:r>
        <w:r w:rsidR="00090E4C">
          <w:rPr>
            <w:noProof/>
            <w:webHidden/>
          </w:rPr>
          <w:fldChar w:fldCharType="separate"/>
        </w:r>
        <w:r w:rsidR="00A8459C">
          <w:rPr>
            <w:noProof/>
            <w:webHidden/>
          </w:rPr>
          <w:t>23</w:t>
        </w:r>
        <w:r w:rsidR="00090E4C">
          <w:rPr>
            <w:noProof/>
            <w:webHidden/>
          </w:rPr>
          <w:fldChar w:fldCharType="end"/>
        </w:r>
      </w:hyperlink>
    </w:p>
    <w:p w:rsidR="00090E4C" w:rsidRDefault="008E23A0">
      <w:pPr>
        <w:pStyle w:val="TOC2"/>
        <w:rPr>
          <w:rFonts w:asciiTheme="minorHAnsi" w:eastAsiaTheme="minorEastAsia" w:hAnsiTheme="minorHAnsi" w:cstheme="minorBidi"/>
          <w:noProof/>
          <w:sz w:val="22"/>
          <w:szCs w:val="22"/>
          <w:lang w:eastAsia="en-AU"/>
        </w:rPr>
      </w:pPr>
      <w:hyperlink w:anchor="_Toc431828787" w:history="1">
        <w:r w:rsidR="00090E4C" w:rsidRPr="00767ABE">
          <w:rPr>
            <w:rStyle w:val="Hyperlink"/>
            <w:noProof/>
          </w:rPr>
          <w:t>7.2.</w:t>
        </w:r>
        <w:r w:rsidR="00090E4C">
          <w:rPr>
            <w:rFonts w:asciiTheme="minorHAnsi" w:eastAsiaTheme="minorEastAsia" w:hAnsiTheme="minorHAnsi" w:cstheme="minorBidi"/>
            <w:noProof/>
            <w:sz w:val="22"/>
            <w:szCs w:val="22"/>
            <w:lang w:eastAsia="en-AU"/>
          </w:rPr>
          <w:tab/>
        </w:r>
        <w:r w:rsidR="00090E4C" w:rsidRPr="00767ABE">
          <w:rPr>
            <w:rStyle w:val="Hyperlink"/>
            <w:noProof/>
          </w:rPr>
          <w:t>Future Australian support</w:t>
        </w:r>
        <w:r w:rsidR="00090E4C">
          <w:rPr>
            <w:noProof/>
            <w:webHidden/>
          </w:rPr>
          <w:tab/>
        </w:r>
        <w:r w:rsidR="00090E4C">
          <w:rPr>
            <w:noProof/>
            <w:webHidden/>
          </w:rPr>
          <w:fldChar w:fldCharType="begin"/>
        </w:r>
        <w:r w:rsidR="00090E4C">
          <w:rPr>
            <w:noProof/>
            <w:webHidden/>
          </w:rPr>
          <w:instrText xml:space="preserve"> PAGEREF _Toc431828787 \h </w:instrText>
        </w:r>
        <w:r w:rsidR="00090E4C">
          <w:rPr>
            <w:noProof/>
            <w:webHidden/>
          </w:rPr>
        </w:r>
        <w:r w:rsidR="00090E4C">
          <w:rPr>
            <w:noProof/>
            <w:webHidden/>
          </w:rPr>
          <w:fldChar w:fldCharType="separate"/>
        </w:r>
        <w:r w:rsidR="00A8459C">
          <w:rPr>
            <w:noProof/>
            <w:webHidden/>
          </w:rPr>
          <w:t>24</w:t>
        </w:r>
        <w:r w:rsidR="00090E4C">
          <w:rPr>
            <w:noProof/>
            <w:webHidden/>
          </w:rPr>
          <w:fldChar w:fldCharType="end"/>
        </w:r>
      </w:hyperlink>
    </w:p>
    <w:p w:rsidR="00090E4C" w:rsidRDefault="008E23A0">
      <w:pPr>
        <w:pStyle w:val="TOC2"/>
        <w:rPr>
          <w:rFonts w:asciiTheme="minorHAnsi" w:eastAsiaTheme="minorEastAsia" w:hAnsiTheme="minorHAnsi" w:cstheme="minorBidi"/>
          <w:noProof/>
          <w:sz w:val="22"/>
          <w:szCs w:val="22"/>
          <w:lang w:eastAsia="en-AU"/>
        </w:rPr>
      </w:pPr>
      <w:hyperlink w:anchor="_Toc431828795" w:history="1">
        <w:r w:rsidR="00090E4C" w:rsidRPr="00767ABE">
          <w:rPr>
            <w:rStyle w:val="Hyperlink"/>
            <w:noProof/>
          </w:rPr>
          <w:t>7.3.</w:t>
        </w:r>
        <w:r w:rsidR="00090E4C">
          <w:rPr>
            <w:rFonts w:asciiTheme="minorHAnsi" w:eastAsiaTheme="minorEastAsia" w:hAnsiTheme="minorHAnsi" w:cstheme="minorBidi"/>
            <w:noProof/>
            <w:sz w:val="22"/>
            <w:szCs w:val="22"/>
            <w:lang w:eastAsia="en-AU"/>
          </w:rPr>
          <w:tab/>
        </w:r>
        <w:r w:rsidR="00090E4C" w:rsidRPr="00767ABE">
          <w:rPr>
            <w:rStyle w:val="Hyperlink"/>
            <w:noProof/>
          </w:rPr>
          <w:t>Improving efficiency of the SLJS</w:t>
        </w:r>
        <w:r w:rsidR="00090E4C">
          <w:rPr>
            <w:noProof/>
            <w:webHidden/>
          </w:rPr>
          <w:tab/>
        </w:r>
        <w:r w:rsidR="00090E4C">
          <w:rPr>
            <w:noProof/>
            <w:webHidden/>
          </w:rPr>
          <w:fldChar w:fldCharType="begin"/>
        </w:r>
        <w:r w:rsidR="00090E4C">
          <w:rPr>
            <w:noProof/>
            <w:webHidden/>
          </w:rPr>
          <w:instrText xml:space="preserve"> PAGEREF _Toc431828795 \h </w:instrText>
        </w:r>
        <w:r w:rsidR="00090E4C">
          <w:rPr>
            <w:noProof/>
            <w:webHidden/>
          </w:rPr>
        </w:r>
        <w:r w:rsidR="00090E4C">
          <w:rPr>
            <w:noProof/>
            <w:webHidden/>
          </w:rPr>
          <w:fldChar w:fldCharType="separate"/>
        </w:r>
        <w:r w:rsidR="00A8459C">
          <w:rPr>
            <w:noProof/>
            <w:webHidden/>
          </w:rPr>
          <w:t>24</w:t>
        </w:r>
        <w:r w:rsidR="00090E4C">
          <w:rPr>
            <w:noProof/>
            <w:webHidden/>
          </w:rPr>
          <w:fldChar w:fldCharType="end"/>
        </w:r>
      </w:hyperlink>
    </w:p>
    <w:p w:rsidR="00090E4C" w:rsidRDefault="008E23A0">
      <w:pPr>
        <w:pStyle w:val="TOC1"/>
        <w:rPr>
          <w:rFonts w:asciiTheme="minorHAnsi" w:eastAsiaTheme="minorEastAsia" w:hAnsiTheme="minorHAnsi" w:cstheme="minorBidi"/>
          <w:bCs w:val="0"/>
          <w:color w:val="auto"/>
          <w:sz w:val="22"/>
          <w:szCs w:val="22"/>
          <w:lang w:eastAsia="en-AU"/>
        </w:rPr>
      </w:pPr>
      <w:hyperlink w:anchor="_Toc431828796" w:history="1">
        <w:r w:rsidR="00090E4C" w:rsidRPr="00767ABE">
          <w:rPr>
            <w:rStyle w:val="Hyperlink"/>
          </w:rPr>
          <w:t>8.</w:t>
        </w:r>
        <w:r w:rsidR="00090E4C">
          <w:rPr>
            <w:rFonts w:asciiTheme="minorHAnsi" w:eastAsiaTheme="minorEastAsia" w:hAnsiTheme="minorHAnsi" w:cstheme="minorBidi"/>
            <w:bCs w:val="0"/>
            <w:color w:val="auto"/>
            <w:sz w:val="22"/>
            <w:szCs w:val="22"/>
            <w:lang w:eastAsia="en-AU"/>
          </w:rPr>
          <w:tab/>
        </w:r>
        <w:r w:rsidR="00090E4C" w:rsidRPr="00767ABE">
          <w:rPr>
            <w:rStyle w:val="Hyperlink"/>
          </w:rPr>
          <w:t>Conclusion</w:t>
        </w:r>
        <w:r w:rsidR="00090E4C">
          <w:rPr>
            <w:webHidden/>
          </w:rPr>
          <w:tab/>
        </w:r>
        <w:r w:rsidR="00090E4C">
          <w:rPr>
            <w:webHidden/>
          </w:rPr>
          <w:fldChar w:fldCharType="begin"/>
        </w:r>
        <w:r w:rsidR="00090E4C">
          <w:rPr>
            <w:webHidden/>
          </w:rPr>
          <w:instrText xml:space="preserve"> PAGEREF _Toc431828796 \h </w:instrText>
        </w:r>
        <w:r w:rsidR="00090E4C">
          <w:rPr>
            <w:webHidden/>
          </w:rPr>
        </w:r>
        <w:r w:rsidR="00090E4C">
          <w:rPr>
            <w:webHidden/>
          </w:rPr>
          <w:fldChar w:fldCharType="separate"/>
        </w:r>
        <w:r w:rsidR="00A8459C">
          <w:rPr>
            <w:webHidden/>
          </w:rPr>
          <w:t>26</w:t>
        </w:r>
        <w:r w:rsidR="00090E4C">
          <w:rPr>
            <w:webHidden/>
          </w:rPr>
          <w:fldChar w:fldCharType="end"/>
        </w:r>
      </w:hyperlink>
    </w:p>
    <w:p w:rsidR="00090E4C" w:rsidRDefault="008E23A0">
      <w:pPr>
        <w:pStyle w:val="TOC1"/>
        <w:tabs>
          <w:tab w:val="left" w:pos="2160"/>
        </w:tabs>
        <w:rPr>
          <w:rFonts w:asciiTheme="minorHAnsi" w:eastAsiaTheme="minorEastAsia" w:hAnsiTheme="minorHAnsi" w:cstheme="minorBidi"/>
          <w:bCs w:val="0"/>
          <w:color w:val="auto"/>
          <w:sz w:val="22"/>
          <w:szCs w:val="22"/>
          <w:lang w:eastAsia="en-AU"/>
        </w:rPr>
      </w:pPr>
      <w:hyperlink w:anchor="_Toc431828797" w:history="1">
        <w:r w:rsidR="00090E4C" w:rsidRPr="00767ABE">
          <w:rPr>
            <w:rStyle w:val="Hyperlink"/>
          </w:rPr>
          <w:t>Appendix A.</w:t>
        </w:r>
        <w:r w:rsidR="00090E4C">
          <w:rPr>
            <w:rFonts w:asciiTheme="minorHAnsi" w:eastAsiaTheme="minorEastAsia" w:hAnsiTheme="minorHAnsi" w:cstheme="minorBidi"/>
            <w:bCs w:val="0"/>
            <w:color w:val="auto"/>
            <w:sz w:val="22"/>
            <w:szCs w:val="22"/>
            <w:lang w:eastAsia="en-AU"/>
          </w:rPr>
          <w:tab/>
        </w:r>
        <w:r w:rsidR="00090E4C" w:rsidRPr="00767ABE">
          <w:rPr>
            <w:rStyle w:val="Hyperlink"/>
          </w:rPr>
          <w:t>Terms of Reference</w:t>
        </w:r>
        <w:r w:rsidR="00090E4C">
          <w:rPr>
            <w:webHidden/>
          </w:rPr>
          <w:tab/>
        </w:r>
        <w:r w:rsidR="00090E4C">
          <w:rPr>
            <w:webHidden/>
          </w:rPr>
          <w:fldChar w:fldCharType="begin"/>
        </w:r>
        <w:r w:rsidR="00090E4C">
          <w:rPr>
            <w:webHidden/>
          </w:rPr>
          <w:instrText xml:space="preserve"> PAGEREF _Toc431828797 \h </w:instrText>
        </w:r>
        <w:r w:rsidR="00090E4C">
          <w:rPr>
            <w:webHidden/>
          </w:rPr>
        </w:r>
        <w:r w:rsidR="00090E4C">
          <w:rPr>
            <w:webHidden/>
          </w:rPr>
          <w:fldChar w:fldCharType="separate"/>
        </w:r>
        <w:r w:rsidR="00A8459C">
          <w:rPr>
            <w:webHidden/>
          </w:rPr>
          <w:t>28</w:t>
        </w:r>
        <w:r w:rsidR="00090E4C">
          <w:rPr>
            <w:webHidden/>
          </w:rPr>
          <w:fldChar w:fldCharType="end"/>
        </w:r>
      </w:hyperlink>
    </w:p>
    <w:p w:rsidR="00090E4C" w:rsidRDefault="008E23A0">
      <w:pPr>
        <w:pStyle w:val="TOC1"/>
        <w:tabs>
          <w:tab w:val="left" w:pos="2160"/>
        </w:tabs>
        <w:rPr>
          <w:rFonts w:asciiTheme="minorHAnsi" w:eastAsiaTheme="minorEastAsia" w:hAnsiTheme="minorHAnsi" w:cstheme="minorBidi"/>
          <w:bCs w:val="0"/>
          <w:color w:val="auto"/>
          <w:sz w:val="22"/>
          <w:szCs w:val="22"/>
          <w:lang w:eastAsia="en-AU"/>
        </w:rPr>
      </w:pPr>
      <w:hyperlink w:anchor="_Toc431828803" w:history="1">
        <w:r w:rsidR="00090E4C" w:rsidRPr="00767ABE">
          <w:rPr>
            <w:rStyle w:val="Hyperlink"/>
          </w:rPr>
          <w:t>Appendix B.</w:t>
        </w:r>
        <w:r w:rsidR="00090E4C">
          <w:rPr>
            <w:rFonts w:asciiTheme="minorHAnsi" w:eastAsiaTheme="minorEastAsia" w:hAnsiTheme="minorHAnsi" w:cstheme="minorBidi"/>
            <w:bCs w:val="0"/>
            <w:color w:val="auto"/>
            <w:sz w:val="22"/>
            <w:szCs w:val="22"/>
            <w:lang w:eastAsia="en-AU"/>
          </w:rPr>
          <w:tab/>
        </w:r>
        <w:r w:rsidR="00090E4C" w:rsidRPr="00767ABE">
          <w:rPr>
            <w:rStyle w:val="Hyperlink"/>
          </w:rPr>
          <w:t>Sources of data</w:t>
        </w:r>
        <w:r w:rsidR="00090E4C">
          <w:rPr>
            <w:webHidden/>
          </w:rPr>
          <w:tab/>
        </w:r>
        <w:r w:rsidR="00090E4C">
          <w:rPr>
            <w:webHidden/>
          </w:rPr>
          <w:fldChar w:fldCharType="begin"/>
        </w:r>
        <w:r w:rsidR="00090E4C">
          <w:rPr>
            <w:webHidden/>
          </w:rPr>
          <w:instrText xml:space="preserve"> PAGEREF _Toc431828803 \h </w:instrText>
        </w:r>
        <w:r w:rsidR="00090E4C">
          <w:rPr>
            <w:webHidden/>
          </w:rPr>
        </w:r>
        <w:r w:rsidR="00090E4C">
          <w:rPr>
            <w:webHidden/>
          </w:rPr>
          <w:fldChar w:fldCharType="separate"/>
        </w:r>
        <w:r w:rsidR="00A8459C">
          <w:rPr>
            <w:webHidden/>
          </w:rPr>
          <w:t>33</w:t>
        </w:r>
        <w:r w:rsidR="00090E4C">
          <w:rPr>
            <w:webHidden/>
          </w:rPr>
          <w:fldChar w:fldCharType="end"/>
        </w:r>
      </w:hyperlink>
    </w:p>
    <w:p w:rsidR="00090E4C" w:rsidRDefault="008E23A0">
      <w:pPr>
        <w:pStyle w:val="TOC1"/>
        <w:tabs>
          <w:tab w:val="left" w:pos="2160"/>
        </w:tabs>
        <w:rPr>
          <w:rFonts w:asciiTheme="minorHAnsi" w:eastAsiaTheme="minorEastAsia" w:hAnsiTheme="minorHAnsi" w:cstheme="minorBidi"/>
          <w:bCs w:val="0"/>
          <w:color w:val="auto"/>
          <w:sz w:val="22"/>
          <w:szCs w:val="22"/>
          <w:lang w:eastAsia="en-AU"/>
        </w:rPr>
      </w:pPr>
      <w:hyperlink w:anchor="_Toc431828804" w:history="1">
        <w:r w:rsidR="00090E4C" w:rsidRPr="00767ABE">
          <w:rPr>
            <w:rStyle w:val="Hyperlink"/>
          </w:rPr>
          <w:t>Appendix C.</w:t>
        </w:r>
        <w:r w:rsidR="00090E4C">
          <w:rPr>
            <w:rFonts w:asciiTheme="minorHAnsi" w:eastAsiaTheme="minorEastAsia" w:hAnsiTheme="minorHAnsi" w:cstheme="minorBidi"/>
            <w:bCs w:val="0"/>
            <w:color w:val="auto"/>
            <w:sz w:val="22"/>
            <w:szCs w:val="22"/>
            <w:lang w:eastAsia="en-AU"/>
          </w:rPr>
          <w:tab/>
        </w:r>
        <w:r w:rsidR="00090E4C" w:rsidRPr="00767ABE">
          <w:rPr>
            <w:rStyle w:val="Hyperlink"/>
          </w:rPr>
          <w:t>Relevance</w:t>
        </w:r>
        <w:r w:rsidR="00090E4C">
          <w:rPr>
            <w:webHidden/>
          </w:rPr>
          <w:tab/>
        </w:r>
        <w:r w:rsidR="00090E4C">
          <w:rPr>
            <w:webHidden/>
          </w:rPr>
          <w:fldChar w:fldCharType="begin"/>
        </w:r>
        <w:r w:rsidR="00090E4C">
          <w:rPr>
            <w:webHidden/>
          </w:rPr>
          <w:instrText xml:space="preserve"> PAGEREF _Toc431828804 \h </w:instrText>
        </w:r>
        <w:r w:rsidR="00090E4C">
          <w:rPr>
            <w:webHidden/>
          </w:rPr>
        </w:r>
        <w:r w:rsidR="00090E4C">
          <w:rPr>
            <w:webHidden/>
          </w:rPr>
          <w:fldChar w:fldCharType="separate"/>
        </w:r>
        <w:r w:rsidR="00A8459C">
          <w:rPr>
            <w:webHidden/>
          </w:rPr>
          <w:t>44</w:t>
        </w:r>
        <w:r w:rsidR="00090E4C">
          <w:rPr>
            <w:webHidden/>
          </w:rPr>
          <w:fldChar w:fldCharType="end"/>
        </w:r>
      </w:hyperlink>
    </w:p>
    <w:p w:rsidR="00090E4C" w:rsidRDefault="008E23A0">
      <w:pPr>
        <w:pStyle w:val="TOC1"/>
        <w:tabs>
          <w:tab w:val="left" w:pos="2160"/>
        </w:tabs>
        <w:rPr>
          <w:rFonts w:asciiTheme="minorHAnsi" w:eastAsiaTheme="minorEastAsia" w:hAnsiTheme="minorHAnsi" w:cstheme="minorBidi"/>
          <w:bCs w:val="0"/>
          <w:color w:val="auto"/>
          <w:sz w:val="22"/>
          <w:szCs w:val="22"/>
          <w:lang w:eastAsia="en-AU"/>
        </w:rPr>
      </w:pPr>
      <w:hyperlink w:anchor="_Toc431828807" w:history="1">
        <w:r w:rsidR="00090E4C" w:rsidRPr="00767ABE">
          <w:rPr>
            <w:rStyle w:val="Hyperlink"/>
          </w:rPr>
          <w:t>Appendix D.</w:t>
        </w:r>
        <w:r w:rsidR="00090E4C">
          <w:rPr>
            <w:rFonts w:asciiTheme="minorHAnsi" w:eastAsiaTheme="minorEastAsia" w:hAnsiTheme="minorHAnsi" w:cstheme="minorBidi"/>
            <w:bCs w:val="0"/>
            <w:color w:val="auto"/>
            <w:sz w:val="22"/>
            <w:szCs w:val="22"/>
            <w:lang w:eastAsia="en-AU"/>
          </w:rPr>
          <w:tab/>
        </w:r>
        <w:r w:rsidR="00090E4C" w:rsidRPr="00767ABE">
          <w:rPr>
            <w:rStyle w:val="Hyperlink"/>
          </w:rPr>
          <w:t>Development of the SLJS</w:t>
        </w:r>
        <w:r w:rsidR="00090E4C">
          <w:rPr>
            <w:webHidden/>
          </w:rPr>
          <w:tab/>
        </w:r>
        <w:r w:rsidR="00090E4C">
          <w:rPr>
            <w:webHidden/>
          </w:rPr>
          <w:fldChar w:fldCharType="begin"/>
        </w:r>
        <w:r w:rsidR="00090E4C">
          <w:rPr>
            <w:webHidden/>
          </w:rPr>
          <w:instrText xml:space="preserve"> PAGEREF _Toc431828807 \h </w:instrText>
        </w:r>
        <w:r w:rsidR="00090E4C">
          <w:rPr>
            <w:webHidden/>
          </w:rPr>
        </w:r>
        <w:r w:rsidR="00090E4C">
          <w:rPr>
            <w:webHidden/>
          </w:rPr>
          <w:fldChar w:fldCharType="separate"/>
        </w:r>
        <w:r w:rsidR="00A8459C">
          <w:rPr>
            <w:webHidden/>
          </w:rPr>
          <w:t>45</w:t>
        </w:r>
        <w:r w:rsidR="00090E4C">
          <w:rPr>
            <w:webHidden/>
          </w:rPr>
          <w:fldChar w:fldCharType="end"/>
        </w:r>
      </w:hyperlink>
    </w:p>
    <w:p w:rsidR="00090E4C" w:rsidRDefault="008E23A0">
      <w:pPr>
        <w:pStyle w:val="TOC1"/>
        <w:tabs>
          <w:tab w:val="left" w:pos="2160"/>
        </w:tabs>
        <w:rPr>
          <w:rFonts w:asciiTheme="minorHAnsi" w:eastAsiaTheme="minorEastAsia" w:hAnsiTheme="minorHAnsi" w:cstheme="minorBidi"/>
          <w:bCs w:val="0"/>
          <w:color w:val="auto"/>
          <w:sz w:val="22"/>
          <w:szCs w:val="22"/>
          <w:lang w:eastAsia="en-AU"/>
        </w:rPr>
      </w:pPr>
      <w:hyperlink w:anchor="_Toc431828808" w:history="1">
        <w:r w:rsidR="00090E4C" w:rsidRPr="00767ABE">
          <w:rPr>
            <w:rStyle w:val="Hyperlink"/>
          </w:rPr>
          <w:t>Appendix E.</w:t>
        </w:r>
        <w:r w:rsidR="00090E4C">
          <w:rPr>
            <w:rFonts w:asciiTheme="minorHAnsi" w:eastAsiaTheme="minorEastAsia" w:hAnsiTheme="minorHAnsi" w:cstheme="minorBidi"/>
            <w:bCs w:val="0"/>
            <w:color w:val="auto"/>
            <w:sz w:val="22"/>
            <w:szCs w:val="22"/>
            <w:lang w:eastAsia="en-AU"/>
          </w:rPr>
          <w:tab/>
        </w:r>
        <w:r w:rsidR="00090E4C" w:rsidRPr="00767ABE">
          <w:rPr>
            <w:rStyle w:val="Hyperlink"/>
          </w:rPr>
          <w:t>Australian support</w:t>
        </w:r>
        <w:r w:rsidR="00090E4C">
          <w:rPr>
            <w:webHidden/>
          </w:rPr>
          <w:tab/>
        </w:r>
        <w:r w:rsidR="00090E4C">
          <w:rPr>
            <w:webHidden/>
          </w:rPr>
          <w:fldChar w:fldCharType="begin"/>
        </w:r>
        <w:r w:rsidR="00090E4C">
          <w:rPr>
            <w:webHidden/>
          </w:rPr>
          <w:instrText xml:space="preserve"> PAGEREF _Toc431828808 \h </w:instrText>
        </w:r>
        <w:r w:rsidR="00090E4C">
          <w:rPr>
            <w:webHidden/>
          </w:rPr>
        </w:r>
        <w:r w:rsidR="00090E4C">
          <w:rPr>
            <w:webHidden/>
          </w:rPr>
          <w:fldChar w:fldCharType="separate"/>
        </w:r>
        <w:r w:rsidR="00A8459C">
          <w:rPr>
            <w:webHidden/>
          </w:rPr>
          <w:t>48</w:t>
        </w:r>
        <w:r w:rsidR="00090E4C">
          <w:rPr>
            <w:webHidden/>
          </w:rPr>
          <w:fldChar w:fldCharType="end"/>
        </w:r>
      </w:hyperlink>
    </w:p>
    <w:p w:rsidR="00090E4C" w:rsidRDefault="008E23A0">
      <w:pPr>
        <w:pStyle w:val="TOC1"/>
        <w:tabs>
          <w:tab w:val="left" w:pos="2160"/>
        </w:tabs>
        <w:rPr>
          <w:rFonts w:asciiTheme="minorHAnsi" w:eastAsiaTheme="minorEastAsia" w:hAnsiTheme="minorHAnsi" w:cstheme="minorBidi"/>
          <w:bCs w:val="0"/>
          <w:color w:val="auto"/>
          <w:sz w:val="22"/>
          <w:szCs w:val="22"/>
          <w:lang w:eastAsia="en-AU"/>
        </w:rPr>
      </w:pPr>
      <w:hyperlink w:anchor="_Toc431828809" w:history="1">
        <w:r w:rsidR="00090E4C" w:rsidRPr="00767ABE">
          <w:rPr>
            <w:rStyle w:val="Hyperlink"/>
          </w:rPr>
          <w:t>Appendix F.</w:t>
        </w:r>
        <w:r w:rsidR="00090E4C">
          <w:rPr>
            <w:rFonts w:asciiTheme="minorHAnsi" w:eastAsiaTheme="minorEastAsia" w:hAnsiTheme="minorHAnsi" w:cstheme="minorBidi"/>
            <w:bCs w:val="0"/>
            <w:color w:val="auto"/>
            <w:sz w:val="22"/>
            <w:szCs w:val="22"/>
            <w:lang w:eastAsia="en-AU"/>
          </w:rPr>
          <w:tab/>
        </w:r>
        <w:r w:rsidR="00090E4C" w:rsidRPr="00767ABE">
          <w:rPr>
            <w:rStyle w:val="Hyperlink"/>
          </w:rPr>
          <w:t>Theory of Change</w:t>
        </w:r>
        <w:r w:rsidR="00090E4C">
          <w:rPr>
            <w:webHidden/>
          </w:rPr>
          <w:tab/>
        </w:r>
        <w:r w:rsidR="00090E4C">
          <w:rPr>
            <w:webHidden/>
          </w:rPr>
          <w:fldChar w:fldCharType="begin"/>
        </w:r>
        <w:r w:rsidR="00090E4C">
          <w:rPr>
            <w:webHidden/>
          </w:rPr>
          <w:instrText xml:space="preserve"> PAGEREF _Toc431828809 \h </w:instrText>
        </w:r>
        <w:r w:rsidR="00090E4C">
          <w:rPr>
            <w:webHidden/>
          </w:rPr>
        </w:r>
        <w:r w:rsidR="00090E4C">
          <w:rPr>
            <w:webHidden/>
          </w:rPr>
          <w:fldChar w:fldCharType="separate"/>
        </w:r>
        <w:r w:rsidR="00A8459C">
          <w:rPr>
            <w:webHidden/>
          </w:rPr>
          <w:t>50</w:t>
        </w:r>
        <w:r w:rsidR="00090E4C">
          <w:rPr>
            <w:webHidden/>
          </w:rPr>
          <w:fldChar w:fldCharType="end"/>
        </w:r>
      </w:hyperlink>
    </w:p>
    <w:p w:rsidR="00090E4C" w:rsidRDefault="008E23A0" w:rsidP="000F529D">
      <w:pPr>
        <w:pStyle w:val="TOC1"/>
        <w:tabs>
          <w:tab w:val="clear" w:pos="720"/>
          <w:tab w:val="left" w:pos="2160"/>
          <w:tab w:val="left" w:pos="2268"/>
        </w:tabs>
        <w:ind w:left="2160" w:hanging="2160"/>
        <w:rPr>
          <w:rFonts w:asciiTheme="minorHAnsi" w:eastAsiaTheme="minorEastAsia" w:hAnsiTheme="minorHAnsi" w:cstheme="minorBidi"/>
          <w:bCs w:val="0"/>
          <w:color w:val="auto"/>
          <w:sz w:val="22"/>
          <w:szCs w:val="22"/>
          <w:lang w:eastAsia="en-AU"/>
        </w:rPr>
      </w:pPr>
      <w:hyperlink w:anchor="_Toc431828810" w:history="1">
        <w:r w:rsidR="00090E4C" w:rsidRPr="00767ABE">
          <w:rPr>
            <w:rStyle w:val="Hyperlink"/>
          </w:rPr>
          <w:t>Appendix G.</w:t>
        </w:r>
        <w:r w:rsidR="00090E4C">
          <w:rPr>
            <w:rFonts w:asciiTheme="minorHAnsi" w:eastAsiaTheme="minorEastAsia" w:hAnsiTheme="minorHAnsi" w:cstheme="minorBidi"/>
            <w:bCs w:val="0"/>
            <w:color w:val="auto"/>
            <w:sz w:val="22"/>
            <w:szCs w:val="22"/>
            <w:lang w:eastAsia="en-AU"/>
          </w:rPr>
          <w:tab/>
        </w:r>
        <w:r w:rsidR="00090E4C" w:rsidRPr="00767ABE">
          <w:rPr>
            <w:rStyle w:val="Hyperlink"/>
          </w:rPr>
          <w:t>Principles to improve effectiveness of future Australian</w:t>
        </w:r>
        <w:r w:rsidR="00C42F32">
          <w:rPr>
            <w:rStyle w:val="Hyperlink"/>
          </w:rPr>
          <w:br/>
        </w:r>
        <w:r w:rsidR="00090E4C" w:rsidRPr="00767ABE">
          <w:rPr>
            <w:rStyle w:val="Hyperlink"/>
          </w:rPr>
          <w:t>support</w:t>
        </w:r>
        <w:r w:rsidR="00090E4C">
          <w:rPr>
            <w:webHidden/>
          </w:rPr>
          <w:tab/>
        </w:r>
        <w:r w:rsidR="00090E4C">
          <w:rPr>
            <w:webHidden/>
          </w:rPr>
          <w:fldChar w:fldCharType="begin"/>
        </w:r>
        <w:r w:rsidR="00090E4C">
          <w:rPr>
            <w:webHidden/>
          </w:rPr>
          <w:instrText xml:space="preserve"> PAGEREF _Toc431828810 \h </w:instrText>
        </w:r>
        <w:r w:rsidR="00090E4C">
          <w:rPr>
            <w:webHidden/>
          </w:rPr>
        </w:r>
        <w:r w:rsidR="00090E4C">
          <w:rPr>
            <w:webHidden/>
          </w:rPr>
          <w:fldChar w:fldCharType="separate"/>
        </w:r>
        <w:r w:rsidR="00A8459C">
          <w:rPr>
            <w:webHidden/>
          </w:rPr>
          <w:t>55</w:t>
        </w:r>
        <w:r w:rsidR="00090E4C">
          <w:rPr>
            <w:webHidden/>
          </w:rPr>
          <w:fldChar w:fldCharType="end"/>
        </w:r>
      </w:hyperlink>
    </w:p>
    <w:p w:rsidR="00090E4C" w:rsidRDefault="008E23A0">
      <w:pPr>
        <w:pStyle w:val="TOC1"/>
        <w:tabs>
          <w:tab w:val="left" w:pos="2160"/>
        </w:tabs>
        <w:rPr>
          <w:rFonts w:asciiTheme="minorHAnsi" w:eastAsiaTheme="minorEastAsia" w:hAnsiTheme="minorHAnsi" w:cstheme="minorBidi"/>
          <w:bCs w:val="0"/>
          <w:color w:val="auto"/>
          <w:sz w:val="22"/>
          <w:szCs w:val="22"/>
          <w:lang w:eastAsia="en-AU"/>
        </w:rPr>
      </w:pPr>
      <w:hyperlink w:anchor="_Toc431828811" w:history="1">
        <w:r w:rsidR="00090E4C" w:rsidRPr="00767ABE">
          <w:rPr>
            <w:rStyle w:val="Hyperlink"/>
          </w:rPr>
          <w:t>Appendix H.</w:t>
        </w:r>
        <w:r w:rsidR="00090E4C">
          <w:rPr>
            <w:rFonts w:asciiTheme="minorHAnsi" w:eastAsiaTheme="minorEastAsia" w:hAnsiTheme="minorHAnsi" w:cstheme="minorBidi"/>
            <w:bCs w:val="0"/>
            <w:color w:val="auto"/>
            <w:sz w:val="22"/>
            <w:szCs w:val="22"/>
            <w:lang w:eastAsia="en-AU"/>
          </w:rPr>
          <w:tab/>
        </w:r>
        <w:r w:rsidR="00090E4C" w:rsidRPr="00767ABE">
          <w:rPr>
            <w:rStyle w:val="Hyperlink"/>
          </w:rPr>
          <w:t>Areas in which the SLJS can be strengthened.</w:t>
        </w:r>
        <w:r w:rsidR="00090E4C">
          <w:rPr>
            <w:webHidden/>
          </w:rPr>
          <w:tab/>
        </w:r>
        <w:r w:rsidR="00090E4C">
          <w:rPr>
            <w:webHidden/>
          </w:rPr>
          <w:fldChar w:fldCharType="begin"/>
        </w:r>
        <w:r w:rsidR="00090E4C">
          <w:rPr>
            <w:webHidden/>
          </w:rPr>
          <w:instrText xml:space="preserve"> PAGEREF _Toc431828811 \h </w:instrText>
        </w:r>
        <w:r w:rsidR="00090E4C">
          <w:rPr>
            <w:webHidden/>
          </w:rPr>
        </w:r>
        <w:r w:rsidR="00090E4C">
          <w:rPr>
            <w:webHidden/>
          </w:rPr>
          <w:fldChar w:fldCharType="separate"/>
        </w:r>
        <w:r w:rsidR="00A8459C">
          <w:rPr>
            <w:webHidden/>
          </w:rPr>
          <w:t>56</w:t>
        </w:r>
        <w:r w:rsidR="00090E4C">
          <w:rPr>
            <w:webHidden/>
          </w:rPr>
          <w:fldChar w:fldCharType="end"/>
        </w:r>
      </w:hyperlink>
    </w:p>
    <w:p w:rsidR="00090E4C" w:rsidRDefault="008E23A0">
      <w:pPr>
        <w:pStyle w:val="TOC1"/>
        <w:tabs>
          <w:tab w:val="left" w:pos="1440"/>
        </w:tabs>
        <w:rPr>
          <w:rFonts w:asciiTheme="minorHAnsi" w:eastAsiaTheme="minorEastAsia" w:hAnsiTheme="minorHAnsi" w:cstheme="minorBidi"/>
          <w:bCs w:val="0"/>
          <w:color w:val="auto"/>
          <w:sz w:val="22"/>
          <w:szCs w:val="22"/>
          <w:lang w:eastAsia="en-AU"/>
        </w:rPr>
      </w:pPr>
      <w:hyperlink w:anchor="_Toc431828812" w:history="1">
        <w:r w:rsidR="00090E4C" w:rsidRPr="00767ABE">
          <w:rPr>
            <w:rStyle w:val="Hyperlink"/>
          </w:rPr>
          <w:t>Appendix I.</w:t>
        </w:r>
        <w:r w:rsidR="00090E4C">
          <w:rPr>
            <w:rFonts w:asciiTheme="minorHAnsi" w:eastAsiaTheme="minorEastAsia" w:hAnsiTheme="minorHAnsi" w:cstheme="minorBidi"/>
            <w:bCs w:val="0"/>
            <w:color w:val="auto"/>
            <w:sz w:val="22"/>
            <w:szCs w:val="22"/>
            <w:lang w:eastAsia="en-AU"/>
          </w:rPr>
          <w:tab/>
        </w:r>
        <w:r w:rsidR="00090E4C" w:rsidRPr="00767ABE">
          <w:rPr>
            <w:rStyle w:val="Hyperlink"/>
          </w:rPr>
          <w:t>Efficiency</w:t>
        </w:r>
        <w:r w:rsidR="00090E4C">
          <w:rPr>
            <w:webHidden/>
          </w:rPr>
          <w:tab/>
        </w:r>
        <w:r w:rsidR="00090E4C">
          <w:rPr>
            <w:webHidden/>
          </w:rPr>
          <w:fldChar w:fldCharType="begin"/>
        </w:r>
        <w:r w:rsidR="00090E4C">
          <w:rPr>
            <w:webHidden/>
          </w:rPr>
          <w:instrText xml:space="preserve"> PAGEREF _Toc431828812 \h </w:instrText>
        </w:r>
        <w:r w:rsidR="00090E4C">
          <w:rPr>
            <w:webHidden/>
          </w:rPr>
        </w:r>
        <w:r w:rsidR="00090E4C">
          <w:rPr>
            <w:webHidden/>
          </w:rPr>
          <w:fldChar w:fldCharType="separate"/>
        </w:r>
        <w:r w:rsidR="00A8459C">
          <w:rPr>
            <w:webHidden/>
          </w:rPr>
          <w:t>57</w:t>
        </w:r>
        <w:r w:rsidR="00090E4C">
          <w:rPr>
            <w:webHidden/>
          </w:rPr>
          <w:fldChar w:fldCharType="end"/>
        </w:r>
      </w:hyperlink>
    </w:p>
    <w:p w:rsidR="00090E4C" w:rsidRDefault="008E23A0">
      <w:pPr>
        <w:pStyle w:val="TOC1"/>
        <w:tabs>
          <w:tab w:val="left" w:pos="2160"/>
        </w:tabs>
        <w:rPr>
          <w:rFonts w:asciiTheme="minorHAnsi" w:eastAsiaTheme="minorEastAsia" w:hAnsiTheme="minorHAnsi" w:cstheme="minorBidi"/>
          <w:bCs w:val="0"/>
          <w:color w:val="auto"/>
          <w:sz w:val="22"/>
          <w:szCs w:val="22"/>
          <w:lang w:eastAsia="en-AU"/>
        </w:rPr>
      </w:pPr>
      <w:hyperlink w:anchor="_Toc431828816" w:history="1">
        <w:r w:rsidR="00090E4C" w:rsidRPr="00767ABE">
          <w:rPr>
            <w:rStyle w:val="Hyperlink"/>
          </w:rPr>
          <w:t>Appendix J.</w:t>
        </w:r>
        <w:r w:rsidR="00090E4C">
          <w:rPr>
            <w:rFonts w:asciiTheme="minorHAnsi" w:eastAsiaTheme="minorEastAsia" w:hAnsiTheme="minorHAnsi" w:cstheme="minorBidi"/>
            <w:bCs w:val="0"/>
            <w:color w:val="auto"/>
            <w:sz w:val="22"/>
            <w:szCs w:val="22"/>
            <w:lang w:eastAsia="en-AU"/>
          </w:rPr>
          <w:tab/>
        </w:r>
        <w:r w:rsidR="00090E4C" w:rsidRPr="00767ABE">
          <w:rPr>
            <w:rStyle w:val="Hyperlink"/>
          </w:rPr>
          <w:t>Lessons Learnt</w:t>
        </w:r>
        <w:r w:rsidR="00090E4C">
          <w:rPr>
            <w:webHidden/>
          </w:rPr>
          <w:tab/>
        </w:r>
        <w:r w:rsidR="00090E4C">
          <w:rPr>
            <w:webHidden/>
          </w:rPr>
          <w:fldChar w:fldCharType="begin"/>
        </w:r>
        <w:r w:rsidR="00090E4C">
          <w:rPr>
            <w:webHidden/>
          </w:rPr>
          <w:instrText xml:space="preserve"> PAGEREF _Toc431828816 \h </w:instrText>
        </w:r>
        <w:r w:rsidR="00090E4C">
          <w:rPr>
            <w:webHidden/>
          </w:rPr>
        </w:r>
        <w:r w:rsidR="00090E4C">
          <w:rPr>
            <w:webHidden/>
          </w:rPr>
          <w:fldChar w:fldCharType="separate"/>
        </w:r>
        <w:r w:rsidR="00A8459C">
          <w:rPr>
            <w:webHidden/>
          </w:rPr>
          <w:t>63</w:t>
        </w:r>
        <w:r w:rsidR="00090E4C">
          <w:rPr>
            <w:webHidden/>
          </w:rPr>
          <w:fldChar w:fldCharType="end"/>
        </w:r>
      </w:hyperlink>
    </w:p>
    <w:p w:rsidR="00090E4C" w:rsidRDefault="008E23A0">
      <w:pPr>
        <w:pStyle w:val="TOC1"/>
        <w:tabs>
          <w:tab w:val="left" w:pos="2160"/>
        </w:tabs>
        <w:rPr>
          <w:rFonts w:asciiTheme="minorHAnsi" w:eastAsiaTheme="minorEastAsia" w:hAnsiTheme="minorHAnsi" w:cstheme="minorBidi"/>
          <w:bCs w:val="0"/>
          <w:color w:val="auto"/>
          <w:sz w:val="22"/>
          <w:szCs w:val="22"/>
          <w:lang w:eastAsia="en-AU"/>
        </w:rPr>
      </w:pPr>
      <w:hyperlink w:anchor="_Toc431828821" w:history="1">
        <w:r w:rsidR="00090E4C" w:rsidRPr="00767ABE">
          <w:rPr>
            <w:rStyle w:val="Hyperlink"/>
          </w:rPr>
          <w:t>Appendix K.</w:t>
        </w:r>
        <w:r w:rsidR="00090E4C">
          <w:rPr>
            <w:rFonts w:asciiTheme="minorHAnsi" w:eastAsiaTheme="minorEastAsia" w:hAnsiTheme="minorHAnsi" w:cstheme="minorBidi"/>
            <w:bCs w:val="0"/>
            <w:color w:val="auto"/>
            <w:sz w:val="22"/>
            <w:szCs w:val="22"/>
            <w:lang w:eastAsia="en-AU"/>
          </w:rPr>
          <w:tab/>
        </w:r>
        <w:r w:rsidR="00090E4C" w:rsidRPr="00767ABE">
          <w:rPr>
            <w:rStyle w:val="Hyperlink"/>
          </w:rPr>
          <w:t>Summary of Projects</w:t>
        </w:r>
        <w:r w:rsidR="00090E4C">
          <w:rPr>
            <w:webHidden/>
          </w:rPr>
          <w:tab/>
        </w:r>
        <w:r w:rsidR="00090E4C">
          <w:rPr>
            <w:webHidden/>
          </w:rPr>
          <w:fldChar w:fldCharType="begin"/>
        </w:r>
        <w:r w:rsidR="00090E4C">
          <w:rPr>
            <w:webHidden/>
          </w:rPr>
          <w:instrText xml:space="preserve"> PAGEREF _Toc431828821 \h </w:instrText>
        </w:r>
        <w:r w:rsidR="00090E4C">
          <w:rPr>
            <w:webHidden/>
          </w:rPr>
        </w:r>
        <w:r w:rsidR="00090E4C">
          <w:rPr>
            <w:webHidden/>
          </w:rPr>
          <w:fldChar w:fldCharType="separate"/>
        </w:r>
        <w:r w:rsidR="00A8459C">
          <w:rPr>
            <w:webHidden/>
          </w:rPr>
          <w:t>66</w:t>
        </w:r>
        <w:r w:rsidR="00090E4C">
          <w:rPr>
            <w:webHidden/>
          </w:rPr>
          <w:fldChar w:fldCharType="end"/>
        </w:r>
      </w:hyperlink>
    </w:p>
    <w:p w:rsidR="00090E4C" w:rsidRDefault="008E23A0">
      <w:pPr>
        <w:pStyle w:val="TOC1"/>
        <w:rPr>
          <w:rFonts w:asciiTheme="minorHAnsi" w:eastAsiaTheme="minorEastAsia" w:hAnsiTheme="minorHAnsi" w:cstheme="minorBidi"/>
          <w:bCs w:val="0"/>
          <w:color w:val="auto"/>
          <w:sz w:val="22"/>
          <w:szCs w:val="22"/>
          <w:lang w:eastAsia="en-AU"/>
        </w:rPr>
      </w:pPr>
      <w:hyperlink w:anchor="_Toc431828822" w:history="1">
        <w:r w:rsidR="00090E4C" w:rsidRPr="00767ABE">
          <w:rPr>
            <w:rStyle w:val="Hyperlink"/>
          </w:rPr>
          <w:t>Abbreviations and glossary</w:t>
        </w:r>
        <w:r w:rsidR="00090E4C">
          <w:rPr>
            <w:webHidden/>
          </w:rPr>
          <w:tab/>
        </w:r>
        <w:r w:rsidR="00090E4C">
          <w:rPr>
            <w:webHidden/>
          </w:rPr>
          <w:fldChar w:fldCharType="begin"/>
        </w:r>
        <w:r w:rsidR="00090E4C">
          <w:rPr>
            <w:webHidden/>
          </w:rPr>
          <w:instrText xml:space="preserve"> PAGEREF _Toc431828822 \h </w:instrText>
        </w:r>
        <w:r w:rsidR="00090E4C">
          <w:rPr>
            <w:webHidden/>
          </w:rPr>
        </w:r>
        <w:r w:rsidR="00090E4C">
          <w:rPr>
            <w:webHidden/>
          </w:rPr>
          <w:fldChar w:fldCharType="separate"/>
        </w:r>
        <w:r w:rsidR="00A8459C">
          <w:rPr>
            <w:webHidden/>
          </w:rPr>
          <w:t>79</w:t>
        </w:r>
        <w:r w:rsidR="00090E4C">
          <w:rPr>
            <w:webHidden/>
          </w:rPr>
          <w:fldChar w:fldCharType="end"/>
        </w:r>
      </w:hyperlink>
    </w:p>
    <w:p w:rsidR="00C42B0D" w:rsidRDefault="000510B7" w:rsidP="004902E0">
      <w:pPr>
        <w:rPr>
          <w:noProof/>
        </w:rPr>
      </w:pPr>
      <w:r>
        <w:rPr>
          <w:noProof/>
        </w:rPr>
        <w:fldChar w:fldCharType="end"/>
      </w:r>
    </w:p>
    <w:p w:rsidR="00C42B0D" w:rsidRPr="008C2146" w:rsidRDefault="00C42B0D" w:rsidP="00C42B0D">
      <w:pPr>
        <w:pStyle w:val="SectionTitle"/>
        <w:pageBreakBefore w:val="0"/>
      </w:pPr>
      <w:bookmarkStart w:id="15" w:name="_Toc431828751"/>
      <w:r>
        <w:t>Acknowledgements</w:t>
      </w:r>
      <w:bookmarkEnd w:id="15"/>
    </w:p>
    <w:p w:rsidR="00544914" w:rsidRDefault="00C93C63" w:rsidP="004902E0">
      <w:pPr>
        <w:rPr>
          <w:noProof/>
        </w:rPr>
      </w:pPr>
      <w:r>
        <w:t xml:space="preserve">This report has been prepared by Fiona </w:t>
      </w:r>
      <w:proofErr w:type="spellStart"/>
      <w:r>
        <w:t>Kotvojs</w:t>
      </w:r>
      <w:proofErr w:type="spellEnd"/>
      <w:r>
        <w:t xml:space="preserve"> and </w:t>
      </w:r>
      <w:proofErr w:type="spellStart"/>
      <w:r w:rsidRPr="00C93C63">
        <w:t>Pisaina</w:t>
      </w:r>
      <w:proofErr w:type="spellEnd"/>
      <w:r w:rsidRPr="00C93C63">
        <w:t xml:space="preserve"> </w:t>
      </w:r>
      <w:proofErr w:type="spellStart"/>
      <w:r w:rsidR="0037554A">
        <w:t>Leilua</w:t>
      </w:r>
      <w:proofErr w:type="spellEnd"/>
      <w:r w:rsidR="0037554A">
        <w:t>-</w:t>
      </w:r>
      <w:r w:rsidRPr="00C93C63">
        <w:t>Lei</w:t>
      </w:r>
      <w:r w:rsidR="0037554A">
        <w:t xml:space="preserve"> S</w:t>
      </w:r>
      <w:r w:rsidRPr="00C93C63">
        <w:t>am</w:t>
      </w:r>
      <w:r>
        <w:t>.</w:t>
      </w:r>
      <w:r w:rsidRPr="00C93C63">
        <w:t xml:space="preserve"> </w:t>
      </w:r>
      <w:r w:rsidR="00D116C6">
        <w:t>We would like to</w:t>
      </w:r>
      <w:r w:rsidR="00D116C6" w:rsidRPr="00D116C6">
        <w:rPr>
          <w:noProof/>
        </w:rPr>
        <w:t xml:space="preserve"> ex</w:t>
      </w:r>
      <w:r w:rsidR="00D96278">
        <w:rPr>
          <w:noProof/>
        </w:rPr>
        <w:t xml:space="preserve">press our thanks to Roni Fereti, </w:t>
      </w:r>
      <w:r w:rsidR="00D116C6" w:rsidRPr="00D116C6">
        <w:rPr>
          <w:noProof/>
        </w:rPr>
        <w:t>the Secretariat</w:t>
      </w:r>
      <w:r w:rsidR="00D96278">
        <w:rPr>
          <w:noProof/>
        </w:rPr>
        <w:t xml:space="preserve"> and</w:t>
      </w:r>
      <w:r w:rsidR="00D96278" w:rsidRPr="00D96278">
        <w:rPr>
          <w:noProof/>
        </w:rPr>
        <w:t xml:space="preserve"> </w:t>
      </w:r>
      <w:r w:rsidR="00D96278">
        <w:rPr>
          <w:noProof/>
        </w:rPr>
        <w:t>the Steering Committee</w:t>
      </w:r>
      <w:r w:rsidR="00D116C6" w:rsidRPr="00D116C6">
        <w:rPr>
          <w:noProof/>
        </w:rPr>
        <w:t xml:space="preserve"> for all their support – </w:t>
      </w:r>
      <w:r w:rsidR="00D116C6">
        <w:rPr>
          <w:noProof/>
        </w:rPr>
        <w:t>we are</w:t>
      </w:r>
      <w:r w:rsidR="00D116C6" w:rsidRPr="00D116C6">
        <w:rPr>
          <w:noProof/>
        </w:rPr>
        <w:t xml:space="preserve"> conscious that we added to already full workload</w:t>
      </w:r>
      <w:r w:rsidR="00967078">
        <w:rPr>
          <w:noProof/>
        </w:rPr>
        <w:t>s for each of you</w:t>
      </w:r>
      <w:r w:rsidR="00D116C6" w:rsidRPr="00D116C6">
        <w:rPr>
          <w:noProof/>
        </w:rPr>
        <w:t xml:space="preserve">. We would also like to thank each </w:t>
      </w:r>
      <w:r w:rsidR="00D96278">
        <w:rPr>
          <w:noProof/>
        </w:rPr>
        <w:t xml:space="preserve">sector </w:t>
      </w:r>
      <w:r w:rsidR="00D116C6" w:rsidRPr="00D116C6">
        <w:rPr>
          <w:noProof/>
        </w:rPr>
        <w:t xml:space="preserve">agency, </w:t>
      </w:r>
      <w:r w:rsidR="00D96278">
        <w:rPr>
          <w:noProof/>
        </w:rPr>
        <w:t xml:space="preserve">the </w:t>
      </w:r>
      <w:r w:rsidR="00D96278">
        <w:t>Australia</w:t>
      </w:r>
      <w:r w:rsidR="00144E79">
        <w:t>n</w:t>
      </w:r>
      <w:r w:rsidR="00D96278">
        <w:t xml:space="preserve"> Department of Foreign Affairs and Trade, other donors,</w:t>
      </w:r>
      <w:r w:rsidR="00D96278" w:rsidRPr="00D116C6">
        <w:rPr>
          <w:noProof/>
        </w:rPr>
        <w:t xml:space="preserve"> </w:t>
      </w:r>
      <w:r w:rsidR="00D116C6" w:rsidRPr="00D116C6">
        <w:rPr>
          <w:noProof/>
        </w:rPr>
        <w:t xml:space="preserve">the </w:t>
      </w:r>
      <w:r w:rsidR="00D116C6">
        <w:rPr>
          <w:noProof/>
        </w:rPr>
        <w:t>civil society organisations</w:t>
      </w:r>
      <w:r w:rsidR="00D116C6" w:rsidRPr="00D116C6">
        <w:rPr>
          <w:noProof/>
        </w:rPr>
        <w:t xml:space="preserve">, businesses and community members we met with. Each gave their time generously. </w:t>
      </w:r>
    </w:p>
    <w:p w:rsidR="00967078" w:rsidRDefault="00D116C6" w:rsidP="004902E0">
      <w:pPr>
        <w:rPr>
          <w:noProof/>
        </w:rPr>
      </w:pPr>
      <w:r>
        <w:rPr>
          <w:noProof/>
        </w:rPr>
        <w:t>To the</w:t>
      </w:r>
      <w:r w:rsidR="00967078">
        <w:rPr>
          <w:noProof/>
        </w:rPr>
        <w:t xml:space="preserve"> members of the</w:t>
      </w:r>
      <w:r>
        <w:rPr>
          <w:noProof/>
        </w:rPr>
        <w:t xml:space="preserve"> </w:t>
      </w:r>
      <w:r w:rsidR="00D96278">
        <w:rPr>
          <w:noProof/>
        </w:rPr>
        <w:t>Steering Committee who atte</w:t>
      </w:r>
      <w:r w:rsidR="00967078">
        <w:rPr>
          <w:noProof/>
        </w:rPr>
        <w:t xml:space="preserve">nded the debrief and provided comment on the aide-memoire, thank you for your honesty and </w:t>
      </w:r>
      <w:r w:rsidR="0037554A">
        <w:rPr>
          <w:noProof/>
        </w:rPr>
        <w:t>openness during</w:t>
      </w:r>
      <w:r w:rsidR="00977BED">
        <w:rPr>
          <w:noProof/>
        </w:rPr>
        <w:t xml:space="preserve"> </w:t>
      </w:r>
      <w:r w:rsidR="00967078">
        <w:rPr>
          <w:noProof/>
        </w:rPr>
        <w:t>the discussion</w:t>
      </w:r>
      <w:r w:rsidR="00F41151">
        <w:rPr>
          <w:noProof/>
        </w:rPr>
        <w:t>s</w:t>
      </w:r>
      <w:r w:rsidR="00967078">
        <w:rPr>
          <w:noProof/>
        </w:rPr>
        <w:t xml:space="preserve">. We hope we have integrated this feedback accurately into this report. </w:t>
      </w:r>
      <w:r w:rsidR="00D96278">
        <w:rPr>
          <w:noProof/>
        </w:rPr>
        <w:t xml:space="preserve">We also hope that it will be helpful in progressing the achievments you have already made in the sector. </w:t>
      </w:r>
    </w:p>
    <w:p w:rsidR="00544914" w:rsidRDefault="00967078" w:rsidP="00967078">
      <w:r>
        <w:rPr>
          <w:noProof/>
        </w:rPr>
        <w:t>To t</w:t>
      </w:r>
      <w:r>
        <w:t>he members of the Australia</w:t>
      </w:r>
      <w:r w:rsidR="00F130B2">
        <w:t>n</w:t>
      </w:r>
      <w:r>
        <w:t xml:space="preserve"> Department of Foreign Affairs and Trade, thank you for your demand that we rigorously consider weaknesses in the design process. Your demand for, and openness to, honest feedback is to be commended – to us it demonstrates a true commitment to working as partners with Samoan agencies. </w:t>
      </w:r>
      <w:proofErr w:type="gramStart"/>
      <w:r>
        <w:t>A strong foundation for future working relationships.</w:t>
      </w:r>
      <w:proofErr w:type="gramEnd"/>
      <w:r>
        <w:t xml:space="preserve"> </w:t>
      </w:r>
    </w:p>
    <w:p w:rsidR="00967078" w:rsidRPr="008C2146" w:rsidRDefault="00A17A72" w:rsidP="00967078">
      <w:r>
        <w:t xml:space="preserve">It was a pleasure for us to work with each of you, thank you for this opportunity. </w:t>
      </w:r>
    </w:p>
    <w:p w:rsidR="004E27C2" w:rsidRDefault="004E27C2" w:rsidP="004E27C2"/>
    <w:bookmarkStart w:id="16" w:name="_Toc431828752"/>
    <w:p w:rsidR="00544914" w:rsidRDefault="00DF2B6A" w:rsidP="004902E0">
      <w:pPr>
        <w:pStyle w:val="Heading1notnumbered"/>
      </w:pPr>
      <w:r>
        <w:rPr>
          <w:lang w:val="en-AU" w:eastAsia="en-AU"/>
        </w:rPr>
        <w:lastRenderedPageBreak/>
        <mc:AlternateContent>
          <mc:Choice Requires="wps">
            <w:drawing>
              <wp:anchor distT="0" distB="0" distL="114300" distR="114300" simplePos="0" relativeHeight="251651072" behindDoc="1" locked="0" layoutInCell="1" allowOverlap="1" wp14:anchorId="76DF5618" wp14:editId="31036B9E">
                <wp:simplePos x="0" y="0"/>
                <wp:positionH relativeFrom="page">
                  <wp:posOffset>0</wp:posOffset>
                </wp:positionH>
                <wp:positionV relativeFrom="paragraph">
                  <wp:posOffset>-428361</wp:posOffset>
                </wp:positionV>
                <wp:extent cx="7610475" cy="1468755"/>
                <wp:effectExtent l="0" t="0" r="9525" b="0"/>
                <wp:wrapNone/>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10475" cy="1468755"/>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0;margin-top:-33.75pt;width:599.25pt;height:115.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" fillcolor="#124486" stroked="f" strokeweight="2pt">
                <v:path arrowok="t"/>
                <w10:wrap anchorx="page"/>
              </v:rect>
            </w:pict>
          </mc:Fallback>
        </mc:AlternateContent>
      </w:r>
      <w:r w:rsidR="00C52AF7">
        <w:t>Key Data</w:t>
      </w:r>
      <w:bookmarkEnd w:id="16"/>
    </w:p>
    <w:tbl>
      <w:tblPr>
        <w:tblW w:w="0" w:type="auto"/>
        <w:tblInd w:w="108" w:type="dxa"/>
        <w:tblBorders>
          <w:top w:val="single" w:sz="4" w:space="0" w:color="007FAD"/>
          <w:bottom w:val="single" w:sz="4" w:space="0" w:color="007FAD"/>
          <w:insideH w:val="single" w:sz="4" w:space="0" w:color="007FAD"/>
        </w:tblBorders>
        <w:tblLayout w:type="fixed"/>
        <w:tblCellMar>
          <w:top w:w="85" w:type="dxa"/>
          <w:bottom w:w="85" w:type="dxa"/>
        </w:tblCellMar>
        <w:tblLook w:val="01E0" w:firstRow="1" w:lastRow="1" w:firstColumn="1" w:lastColumn="1" w:noHBand="0" w:noVBand="0"/>
      </w:tblPr>
      <w:tblGrid>
        <w:gridCol w:w="6663"/>
        <w:gridCol w:w="2126"/>
      </w:tblGrid>
      <w:tr w:rsidR="00A90E50" w:rsidRPr="002E1C12" w:rsidTr="00561821">
        <w:tc>
          <w:tcPr>
            <w:tcW w:w="6663" w:type="dxa"/>
            <w:tcBorders>
              <w:bottom w:val="nil"/>
            </w:tcBorders>
            <w:shd w:val="clear" w:color="auto" w:fill="007FAD"/>
          </w:tcPr>
          <w:p w:rsidR="00A90E50" w:rsidRPr="002E1C12" w:rsidRDefault="00A90E50" w:rsidP="00D116C6">
            <w:pPr>
              <w:spacing w:before="0"/>
              <w:rPr>
                <w:color w:val="FFFFFF"/>
              </w:rPr>
            </w:pPr>
            <w:r>
              <w:rPr>
                <w:color w:val="FFFFFF"/>
              </w:rPr>
              <w:t>Key data</w:t>
            </w:r>
          </w:p>
        </w:tc>
        <w:tc>
          <w:tcPr>
            <w:tcW w:w="2126" w:type="dxa"/>
            <w:tcBorders>
              <w:bottom w:val="nil"/>
            </w:tcBorders>
            <w:shd w:val="clear" w:color="auto" w:fill="007FAD"/>
          </w:tcPr>
          <w:p w:rsidR="00A90E50" w:rsidRPr="002E1C12" w:rsidRDefault="00A90E50" w:rsidP="00D116C6">
            <w:pPr>
              <w:spacing w:before="0"/>
              <w:rPr>
                <w:color w:val="FFFFFF"/>
              </w:rPr>
            </w:pPr>
            <w:r>
              <w:rPr>
                <w:color w:val="FFFFFF"/>
              </w:rPr>
              <w:t xml:space="preserve"> </w:t>
            </w:r>
          </w:p>
        </w:tc>
      </w:tr>
      <w:tr w:rsidR="00A90E50" w:rsidRPr="00A90E50" w:rsidTr="00561821">
        <w:tc>
          <w:tcPr>
            <w:tcW w:w="6663" w:type="dxa"/>
            <w:tcBorders>
              <w:top w:val="nil"/>
              <w:bottom w:val="nil"/>
            </w:tcBorders>
            <w:shd w:val="clear" w:color="auto" w:fill="FFFFFF"/>
          </w:tcPr>
          <w:p w:rsidR="00A90E50" w:rsidRPr="00A90E50" w:rsidRDefault="00A90E50" w:rsidP="00A90E50">
            <w:pPr>
              <w:pStyle w:val="Bullet"/>
              <w:numPr>
                <w:ilvl w:val="0"/>
                <w:numId w:val="0"/>
              </w:numPr>
              <w:spacing w:before="0"/>
              <w:rPr>
                <w:b/>
              </w:rPr>
            </w:pPr>
            <w:proofErr w:type="spellStart"/>
            <w:r w:rsidRPr="00A90E50">
              <w:rPr>
                <w:b/>
              </w:rPr>
              <w:t>GoS</w:t>
            </w:r>
            <w:proofErr w:type="spellEnd"/>
          </w:p>
        </w:tc>
        <w:tc>
          <w:tcPr>
            <w:tcW w:w="2126" w:type="dxa"/>
            <w:tcBorders>
              <w:top w:val="nil"/>
              <w:bottom w:val="nil"/>
            </w:tcBorders>
            <w:shd w:val="clear" w:color="auto" w:fill="FFFFFF"/>
          </w:tcPr>
          <w:p w:rsidR="00A90E50" w:rsidRPr="00A90E50" w:rsidRDefault="00A90E50" w:rsidP="00A90E50">
            <w:pPr>
              <w:spacing w:before="0"/>
              <w:ind w:left="360"/>
              <w:jc w:val="right"/>
              <w:rPr>
                <w:b/>
              </w:rPr>
            </w:pPr>
          </w:p>
        </w:tc>
      </w:tr>
      <w:tr w:rsidR="00A90E50" w:rsidRPr="005729AB" w:rsidTr="00561821">
        <w:tc>
          <w:tcPr>
            <w:tcW w:w="6663" w:type="dxa"/>
            <w:tcBorders>
              <w:top w:val="nil"/>
              <w:bottom w:val="nil"/>
            </w:tcBorders>
            <w:shd w:val="clear" w:color="auto" w:fill="FFFFFF"/>
          </w:tcPr>
          <w:p w:rsidR="00A90E50" w:rsidRDefault="00A90E50" w:rsidP="00A17A72">
            <w:pPr>
              <w:pStyle w:val="Bullet"/>
              <w:spacing w:before="0"/>
            </w:pPr>
            <w:r>
              <w:t>Commenced considering establishing the SLJS</w:t>
            </w:r>
          </w:p>
        </w:tc>
        <w:tc>
          <w:tcPr>
            <w:tcW w:w="2126" w:type="dxa"/>
            <w:tcBorders>
              <w:top w:val="nil"/>
              <w:bottom w:val="nil"/>
            </w:tcBorders>
            <w:shd w:val="clear" w:color="auto" w:fill="FFFFFF"/>
          </w:tcPr>
          <w:p w:rsidR="00A90E50" w:rsidRPr="005729AB" w:rsidRDefault="00A90E50" w:rsidP="00A90E50">
            <w:pPr>
              <w:pStyle w:val="Bullet"/>
              <w:numPr>
                <w:ilvl w:val="0"/>
                <w:numId w:val="0"/>
              </w:numPr>
              <w:spacing w:before="0"/>
              <w:ind w:left="360"/>
              <w:jc w:val="right"/>
            </w:pPr>
            <w:r>
              <w:t>Early 2000s</w:t>
            </w:r>
          </w:p>
        </w:tc>
      </w:tr>
      <w:tr w:rsidR="00A90E50" w:rsidRPr="005729AB" w:rsidTr="00561821">
        <w:tc>
          <w:tcPr>
            <w:tcW w:w="6663" w:type="dxa"/>
            <w:tcBorders>
              <w:top w:val="nil"/>
              <w:bottom w:val="nil"/>
            </w:tcBorders>
            <w:shd w:val="clear" w:color="auto" w:fill="FFFFFF"/>
          </w:tcPr>
          <w:p w:rsidR="00A90E50" w:rsidRDefault="00A90E50" w:rsidP="00A17A72">
            <w:pPr>
              <w:pStyle w:val="Bullet"/>
              <w:spacing w:before="0"/>
            </w:pPr>
            <w:r>
              <w:t>CEO agreed to seek approval to establish the SLJS</w:t>
            </w:r>
          </w:p>
        </w:tc>
        <w:tc>
          <w:tcPr>
            <w:tcW w:w="2126" w:type="dxa"/>
            <w:tcBorders>
              <w:top w:val="nil"/>
              <w:bottom w:val="nil"/>
            </w:tcBorders>
            <w:shd w:val="clear" w:color="auto" w:fill="FFFFFF"/>
          </w:tcPr>
          <w:p w:rsidR="00A90E50" w:rsidRPr="005729AB" w:rsidRDefault="00A90E50" w:rsidP="00A90E50">
            <w:pPr>
              <w:pStyle w:val="Bullet"/>
              <w:numPr>
                <w:ilvl w:val="0"/>
                <w:numId w:val="0"/>
              </w:numPr>
              <w:spacing w:before="0"/>
              <w:ind w:left="360"/>
              <w:jc w:val="right"/>
            </w:pPr>
            <w:r>
              <w:t>13 April 2006</w:t>
            </w:r>
          </w:p>
        </w:tc>
      </w:tr>
      <w:tr w:rsidR="00A90E50" w:rsidRPr="005729AB" w:rsidTr="00561821">
        <w:tc>
          <w:tcPr>
            <w:tcW w:w="6663" w:type="dxa"/>
            <w:tcBorders>
              <w:top w:val="nil"/>
              <w:bottom w:val="nil"/>
            </w:tcBorders>
            <w:shd w:val="clear" w:color="auto" w:fill="FFFFFF"/>
          </w:tcPr>
          <w:p w:rsidR="00A90E50" w:rsidRDefault="00A90E50" w:rsidP="00A17A72">
            <w:pPr>
              <w:pStyle w:val="Bullet"/>
              <w:spacing w:before="0"/>
            </w:pPr>
            <w:r>
              <w:t>Established the SLJS</w:t>
            </w:r>
            <w:r w:rsidR="00561821">
              <w:t xml:space="preserve"> Secretariat</w:t>
            </w:r>
          </w:p>
        </w:tc>
        <w:tc>
          <w:tcPr>
            <w:tcW w:w="2126" w:type="dxa"/>
            <w:tcBorders>
              <w:top w:val="nil"/>
              <w:bottom w:val="nil"/>
            </w:tcBorders>
            <w:shd w:val="clear" w:color="auto" w:fill="FFFFFF"/>
          </w:tcPr>
          <w:p w:rsidR="00A90E50" w:rsidRPr="005729AB" w:rsidRDefault="00561821" w:rsidP="00A90E50">
            <w:pPr>
              <w:pStyle w:val="Bullet"/>
              <w:numPr>
                <w:ilvl w:val="0"/>
                <w:numId w:val="0"/>
              </w:numPr>
              <w:spacing w:before="0"/>
              <w:ind w:left="360"/>
              <w:jc w:val="right"/>
            </w:pPr>
            <w:r>
              <w:t>2009</w:t>
            </w:r>
          </w:p>
        </w:tc>
      </w:tr>
      <w:tr w:rsidR="00561821" w:rsidRPr="005729AB" w:rsidTr="00561821">
        <w:tc>
          <w:tcPr>
            <w:tcW w:w="6663" w:type="dxa"/>
            <w:tcBorders>
              <w:top w:val="nil"/>
              <w:bottom w:val="nil"/>
            </w:tcBorders>
            <w:shd w:val="clear" w:color="auto" w:fill="FFFFFF"/>
          </w:tcPr>
          <w:p w:rsidR="00561821" w:rsidRDefault="00561821" w:rsidP="00A17A72">
            <w:pPr>
              <w:pStyle w:val="Bullet"/>
              <w:spacing w:before="0"/>
            </w:pPr>
            <w:r>
              <w:t>SLJS expanded to include representatives of community and CSO</w:t>
            </w:r>
          </w:p>
        </w:tc>
        <w:tc>
          <w:tcPr>
            <w:tcW w:w="2126" w:type="dxa"/>
            <w:tcBorders>
              <w:top w:val="nil"/>
              <w:bottom w:val="nil"/>
            </w:tcBorders>
            <w:shd w:val="clear" w:color="auto" w:fill="FFFFFF"/>
          </w:tcPr>
          <w:p w:rsidR="00561821" w:rsidRDefault="00561821" w:rsidP="00A90E50">
            <w:pPr>
              <w:pStyle w:val="Bullet"/>
              <w:numPr>
                <w:ilvl w:val="0"/>
                <w:numId w:val="0"/>
              </w:numPr>
              <w:spacing w:before="0"/>
              <w:ind w:left="360"/>
              <w:jc w:val="right"/>
            </w:pPr>
            <w:r>
              <w:t>2009</w:t>
            </w:r>
          </w:p>
        </w:tc>
      </w:tr>
      <w:tr w:rsidR="00561821" w:rsidRPr="005729AB" w:rsidTr="00BF0FE1">
        <w:tc>
          <w:tcPr>
            <w:tcW w:w="6663" w:type="dxa"/>
            <w:tcBorders>
              <w:top w:val="nil"/>
              <w:bottom w:val="single" w:sz="4" w:space="0" w:color="4472C4"/>
            </w:tcBorders>
            <w:shd w:val="clear" w:color="auto" w:fill="FFFFFF"/>
          </w:tcPr>
          <w:p w:rsidR="00561821" w:rsidRDefault="00561821" w:rsidP="00A17A72">
            <w:pPr>
              <w:pStyle w:val="Bullet"/>
              <w:spacing w:before="0"/>
            </w:pPr>
            <w:proofErr w:type="spellStart"/>
            <w:r>
              <w:t>GoS</w:t>
            </w:r>
            <w:proofErr w:type="spellEnd"/>
            <w:r>
              <w:t xml:space="preserve"> commences fully funding the Secre</w:t>
            </w:r>
            <w:r w:rsidR="00977BED">
              <w:t>t</w:t>
            </w:r>
            <w:r>
              <w:t>ariat</w:t>
            </w:r>
          </w:p>
        </w:tc>
        <w:tc>
          <w:tcPr>
            <w:tcW w:w="2126" w:type="dxa"/>
            <w:tcBorders>
              <w:top w:val="nil"/>
              <w:bottom w:val="single" w:sz="4" w:space="0" w:color="4472C4"/>
            </w:tcBorders>
            <w:shd w:val="clear" w:color="auto" w:fill="FFFFFF"/>
          </w:tcPr>
          <w:p w:rsidR="00561821" w:rsidRDefault="00561821" w:rsidP="00A90E50">
            <w:pPr>
              <w:pStyle w:val="Bullet"/>
              <w:numPr>
                <w:ilvl w:val="0"/>
                <w:numId w:val="0"/>
              </w:numPr>
              <w:spacing w:before="0"/>
              <w:ind w:left="360"/>
              <w:jc w:val="right"/>
            </w:pPr>
            <w:r>
              <w:t>Oct 2012</w:t>
            </w:r>
          </w:p>
        </w:tc>
      </w:tr>
      <w:tr w:rsidR="00A90E50" w:rsidRPr="00A90E50" w:rsidTr="00BF0FE1">
        <w:tc>
          <w:tcPr>
            <w:tcW w:w="8789" w:type="dxa"/>
            <w:gridSpan w:val="2"/>
            <w:tcBorders>
              <w:top w:val="single" w:sz="4" w:space="0" w:color="4472C4"/>
              <w:bottom w:val="single" w:sz="4" w:space="0" w:color="FFFFFF"/>
              <w:right w:val="single" w:sz="4" w:space="0" w:color="FFFFFF"/>
            </w:tcBorders>
            <w:shd w:val="clear" w:color="auto" w:fill="FFFFFF"/>
          </w:tcPr>
          <w:p w:rsidR="00A90E50" w:rsidRPr="00A90E50" w:rsidRDefault="001612B4" w:rsidP="00A90E50">
            <w:pPr>
              <w:spacing w:before="0"/>
              <w:rPr>
                <w:b/>
              </w:rPr>
            </w:pPr>
            <w:r>
              <w:rPr>
                <w:b/>
              </w:rPr>
              <w:t>Australian Government</w:t>
            </w:r>
            <w:r w:rsidR="00A90E50" w:rsidRPr="00A90E50">
              <w:rPr>
                <w:b/>
              </w:rPr>
              <w:t xml:space="preserve"> support. </w:t>
            </w:r>
          </w:p>
        </w:tc>
      </w:tr>
      <w:tr w:rsidR="00A90E50" w:rsidRPr="005729AB" w:rsidTr="00561821">
        <w:tc>
          <w:tcPr>
            <w:tcW w:w="6663" w:type="dxa"/>
            <w:tcBorders>
              <w:top w:val="single" w:sz="4" w:space="0" w:color="FFFFFF"/>
              <w:bottom w:val="single" w:sz="4" w:space="0" w:color="FFFFFF"/>
              <w:right w:val="single" w:sz="4" w:space="0" w:color="FFFFFF"/>
            </w:tcBorders>
            <w:shd w:val="clear" w:color="auto" w:fill="FFFFFF"/>
          </w:tcPr>
          <w:p w:rsidR="00A90E50" w:rsidRPr="00B21B73" w:rsidRDefault="00A90E50" w:rsidP="00A17A72">
            <w:pPr>
              <w:pStyle w:val="Bullet"/>
              <w:spacing w:before="0"/>
            </w:pPr>
            <w:r>
              <w:t>Support to preparation stage commenced</w:t>
            </w:r>
          </w:p>
        </w:tc>
        <w:tc>
          <w:tcPr>
            <w:tcW w:w="2126" w:type="dxa"/>
            <w:tcBorders>
              <w:top w:val="single" w:sz="4" w:space="0" w:color="FFFFFF"/>
              <w:left w:val="single" w:sz="4" w:space="0" w:color="FFFFFF"/>
              <w:bottom w:val="single" w:sz="4" w:space="0" w:color="FFFFFF"/>
              <w:right w:val="single" w:sz="4" w:space="0" w:color="FFFFFF"/>
            </w:tcBorders>
            <w:shd w:val="clear" w:color="auto" w:fill="FFFFFF"/>
          </w:tcPr>
          <w:p w:rsidR="00A90E50" w:rsidRPr="005729AB" w:rsidRDefault="00A90E50" w:rsidP="00A90E50">
            <w:pPr>
              <w:spacing w:before="0"/>
              <w:ind w:left="360"/>
              <w:jc w:val="right"/>
            </w:pPr>
            <w:r>
              <w:t>2007</w:t>
            </w:r>
          </w:p>
        </w:tc>
      </w:tr>
      <w:tr w:rsidR="00A90E50" w:rsidRPr="005729AB" w:rsidTr="00561821">
        <w:tc>
          <w:tcPr>
            <w:tcW w:w="6663" w:type="dxa"/>
            <w:tcBorders>
              <w:top w:val="single" w:sz="4" w:space="0" w:color="FFFFFF"/>
              <w:bottom w:val="nil"/>
              <w:right w:val="single" w:sz="4" w:space="0" w:color="FFFFFF"/>
            </w:tcBorders>
            <w:shd w:val="clear" w:color="auto" w:fill="FFFFFF"/>
          </w:tcPr>
          <w:p w:rsidR="00A90E50" w:rsidRPr="00B21B73" w:rsidRDefault="00A90E50" w:rsidP="00A90E50">
            <w:pPr>
              <w:pStyle w:val="Bullet"/>
              <w:spacing w:before="0"/>
            </w:pPr>
            <w:r>
              <w:t>Support to SLJS 2008 – 2012 Strategic Plan implementation commenced</w:t>
            </w:r>
          </w:p>
        </w:tc>
        <w:tc>
          <w:tcPr>
            <w:tcW w:w="2126" w:type="dxa"/>
            <w:tcBorders>
              <w:top w:val="single" w:sz="4" w:space="0" w:color="FFFFFF"/>
              <w:left w:val="single" w:sz="4" w:space="0" w:color="FFFFFF"/>
              <w:bottom w:val="nil"/>
              <w:right w:val="single" w:sz="4" w:space="0" w:color="FFFFFF"/>
            </w:tcBorders>
            <w:shd w:val="clear" w:color="auto" w:fill="FFFFFF"/>
          </w:tcPr>
          <w:p w:rsidR="00A90E50" w:rsidRPr="005729AB" w:rsidRDefault="00A90E50" w:rsidP="00BF0FE1">
            <w:pPr>
              <w:spacing w:before="0"/>
              <w:ind w:left="360"/>
              <w:jc w:val="right"/>
            </w:pPr>
            <w:r>
              <w:t>2008</w:t>
            </w:r>
          </w:p>
        </w:tc>
      </w:tr>
      <w:tr w:rsidR="00A90E50" w:rsidRPr="005729AB" w:rsidTr="00561821">
        <w:tc>
          <w:tcPr>
            <w:tcW w:w="6663" w:type="dxa"/>
            <w:tcBorders>
              <w:top w:val="single" w:sz="4" w:space="0" w:color="FFFFFF"/>
              <w:bottom w:val="nil"/>
              <w:right w:val="single" w:sz="4" w:space="0" w:color="FFFFFF"/>
            </w:tcBorders>
            <w:shd w:val="clear" w:color="auto" w:fill="FFFFFF"/>
          </w:tcPr>
          <w:p w:rsidR="00A90E50" w:rsidRPr="00B21B73" w:rsidRDefault="00A90E50" w:rsidP="00D116C6">
            <w:pPr>
              <w:pStyle w:val="Bullet"/>
              <w:spacing w:before="0"/>
            </w:pPr>
            <w:r>
              <w:t>Support to SLJS 2012 – 2016 Strategic Plan implementation commenced</w:t>
            </w:r>
          </w:p>
        </w:tc>
        <w:tc>
          <w:tcPr>
            <w:tcW w:w="2126" w:type="dxa"/>
            <w:tcBorders>
              <w:top w:val="single" w:sz="4" w:space="0" w:color="FFFFFF"/>
              <w:left w:val="single" w:sz="4" w:space="0" w:color="FFFFFF"/>
              <w:bottom w:val="nil"/>
              <w:right w:val="single" w:sz="4" w:space="0" w:color="FFFFFF"/>
            </w:tcBorders>
            <w:shd w:val="clear" w:color="auto" w:fill="FFFFFF"/>
          </w:tcPr>
          <w:p w:rsidR="00A90E50" w:rsidRPr="005729AB" w:rsidRDefault="00A90E50" w:rsidP="00A90E50">
            <w:pPr>
              <w:spacing w:before="0"/>
              <w:ind w:left="360"/>
              <w:jc w:val="right"/>
            </w:pPr>
            <w:r>
              <w:t>May 2012</w:t>
            </w:r>
          </w:p>
        </w:tc>
      </w:tr>
      <w:tr w:rsidR="00A90E50" w:rsidRPr="00A17A72" w:rsidTr="00561821">
        <w:tc>
          <w:tcPr>
            <w:tcW w:w="6663" w:type="dxa"/>
            <w:tcBorders>
              <w:top w:val="nil"/>
              <w:bottom w:val="nil"/>
              <w:right w:val="nil"/>
            </w:tcBorders>
            <w:shd w:val="clear" w:color="auto" w:fill="FFFFFF"/>
          </w:tcPr>
          <w:p w:rsidR="00A90E50" w:rsidRPr="00A17A72" w:rsidRDefault="00561821" w:rsidP="00561821">
            <w:pPr>
              <w:pStyle w:val="Bullet"/>
              <w:spacing w:before="0"/>
            </w:pPr>
            <w:r>
              <w:t>Design for support to 2012 – 2016 Strategic Plan commences</w:t>
            </w:r>
          </w:p>
        </w:tc>
        <w:tc>
          <w:tcPr>
            <w:tcW w:w="2126" w:type="dxa"/>
            <w:tcBorders>
              <w:top w:val="nil"/>
              <w:left w:val="nil"/>
              <w:bottom w:val="nil"/>
              <w:right w:val="nil"/>
            </w:tcBorders>
            <w:shd w:val="clear" w:color="auto" w:fill="FFFFFF"/>
          </w:tcPr>
          <w:p w:rsidR="00A90E50" w:rsidRDefault="00561821" w:rsidP="00A90E50">
            <w:pPr>
              <w:spacing w:before="0"/>
              <w:ind w:left="360"/>
              <w:jc w:val="right"/>
            </w:pPr>
            <w:r>
              <w:t>Mar 2013</w:t>
            </w:r>
          </w:p>
        </w:tc>
      </w:tr>
      <w:tr w:rsidR="00561821" w:rsidRPr="00A17A72" w:rsidTr="00BF0FE1">
        <w:tc>
          <w:tcPr>
            <w:tcW w:w="6663" w:type="dxa"/>
            <w:tcBorders>
              <w:top w:val="nil"/>
              <w:bottom w:val="nil"/>
              <w:right w:val="nil"/>
            </w:tcBorders>
            <w:shd w:val="clear" w:color="auto" w:fill="FFFFFF"/>
          </w:tcPr>
          <w:p w:rsidR="00561821" w:rsidRPr="00A17A72" w:rsidRDefault="00561821" w:rsidP="00561821">
            <w:pPr>
              <w:pStyle w:val="Bullet"/>
              <w:spacing w:before="0"/>
            </w:pPr>
            <w:r>
              <w:t>Design for support to 2012 – 2016 Strategic Plan ceases</w:t>
            </w:r>
          </w:p>
        </w:tc>
        <w:tc>
          <w:tcPr>
            <w:tcW w:w="2126" w:type="dxa"/>
            <w:tcBorders>
              <w:top w:val="nil"/>
              <w:left w:val="nil"/>
              <w:bottom w:val="nil"/>
              <w:right w:val="nil"/>
            </w:tcBorders>
            <w:shd w:val="clear" w:color="auto" w:fill="FFFFFF"/>
          </w:tcPr>
          <w:p w:rsidR="00561821" w:rsidRDefault="00561821" w:rsidP="00BF0FE1">
            <w:pPr>
              <w:spacing w:before="0"/>
              <w:ind w:left="360"/>
              <w:jc w:val="right"/>
            </w:pPr>
            <w:r>
              <w:t>Jun 2013</w:t>
            </w:r>
          </w:p>
        </w:tc>
      </w:tr>
      <w:tr w:rsidR="00A90E50" w:rsidRPr="00A17A72" w:rsidTr="00BF0FE1">
        <w:tc>
          <w:tcPr>
            <w:tcW w:w="6663" w:type="dxa"/>
            <w:tcBorders>
              <w:top w:val="nil"/>
              <w:bottom w:val="single" w:sz="4" w:space="0" w:color="4472C4"/>
              <w:right w:val="nil"/>
            </w:tcBorders>
            <w:shd w:val="clear" w:color="auto" w:fill="FFFFFF"/>
          </w:tcPr>
          <w:p w:rsidR="00A90E50" w:rsidRPr="00A17A72" w:rsidRDefault="00A90E50" w:rsidP="00BF0FE1">
            <w:pPr>
              <w:pStyle w:val="Bullet"/>
              <w:spacing w:before="0"/>
            </w:pPr>
            <w:r w:rsidRPr="00A17A72">
              <w:t xml:space="preserve">Support to SLJS finished. </w:t>
            </w:r>
          </w:p>
        </w:tc>
        <w:tc>
          <w:tcPr>
            <w:tcW w:w="2126" w:type="dxa"/>
            <w:tcBorders>
              <w:top w:val="nil"/>
              <w:left w:val="nil"/>
              <w:bottom w:val="single" w:sz="4" w:space="0" w:color="4472C4"/>
              <w:right w:val="nil"/>
            </w:tcBorders>
            <w:shd w:val="clear" w:color="auto" w:fill="FFFFFF"/>
          </w:tcPr>
          <w:p w:rsidR="00A90E50" w:rsidRPr="00A17A72" w:rsidRDefault="00A90E50" w:rsidP="00A90E50">
            <w:pPr>
              <w:spacing w:before="0"/>
              <w:ind w:left="360"/>
              <w:jc w:val="right"/>
            </w:pPr>
            <w:r>
              <w:t>31 Dec 2014</w:t>
            </w:r>
          </w:p>
        </w:tc>
      </w:tr>
      <w:tr w:rsidR="00A90E50" w:rsidRPr="005729AB" w:rsidTr="00BF0FE1">
        <w:tc>
          <w:tcPr>
            <w:tcW w:w="6663" w:type="dxa"/>
            <w:tcBorders>
              <w:top w:val="single" w:sz="4" w:space="0" w:color="4472C4"/>
              <w:bottom w:val="single" w:sz="4" w:space="0" w:color="007FAD"/>
            </w:tcBorders>
            <w:shd w:val="clear" w:color="auto" w:fill="FFFFFF"/>
          </w:tcPr>
          <w:p w:rsidR="00A90E50" w:rsidRPr="00A90E50" w:rsidRDefault="00A90E50" w:rsidP="001612B4">
            <w:pPr>
              <w:pStyle w:val="Bullet"/>
              <w:numPr>
                <w:ilvl w:val="0"/>
                <w:numId w:val="0"/>
              </w:numPr>
              <w:spacing w:before="0"/>
              <w:rPr>
                <w:b/>
              </w:rPr>
            </w:pPr>
            <w:r w:rsidRPr="00A90E50">
              <w:rPr>
                <w:b/>
              </w:rPr>
              <w:t xml:space="preserve">Total </w:t>
            </w:r>
            <w:r w:rsidR="001612B4">
              <w:rPr>
                <w:b/>
              </w:rPr>
              <w:t>Australian Government</w:t>
            </w:r>
            <w:r w:rsidRPr="00A90E50">
              <w:rPr>
                <w:b/>
              </w:rPr>
              <w:t xml:space="preserve"> contribution to initiative</w:t>
            </w:r>
          </w:p>
        </w:tc>
        <w:tc>
          <w:tcPr>
            <w:tcW w:w="2126" w:type="dxa"/>
            <w:tcBorders>
              <w:top w:val="single" w:sz="4" w:space="0" w:color="4472C4"/>
              <w:bottom w:val="single" w:sz="4" w:space="0" w:color="007FAD"/>
            </w:tcBorders>
            <w:shd w:val="clear" w:color="auto" w:fill="FFFFFF"/>
          </w:tcPr>
          <w:p w:rsidR="00A90E50" w:rsidRPr="005729AB" w:rsidRDefault="00A90E50" w:rsidP="00A90E50">
            <w:pPr>
              <w:spacing w:before="0"/>
              <w:ind w:left="360"/>
              <w:jc w:val="right"/>
            </w:pPr>
            <w:r>
              <w:t>$3.99m</w:t>
            </w:r>
          </w:p>
        </w:tc>
      </w:tr>
    </w:tbl>
    <w:p w:rsidR="00561821" w:rsidRDefault="00561821" w:rsidP="00561821">
      <w:pPr>
        <w:rPr>
          <w:i/>
          <w:szCs w:val="48"/>
        </w:rPr>
      </w:pPr>
    </w:p>
    <w:p w:rsidR="00561821" w:rsidRPr="00561821" w:rsidRDefault="00561821" w:rsidP="0056182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EEAF6"/>
        <w:rPr>
          <w:i/>
          <w:sz w:val="20"/>
          <w:szCs w:val="20"/>
        </w:rPr>
      </w:pPr>
      <w:r w:rsidRPr="00561821">
        <w:rPr>
          <w:i/>
          <w:szCs w:val="48"/>
        </w:rPr>
        <w:t xml:space="preserve">“The sector is the best thing that </w:t>
      </w:r>
      <w:r w:rsidRPr="00954D59">
        <w:rPr>
          <w:i/>
          <w:szCs w:val="48"/>
        </w:rPr>
        <w:t>happened</w:t>
      </w:r>
      <w:r w:rsidRPr="00561821">
        <w:rPr>
          <w:i/>
          <w:szCs w:val="48"/>
        </w:rPr>
        <w:t xml:space="preserve"> to us. I can just call up (other CEOs) and what we need</w:t>
      </w:r>
      <w:r w:rsidR="00954D59">
        <w:rPr>
          <w:i/>
          <w:szCs w:val="48"/>
        </w:rPr>
        <w:t>,</w:t>
      </w:r>
      <w:r w:rsidRPr="00561821">
        <w:rPr>
          <w:i/>
          <w:szCs w:val="48"/>
        </w:rPr>
        <w:t xml:space="preserve"> will be done. </w:t>
      </w:r>
      <w:r w:rsidRPr="00561821">
        <w:rPr>
          <w:i/>
          <w:szCs w:val="48"/>
        </w:rPr>
        <w:br/>
      </w:r>
      <w:r w:rsidRPr="00561821">
        <w:rPr>
          <w:i/>
          <w:szCs w:val="48"/>
        </w:rPr>
        <w:br/>
        <w:t xml:space="preserve">Even if we don’t get any more funds from donors, we need to continue to enhance the close working relationships we have now established. </w:t>
      </w:r>
      <w:r w:rsidRPr="00561821">
        <w:rPr>
          <w:i/>
          <w:szCs w:val="48"/>
        </w:rPr>
        <w:br/>
      </w:r>
      <w:r w:rsidRPr="00561821">
        <w:rPr>
          <w:i/>
          <w:szCs w:val="48"/>
        </w:rPr>
        <w:br/>
        <w:t>You can’t put a monetary value on that”.</w:t>
      </w:r>
      <w:r w:rsidRPr="00561821">
        <w:rPr>
          <w:i/>
          <w:szCs w:val="48"/>
        </w:rPr>
        <w:br/>
      </w:r>
      <w:r w:rsidRPr="00561821">
        <w:rPr>
          <w:i/>
          <w:sz w:val="20"/>
          <w:szCs w:val="20"/>
        </w:rPr>
        <w:t xml:space="preserve">                                                         </w:t>
      </w:r>
      <w:r w:rsidR="00BD665F">
        <w:rPr>
          <w:i/>
          <w:sz w:val="20"/>
          <w:szCs w:val="20"/>
        </w:rPr>
        <w:t xml:space="preserve">                                                                                      </w:t>
      </w:r>
      <w:r w:rsidRPr="00561821">
        <w:rPr>
          <w:i/>
          <w:sz w:val="20"/>
          <w:szCs w:val="20"/>
        </w:rPr>
        <w:t>Quote from a CEO in the SLJS</w:t>
      </w:r>
    </w:p>
    <w:p w:rsidR="00561821" w:rsidRPr="00561821" w:rsidRDefault="00561821" w:rsidP="00561821">
      <w:pPr>
        <w:pStyle w:val="BodyText1"/>
        <w:pBdr>
          <w:top w:val="single" w:sz="4" w:space="1" w:color="auto"/>
          <w:left w:val="single" w:sz="4" w:space="1" w:color="auto"/>
          <w:bottom w:val="single" w:sz="4" w:space="1" w:color="auto"/>
          <w:right w:val="single" w:sz="4" w:space="1" w:color="auto"/>
        </w:pBdr>
        <w:rPr>
          <w:sz w:val="20"/>
          <w:szCs w:val="20"/>
        </w:rPr>
        <w:sectPr w:rsidR="00561821" w:rsidRPr="00561821" w:rsidSect="00561821">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576" w:footer="576" w:gutter="0"/>
          <w:pgNumType w:fmt="lowerRoman"/>
          <w:cols w:space="720"/>
          <w:titlePg/>
        </w:sectPr>
      </w:pPr>
    </w:p>
    <w:bookmarkStart w:id="17" w:name="_Toc431828753"/>
    <w:p w:rsidR="00C52AF7" w:rsidRDefault="00DF2B6A" w:rsidP="00C52AF7">
      <w:pPr>
        <w:pStyle w:val="Heading1notnumbered"/>
      </w:pPr>
      <w:r>
        <w:rPr>
          <w:lang w:val="en-AU" w:eastAsia="en-AU"/>
        </w:rPr>
        <w:lastRenderedPageBreak/>
        <mc:AlternateContent>
          <mc:Choice Requires="wps">
            <w:drawing>
              <wp:anchor distT="0" distB="0" distL="114300" distR="114300" simplePos="0" relativeHeight="251664384" behindDoc="1" locked="0" layoutInCell="1" allowOverlap="1" wp14:anchorId="476F3B31" wp14:editId="113E8FB6">
                <wp:simplePos x="0" y="0"/>
                <wp:positionH relativeFrom="page">
                  <wp:posOffset>0</wp:posOffset>
                </wp:positionH>
                <wp:positionV relativeFrom="paragraph">
                  <wp:posOffset>-320675</wp:posOffset>
                </wp:positionV>
                <wp:extent cx="7610475" cy="1468755"/>
                <wp:effectExtent l="0" t="0" r="9525" b="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10475" cy="1468755"/>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0;margin-top:-25.25pt;width:599.25pt;height:115.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" fillcolor="#124486" stroked="f" strokeweight="2pt">
                <v:path arrowok="t"/>
                <w10:wrap anchorx="page"/>
              </v:rect>
            </w:pict>
          </mc:Fallback>
        </mc:AlternateContent>
      </w:r>
      <w:r w:rsidR="00C52AF7">
        <w:t>Executive Summary</w:t>
      </w:r>
      <w:bookmarkEnd w:id="17"/>
    </w:p>
    <w:p w:rsidR="000526C2" w:rsidRDefault="00544914" w:rsidP="00D14785">
      <w:pPr>
        <w:spacing w:before="160" w:line="233" w:lineRule="auto"/>
      </w:pPr>
      <w:r>
        <w:t xml:space="preserve">This report sets out the </w:t>
      </w:r>
      <w:r w:rsidR="004E1574">
        <w:t xml:space="preserve">findings of </w:t>
      </w:r>
      <w:r w:rsidR="000526C2">
        <w:t>the independent</w:t>
      </w:r>
      <w:r w:rsidR="004E1574">
        <w:t xml:space="preserve"> review of Australia’s aid funding to the Samoa Law </w:t>
      </w:r>
      <w:smartTag w:uri="urn:schemas-microsoft-com:office:smarttags" w:element="PersonName">
        <w:r w:rsidR="004E1574">
          <w:t>and</w:t>
        </w:r>
      </w:smartTag>
      <w:r w:rsidR="004E1574">
        <w:t xml:space="preserve"> Justice Sector between 2008 </w:t>
      </w:r>
      <w:smartTag w:uri="urn:schemas-microsoft-com:office:smarttags" w:element="PersonName">
        <w:r w:rsidR="004E1574">
          <w:t>and</w:t>
        </w:r>
      </w:smartTag>
      <w:r w:rsidR="004E1574">
        <w:t xml:space="preserve"> 2014.</w:t>
      </w:r>
      <w:r w:rsidR="000526C2">
        <w:t xml:space="preserve"> The review focusses on the effectiveness of support. In addition, the review considers efficiency, relevance, sustainability and lessons learnt. </w:t>
      </w:r>
    </w:p>
    <w:p w:rsidR="004E1574" w:rsidRDefault="004E1574" w:rsidP="00D14785">
      <w:pPr>
        <w:spacing w:before="160" w:line="233" w:lineRule="auto"/>
      </w:pPr>
      <w:r>
        <w:t xml:space="preserve">Samoa had been considering establishing a </w:t>
      </w:r>
      <w:r w:rsidR="000526C2">
        <w:t>law and justice sector</w:t>
      </w:r>
      <w:r w:rsidR="000526C2" w:rsidRPr="00CE17CE">
        <w:t xml:space="preserve"> </w:t>
      </w:r>
      <w:r>
        <w:t xml:space="preserve">since the early 2000s. </w:t>
      </w:r>
      <w:r w:rsidR="00CE17CE">
        <w:t xml:space="preserve">However, establishment did not progress until 2007 when a series of workshops defined the sector. In 2008, the Governments of Samoa and Australia entered into a Partnership for </w:t>
      </w:r>
      <w:r w:rsidR="00611D65">
        <w:t>Development that</w:t>
      </w:r>
      <w:r w:rsidR="00CE17CE">
        <w:t xml:space="preserve"> sought to improve</w:t>
      </w:r>
      <w:r w:rsidR="00CE17CE" w:rsidRPr="00CE17CE">
        <w:t xml:space="preserve"> governance </w:t>
      </w:r>
      <w:r w:rsidR="000542D9">
        <w:t>by</w:t>
      </w:r>
      <w:r w:rsidR="00CE17CE" w:rsidRPr="00CE17CE">
        <w:t xml:space="preserve"> supporting an integrated approach to policing and </w:t>
      </w:r>
      <w:r w:rsidR="000526C2">
        <w:t>law</w:t>
      </w:r>
      <w:r w:rsidR="000C6EAE">
        <w:t>,</w:t>
      </w:r>
      <w:r w:rsidR="000526C2">
        <w:t xml:space="preserve"> and justice sector</w:t>
      </w:r>
      <w:r w:rsidR="00CE17CE" w:rsidRPr="00CE17CE">
        <w:t xml:space="preserve"> reform.</w:t>
      </w:r>
      <w:r w:rsidR="00CE17CE">
        <w:t xml:space="preserve"> </w:t>
      </w:r>
      <w:r w:rsidR="00611D65">
        <w:t xml:space="preserve">Subsequently, </w:t>
      </w:r>
      <w:r w:rsidR="00E2574E">
        <w:t>the Australian Government</w:t>
      </w:r>
      <w:r w:rsidR="00611D65">
        <w:t xml:space="preserve"> supported Samoa develop their first </w:t>
      </w:r>
      <w:r w:rsidR="000526C2">
        <w:t>Samoa law and justice sector</w:t>
      </w:r>
      <w:r w:rsidR="000526C2" w:rsidRPr="00CE17CE">
        <w:t xml:space="preserve"> </w:t>
      </w:r>
      <w:r w:rsidR="000526C2">
        <w:t>(S</w:t>
      </w:r>
      <w:r w:rsidR="00611D65">
        <w:t>LJS</w:t>
      </w:r>
      <w:r w:rsidR="000526C2">
        <w:t>)</w:t>
      </w:r>
      <w:r w:rsidR="00611D65">
        <w:t xml:space="preserve"> Strategic Plan. Samoa established a Steering Committee to </w:t>
      </w:r>
      <w:r w:rsidR="00611D65" w:rsidRPr="00611D65">
        <w:t>estab</w:t>
      </w:r>
      <w:r w:rsidR="000526C2">
        <w:t>lish</w:t>
      </w:r>
      <w:r w:rsidR="00611D65" w:rsidRPr="00611D65">
        <w:t xml:space="preserve"> </w:t>
      </w:r>
      <w:smartTag w:uri="urn:schemas-microsoft-com:office:smarttags" w:element="PersonName">
        <w:r w:rsidR="00611D65">
          <w:t>and</w:t>
        </w:r>
      </w:smartTag>
      <w:r w:rsidR="000526C2">
        <w:t xml:space="preserve"> implement</w:t>
      </w:r>
      <w:r w:rsidR="00611D65">
        <w:t xml:space="preserve"> </w:t>
      </w:r>
      <w:r w:rsidR="00611D65" w:rsidRPr="00611D65">
        <w:t xml:space="preserve">the </w:t>
      </w:r>
      <w:r w:rsidR="000526C2">
        <w:t>S</w:t>
      </w:r>
      <w:r w:rsidR="00611D65" w:rsidRPr="00611D65">
        <w:t>LJS.</w:t>
      </w:r>
    </w:p>
    <w:p w:rsidR="00611D65" w:rsidRDefault="000C6EAE" w:rsidP="00D14785">
      <w:pPr>
        <w:spacing w:before="160" w:line="233" w:lineRule="auto"/>
      </w:pPr>
      <w:r>
        <w:t>The SLJS developed a</w:t>
      </w:r>
      <w:r w:rsidR="00611D65">
        <w:t xml:space="preserve"> second Sector Plan for the period 2012 – 2016. </w:t>
      </w:r>
      <w:r>
        <w:t>This included a</w:t>
      </w:r>
      <w:r w:rsidR="000526C2">
        <w:t xml:space="preserve"> monitoring and evaluation (M&amp;E)</w:t>
      </w:r>
      <w:r w:rsidR="00611D65">
        <w:t xml:space="preserve"> Framework to </w:t>
      </w:r>
      <w:r w:rsidR="000526C2">
        <w:t>monitor</w:t>
      </w:r>
      <w:r w:rsidR="00611D65">
        <w:t xml:space="preserve"> implementation of the Sector Plan </w:t>
      </w:r>
      <w:smartTag w:uri="urn:schemas-microsoft-com:office:smarttags" w:element="PersonName">
        <w:r w:rsidR="00611D65">
          <w:t>and</w:t>
        </w:r>
      </w:smartTag>
      <w:r w:rsidR="00611D65">
        <w:t xml:space="preserve"> progress towards </w:t>
      </w:r>
      <w:r w:rsidR="00942940">
        <w:t xml:space="preserve">achievement of </w:t>
      </w:r>
      <w:r w:rsidR="00611D65">
        <w:t xml:space="preserve">the goal. </w:t>
      </w:r>
      <w:smartTag w:uri="urn:schemas-microsoft-com:office:smarttags" w:element="country-region">
        <w:r w:rsidR="00611D65">
          <w:t>Australia</w:t>
        </w:r>
      </w:smartTag>
      <w:r w:rsidR="00611D65">
        <w:t xml:space="preserve"> continued to provide </w:t>
      </w:r>
      <w:smartTag w:uri="urn:schemas-microsoft-com:office:smarttags" w:element="place">
        <w:r w:rsidR="00611D65">
          <w:t>Samoa</w:t>
        </w:r>
      </w:smartTag>
      <w:r w:rsidR="00611D65">
        <w:t xml:space="preserve"> support to implement this Sector Plan. In 2013, a design mission was undertaken to design Australia’s support to the </w:t>
      </w:r>
      <w:r w:rsidR="00977BED">
        <w:t>S</w:t>
      </w:r>
      <w:r w:rsidR="00611D65">
        <w:t xml:space="preserve">LJS for implementation of this second Sector Plan. </w:t>
      </w:r>
      <w:r w:rsidR="007F40C5">
        <w:t xml:space="preserve">The purpose of this design mission was poorly understood in </w:t>
      </w:r>
      <w:smartTag w:uri="urn:schemas-microsoft-com:office:smarttags" w:element="place">
        <w:r w:rsidR="007F40C5">
          <w:t>Samoa</w:t>
        </w:r>
      </w:smartTag>
      <w:r w:rsidR="007F40C5">
        <w:t xml:space="preserve">, </w:t>
      </w:r>
      <w:smartTag w:uri="urn:schemas-microsoft-com:office:smarttags" w:element="PersonName">
        <w:r w:rsidR="007F40C5">
          <w:t>and</w:t>
        </w:r>
      </w:smartTag>
      <w:r w:rsidR="007F40C5">
        <w:t xml:space="preserve"> the design was never finalised or approved. Funding finished in December 2014. </w:t>
      </w:r>
    </w:p>
    <w:p w:rsidR="00C52AF7" w:rsidRDefault="000526C2" w:rsidP="00D14785">
      <w:pPr>
        <w:spacing w:before="160" w:line="233" w:lineRule="auto"/>
      </w:pPr>
      <w:r>
        <w:t>This</w:t>
      </w:r>
      <w:r w:rsidR="007F40C5">
        <w:t xml:space="preserve"> review </w:t>
      </w:r>
      <w:r>
        <w:t>established a T</w:t>
      </w:r>
      <w:r w:rsidR="007F40C5">
        <w:t>heory of Change (</w:t>
      </w:r>
      <w:proofErr w:type="spellStart"/>
      <w:r w:rsidR="007F40C5">
        <w:t>ToC</w:t>
      </w:r>
      <w:proofErr w:type="spellEnd"/>
      <w:r w:rsidR="007F40C5">
        <w:t>)</w:t>
      </w:r>
      <w:r>
        <w:t xml:space="preserve"> underpinning the provision of support to the SLJS and a second </w:t>
      </w:r>
      <w:proofErr w:type="spellStart"/>
      <w:r>
        <w:t>ToC</w:t>
      </w:r>
      <w:proofErr w:type="spellEnd"/>
      <w:r>
        <w:t xml:space="preserve"> </w:t>
      </w:r>
      <w:r w:rsidR="007F40C5">
        <w:t xml:space="preserve">underpinning the </w:t>
      </w:r>
      <w:r w:rsidR="00C52AF7">
        <w:t>S</w:t>
      </w:r>
      <w:r w:rsidR="007F40C5">
        <w:t xml:space="preserve">LJS Strategic Plan (Appendix </w:t>
      </w:r>
      <w:r w:rsidR="008D7761">
        <w:t>F</w:t>
      </w:r>
      <w:r w:rsidR="007F40C5">
        <w:t xml:space="preserve">). These </w:t>
      </w:r>
      <w:proofErr w:type="spellStart"/>
      <w:r w:rsidR="007F40C5">
        <w:t>ToC</w:t>
      </w:r>
      <w:proofErr w:type="spellEnd"/>
      <w:r w:rsidR="007F40C5">
        <w:t xml:space="preserve"> </w:t>
      </w:r>
      <w:r w:rsidR="00C52AF7">
        <w:t>were</w:t>
      </w:r>
      <w:r w:rsidR="007F40C5">
        <w:t xml:space="preserve"> tested</w:t>
      </w:r>
      <w:r w:rsidR="00C52AF7">
        <w:t xml:space="preserve"> and refined</w:t>
      </w:r>
      <w:r w:rsidR="007F40C5">
        <w:t xml:space="preserve"> in the field. </w:t>
      </w:r>
      <w:r w:rsidR="00C52AF7">
        <w:t xml:space="preserve">The </w:t>
      </w:r>
      <w:r w:rsidR="000C6EAE">
        <w:t>fieldwork</w:t>
      </w:r>
      <w:r w:rsidR="00C52AF7">
        <w:t xml:space="preserve"> comprised interviewing</w:t>
      </w:r>
      <w:r w:rsidR="00977BED">
        <w:t xml:space="preserve"> </w:t>
      </w:r>
      <w:r w:rsidR="00C52AF7">
        <w:t xml:space="preserve">100 stakeholders from over 30 different stakeholder groups, reviewing additional documents and analysing this data and a limited amount of quantitative data. The </w:t>
      </w:r>
      <w:r w:rsidR="000C6EAE">
        <w:t xml:space="preserve">review team </w:t>
      </w:r>
      <w:r w:rsidR="00C52AF7">
        <w:t xml:space="preserve">reported </w:t>
      </w:r>
      <w:r w:rsidR="000C6EAE">
        <w:t xml:space="preserve">the findings </w:t>
      </w:r>
      <w:r w:rsidR="00C52AF7">
        <w:t xml:space="preserve">and </w:t>
      </w:r>
      <w:r w:rsidR="000C6EAE">
        <w:t xml:space="preserve">provided </w:t>
      </w:r>
      <w:r w:rsidR="00C52AF7">
        <w:t xml:space="preserve">an aide memoire to the Steering Committee at the completion of the </w:t>
      </w:r>
      <w:r w:rsidR="000C6EAE">
        <w:t>fieldwork</w:t>
      </w:r>
      <w:r w:rsidR="00C52AF7">
        <w:t xml:space="preserve">. </w:t>
      </w:r>
      <w:r w:rsidR="00081E87">
        <w:t xml:space="preserve">The review team provided the Steering Committee and </w:t>
      </w:r>
      <w:r w:rsidR="00FF071F">
        <w:t>the Australian Government</w:t>
      </w:r>
      <w:r w:rsidR="00081E87">
        <w:t xml:space="preserve"> a copy of the draft report and incorporated comments </w:t>
      </w:r>
      <w:r w:rsidR="00C52AF7">
        <w:t xml:space="preserve">into </w:t>
      </w:r>
      <w:r w:rsidR="00081E87">
        <w:t xml:space="preserve">this </w:t>
      </w:r>
      <w:r w:rsidR="00C52AF7">
        <w:t xml:space="preserve">report.  </w:t>
      </w:r>
    </w:p>
    <w:p w:rsidR="000526C2" w:rsidRDefault="00C52AF7" w:rsidP="00D14785">
      <w:pPr>
        <w:spacing w:before="160" w:line="233" w:lineRule="auto"/>
      </w:pPr>
      <w:r>
        <w:t>This review found that f</w:t>
      </w:r>
      <w:r w:rsidR="000526C2">
        <w:t xml:space="preserve">unding to support Samoa establish the SLJS and implement the SLJS Strategic Plans has been effective despite </w:t>
      </w:r>
      <w:r w:rsidR="001612B4">
        <w:t xml:space="preserve">the </w:t>
      </w:r>
      <w:r w:rsidR="00E2574E">
        <w:t xml:space="preserve">Australian Government </w:t>
      </w:r>
      <w:r w:rsidR="000526C2">
        <w:t xml:space="preserve">not clearly defining expected outcomes and the Agreement specifying inappropriate indicators. With the Australian investment of </w:t>
      </w:r>
      <w:r w:rsidR="00942940">
        <w:t>AUD</w:t>
      </w:r>
      <w:r w:rsidR="000526C2">
        <w:t>$3.699m, Samoa achieved a number of significant outcomes</w:t>
      </w:r>
      <w:r w:rsidR="00D14785">
        <w:t xml:space="preserve"> including:</w:t>
      </w:r>
    </w:p>
    <w:p w:rsidR="000526C2" w:rsidRDefault="000526C2" w:rsidP="00D14785">
      <w:pPr>
        <w:pStyle w:val="Bullet"/>
        <w:spacing w:before="40" w:line="228" w:lineRule="auto"/>
        <w:ind w:left="357" w:hanging="357"/>
      </w:pPr>
      <w:r>
        <w:t xml:space="preserve">Sustainably establish the SLJS. The SLJS continued to function after </w:t>
      </w:r>
      <w:r w:rsidR="001612B4">
        <w:t>Australian Government</w:t>
      </w:r>
      <w:r>
        <w:t xml:space="preserve"> funding ceased. </w:t>
      </w:r>
    </w:p>
    <w:p w:rsidR="000526C2" w:rsidRDefault="000526C2" w:rsidP="00D14785">
      <w:pPr>
        <w:pStyle w:val="Bullet"/>
        <w:spacing w:before="40" w:line="228" w:lineRule="auto"/>
        <w:ind w:left="357" w:hanging="357"/>
      </w:pPr>
      <w:r>
        <w:t>Significantly increase harmonisation of the traditional and formal legal system</w:t>
      </w:r>
      <w:r w:rsidR="008644D1">
        <w:t>s</w:t>
      </w:r>
      <w:r>
        <w:t xml:space="preserve">. </w:t>
      </w:r>
    </w:p>
    <w:p w:rsidR="000526C2" w:rsidRDefault="000526C2" w:rsidP="00D14785">
      <w:pPr>
        <w:pStyle w:val="Bullet"/>
        <w:spacing w:before="40" w:line="228" w:lineRule="auto"/>
        <w:ind w:left="357" w:hanging="357"/>
      </w:pPr>
      <w:r>
        <w:t>Establish a Human Rights Institute increasing access to justice.</w:t>
      </w:r>
    </w:p>
    <w:p w:rsidR="000526C2" w:rsidRDefault="000526C2" w:rsidP="00D14785">
      <w:pPr>
        <w:pStyle w:val="Bullet"/>
        <w:spacing w:before="40" w:line="228" w:lineRule="auto"/>
        <w:ind w:left="357" w:hanging="357"/>
      </w:pPr>
      <w:r>
        <w:t>Establish security of critical L</w:t>
      </w:r>
      <w:r w:rsidR="00942940">
        <w:t>and and Titles Court (LTC)</w:t>
      </w:r>
      <w:r>
        <w:t xml:space="preserve"> records and improved public access to these records</w:t>
      </w:r>
      <w:r w:rsidR="00977BED">
        <w:t>.</w:t>
      </w:r>
    </w:p>
    <w:p w:rsidR="00F130B2" w:rsidRDefault="00F130B2" w:rsidP="00D14785">
      <w:pPr>
        <w:spacing w:before="160" w:line="233" w:lineRule="auto"/>
      </w:pPr>
    </w:p>
    <w:p w:rsidR="000526C2" w:rsidRDefault="000526C2" w:rsidP="00D14785">
      <w:pPr>
        <w:spacing w:before="160" w:line="233" w:lineRule="auto"/>
      </w:pPr>
      <w:r>
        <w:lastRenderedPageBreak/>
        <w:t>In addition, this support has enabled the SLJS to:</w:t>
      </w:r>
    </w:p>
    <w:p w:rsidR="000526C2" w:rsidRDefault="000526C2" w:rsidP="00D14785">
      <w:pPr>
        <w:pStyle w:val="Bullet"/>
        <w:spacing w:before="40" w:line="228" w:lineRule="auto"/>
        <w:ind w:left="357" w:hanging="357"/>
      </w:pPr>
      <w:r>
        <w:t>Obtain approval for a Community L</w:t>
      </w:r>
      <w:r w:rsidR="00657EE5">
        <w:t xml:space="preserve">aw </w:t>
      </w:r>
      <w:r w:rsidR="000C6EAE">
        <w:t>Centre</w:t>
      </w:r>
      <w:r>
        <w:t xml:space="preserve"> </w:t>
      </w:r>
      <w:r w:rsidR="00657EE5">
        <w:t xml:space="preserve">(CLC) </w:t>
      </w:r>
      <w:r>
        <w:t xml:space="preserve">that will be established this year. </w:t>
      </w:r>
    </w:p>
    <w:p w:rsidR="000526C2" w:rsidRDefault="000526C2" w:rsidP="00D14785">
      <w:pPr>
        <w:pStyle w:val="Bullet"/>
        <w:spacing w:before="40" w:line="228" w:lineRule="auto"/>
        <w:ind w:left="357" w:hanging="357"/>
      </w:pPr>
      <w:r>
        <w:t>Develop a sector</w:t>
      </w:r>
      <w:r w:rsidR="00FF071F">
        <w:t>-</w:t>
      </w:r>
      <w:r>
        <w:t xml:space="preserve">wide crime prevention strategy. </w:t>
      </w:r>
    </w:p>
    <w:p w:rsidR="000949C8" w:rsidRDefault="000526C2" w:rsidP="00A67F5A">
      <w:pPr>
        <w:pStyle w:val="Bullet"/>
        <w:spacing w:before="0" w:line="228" w:lineRule="auto"/>
        <w:ind w:left="357" w:hanging="357"/>
      </w:pPr>
      <w:r>
        <w:t>Progress SLJS goals, particularly community safety, access to justice and law, and the integration of customary justice into the formal justice system</w:t>
      </w:r>
      <w:r w:rsidR="000949C8">
        <w:t>; and</w:t>
      </w:r>
      <w:r>
        <w:t xml:space="preserve"> </w:t>
      </w:r>
    </w:p>
    <w:p w:rsidR="000949C8" w:rsidRDefault="000949C8" w:rsidP="00A67F5A">
      <w:pPr>
        <w:pStyle w:val="Bullet"/>
        <w:spacing w:before="0" w:line="228" w:lineRule="auto"/>
        <w:ind w:left="357" w:hanging="357"/>
      </w:pPr>
      <w:r>
        <w:t>Separate from the Ministry of Police (</w:t>
      </w:r>
      <w:proofErr w:type="spellStart"/>
      <w:r>
        <w:t>MoP</w:t>
      </w:r>
      <w:proofErr w:type="spellEnd"/>
      <w:r>
        <w:t>) and establish the Samoa Prisons and Corrections Services (SPCS).</w:t>
      </w:r>
    </w:p>
    <w:p w:rsidR="000526C2" w:rsidRDefault="000526C2" w:rsidP="00D14785">
      <w:pPr>
        <w:spacing w:before="160" w:line="233" w:lineRule="auto"/>
      </w:pPr>
      <w:r>
        <w:t xml:space="preserve">All stakeholders agree that the support Australia provided was essential for achievement of these outcomes. The activities supported made significant contributions to addressing the needs of the marginalised despite no specific focus on gender or disability. </w:t>
      </w:r>
    </w:p>
    <w:p w:rsidR="000526C2" w:rsidRDefault="000526C2" w:rsidP="00D14785">
      <w:pPr>
        <w:spacing w:before="160" w:line="233" w:lineRule="auto"/>
      </w:pPr>
      <w:r>
        <w:t xml:space="preserve">The SLJS generally invested funds efficiently. As a result, the overall investment represented excellent value for money. However, efficiency was adversely affected by: a lack of clarity in agreements between </w:t>
      </w:r>
      <w:r w:rsidR="00E2574E">
        <w:t xml:space="preserve">the </w:t>
      </w:r>
      <w:r>
        <w:t>Go</w:t>
      </w:r>
      <w:r w:rsidR="00E2574E">
        <w:t xml:space="preserve">vernments of </w:t>
      </w:r>
      <w:r>
        <w:t>A</w:t>
      </w:r>
      <w:r w:rsidR="00E2574E">
        <w:t>ustralia</w:t>
      </w:r>
      <w:r>
        <w:t xml:space="preserve"> and </w:t>
      </w:r>
      <w:r w:rsidR="00E2574E">
        <w:t>Samoa</w:t>
      </w:r>
      <w:r>
        <w:t xml:space="preserve">; low </w:t>
      </w:r>
      <w:r w:rsidR="00E2574E">
        <w:t xml:space="preserve">Australian Government </w:t>
      </w:r>
      <w:r>
        <w:t xml:space="preserve">attendance at Steering Committee meetings; lack of SLJS ownership of </w:t>
      </w:r>
      <w:r w:rsidR="00081E87">
        <w:t xml:space="preserve">the small number of </w:t>
      </w:r>
      <w:r>
        <w:t xml:space="preserve">activities initiated by </w:t>
      </w:r>
      <w:r w:rsidR="001612B4">
        <w:t>the Australian Government</w:t>
      </w:r>
      <w:r>
        <w:t xml:space="preserve"> and undertaken (rather than facilitated) by consultants, a lack of criteria to select and prioritise projects, and not contracting construction works. Monitoring, reporting and risk management was weak due to a lack of capacity within both the Steering Committee and </w:t>
      </w:r>
      <w:r w:rsidR="00E2574E">
        <w:t xml:space="preserve">Australian Government </w:t>
      </w:r>
      <w:r w:rsidR="001612B4">
        <w:t>representatives who attended</w:t>
      </w:r>
      <w:r>
        <w:t xml:space="preserve">. Consequently, this review identified that </w:t>
      </w:r>
      <w:r w:rsidR="008644D1">
        <w:t xml:space="preserve">for </w:t>
      </w:r>
      <w:r>
        <w:t xml:space="preserve">the SLJS the most significant </w:t>
      </w:r>
      <w:r w:rsidR="00274172">
        <w:t xml:space="preserve">way in which the sector can be further strengthened </w:t>
      </w:r>
      <w:r>
        <w:t>is an increased focus on strategic thinking, planning and monitoring</w:t>
      </w:r>
      <w:r w:rsidR="00056DE9">
        <w:t xml:space="preserve"> which is likely to require developing</w:t>
      </w:r>
      <w:r w:rsidR="00056DE9" w:rsidRPr="00056DE9">
        <w:t xml:space="preserve"> </w:t>
      </w:r>
      <w:r w:rsidR="00056DE9">
        <w:t>the capacity of the SLJS and Secretariat</w:t>
      </w:r>
      <w:r>
        <w:t xml:space="preserve">. </w:t>
      </w:r>
    </w:p>
    <w:p w:rsidR="00C52AF7" w:rsidRDefault="00C52AF7" w:rsidP="00D14785">
      <w:pPr>
        <w:spacing w:before="160" w:line="233" w:lineRule="auto"/>
      </w:pPr>
      <w:r>
        <w:t xml:space="preserve">Given that previous </w:t>
      </w:r>
      <w:r w:rsidR="001612B4">
        <w:t>Australian Government</w:t>
      </w:r>
      <w:r>
        <w:t xml:space="preserve"> </w:t>
      </w:r>
      <w:r w:rsidR="001612B4">
        <w:t xml:space="preserve">aid program </w:t>
      </w:r>
      <w:r>
        <w:t xml:space="preserve">reviews </w:t>
      </w:r>
      <w:r w:rsidR="00955B5C">
        <w:t xml:space="preserve">(Cox et. </w:t>
      </w:r>
      <w:r w:rsidR="00D14785">
        <w:t>a</w:t>
      </w:r>
      <w:r w:rsidR="00955B5C">
        <w:t xml:space="preserve">l., 2012) </w:t>
      </w:r>
      <w:r>
        <w:t xml:space="preserve">found that establishment of </w:t>
      </w:r>
      <w:r w:rsidR="00281461">
        <w:t xml:space="preserve">law and justice </w:t>
      </w:r>
      <w:r>
        <w:t>sectors are generally not effective and that “</w:t>
      </w:r>
      <w:r w:rsidRPr="001356D3">
        <w:t>sectoral aid coordination structures may not be the right mechanism for addressing fragmented law and justice systems</w:t>
      </w:r>
      <w:r>
        <w:t>”</w:t>
      </w:r>
      <w:r w:rsidR="00D14785">
        <w:t xml:space="preserve"> (p. 53)</w:t>
      </w:r>
      <w:r>
        <w:t xml:space="preserve">, the reasons why the SLJS has succeeded are important learning. </w:t>
      </w:r>
      <w:r w:rsidR="000526C2">
        <w:t xml:space="preserve">The success of the support </w:t>
      </w:r>
      <w:r>
        <w:t xml:space="preserve">to the SLJS </w:t>
      </w:r>
      <w:r w:rsidR="000526C2">
        <w:t>was a consequence of</w:t>
      </w:r>
      <w:r>
        <w:t>:</w:t>
      </w:r>
      <w:r w:rsidR="000526C2">
        <w:t xml:space="preserve"> </w:t>
      </w:r>
    </w:p>
    <w:p w:rsidR="00C52AF7" w:rsidRDefault="00C52AF7" w:rsidP="00D14785">
      <w:pPr>
        <w:pStyle w:val="Bullet"/>
        <w:spacing w:before="40" w:line="228" w:lineRule="auto"/>
        <w:ind w:left="357" w:hanging="357"/>
      </w:pPr>
      <w:r>
        <w:t>S</w:t>
      </w:r>
      <w:r w:rsidR="000526C2">
        <w:t>trong leadership from the Chairman and other SLJS sector agency CEO</w:t>
      </w:r>
      <w:r w:rsidR="007A326F">
        <w:t>s</w:t>
      </w:r>
      <w:r w:rsidR="000526C2">
        <w:t xml:space="preserve">, </w:t>
      </w:r>
    </w:p>
    <w:p w:rsidR="00C52AF7" w:rsidRDefault="000526C2" w:rsidP="00A67F5A">
      <w:pPr>
        <w:pStyle w:val="Bullet"/>
        <w:spacing w:before="0" w:line="228" w:lineRule="auto"/>
        <w:ind w:left="357" w:hanging="357"/>
      </w:pPr>
      <w:r>
        <w:t>Samoan ownership</w:t>
      </w:r>
      <w:r w:rsidR="00C52AF7">
        <w:t xml:space="preserve"> of the sector and </w:t>
      </w:r>
      <w:r w:rsidR="00977BED">
        <w:t>supported</w:t>
      </w:r>
      <w:r w:rsidR="007A326F">
        <w:t xml:space="preserve"> </w:t>
      </w:r>
      <w:r w:rsidR="00C52AF7">
        <w:t xml:space="preserve">activities, </w:t>
      </w:r>
    </w:p>
    <w:p w:rsidR="00C52AF7" w:rsidRDefault="00C52AF7" w:rsidP="00A67F5A">
      <w:pPr>
        <w:pStyle w:val="Bullet"/>
        <w:spacing w:before="0" w:line="228" w:lineRule="auto"/>
        <w:ind w:left="357" w:hanging="357"/>
      </w:pPr>
      <w:r>
        <w:t>S</w:t>
      </w:r>
      <w:r w:rsidR="000526C2">
        <w:t>upporting improved</w:t>
      </w:r>
      <w:r w:rsidR="00081E87">
        <w:t>,</w:t>
      </w:r>
      <w:r w:rsidR="000526C2">
        <w:t xml:space="preserve"> rather than best practice, </w:t>
      </w:r>
    </w:p>
    <w:p w:rsidR="00C52AF7" w:rsidRDefault="00C52AF7" w:rsidP="00A67F5A">
      <w:pPr>
        <w:pStyle w:val="Bullet"/>
        <w:spacing w:before="0" w:line="228" w:lineRule="auto"/>
        <w:ind w:left="357" w:hanging="357"/>
      </w:pPr>
      <w:r>
        <w:t>F</w:t>
      </w:r>
      <w:r w:rsidR="000526C2">
        <w:t xml:space="preserve">ocussing on a big activity that needed all sector agencies support, and </w:t>
      </w:r>
    </w:p>
    <w:p w:rsidR="00C52AF7" w:rsidRDefault="00C52AF7" w:rsidP="00A67F5A">
      <w:pPr>
        <w:pStyle w:val="Bullet"/>
        <w:spacing w:before="0" w:line="228" w:lineRule="auto"/>
        <w:ind w:left="357" w:hanging="357"/>
      </w:pPr>
      <w:r>
        <w:t>F</w:t>
      </w:r>
      <w:r w:rsidR="000526C2">
        <w:t xml:space="preserve">unds to implement these activities. </w:t>
      </w:r>
    </w:p>
    <w:p w:rsidR="000526C2" w:rsidRDefault="000526C2" w:rsidP="00D14785">
      <w:pPr>
        <w:spacing w:before="160" w:line="233" w:lineRule="auto"/>
      </w:pPr>
      <w:r>
        <w:t xml:space="preserve">The difficulties that emerged between </w:t>
      </w:r>
      <w:r w:rsidR="001612B4">
        <w:t>Australian Government representatives</w:t>
      </w:r>
      <w:r>
        <w:t xml:space="preserve"> and the Steering Committee could have been avoided </w:t>
      </w:r>
      <w:r w:rsidR="008940FB">
        <w:t xml:space="preserve">with greater attention given to </w:t>
      </w:r>
      <w:r w:rsidR="00D14785">
        <w:t xml:space="preserve">establishing and </w:t>
      </w:r>
      <w:r w:rsidR="008940FB">
        <w:t>maintaining strong relationships</w:t>
      </w:r>
      <w:r>
        <w:t xml:space="preserve">. This requires a commitment of time and </w:t>
      </w:r>
      <w:r w:rsidR="0068735A">
        <w:t xml:space="preserve">an </w:t>
      </w:r>
      <w:r>
        <w:t xml:space="preserve">understanding </w:t>
      </w:r>
      <w:r w:rsidR="0068735A">
        <w:t>by</w:t>
      </w:r>
      <w:r>
        <w:t xml:space="preserve"> </w:t>
      </w:r>
      <w:r w:rsidR="0068735A">
        <w:t>each partner of the other’s</w:t>
      </w:r>
      <w:r>
        <w:t xml:space="preserve"> needs. Boundaries must be established, documented, regularly reviewed and updated through a process of </w:t>
      </w:r>
      <w:r w:rsidR="00814F5C">
        <w:t xml:space="preserve">discussion. In addition, sustainability will be enhanced where multiple agencies (including the partner government) fund a sector-based approach </w:t>
      </w:r>
      <w:r w:rsidR="000A5E20">
        <w:t>rather than a single donor. Thus, t</w:t>
      </w:r>
      <w:r w:rsidR="00C52AF7">
        <w:t>he key lessons learnt were that:</w:t>
      </w:r>
    </w:p>
    <w:p w:rsidR="00B31E12" w:rsidRDefault="00B31E12" w:rsidP="00D14785">
      <w:pPr>
        <w:pStyle w:val="Bullet"/>
        <w:spacing w:before="40" w:line="228" w:lineRule="auto"/>
        <w:ind w:left="357" w:hanging="357"/>
      </w:pPr>
      <w:r>
        <w:t xml:space="preserve">Establishing and maintaining a relationship based on understanding and respect is critical. This requires a commitment of time and understanding of the partner’s culture. </w:t>
      </w:r>
    </w:p>
    <w:p w:rsidR="00B31E12" w:rsidRDefault="00B31E12" w:rsidP="00A67F5A">
      <w:pPr>
        <w:pStyle w:val="Bullet"/>
        <w:spacing w:before="0" w:line="228" w:lineRule="auto"/>
        <w:ind w:left="357" w:hanging="357"/>
      </w:pPr>
      <w:r>
        <w:t>Shared understanding of needs and boundaries must be established, documented, regularly reviewed and updated through a process of respectful discussion.</w:t>
      </w:r>
    </w:p>
    <w:p w:rsidR="00B31E12" w:rsidRDefault="00B31E12" w:rsidP="00A67F5A">
      <w:pPr>
        <w:pStyle w:val="Bullet"/>
        <w:spacing w:before="0" w:line="228" w:lineRule="auto"/>
        <w:ind w:left="357" w:hanging="357"/>
      </w:pPr>
      <w:r>
        <w:t>Sector</w:t>
      </w:r>
      <w:r w:rsidR="00FF071F">
        <w:t>-</w:t>
      </w:r>
      <w:r>
        <w:t xml:space="preserve">based approaches should be funded by multiple agencies, including the partner government, to maximise sustainability. </w:t>
      </w:r>
    </w:p>
    <w:p w:rsidR="00CE3D50" w:rsidRPr="00CE3D50" w:rsidRDefault="00CE3D50" w:rsidP="00D14785">
      <w:pPr>
        <w:spacing w:before="160" w:line="233" w:lineRule="auto"/>
      </w:pPr>
      <w:r>
        <w:t xml:space="preserve">As required by the Scope of Services, factors to promote effective engagement between partners and donors are summarised in lessons learnt (Section </w:t>
      </w:r>
      <w:r w:rsidR="00200B99">
        <w:t>7.1</w:t>
      </w:r>
      <w:r>
        <w:t xml:space="preserve">). Items for consideration in relation to the future of the SLJS are presented in Section </w:t>
      </w:r>
      <w:r w:rsidR="00200B99">
        <w:t>7.2</w:t>
      </w:r>
      <w:r>
        <w:t>. This includes w</w:t>
      </w:r>
      <w:r w:rsidRPr="00CE3D50">
        <w:t xml:space="preserve">ays in which </w:t>
      </w:r>
      <w:r w:rsidR="001612B4">
        <w:lastRenderedPageBreak/>
        <w:t xml:space="preserve">Australia </w:t>
      </w:r>
      <w:r w:rsidRPr="00CE3D50">
        <w:t>could consider providing small</w:t>
      </w:r>
      <w:r w:rsidR="00FF071F">
        <w:t>-</w:t>
      </w:r>
      <w:r w:rsidRPr="00CE3D50">
        <w:t>scale targeted support to the law and justice sector in the future</w:t>
      </w:r>
      <w:r w:rsidR="001612B4">
        <w:t xml:space="preserve"> </w:t>
      </w:r>
      <w:r>
        <w:t>and approaches that may</w:t>
      </w:r>
      <w:r w:rsidRPr="00CE3D50">
        <w:t xml:space="preserve"> to further improve the efficiency of the sector.</w:t>
      </w:r>
      <w:r>
        <w:t xml:space="preserve"> </w:t>
      </w:r>
    </w:p>
    <w:p w:rsidR="002F6212" w:rsidRDefault="005A1680" w:rsidP="002F6212">
      <w:pPr>
        <w:pStyle w:val="Heading2a"/>
      </w:pPr>
      <w:r>
        <w:br w:type="page"/>
      </w:r>
      <w:r w:rsidR="002F6212">
        <w:lastRenderedPageBreak/>
        <w:t>Summary of recommendations</w:t>
      </w:r>
    </w:p>
    <w:p w:rsidR="005A1680" w:rsidRDefault="002F6212" w:rsidP="005A1680">
      <w:pPr>
        <w:pStyle w:val="Heading3a"/>
      </w:pPr>
      <w:r>
        <w:t>For the Steering Committee</w:t>
      </w:r>
      <w:r w:rsidR="005A1680">
        <w:t xml:space="preserve">. </w:t>
      </w:r>
    </w:p>
    <w:p w:rsidR="002F6212" w:rsidRDefault="005A1680" w:rsidP="005A1680">
      <w:r>
        <w:t>Consider:</w:t>
      </w:r>
      <w:r w:rsidR="002F6212">
        <w:t xml:space="preserve"> </w:t>
      </w:r>
    </w:p>
    <w:p w:rsidR="002F6212" w:rsidRDefault="005A1680" w:rsidP="00917A04">
      <w:pPr>
        <w:pStyle w:val="Bullet"/>
        <w:spacing w:before="40"/>
        <w:ind w:left="357" w:hanging="357"/>
      </w:pPr>
      <w:r>
        <w:rPr>
          <w:lang w:val="en-US"/>
        </w:rPr>
        <w:t>E</w:t>
      </w:r>
      <w:r w:rsidR="002F6212">
        <w:rPr>
          <w:lang w:val="en-US"/>
        </w:rPr>
        <w:t>stablish</w:t>
      </w:r>
      <w:r>
        <w:rPr>
          <w:lang w:val="en-US"/>
        </w:rPr>
        <w:t>ing</w:t>
      </w:r>
      <w:r w:rsidR="002F6212">
        <w:rPr>
          <w:lang w:val="en-US"/>
        </w:rPr>
        <w:t xml:space="preserve"> and communicat</w:t>
      </w:r>
      <w:r>
        <w:rPr>
          <w:lang w:val="en-US"/>
        </w:rPr>
        <w:t>ing</w:t>
      </w:r>
      <w:r w:rsidR="002F6212">
        <w:rPr>
          <w:lang w:val="en-US"/>
        </w:rPr>
        <w:t xml:space="preserve"> criteria for project selection (Section </w:t>
      </w:r>
      <w:r w:rsidR="001705D6">
        <w:rPr>
          <w:lang w:val="en-US"/>
        </w:rPr>
        <w:t>5</w:t>
      </w:r>
      <w:r w:rsidR="002F6212">
        <w:rPr>
          <w:lang w:val="en-US"/>
        </w:rPr>
        <w:t>.3.1</w:t>
      </w:r>
      <w:r w:rsidR="00A734C8">
        <w:rPr>
          <w:lang w:val="en-US"/>
        </w:rPr>
        <w:t xml:space="preserve"> and </w:t>
      </w:r>
      <w:r w:rsidR="001705D6">
        <w:rPr>
          <w:lang w:val="en-US"/>
        </w:rPr>
        <w:t>6</w:t>
      </w:r>
      <w:r w:rsidR="00A734C8">
        <w:rPr>
          <w:lang w:val="en-US"/>
        </w:rPr>
        <w:t>.2</w:t>
      </w:r>
      <w:r w:rsidR="002F6212">
        <w:rPr>
          <w:lang w:val="en-US"/>
        </w:rPr>
        <w:t xml:space="preserve">). </w:t>
      </w:r>
    </w:p>
    <w:p w:rsidR="00A734C8" w:rsidRDefault="00A734C8" w:rsidP="00917A04">
      <w:pPr>
        <w:pStyle w:val="Bullet"/>
        <w:spacing w:before="40"/>
        <w:ind w:left="357" w:hanging="357"/>
      </w:pPr>
      <w:r>
        <w:t xml:space="preserve">Prioritise proposals to implement (refer Section </w:t>
      </w:r>
      <w:r w:rsidR="001705D6">
        <w:t>6</w:t>
      </w:r>
      <w:r>
        <w:t>.2).</w:t>
      </w:r>
    </w:p>
    <w:p w:rsidR="002F6212" w:rsidRDefault="005A1680" w:rsidP="00917A04">
      <w:pPr>
        <w:pStyle w:val="Bullet"/>
        <w:spacing w:before="40"/>
        <w:ind w:left="357" w:hanging="357"/>
      </w:pPr>
      <w:r>
        <w:t>Resourcing t</w:t>
      </w:r>
      <w:r w:rsidR="002F6212" w:rsidRPr="00521F23">
        <w:t xml:space="preserve">he Secretariat </w:t>
      </w:r>
      <w:r>
        <w:t>to</w:t>
      </w:r>
      <w:r w:rsidR="002F6212" w:rsidRPr="00521F23">
        <w:t xml:space="preserve"> support </w:t>
      </w:r>
      <w:r w:rsidR="001E5A45" w:rsidRPr="00521F23">
        <w:t xml:space="preserve">adequately </w:t>
      </w:r>
      <w:r w:rsidR="002F6212" w:rsidRPr="00521F23">
        <w:t>the Steering Committee. This may mean team members with specialist skills in planning and monitoring in addition to finance</w:t>
      </w:r>
      <w:r w:rsidR="00DD6835">
        <w:t>.</w:t>
      </w:r>
      <w:r w:rsidR="002F6212" w:rsidRPr="00521F23">
        <w:t xml:space="preserve"> Alternatively, it may require short-term technical assistance</w:t>
      </w:r>
      <w:r w:rsidR="002F6212">
        <w:t xml:space="preserve"> </w:t>
      </w:r>
      <w:r w:rsidR="00DD6835" w:rsidRPr="00521F23">
        <w:t xml:space="preserve">inputs </w:t>
      </w:r>
      <w:r w:rsidR="002F6212">
        <w:t xml:space="preserve">(refer Section </w:t>
      </w:r>
      <w:r w:rsidR="001705D6">
        <w:t>5</w:t>
      </w:r>
      <w:r w:rsidR="002F6212">
        <w:t>.2).</w:t>
      </w:r>
    </w:p>
    <w:p w:rsidR="002F6212" w:rsidRDefault="002F6212" w:rsidP="00917A04">
      <w:pPr>
        <w:pStyle w:val="Bullet"/>
        <w:spacing w:before="40"/>
        <w:ind w:left="357" w:hanging="357"/>
      </w:pPr>
      <w:r w:rsidRPr="00521F23">
        <w:t>Where timely production of functional outputs is critical, establishing output</w:t>
      </w:r>
      <w:r w:rsidR="00E2574E">
        <w:t>-</w:t>
      </w:r>
      <w:r w:rsidRPr="00521F23">
        <w:t>based contracts with payments attached to specific milestones, and including maintenance periods may be more effective. Inclusion of liquidated damages for delayed completion may also be appropriate in some situations</w:t>
      </w:r>
      <w:r>
        <w:t xml:space="preserve"> (refer Section </w:t>
      </w:r>
      <w:r w:rsidR="001705D6">
        <w:t>5</w:t>
      </w:r>
      <w:r>
        <w:t>.2)</w:t>
      </w:r>
      <w:r w:rsidRPr="00521F23">
        <w:t>.</w:t>
      </w:r>
    </w:p>
    <w:p w:rsidR="00602C7C" w:rsidRDefault="00602C7C" w:rsidP="00602C7C">
      <w:pPr>
        <w:pStyle w:val="Bullet"/>
        <w:spacing w:before="40"/>
        <w:ind w:left="357" w:hanging="357"/>
      </w:pPr>
      <w:r>
        <w:t xml:space="preserve">Inclusion of a member of the National Youth Council to bring the voice of the youth to discussions (refer Section 3.3). </w:t>
      </w:r>
    </w:p>
    <w:p w:rsidR="002F6212" w:rsidRDefault="002F6212" w:rsidP="005A1680">
      <w:pPr>
        <w:pStyle w:val="Heading3a"/>
      </w:pPr>
      <w:r>
        <w:t xml:space="preserve">For </w:t>
      </w:r>
      <w:r w:rsidR="001612B4">
        <w:t>Australia</w:t>
      </w:r>
      <w:r>
        <w:t xml:space="preserve"> and other donors </w:t>
      </w:r>
    </w:p>
    <w:p w:rsidR="002F6212" w:rsidRPr="00521F23" w:rsidRDefault="002F6212" w:rsidP="005A1680">
      <w:r w:rsidRPr="00521F23">
        <w:t>Wherever possible, efficiency should be maximized by</w:t>
      </w:r>
      <w:r w:rsidR="00A734C8">
        <w:t xml:space="preserve"> (refer Section </w:t>
      </w:r>
      <w:r w:rsidR="001705D6">
        <w:t>5</w:t>
      </w:r>
      <w:r w:rsidR="00A734C8">
        <w:t>.1.2)</w:t>
      </w:r>
      <w:r w:rsidRPr="00521F23">
        <w:t>:</w:t>
      </w:r>
    </w:p>
    <w:p w:rsidR="002F6212" w:rsidRPr="00521F23" w:rsidRDefault="002F6212" w:rsidP="00917A04">
      <w:pPr>
        <w:pStyle w:val="Bullet"/>
        <w:spacing w:before="40"/>
        <w:ind w:left="357" w:hanging="357"/>
      </w:pPr>
      <w:r>
        <w:t>Ensuring that the timing o</w:t>
      </w:r>
      <w:r w:rsidRPr="00521F23">
        <w:t xml:space="preserve">f payments is predictable. </w:t>
      </w:r>
    </w:p>
    <w:p w:rsidR="002F6212" w:rsidRPr="00521F23" w:rsidRDefault="002F6212" w:rsidP="00917A04">
      <w:pPr>
        <w:pStyle w:val="Bullet"/>
        <w:spacing w:before="40"/>
        <w:ind w:left="357" w:hanging="357"/>
      </w:pPr>
      <w:r w:rsidRPr="00521F23">
        <w:t xml:space="preserve">Avoiding providing funding for short periods. Committing funds over a longer period supports good planning practice. </w:t>
      </w:r>
    </w:p>
    <w:p w:rsidR="002F6212" w:rsidRDefault="002F6212" w:rsidP="00917A04">
      <w:pPr>
        <w:pStyle w:val="Bullet"/>
        <w:spacing w:before="40"/>
        <w:ind w:left="357" w:hanging="357"/>
      </w:pPr>
      <w:r w:rsidRPr="00521F23">
        <w:t>Acting consistently with the verbal message communicated</w:t>
      </w:r>
      <w:r w:rsidR="00193924">
        <w:t xml:space="preserve">, particularly in regards funding. </w:t>
      </w:r>
      <w:r>
        <w:t xml:space="preserve"> </w:t>
      </w:r>
    </w:p>
    <w:p w:rsidR="002F6212" w:rsidRDefault="002F6212" w:rsidP="005A1680">
      <w:pPr>
        <w:pStyle w:val="Heading3a"/>
      </w:pPr>
      <w:r>
        <w:t>For all partners:</w:t>
      </w:r>
    </w:p>
    <w:p w:rsidR="000B257B" w:rsidRPr="008940FB" w:rsidRDefault="000B257B" w:rsidP="00917A04">
      <w:pPr>
        <w:pStyle w:val="Bullet"/>
        <w:spacing w:before="40"/>
        <w:ind w:left="357" w:hanging="357"/>
      </w:pPr>
      <w:r w:rsidRPr="008940FB">
        <w:t xml:space="preserve">In all communication, work from a basis of partnership and trust </w:t>
      </w:r>
      <w:r w:rsidR="00160228">
        <w:t>to</w:t>
      </w:r>
      <w:r w:rsidRPr="008940FB">
        <w:t xml:space="preserve"> </w:t>
      </w:r>
      <w:r w:rsidR="002034B7" w:rsidRPr="008940FB">
        <w:t xml:space="preserve">and ensure open and direct communication </w:t>
      </w:r>
      <w:r w:rsidRPr="008940FB">
        <w:t xml:space="preserve">(refer Section </w:t>
      </w:r>
      <w:r w:rsidR="001705D6">
        <w:t>5</w:t>
      </w:r>
      <w:r w:rsidRPr="008940FB">
        <w:t>.2</w:t>
      </w:r>
      <w:r w:rsidR="009446B1" w:rsidRPr="008940FB">
        <w:t xml:space="preserve"> and </w:t>
      </w:r>
      <w:r w:rsidR="001705D6">
        <w:t>7</w:t>
      </w:r>
      <w:r w:rsidR="009446B1" w:rsidRPr="008940FB">
        <w:t>.1</w:t>
      </w:r>
      <w:r w:rsidRPr="008940FB">
        <w:t xml:space="preserve">). </w:t>
      </w:r>
    </w:p>
    <w:p w:rsidR="002F6212" w:rsidRPr="008940FB" w:rsidRDefault="002F6212" w:rsidP="00917A04">
      <w:pPr>
        <w:pStyle w:val="Bullet"/>
        <w:spacing w:before="40"/>
        <w:ind w:left="357" w:hanging="357"/>
      </w:pPr>
      <w:r w:rsidRPr="008940FB">
        <w:t>When sector funding commences</w:t>
      </w:r>
      <w:r w:rsidR="000B257B" w:rsidRPr="008940FB">
        <w:t>,</w:t>
      </w:r>
      <w:r w:rsidRPr="008940FB">
        <w:t xml:space="preserve"> </w:t>
      </w:r>
      <w:r w:rsidR="00EC1878">
        <w:t>Australian Government representatives</w:t>
      </w:r>
      <w:r w:rsidRPr="008940FB">
        <w:t xml:space="preserve"> and partner agency/Secretariat work closely together to ensure that processes are understood by all parties</w:t>
      </w:r>
      <w:r w:rsidR="000B257B" w:rsidRPr="008940FB">
        <w:t xml:space="preserve"> (refer Section </w:t>
      </w:r>
      <w:r w:rsidR="001705D6">
        <w:t>5</w:t>
      </w:r>
      <w:r w:rsidR="000B257B" w:rsidRPr="008940FB">
        <w:t>.2)</w:t>
      </w:r>
      <w:r w:rsidRPr="008940FB">
        <w:t xml:space="preserve">. </w:t>
      </w:r>
    </w:p>
    <w:p w:rsidR="002F6212" w:rsidRPr="008940FB" w:rsidRDefault="00EC1878" w:rsidP="00917A04">
      <w:pPr>
        <w:pStyle w:val="Bullet"/>
        <w:spacing w:before="40"/>
        <w:ind w:left="357" w:hanging="357"/>
      </w:pPr>
      <w:r>
        <w:t>Australian Government representatives and</w:t>
      </w:r>
      <w:r w:rsidR="00C054A6">
        <w:t xml:space="preserve"> </w:t>
      </w:r>
      <w:proofErr w:type="spellStart"/>
      <w:r w:rsidR="00C054A6">
        <w:t>MoF</w:t>
      </w:r>
      <w:proofErr w:type="spellEnd"/>
      <w:r w:rsidR="00C054A6">
        <w:t xml:space="preserve"> </w:t>
      </w:r>
      <w:r w:rsidR="002F6212" w:rsidRPr="008940FB">
        <w:t>monitor compliance more closely at the start of an initiative to ensure procedural compliance</w:t>
      </w:r>
      <w:r w:rsidR="000B257B" w:rsidRPr="008940FB">
        <w:t xml:space="preserve"> (refer Section </w:t>
      </w:r>
      <w:r w:rsidR="001705D6">
        <w:t>5</w:t>
      </w:r>
      <w:r w:rsidR="000B257B" w:rsidRPr="008940FB">
        <w:t>.2)</w:t>
      </w:r>
      <w:r w:rsidR="002F6212" w:rsidRPr="008940FB">
        <w:t xml:space="preserve">. </w:t>
      </w:r>
    </w:p>
    <w:p w:rsidR="002F6212" w:rsidRPr="008940FB" w:rsidRDefault="002F6212" w:rsidP="00917A04">
      <w:pPr>
        <w:pStyle w:val="Bullet"/>
        <w:spacing w:before="40"/>
        <w:ind w:left="357" w:hanging="357"/>
      </w:pPr>
      <w:r w:rsidRPr="008940FB">
        <w:t xml:space="preserve">Wherever possible, activities supported should be those initiated by the sector to maximise efficiency and effectiveness (refer Section </w:t>
      </w:r>
      <w:r w:rsidR="00200B99">
        <w:t>5</w:t>
      </w:r>
      <w:r w:rsidRPr="008940FB">
        <w:t>.</w:t>
      </w:r>
      <w:r w:rsidR="001705D6">
        <w:t>3.</w:t>
      </w:r>
      <w:r w:rsidRPr="008940FB">
        <w:t xml:space="preserve">2).   </w:t>
      </w:r>
    </w:p>
    <w:p w:rsidR="000B257B" w:rsidRPr="008940FB" w:rsidRDefault="002F6212" w:rsidP="00917A04">
      <w:pPr>
        <w:pStyle w:val="Bullet"/>
        <w:spacing w:before="40"/>
        <w:ind w:left="357" w:hanging="357"/>
      </w:pPr>
      <w:r w:rsidRPr="008940FB">
        <w:t xml:space="preserve">Where </w:t>
      </w:r>
      <w:r w:rsidR="00EC1878">
        <w:t>Australian Government representatives initiate</w:t>
      </w:r>
      <w:r w:rsidRPr="008940FB">
        <w:t xml:space="preserve"> </w:t>
      </w:r>
      <w:r w:rsidR="00EC1878">
        <w:t>(or are</w:t>
      </w:r>
      <w:r w:rsidR="002034B7" w:rsidRPr="008940FB">
        <w:t xml:space="preserve"> perceived to initiate) </w:t>
      </w:r>
      <w:r w:rsidRPr="008940FB">
        <w:t>activities, the purpose must be clear, the output useable and, where necessary, support provided to facilitate application of the output</w:t>
      </w:r>
      <w:r w:rsidR="000B257B" w:rsidRPr="008940FB">
        <w:t xml:space="preserve"> (refer Section </w:t>
      </w:r>
      <w:r w:rsidR="00200B99">
        <w:t>5</w:t>
      </w:r>
      <w:r w:rsidR="000B257B" w:rsidRPr="008940FB">
        <w:t>.</w:t>
      </w:r>
      <w:r w:rsidR="001705D6">
        <w:t>3.</w:t>
      </w:r>
      <w:r w:rsidR="000B257B" w:rsidRPr="008940FB">
        <w:t>2)</w:t>
      </w:r>
      <w:r w:rsidRPr="008940FB">
        <w:t xml:space="preserve">. </w:t>
      </w:r>
    </w:p>
    <w:p w:rsidR="002F6212" w:rsidRDefault="000B257B" w:rsidP="00917A04">
      <w:pPr>
        <w:pStyle w:val="Bullet"/>
        <w:spacing w:before="40"/>
        <w:ind w:left="357" w:hanging="357"/>
      </w:pPr>
      <w:r>
        <w:t>To enhance ownership, technical assistance (TA) should facilitate</w:t>
      </w:r>
      <w:r w:rsidR="002F6212" w:rsidRPr="00521F23">
        <w:t xml:space="preserve"> partners within the sector to produce the output rather than the TA producing the output</w:t>
      </w:r>
      <w:r w:rsidR="002F6212">
        <w:t xml:space="preserve"> (refer Section </w:t>
      </w:r>
      <w:r w:rsidR="00200B99">
        <w:t>5</w:t>
      </w:r>
      <w:r w:rsidR="002F6212">
        <w:t>.2)</w:t>
      </w:r>
      <w:r w:rsidR="002F6212" w:rsidRPr="00521F23">
        <w:t xml:space="preserve">. </w:t>
      </w:r>
    </w:p>
    <w:p w:rsidR="005A1680" w:rsidRPr="00B13EC7" w:rsidRDefault="005A1680" w:rsidP="00917A04">
      <w:pPr>
        <w:pStyle w:val="Bullet"/>
        <w:spacing w:before="40"/>
        <w:ind w:left="357" w:hanging="357"/>
      </w:pPr>
      <w:r>
        <w:t xml:space="preserve">Capacity gaps in both the donor and partners must be identified and addressed (refer Section </w:t>
      </w:r>
      <w:r w:rsidR="001705D6">
        <w:t>6</w:t>
      </w:r>
      <w:r>
        <w:t xml:space="preserve">.5). </w:t>
      </w:r>
    </w:p>
    <w:p w:rsidR="00A734C8" w:rsidRDefault="00A734C8" w:rsidP="002F6212">
      <w:pPr>
        <w:sectPr w:rsidR="00A734C8" w:rsidSect="00A734C8">
          <w:headerReference w:type="first" r:id="rId21"/>
          <w:footerReference w:type="first" r:id="rId22"/>
          <w:pgSz w:w="11906" w:h="16838" w:code="9"/>
          <w:pgMar w:top="1440" w:right="1274" w:bottom="1134" w:left="1440" w:header="576" w:footer="576" w:gutter="0"/>
          <w:pgNumType w:fmt="lowerRoman"/>
          <w:cols w:space="720"/>
          <w:titlePg/>
          <w:docGrid w:linePitch="286"/>
        </w:sectPr>
      </w:pPr>
    </w:p>
    <w:bookmarkStart w:id="18" w:name="_Toc431828754"/>
    <w:p w:rsidR="00544914" w:rsidRPr="008C2146" w:rsidRDefault="00DF2B6A" w:rsidP="00482197">
      <w:pPr>
        <w:pStyle w:val="Heading1"/>
        <w:numPr>
          <w:ilvl w:val="0"/>
          <w:numId w:val="40"/>
        </w:numPr>
      </w:pPr>
      <w:r>
        <w:rPr>
          <w:lang w:val="en-AU" w:eastAsia="en-AU"/>
        </w:rPr>
        <w:lastRenderedPageBreak/>
        <mc:AlternateContent>
          <mc:Choice Requires="wps">
            <w:drawing>
              <wp:anchor distT="0" distB="0" distL="114300" distR="114300" simplePos="0" relativeHeight="251652096" behindDoc="1" locked="0" layoutInCell="1" allowOverlap="1" wp14:anchorId="281BE27B" wp14:editId="50CC4659">
                <wp:simplePos x="0" y="0"/>
                <wp:positionH relativeFrom="page">
                  <wp:posOffset>-6350</wp:posOffset>
                </wp:positionH>
                <wp:positionV relativeFrom="paragraph">
                  <wp:posOffset>-345440</wp:posOffset>
                </wp:positionV>
                <wp:extent cx="7610475" cy="1468755"/>
                <wp:effectExtent l="0" t="0" r="9525" b="0"/>
                <wp:wrapNone/>
                <wp:docPr id="1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10475" cy="1468755"/>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5pt;margin-top:-27.2pt;width:599.25pt;height:115.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" fillcolor="#124486" stroked="f" strokeweight="2pt">
                <v:path arrowok="t"/>
                <w10:wrap anchorx="page"/>
              </v:rect>
            </w:pict>
          </mc:Fallback>
        </mc:AlternateContent>
      </w:r>
      <w:r w:rsidR="00544914">
        <w:t>Introduction</w:t>
      </w:r>
      <w:bookmarkEnd w:id="18"/>
    </w:p>
    <w:p w:rsidR="00D814C0" w:rsidRDefault="00544914" w:rsidP="004902E0">
      <w:r>
        <w:t xml:space="preserve">This report </w:t>
      </w:r>
      <w:r w:rsidR="00AD40B8">
        <w:t>documents</w:t>
      </w:r>
      <w:r>
        <w:t xml:space="preserve"> the independent review of Australia’s aid funding to the Samoa Law </w:t>
      </w:r>
      <w:smartTag w:uri="urn:schemas-microsoft-com:office:smarttags" w:element="PersonName">
        <w:r>
          <w:t>and</w:t>
        </w:r>
      </w:smartTag>
      <w:r>
        <w:t xml:space="preserve"> Justice Sector </w:t>
      </w:r>
      <w:r w:rsidR="004E1574">
        <w:t>(</w:t>
      </w:r>
      <w:r w:rsidR="006671E9">
        <w:t>S</w:t>
      </w:r>
      <w:r w:rsidR="004E1574">
        <w:t xml:space="preserve">LJS) </w:t>
      </w:r>
      <w:r>
        <w:t xml:space="preserve">between 2008 </w:t>
      </w:r>
      <w:smartTag w:uri="urn:schemas-microsoft-com:office:smarttags" w:element="PersonName">
        <w:r>
          <w:t>and</w:t>
        </w:r>
      </w:smartTag>
      <w:r>
        <w:t xml:space="preserve"> 2014. The </w:t>
      </w:r>
      <w:r w:rsidR="00AD40B8">
        <w:t xml:space="preserve">independent review </w:t>
      </w:r>
      <w:r w:rsidR="00D814C0">
        <w:t xml:space="preserve">meets the specified needs of the </w:t>
      </w:r>
      <w:r w:rsidR="00F56D54">
        <w:t>Australian Government (</w:t>
      </w:r>
      <w:r w:rsidR="00D814C0">
        <w:t>Departme</w:t>
      </w:r>
      <w:r w:rsidR="00F56D54">
        <w:t>nt of Foreign Affairs and Trade [</w:t>
      </w:r>
      <w:r w:rsidR="00D814C0">
        <w:t>DFAT</w:t>
      </w:r>
      <w:r w:rsidR="00F56D54">
        <w:t>]</w:t>
      </w:r>
      <w:r w:rsidR="00D814C0">
        <w:t>) and the SLJS Steering Committee</w:t>
      </w:r>
      <w:r w:rsidR="003D590A">
        <w:t xml:space="preserve"> (the primary intended users)</w:t>
      </w:r>
      <w:r w:rsidR="00D814C0">
        <w:t>. They identified that they required an assessment of:</w:t>
      </w:r>
    </w:p>
    <w:p w:rsidR="00B21B73" w:rsidRDefault="00AD40B8" w:rsidP="00A82D26">
      <w:pPr>
        <w:pStyle w:val="Bullet"/>
        <w:spacing w:before="40"/>
        <w:ind w:left="357" w:hanging="357"/>
      </w:pPr>
      <w:r>
        <w:t>The</w:t>
      </w:r>
      <w:r w:rsidR="00544914">
        <w:t xml:space="preserve"> impact and effectiveness of aid funding to the </w:t>
      </w:r>
      <w:r w:rsidR="00D814C0">
        <w:t>SLJS</w:t>
      </w:r>
      <w:r w:rsidR="00B21B73">
        <w:rPr>
          <w:rStyle w:val="EndnoteReference"/>
        </w:rPr>
        <w:endnoteReference w:id="2"/>
      </w:r>
      <w:r w:rsidR="00B21B73">
        <w:t>.</w:t>
      </w:r>
    </w:p>
    <w:p w:rsidR="00B21B73" w:rsidRDefault="00B21B73" w:rsidP="00A82D26">
      <w:pPr>
        <w:pStyle w:val="Bullet"/>
        <w:spacing w:before="40"/>
        <w:ind w:left="357" w:hanging="357"/>
      </w:pPr>
      <w:r>
        <w:t xml:space="preserve">The extent to which Australian aid assisted the </w:t>
      </w:r>
      <w:r w:rsidR="00D814C0">
        <w:t>SLJS</w:t>
      </w:r>
      <w:r>
        <w:t xml:space="preserve"> to achieve sector objectives </w:t>
      </w:r>
      <w:smartTag w:uri="urn:schemas-microsoft-com:office:smarttags" w:element="PersonName">
        <w:r>
          <w:t>and</w:t>
        </w:r>
      </w:smartTag>
      <w:r>
        <w:t xml:space="preserve"> the outcomes agreed in the Samoa Australia Partnership for Development. </w:t>
      </w:r>
    </w:p>
    <w:p w:rsidR="00B21B73" w:rsidRPr="00C444C9" w:rsidRDefault="00D814C0" w:rsidP="004902E0">
      <w:r>
        <w:t>As requested by the Steering Committee, this</w:t>
      </w:r>
      <w:r w:rsidR="00B21B73">
        <w:t xml:space="preserve"> review also provides</w:t>
      </w:r>
      <w:r w:rsidR="00AC3268">
        <w:t xml:space="preserve"> the SLJS </w:t>
      </w:r>
      <w:r w:rsidR="00B21B73">
        <w:t xml:space="preserve">independent information </w:t>
      </w:r>
      <w:r w:rsidR="00B21B73" w:rsidRPr="00C444C9">
        <w:t>on:</w:t>
      </w:r>
    </w:p>
    <w:p w:rsidR="00B21B73" w:rsidRDefault="00B21B73" w:rsidP="00A82D26">
      <w:pPr>
        <w:pStyle w:val="Bullet"/>
        <w:spacing w:before="40"/>
        <w:ind w:left="357" w:hanging="357"/>
      </w:pPr>
      <w:r>
        <w:t>What they have achieved as a sector under their Sector Plan</w:t>
      </w:r>
      <w:r w:rsidR="00D814C0">
        <w:t xml:space="preserve"> and</w:t>
      </w:r>
    </w:p>
    <w:p w:rsidR="00B21B73" w:rsidRDefault="00D814C0" w:rsidP="00A82D26">
      <w:pPr>
        <w:pStyle w:val="Bullet"/>
        <w:spacing w:before="40"/>
        <w:ind w:left="357" w:hanging="357"/>
      </w:pPr>
      <w:r>
        <w:t xml:space="preserve">What could be </w:t>
      </w:r>
      <w:r w:rsidR="001E5A45">
        <w:t>improved</w:t>
      </w:r>
      <w:r w:rsidR="00781EEF">
        <w:t xml:space="preserve">. </w:t>
      </w:r>
    </w:p>
    <w:p w:rsidR="00B21B73" w:rsidRDefault="00AC3268" w:rsidP="006671E9">
      <w:r>
        <w:t>The</w:t>
      </w:r>
      <w:r w:rsidR="00D814C0">
        <w:t xml:space="preserve"> SLJS Steering Committee </w:t>
      </w:r>
      <w:r>
        <w:t xml:space="preserve">will use the findings </w:t>
      </w:r>
      <w:r w:rsidR="00D814C0">
        <w:t>to h</w:t>
      </w:r>
      <w:r w:rsidR="00B21B73">
        <w:t>elp c</w:t>
      </w:r>
      <w:r w:rsidR="00D814C0">
        <w:t xml:space="preserve">hart a way forward as a sector. </w:t>
      </w:r>
      <w:r w:rsidR="00B21B73">
        <w:t xml:space="preserve">In addition, </w:t>
      </w:r>
      <w:r w:rsidR="00E2574E">
        <w:t xml:space="preserve">the Australian Government </w:t>
      </w:r>
      <w:r w:rsidR="00B21B73">
        <w:t>and the SLJS Steering Committee identified areas of information that they required the review to address</w:t>
      </w:r>
      <w:r w:rsidR="00CB205C">
        <w:t xml:space="preserve"> (Appendix A)</w:t>
      </w:r>
      <w:r w:rsidR="00B21B73">
        <w:t xml:space="preserve">. </w:t>
      </w:r>
      <w:r w:rsidR="00554645">
        <w:t xml:space="preserve">This information will provide lessons </w:t>
      </w:r>
      <w:r w:rsidR="00744E1E">
        <w:t xml:space="preserve">that </w:t>
      </w:r>
      <w:r w:rsidR="00E2574E">
        <w:t xml:space="preserve">the Australian Government </w:t>
      </w:r>
      <w:r w:rsidR="00744E1E">
        <w:t xml:space="preserve">may </w:t>
      </w:r>
      <w:r w:rsidR="00F42D3B">
        <w:t>apply</w:t>
      </w:r>
      <w:r w:rsidR="00D937B6">
        <w:t xml:space="preserve"> to future sectoral support provided in Samoa (particularly the education and health sectors) and any support provided to the law and justice sector in Samoa and elsewhere. </w:t>
      </w:r>
    </w:p>
    <w:p w:rsidR="00B21B73" w:rsidRDefault="00781EEF" w:rsidP="004902E0">
      <w:r>
        <w:t xml:space="preserve">During the planning stage, the key evaluation questions were refined and prioritised (Appendix A) and the methodology agreed. </w:t>
      </w:r>
      <w:r w:rsidR="00B21B73">
        <w:t>Th</w:t>
      </w:r>
      <w:r w:rsidR="001E5A45">
        <w:t>is</w:t>
      </w:r>
      <w:r w:rsidR="00B21B73">
        <w:t xml:space="preserve"> review was </w:t>
      </w:r>
      <w:r>
        <w:t xml:space="preserve">then </w:t>
      </w:r>
      <w:r w:rsidR="00B21B73">
        <w:t xml:space="preserve">completed in two phases. Initially, </w:t>
      </w:r>
      <w:r w:rsidR="00422797">
        <w:t>23</w:t>
      </w:r>
      <w:r w:rsidR="00B21B73">
        <w:t xml:space="preserve"> documents</w:t>
      </w:r>
      <w:r w:rsidR="009C14A3">
        <w:t xml:space="preserve"> </w:t>
      </w:r>
      <w:r>
        <w:t xml:space="preserve">were reviewed, </w:t>
      </w:r>
      <w:r w:rsidR="002C4A81">
        <w:t>(</w:t>
      </w:r>
      <w:r>
        <w:t>subsequently</w:t>
      </w:r>
      <w:r w:rsidR="00C4790D">
        <w:t xml:space="preserve"> expanded to some 150 </w:t>
      </w:r>
      <w:r w:rsidR="002C4A81">
        <w:t>[</w:t>
      </w:r>
      <w:r w:rsidR="00C4790D">
        <w:t>Appendix B</w:t>
      </w:r>
      <w:r w:rsidR="002C4A81">
        <w:t>]</w:t>
      </w:r>
      <w:r w:rsidR="00C4790D">
        <w:t>)</w:t>
      </w:r>
      <w:r w:rsidR="002C4A81">
        <w:t xml:space="preserve"> and a</w:t>
      </w:r>
      <w:r w:rsidR="00B21B73">
        <w:t xml:space="preserve"> theory of change </w:t>
      </w:r>
      <w:r w:rsidR="001E5A45">
        <w:t>(</w:t>
      </w:r>
      <w:proofErr w:type="spellStart"/>
      <w:r w:rsidR="001E5A45">
        <w:t>ToC</w:t>
      </w:r>
      <w:proofErr w:type="spellEnd"/>
      <w:r w:rsidR="001E5A45">
        <w:t xml:space="preserve">) </w:t>
      </w:r>
      <w:r w:rsidR="00B21B73">
        <w:t xml:space="preserve">developed. This and broader findings were documented in ME002 and copies provided to </w:t>
      </w:r>
      <w:r w:rsidR="00E2574E">
        <w:t>the Australian Government</w:t>
      </w:r>
      <w:r w:rsidR="00B21B73">
        <w:t>, the Secretariat and the Steering Committee for comment and information prior to commencement of the fieldwork. The</w:t>
      </w:r>
      <w:r w:rsidR="00C4790D">
        <w:t>se</w:t>
      </w:r>
      <w:r w:rsidR="00B21B73">
        <w:t xml:space="preserve"> findings were discussed with the Steering Committee a</w:t>
      </w:r>
      <w:r w:rsidR="00D814C0">
        <w:t>t the commencement of the field</w:t>
      </w:r>
      <w:r w:rsidR="00B21B73">
        <w:t xml:space="preserve">work. </w:t>
      </w:r>
    </w:p>
    <w:p w:rsidR="00B21B73" w:rsidRDefault="00D814C0" w:rsidP="004902E0">
      <w:r>
        <w:t>The field</w:t>
      </w:r>
      <w:r w:rsidR="00B21B73">
        <w:t xml:space="preserve">work included semi-structured interviews of 100 people (Appendix </w:t>
      </w:r>
      <w:r w:rsidR="008D7761">
        <w:t>B</w:t>
      </w:r>
      <w:r w:rsidR="00B21B73">
        <w:t xml:space="preserve">) from </w:t>
      </w:r>
      <w:r w:rsidR="00796B33">
        <w:t>35</w:t>
      </w:r>
      <w:r w:rsidR="00B21B73">
        <w:t xml:space="preserve"> different stakeholder groups. Available relevant quantitative data was analysed. An aide memoire was presented to the Steering Committee on </w:t>
      </w:r>
      <w:r w:rsidR="00796B33">
        <w:t>22 July 2015</w:t>
      </w:r>
      <w:r w:rsidR="00B21B73">
        <w:t xml:space="preserve">. </w:t>
      </w:r>
      <w:r w:rsidR="00A82D26">
        <w:t xml:space="preserve">Key findings, including revisions to the </w:t>
      </w:r>
      <w:proofErr w:type="spellStart"/>
      <w:r w:rsidR="00A82D26">
        <w:t>ToC</w:t>
      </w:r>
      <w:proofErr w:type="spellEnd"/>
      <w:r w:rsidR="00A82D26">
        <w:t xml:space="preserve">, were discussed with the Steering Committee and comments have been incorporated into this report. </w:t>
      </w:r>
      <w:r w:rsidR="003B0CFC">
        <w:t xml:space="preserve">The key limitations were time (which limited the number of community members interviewed and constrained field work to Apia) and availability of quantitative data. </w:t>
      </w:r>
      <w:r w:rsidR="00F42D3B">
        <w:t>Consequently, consideration of the effect of the support outside Apia is more limited than desired and little quantitative analysis has occurred.</w:t>
      </w:r>
    </w:p>
    <w:p w:rsidR="00B21B73" w:rsidRDefault="00B21B73" w:rsidP="004902E0">
      <w:r>
        <w:t xml:space="preserve">This report provides a summary of development of the SLJS, Australian support and considers each of the key review questions. </w:t>
      </w:r>
      <w:r w:rsidR="003D590A">
        <w:t>The</w:t>
      </w:r>
      <w:r>
        <w:t xml:space="preserve"> emphasis on effectiveness </w:t>
      </w:r>
      <w:r w:rsidR="002C4A81">
        <w:t xml:space="preserve">(and inclusion of relevance as Appendix C) </w:t>
      </w:r>
      <w:r w:rsidR="003D590A">
        <w:t>reflects</w:t>
      </w:r>
      <w:r>
        <w:t xml:space="preserve"> the priority </w:t>
      </w:r>
      <w:r w:rsidR="003D590A">
        <w:t>of</w:t>
      </w:r>
      <w:r>
        <w:t xml:space="preserve"> the Terms of Reference</w:t>
      </w:r>
      <w:r w:rsidR="00D814C0">
        <w:t xml:space="preserve"> and primary intended users</w:t>
      </w:r>
      <w:r>
        <w:t xml:space="preserve">.  The </w:t>
      </w:r>
      <w:r>
        <w:lastRenderedPageBreak/>
        <w:t xml:space="preserve">report then identifies the key lessons learnt and principles to underpin </w:t>
      </w:r>
      <w:r w:rsidR="00F42D3B">
        <w:t xml:space="preserve">any </w:t>
      </w:r>
      <w:r>
        <w:t xml:space="preserve">future Australian support to the SLJS. The recommendations are also summarised in the conclusions. </w:t>
      </w:r>
    </w:p>
    <w:bookmarkStart w:id="19" w:name="_Toc431828755"/>
    <w:p w:rsidR="00B21B73" w:rsidRPr="008C2146" w:rsidRDefault="00DF2B6A" w:rsidP="004902E0">
      <w:pPr>
        <w:pStyle w:val="Heading1"/>
        <w:rPr>
          <w:noProof w:val="0"/>
        </w:rPr>
      </w:pPr>
      <w:r>
        <w:rPr>
          <w:lang w:val="en-AU" w:eastAsia="en-AU"/>
        </w:rPr>
        <w:lastRenderedPageBreak/>
        <mc:AlternateContent>
          <mc:Choice Requires="wps">
            <w:drawing>
              <wp:anchor distT="0" distB="0" distL="114300" distR="114300" simplePos="0" relativeHeight="251654144" behindDoc="1" locked="0" layoutInCell="1" allowOverlap="1" wp14:anchorId="47B3B0FA" wp14:editId="11DB2787">
                <wp:simplePos x="0" y="0"/>
                <wp:positionH relativeFrom="page">
                  <wp:posOffset>-62865</wp:posOffset>
                </wp:positionH>
                <wp:positionV relativeFrom="paragraph">
                  <wp:posOffset>-317500</wp:posOffset>
                </wp:positionV>
                <wp:extent cx="7658100" cy="1468755"/>
                <wp:effectExtent l="0" t="0" r="0" b="0"/>
                <wp:wrapNone/>
                <wp:docPr id="1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58100" cy="1468755"/>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95pt;margin-top:-25pt;width:603pt;height:115.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" fillcolor="#124486" stroked="f" strokeweight="2pt">
                <v:path arrowok="t"/>
                <w10:wrap anchorx="page"/>
              </v:rect>
            </w:pict>
          </mc:Fallback>
        </mc:AlternateContent>
      </w:r>
      <w:r w:rsidR="00F83345">
        <w:t>The Samoa Law and Justice Sector</w:t>
      </w:r>
      <w:r w:rsidR="00B21B73">
        <w:t xml:space="preserve"> </w:t>
      </w:r>
      <w:r w:rsidR="00F83345">
        <w:t>(</w:t>
      </w:r>
      <w:r w:rsidR="00B21B73">
        <w:t>SLJS</w:t>
      </w:r>
      <w:r w:rsidR="00F83345">
        <w:t>)</w:t>
      </w:r>
      <w:bookmarkEnd w:id="19"/>
    </w:p>
    <w:p w:rsidR="00F83345" w:rsidRDefault="00F83345" w:rsidP="00F83345">
      <w:pPr>
        <w:pStyle w:val="Heading2"/>
      </w:pPr>
      <w:bookmarkStart w:id="20" w:name="_Toc431828756"/>
      <w:r>
        <w:t>Development of the SLJS</w:t>
      </w:r>
      <w:bookmarkEnd w:id="20"/>
    </w:p>
    <w:p w:rsidR="00B21B73" w:rsidRDefault="00B21B73" w:rsidP="004902E0">
      <w:r>
        <w:t xml:space="preserve">In the early 2000s, Samoa introduced a program of public sector reform. As part of this, there was an intent to improve performance management </w:t>
      </w:r>
      <w:smartTag w:uri="urn:schemas-microsoft-com:office:smarttags" w:element="PersonName">
        <w:r>
          <w:t>and</w:t>
        </w:r>
      </w:smartTag>
      <w:r>
        <w:t xml:space="preserve"> monitoring at an agency </w:t>
      </w:r>
      <w:smartTag w:uri="urn:schemas-microsoft-com:office:smarttags" w:element="PersonName">
        <w:r>
          <w:t>and</w:t>
        </w:r>
      </w:smartTag>
      <w:r>
        <w:t xml:space="preserve"> sectoral level. As a result, the Government of Samoa introduced sectoral planning, with a sector</w:t>
      </w:r>
      <w:r w:rsidR="00E2574E">
        <w:t xml:space="preserve"> </w:t>
      </w:r>
      <w:r>
        <w:t>defined as “a grouping of economic, social and administrative activities based on the type of goods or services produced” (</w:t>
      </w:r>
      <w:proofErr w:type="spellStart"/>
      <w:r>
        <w:t>MoF</w:t>
      </w:r>
      <w:proofErr w:type="spellEnd"/>
      <w:r>
        <w:t xml:space="preserve">, 2003). On 13 April 2006, the Chief Executive Officers (CEOs) of all agencies in what is now the SLJS agreed to seek the establishment of the LJS through the 2008 – 2011 Strategy for the Development of Samoa (SDS). To support this, they created the Law </w:t>
      </w:r>
      <w:smartTag w:uri="urn:schemas-microsoft-com:office:smarttags" w:element="PersonName">
        <w:r>
          <w:t>and</w:t>
        </w:r>
      </w:smartTag>
      <w:r>
        <w:t xml:space="preserve"> Justice Sector Steering Committee (comprising the CEO’s of all agencies) </w:t>
      </w:r>
      <w:smartTag w:uri="urn:schemas-microsoft-com:office:smarttags" w:element="PersonName">
        <w:r>
          <w:t>and</w:t>
        </w:r>
      </w:smartTag>
      <w:r>
        <w:t xml:space="preserve"> a Working Group of senior officers to progress the establishment of the SLJS. </w:t>
      </w:r>
    </w:p>
    <w:p w:rsidR="00B21B73" w:rsidRDefault="00B21B73" w:rsidP="004902E0">
      <w:r>
        <w:t xml:space="preserve">In 2007, </w:t>
      </w:r>
      <w:r w:rsidR="00963B3F">
        <w:t>the Samoan Government</w:t>
      </w:r>
      <w:r>
        <w:t xml:space="preserve"> sought funding from </w:t>
      </w:r>
      <w:r w:rsidR="00963B3F">
        <w:t>the Australian Government</w:t>
      </w:r>
      <w:r>
        <w:t xml:space="preserve"> </w:t>
      </w:r>
      <w:r w:rsidRPr="00593720">
        <w:t xml:space="preserve">to support development </w:t>
      </w:r>
      <w:r w:rsidR="00593720">
        <w:t>of the</w:t>
      </w:r>
      <w:r w:rsidRPr="00593720">
        <w:t xml:space="preserve"> sector</w:t>
      </w:r>
      <w:r>
        <w:t xml:space="preserve">. Funding was provided </w:t>
      </w:r>
      <w:smartTag w:uri="urn:schemas-microsoft-com:office:smarttags" w:element="PersonName">
        <w:r>
          <w:t>and</w:t>
        </w:r>
      </w:smartTag>
      <w:r>
        <w:t xml:space="preserve"> a series of workshops were held to determine the sector identity, purpose </w:t>
      </w:r>
      <w:smartTag w:uri="urn:schemas-microsoft-com:office:smarttags" w:element="PersonName">
        <w:r>
          <w:t>and</w:t>
        </w:r>
      </w:smartTag>
      <w:r>
        <w:t xml:space="preserve"> direction (AusAID, 2008). The Steering Committee agreed that the LJS should comprise three elements:</w:t>
      </w:r>
    </w:p>
    <w:p w:rsidR="00B21B73" w:rsidRPr="0043784F" w:rsidRDefault="00B21B73" w:rsidP="0043784F">
      <w:pPr>
        <w:pStyle w:val="Bullet"/>
      </w:pPr>
      <w:r w:rsidRPr="0043784F">
        <w:t xml:space="preserve">Law: All aspects of criminal </w:t>
      </w:r>
      <w:smartTag w:uri="urn:schemas-microsoft-com:office:smarttags" w:element="PersonName">
        <w:r w:rsidRPr="0043784F">
          <w:t>and</w:t>
        </w:r>
      </w:smartTag>
      <w:r w:rsidRPr="0043784F">
        <w:t xml:space="preserve"> civil law.</w:t>
      </w:r>
    </w:p>
    <w:p w:rsidR="00B21B73" w:rsidRPr="0043784F" w:rsidRDefault="00B21B73" w:rsidP="0043784F">
      <w:pPr>
        <w:pStyle w:val="Bullet"/>
      </w:pPr>
      <w:r w:rsidRPr="0043784F">
        <w:t xml:space="preserve">Custom: Integrate </w:t>
      </w:r>
      <w:smartTag w:uri="urn:schemas-microsoft-com:office:smarttags" w:element="PersonName">
        <w:r w:rsidRPr="0043784F">
          <w:t>and</w:t>
        </w:r>
      </w:smartTag>
      <w:r w:rsidRPr="0043784F">
        <w:t xml:space="preserve"> harmonise the ‘marriage’ of formal </w:t>
      </w:r>
      <w:smartTag w:uri="urn:schemas-microsoft-com:office:smarttags" w:element="PersonName">
        <w:r w:rsidRPr="0043784F">
          <w:t>and</w:t>
        </w:r>
      </w:smartTag>
      <w:r w:rsidRPr="0043784F">
        <w:t xml:space="preserve"> customary justice.</w:t>
      </w:r>
    </w:p>
    <w:p w:rsidR="00B21B73" w:rsidRPr="0043784F" w:rsidRDefault="00B21B73" w:rsidP="0043784F">
      <w:pPr>
        <w:pStyle w:val="Bullet"/>
      </w:pPr>
      <w:r w:rsidRPr="0043784F">
        <w:t xml:space="preserve">Community: Address </w:t>
      </w:r>
      <w:smartTag w:uri="urn:schemas-microsoft-com:office:smarttags" w:element="PersonName">
        <w:r w:rsidRPr="0043784F">
          <w:t>and</w:t>
        </w:r>
      </w:smartTag>
      <w:r w:rsidRPr="0043784F">
        <w:t xml:space="preserve"> reflect community interests </w:t>
      </w:r>
      <w:smartTag w:uri="urn:schemas-microsoft-com:office:smarttags" w:element="PersonName">
        <w:r w:rsidRPr="0043784F">
          <w:t>and</w:t>
        </w:r>
      </w:smartTag>
      <w:r w:rsidRPr="0043784F">
        <w:t xml:space="preserve"> relations.</w:t>
      </w:r>
    </w:p>
    <w:p w:rsidR="00B21B73" w:rsidRDefault="00B21B73" w:rsidP="004902E0">
      <w:r>
        <w:t>The Steering Committee identified two elements to the rationale for establishing the SLJS:</w:t>
      </w:r>
    </w:p>
    <w:p w:rsidR="00B21B73" w:rsidRDefault="00B21B73" w:rsidP="00BF0FE1">
      <w:pPr>
        <w:numPr>
          <w:ilvl w:val="0"/>
          <w:numId w:val="34"/>
        </w:numPr>
        <w:spacing w:before="120"/>
        <w:ind w:left="357" w:hanging="357"/>
      </w:pPr>
      <w:r>
        <w:t>Improved service delivery: This was expected to be facilitated through:</w:t>
      </w:r>
    </w:p>
    <w:p w:rsidR="00B21B73" w:rsidRDefault="00B21B73" w:rsidP="004902E0">
      <w:pPr>
        <w:pStyle w:val="Bullet"/>
      </w:pPr>
      <w:r>
        <w:t xml:space="preserve">Raising recognition of the importance of law </w:t>
      </w:r>
      <w:smartTag w:uri="urn:schemas-microsoft-com:office:smarttags" w:element="PersonName">
        <w:r>
          <w:t>and</w:t>
        </w:r>
      </w:smartTag>
      <w:r>
        <w:t xml:space="preserve"> justice.</w:t>
      </w:r>
    </w:p>
    <w:p w:rsidR="00B21B73" w:rsidRDefault="00B21B73" w:rsidP="004902E0">
      <w:pPr>
        <w:pStyle w:val="Bullet"/>
      </w:pPr>
      <w:r w:rsidRPr="00BC0869">
        <w:t xml:space="preserve">Improving the direction, planning, management, communication, coordination </w:t>
      </w:r>
      <w:smartTag w:uri="urn:schemas-microsoft-com:office:smarttags" w:element="PersonName">
        <w:r w:rsidRPr="00BC0869">
          <w:t>and</w:t>
        </w:r>
      </w:smartTag>
      <w:r>
        <w:t xml:space="preserve"> monitoring of government services;</w:t>
      </w:r>
    </w:p>
    <w:p w:rsidR="00B21B73" w:rsidRPr="00F56D54" w:rsidRDefault="00B21B73" w:rsidP="004902E0">
      <w:pPr>
        <w:pStyle w:val="Bulletnumberedindented"/>
        <w:rPr>
          <w:rFonts w:asciiTheme="minorHAnsi" w:hAnsiTheme="minorHAnsi"/>
          <w:sz w:val="24"/>
          <w:szCs w:val="24"/>
        </w:rPr>
      </w:pPr>
      <w:r w:rsidRPr="00F56D54">
        <w:rPr>
          <w:rFonts w:asciiTheme="minorHAnsi" w:hAnsiTheme="minorHAnsi"/>
          <w:sz w:val="24"/>
          <w:szCs w:val="24"/>
        </w:rPr>
        <w:t>Vertically: from national to agency levels,</w:t>
      </w:r>
    </w:p>
    <w:p w:rsidR="00B21B73" w:rsidRPr="00F56D54" w:rsidRDefault="00B21B73" w:rsidP="004902E0">
      <w:pPr>
        <w:pStyle w:val="Bulletnumberedindented"/>
        <w:rPr>
          <w:rFonts w:asciiTheme="minorHAnsi" w:hAnsiTheme="minorHAnsi"/>
          <w:sz w:val="24"/>
          <w:szCs w:val="24"/>
        </w:rPr>
      </w:pPr>
      <w:r w:rsidRPr="00F56D54">
        <w:rPr>
          <w:rFonts w:asciiTheme="minorHAnsi" w:hAnsiTheme="minorHAnsi"/>
          <w:sz w:val="24"/>
          <w:szCs w:val="24"/>
        </w:rPr>
        <w:t>Horizontally: integrate and link services between sectors.</w:t>
      </w:r>
    </w:p>
    <w:p w:rsidR="00B21B73" w:rsidRDefault="00B21B73" w:rsidP="004902E0">
      <w:pPr>
        <w:pStyle w:val="Bullet"/>
      </w:pPr>
      <w:r>
        <w:t xml:space="preserve">Harmonise service delivery, </w:t>
      </w:r>
      <w:smartTag w:uri="urn:schemas-microsoft-com:office:smarttags" w:element="PersonName">
        <w:r>
          <w:t>and</w:t>
        </w:r>
      </w:smartTag>
      <w:r>
        <w:t xml:space="preserve"> improve the effectiveness </w:t>
      </w:r>
      <w:smartTag w:uri="urn:schemas-microsoft-com:office:smarttags" w:element="PersonName">
        <w:r>
          <w:t>and</w:t>
        </w:r>
      </w:smartTag>
      <w:r>
        <w:t xml:space="preserve"> value for money.</w:t>
      </w:r>
    </w:p>
    <w:p w:rsidR="00B21B73" w:rsidRDefault="00B21B73" w:rsidP="004902E0">
      <w:pPr>
        <w:pStyle w:val="Bullet"/>
      </w:pPr>
      <w:r>
        <w:t>Provided government owned priority setting mechanism for development.</w:t>
      </w:r>
    </w:p>
    <w:p w:rsidR="00B21B73" w:rsidRDefault="00B21B73" w:rsidP="00BF0FE1">
      <w:pPr>
        <w:numPr>
          <w:ilvl w:val="0"/>
          <w:numId w:val="34"/>
        </w:numPr>
        <w:spacing w:before="120"/>
        <w:ind w:left="357" w:hanging="357"/>
      </w:pPr>
      <w:r>
        <w:t xml:space="preserve">Facilitate international development assistance to support </w:t>
      </w:r>
      <w:proofErr w:type="spellStart"/>
      <w:r>
        <w:t>GoS</w:t>
      </w:r>
      <w:proofErr w:type="spellEnd"/>
      <w:r>
        <w:t xml:space="preserve"> priorities. This would be by adopting an integrated, coordinated approach.</w:t>
      </w:r>
    </w:p>
    <w:p w:rsidR="00B21B73" w:rsidRDefault="00B21B73" w:rsidP="004902E0">
      <w:r>
        <w:t xml:space="preserve">Over time, the five elements of this rationale have become the key functions of the Sector. The scope has broadened from government services to include all Sector Stakeholders; with a specific inclusion of community in driving priorities. </w:t>
      </w:r>
    </w:p>
    <w:p w:rsidR="00B21B73" w:rsidRDefault="00B21B73" w:rsidP="004902E0">
      <w:r>
        <w:t xml:space="preserve">Following these workshops, development of a SLJS Strategic Plan commenced (2007). The draft was prepared in </w:t>
      </w:r>
      <w:r>
        <w:rPr>
          <w:rFonts w:ascii="Verdana" w:hAnsi="Verdana" w:cs="Verdana"/>
          <w:sz w:val="20"/>
        </w:rPr>
        <w:t xml:space="preserve">October 2007 and agencies used this to inform their own Strategic Plan </w:t>
      </w:r>
      <w:r>
        <w:rPr>
          <w:rFonts w:ascii="Verdana" w:hAnsi="Verdana" w:cs="Verdana"/>
          <w:sz w:val="20"/>
        </w:rPr>
        <w:lastRenderedPageBreak/>
        <w:t xml:space="preserve">(AGD, 2008).  </w:t>
      </w:r>
      <w:r>
        <w:t>The development of the Sector Strategi</w:t>
      </w:r>
      <w:r w:rsidR="002E6239">
        <w:t>c</w:t>
      </w:r>
      <w:r>
        <w:t xml:space="preserve"> Plan was a slower process than anticipated. As a result, the Sector Strategic Plan 2008 – 2012 was not launched until May 2010 (SLJS, 2013; AGO, 2012)</w:t>
      </w:r>
      <w:r>
        <w:rPr>
          <w:rStyle w:val="EndnoteReference"/>
        </w:rPr>
        <w:endnoteReference w:id="3"/>
      </w:r>
      <w:r>
        <w:t xml:space="preserve">. </w:t>
      </w:r>
    </w:p>
    <w:p w:rsidR="00B21B73" w:rsidRDefault="00B21B73" w:rsidP="004902E0">
      <w:r>
        <w:t>In 2008, the Government</w:t>
      </w:r>
      <w:r w:rsidR="00726BE6">
        <w:t>s</w:t>
      </w:r>
      <w:r>
        <w:t xml:space="preserve"> of Samoa and Australia entered into a Partnership for Development. This included an outcome in line with SDS Goal 6: “Improved governance”. The target results were improved Government Effectiveness </w:t>
      </w:r>
      <w:smartTag w:uri="urn:schemas-microsoft-com:office:smarttags" w:element="PersonName">
        <w:r>
          <w:t>and</w:t>
        </w:r>
      </w:smartTag>
      <w:r>
        <w:t xml:space="preserve"> Rule of Law scores in the World Bank Governance Indicators </w:t>
      </w:r>
      <w:smartTag w:uri="urn:schemas-microsoft-com:office:smarttags" w:element="PersonName">
        <w:r>
          <w:t>and</w:t>
        </w:r>
      </w:smartTag>
      <w:r>
        <w:t xml:space="preserve"> PASP Secretariat Evaluation Report. </w:t>
      </w:r>
    </w:p>
    <w:p w:rsidR="00B21B73" w:rsidRDefault="00EC1878" w:rsidP="004902E0">
      <w:r>
        <w:t>In mid-</w:t>
      </w:r>
      <w:r w:rsidR="00B21B73">
        <w:t xml:space="preserve">2009, the SLJS requested funding from Australia to establish a Secretariat. This was considered essential to provide the administrative and management support required by the Steering Committee to ensure continuation of progress, centralise coordination of sector operations and ensure uniformity in </w:t>
      </w:r>
      <w:r w:rsidR="00B21B73" w:rsidRPr="00726BE6">
        <w:t>support (</w:t>
      </w:r>
      <w:r w:rsidR="00726BE6">
        <w:t>AusAID</w:t>
      </w:r>
      <w:r w:rsidR="00B21B73">
        <w:t>, 2009; SLJS, 2013). The Secretariat was established follo</w:t>
      </w:r>
      <w:r w:rsidR="00F83345">
        <w:t xml:space="preserve">wing approval of this funding. </w:t>
      </w:r>
      <w:r w:rsidR="00B21B73">
        <w:t>The SLJS Steering Committee was exp</w:t>
      </w:r>
      <w:smartTag w:uri="urn:schemas-microsoft-com:office:smarttags" w:element="PersonName">
        <w:r w:rsidR="00B21B73">
          <w:t>and</w:t>
        </w:r>
      </w:smartTag>
      <w:r w:rsidR="00B21B73">
        <w:t xml:space="preserve">ed in 2009 to include a representative of the National Council of Churches, the Samoa Law Society, the community (a senior </w:t>
      </w:r>
      <w:smartTag w:uri="urn:schemas-microsoft-com:office:smarttags" w:element="PersonName">
        <w:r w:rsidR="00B21B73">
          <w:t>and</w:t>
        </w:r>
      </w:smartTag>
      <w:r w:rsidR="00B21B73">
        <w:t xml:space="preserve"> respected matai) </w:t>
      </w:r>
      <w:smartTag w:uri="urn:schemas-microsoft-com:office:smarttags" w:element="PersonName">
        <w:r w:rsidR="00B21B73">
          <w:t>and</w:t>
        </w:r>
      </w:smartTag>
      <w:r w:rsidR="00B21B73">
        <w:t xml:space="preserve"> NGOs. </w:t>
      </w:r>
    </w:p>
    <w:p w:rsidR="00B21B73" w:rsidRDefault="00B21B73" w:rsidP="004902E0">
      <w:r>
        <w:t xml:space="preserve">When the SLJS was established, </w:t>
      </w:r>
      <w:r w:rsidR="00F83345">
        <w:t>few</w:t>
      </w:r>
      <w:r>
        <w:t xml:space="preserve"> Steering Committee members (including </w:t>
      </w:r>
      <w:r w:rsidR="00EC1878">
        <w:t>Australian Government representatives</w:t>
      </w:r>
      <w:r>
        <w:t xml:space="preserve">) </w:t>
      </w:r>
      <w:r w:rsidR="00F83345">
        <w:t>understood</w:t>
      </w:r>
      <w:r>
        <w:t xml:space="preserve"> what a sector-based approach was: “For the first few years, everyone was trying to understand what it was like to work as a sector”</w:t>
      </w:r>
      <w:r>
        <w:rPr>
          <w:rStyle w:val="EndnoteReference"/>
        </w:rPr>
        <w:endnoteReference w:id="4"/>
      </w:r>
      <w:r>
        <w:t xml:space="preserve"> or the administration support a sector required. As one </w:t>
      </w:r>
      <w:r w:rsidR="00EC1878">
        <w:t>Australian Government official</w:t>
      </w:r>
      <w:r>
        <w:t xml:space="preserve"> explained “we learnt as we went along”</w:t>
      </w:r>
      <w:r>
        <w:rPr>
          <w:rStyle w:val="EndnoteReference"/>
        </w:rPr>
        <w:endnoteReference w:id="5"/>
      </w:r>
      <w:r>
        <w:t>. With a sector</w:t>
      </w:r>
      <w:r w:rsidR="00726BE6">
        <w:t>-</w:t>
      </w:r>
      <w:r>
        <w:t xml:space="preserve">based approach being a new concept, both to </w:t>
      </w:r>
      <w:r w:rsidR="00726BE6">
        <w:t>Australia</w:t>
      </w:r>
      <w:r w:rsidR="00EC1878">
        <w:t xml:space="preserve"> </w:t>
      </w:r>
      <w:r>
        <w:t xml:space="preserve">and </w:t>
      </w:r>
      <w:r w:rsidR="00726BE6">
        <w:t>Samoa</w:t>
      </w:r>
      <w:r>
        <w:t xml:space="preserve">, there was a sense that “sometimes you have to start so that people can see it, then either fix it or throw it out. Otherwise it is difficult to conceive what it will look like. Donors can see this as disregarding the rules </w:t>
      </w:r>
      <w:smartTag w:uri="urn:schemas-microsoft-com:office:smarttags" w:element="PersonName">
        <w:r>
          <w:t>and</w:t>
        </w:r>
      </w:smartTag>
      <w:r>
        <w:t xml:space="preserve"> agreements.”</w:t>
      </w:r>
      <w:r w:rsidRPr="00DC5701">
        <w:rPr>
          <w:rStyle w:val="EndnoteReference"/>
        </w:rPr>
        <w:t xml:space="preserve"> </w:t>
      </w:r>
      <w:r>
        <w:rPr>
          <w:rStyle w:val="EndnoteReference"/>
        </w:rPr>
        <w:endnoteReference w:id="6"/>
      </w:r>
      <w:r>
        <w:t xml:space="preserve">  At the same time, there was a perceived r</w:t>
      </w:r>
      <w:r w:rsidRPr="00304A5B">
        <w:t>ush</w:t>
      </w:r>
      <w:r>
        <w:t xml:space="preserve"> to</w:t>
      </w:r>
      <w:r w:rsidRPr="00304A5B">
        <w:t xml:space="preserve"> progress expenditure </w:t>
      </w:r>
      <w:r>
        <w:t>as a way to</w:t>
      </w:r>
      <w:r w:rsidRPr="00304A5B">
        <w:t xml:space="preserve"> encourage </w:t>
      </w:r>
      <w:r>
        <w:t>sector agency</w:t>
      </w:r>
      <w:r w:rsidRPr="00304A5B">
        <w:t xml:space="preserve"> to look at projects across the sector, rather than just for their agency</w:t>
      </w:r>
      <w:r>
        <w:t>. Consequently, when the sector commenced, there was no Medium Term Expenditure Framework or Performance Management Framework</w:t>
      </w:r>
      <w:r>
        <w:rPr>
          <w:rStyle w:val="EndnoteReference"/>
        </w:rPr>
        <w:endnoteReference w:id="7"/>
      </w:r>
      <w:r>
        <w:t xml:space="preserve">. </w:t>
      </w:r>
    </w:p>
    <w:p w:rsidR="00B21B73" w:rsidRDefault="00B21B73" w:rsidP="004902E0">
      <w:r>
        <w:t xml:space="preserve">A series of Sub-Committees </w:t>
      </w:r>
      <w:smartTag w:uri="urn:schemas-microsoft-com:office:smarttags" w:element="PersonName">
        <w:r>
          <w:t>and</w:t>
        </w:r>
      </w:smartTag>
      <w:r>
        <w:t xml:space="preserve"> Taskforces were established to manage the implementation of specific areas of work, for example, prisons review </w:t>
      </w:r>
      <w:smartTag w:uri="urn:schemas-microsoft-com:office:smarttags" w:element="PersonName">
        <w:r>
          <w:t>and</w:t>
        </w:r>
      </w:smartTag>
      <w:r>
        <w:t xml:space="preserve"> crime prevention. Working Groups were</w:t>
      </w:r>
      <w:r w:rsidRPr="00F21619">
        <w:t xml:space="preserve"> </w:t>
      </w:r>
      <w:r>
        <w:t>established to manage the implementation</w:t>
      </w:r>
      <w:r w:rsidR="00D357DA">
        <w:t xml:space="preserve"> of specific projects. These S</w:t>
      </w:r>
      <w:r>
        <w:t>ub-Committees, Taskforces and Working Groups report to the Steering Committee (SLJS, 2015).</w:t>
      </w:r>
    </w:p>
    <w:p w:rsidR="00B21B73" w:rsidRDefault="00B21B73" w:rsidP="004902E0">
      <w:r>
        <w:t xml:space="preserve">The SLJS developed their second Strategic Plan, to cover the period 2012 – 2016. This was done with funding from </w:t>
      </w:r>
      <w:r w:rsidR="00EC1878">
        <w:t>the Australian Government</w:t>
      </w:r>
      <w:r>
        <w:t>. The sector completed the Plan by June 2012</w:t>
      </w:r>
      <w:r w:rsidR="00E22D32">
        <w:t xml:space="preserve"> with</w:t>
      </w:r>
      <w:r>
        <w:t xml:space="preserve"> </w:t>
      </w:r>
      <w:r w:rsidR="00E22D32">
        <w:t>t</w:t>
      </w:r>
      <w:r w:rsidRPr="004C534E">
        <w:t>he launch scheduled for July 201</w:t>
      </w:r>
      <w:r w:rsidR="00561821">
        <w:t>2</w:t>
      </w:r>
      <w:r w:rsidRPr="004C534E">
        <w:t>. However</w:t>
      </w:r>
      <w:r>
        <w:t>,</w:t>
      </w:r>
      <w:r w:rsidRPr="004C534E">
        <w:t xml:space="preserve"> at </w:t>
      </w:r>
      <w:r w:rsidR="00EC1878">
        <w:t>the Australian Government’</w:t>
      </w:r>
      <w:r w:rsidRPr="004C534E">
        <w:t xml:space="preserve">s request, </w:t>
      </w:r>
      <w:r>
        <w:t>the launch</w:t>
      </w:r>
      <w:r w:rsidRPr="004C534E">
        <w:t xml:space="preserve"> was delayed until December to allow</w:t>
      </w:r>
      <w:r w:rsidR="00E22D32">
        <w:t xml:space="preserve"> for</w:t>
      </w:r>
      <w:r w:rsidRPr="004C534E">
        <w:t xml:space="preserve"> completion of four studies</w:t>
      </w:r>
      <w:r w:rsidR="00E22D32" w:rsidRPr="00E22D32">
        <w:t xml:space="preserve"> </w:t>
      </w:r>
      <w:r w:rsidR="00E22D32">
        <w:t>as part of the design process</w:t>
      </w:r>
      <w:r w:rsidRPr="004C534E">
        <w:t xml:space="preserve">. </w:t>
      </w:r>
      <w:r w:rsidR="00EC1878">
        <w:t>The Australian Government</w:t>
      </w:r>
      <w:r w:rsidRPr="008940FB">
        <w:t xml:space="preserve"> further delayed the fourth study </w:t>
      </w:r>
      <w:r w:rsidR="00E22D32" w:rsidRPr="004A03A0">
        <w:t xml:space="preserve">(the design) </w:t>
      </w:r>
      <w:r w:rsidRPr="004A03A0">
        <w:t>until 2013.</w:t>
      </w:r>
      <w:r w:rsidRPr="004C534E">
        <w:t xml:space="preserve"> However, </w:t>
      </w:r>
      <w:r w:rsidR="00E22D32">
        <w:t>g</w:t>
      </w:r>
      <w:r w:rsidR="00E22D32" w:rsidRPr="00E22D32">
        <w:t>iven delays associated with planning and mobilising a design team for Australian support</w:t>
      </w:r>
      <w:r w:rsidR="00E22D32">
        <w:t>,</w:t>
      </w:r>
      <w:r w:rsidR="00E22D32" w:rsidRPr="00E22D32">
        <w:t xml:space="preserve"> and in recognition that the </w:t>
      </w:r>
      <w:r w:rsidR="00E22D32">
        <w:t>S</w:t>
      </w:r>
      <w:r w:rsidR="00E22D32" w:rsidRPr="00E22D32">
        <w:t xml:space="preserve">ector </w:t>
      </w:r>
      <w:r w:rsidR="00E22D32">
        <w:t>P</w:t>
      </w:r>
      <w:r w:rsidR="00E22D32" w:rsidRPr="00E22D32">
        <w:t xml:space="preserve">lan was Samoa’s </w:t>
      </w:r>
      <w:r w:rsidR="00E22D32">
        <w:t>P</w:t>
      </w:r>
      <w:r w:rsidR="00E22D32" w:rsidRPr="00E22D32">
        <w:t>lan,</w:t>
      </w:r>
      <w:r w:rsidR="00E22D32">
        <w:t xml:space="preserve"> </w:t>
      </w:r>
      <w:r w:rsidR="00EC1878">
        <w:t>the Australian Government</w:t>
      </w:r>
      <w:r w:rsidRPr="004C534E">
        <w:t xml:space="preserve"> confirmed that the Sector Plan should still be launched </w:t>
      </w:r>
      <w:r>
        <w:t>as planned</w:t>
      </w:r>
      <w:r w:rsidR="00E22D32">
        <w:t xml:space="preserve"> a</w:t>
      </w:r>
      <w:r w:rsidR="00E22D32" w:rsidRPr="00E22D32">
        <w:t xml:space="preserve">nd </w:t>
      </w:r>
      <w:r w:rsidR="00E22D32">
        <w:t xml:space="preserve">that </w:t>
      </w:r>
      <w:r w:rsidR="00E22D32" w:rsidRPr="00E22D32">
        <w:t>the design process would proceed after the plan was endorsed</w:t>
      </w:r>
      <w:r>
        <w:t>. Following this, the SLJS Plan 2012 – 2016 was launched in December 2012, identifying five priority areas:</w:t>
      </w:r>
    </w:p>
    <w:p w:rsidR="00B21B73" w:rsidRPr="007900B2" w:rsidRDefault="00B21B73" w:rsidP="00BF0FE1">
      <w:pPr>
        <w:numPr>
          <w:ilvl w:val="0"/>
          <w:numId w:val="35"/>
        </w:numPr>
        <w:spacing w:before="120"/>
        <w:ind w:left="357" w:hanging="357"/>
      </w:pPr>
      <w:r>
        <w:t>C</w:t>
      </w:r>
      <w:r w:rsidRPr="007900B2">
        <w:t xml:space="preserve">ommunity safety through improved crime management </w:t>
      </w:r>
      <w:smartTag w:uri="urn:schemas-microsoft-com:office:smarttags" w:element="PersonName">
        <w:r w:rsidRPr="007900B2">
          <w:t>and</w:t>
        </w:r>
      </w:smartTag>
      <w:r w:rsidRPr="007900B2">
        <w:t xml:space="preserve"> prevention;</w:t>
      </w:r>
    </w:p>
    <w:p w:rsidR="00B21B73" w:rsidRPr="007900B2" w:rsidRDefault="00B21B73" w:rsidP="00BF0FE1">
      <w:pPr>
        <w:numPr>
          <w:ilvl w:val="0"/>
          <w:numId w:val="35"/>
        </w:numPr>
        <w:spacing w:before="120"/>
        <w:ind w:left="357" w:hanging="357"/>
      </w:pPr>
      <w:r>
        <w:t>I</w:t>
      </w:r>
      <w:r w:rsidRPr="007900B2">
        <w:t xml:space="preserve">mproving access to justice, law </w:t>
      </w:r>
      <w:smartTag w:uri="urn:schemas-microsoft-com:office:smarttags" w:element="PersonName">
        <w:r w:rsidRPr="007900B2">
          <w:t>and</w:t>
        </w:r>
      </w:smartTag>
      <w:r w:rsidRPr="007900B2">
        <w:t xml:space="preserve"> legal services; </w:t>
      </w:r>
    </w:p>
    <w:p w:rsidR="00B21B73" w:rsidRPr="007900B2" w:rsidRDefault="00B21B73" w:rsidP="00BF0FE1">
      <w:pPr>
        <w:numPr>
          <w:ilvl w:val="0"/>
          <w:numId w:val="35"/>
        </w:numPr>
        <w:spacing w:before="120"/>
        <w:ind w:left="357" w:hanging="357"/>
      </w:pPr>
      <w:r>
        <w:t>R</w:t>
      </w:r>
      <w:r w:rsidRPr="007900B2">
        <w:t xml:space="preserve">ecognising customary based justice </w:t>
      </w:r>
      <w:smartTag w:uri="urn:schemas-microsoft-com:office:smarttags" w:element="PersonName">
        <w:r w:rsidRPr="007900B2">
          <w:t>and</w:t>
        </w:r>
      </w:smartTag>
      <w:r w:rsidRPr="007900B2">
        <w:t xml:space="preserve"> harmonising with the formal justice system;</w:t>
      </w:r>
    </w:p>
    <w:p w:rsidR="00B21B73" w:rsidRPr="007900B2" w:rsidRDefault="00B21B73" w:rsidP="00BF0FE1">
      <w:pPr>
        <w:numPr>
          <w:ilvl w:val="0"/>
          <w:numId w:val="35"/>
        </w:numPr>
        <w:spacing w:before="120"/>
        <w:ind w:left="357" w:hanging="357"/>
      </w:pPr>
      <w:r>
        <w:lastRenderedPageBreak/>
        <w:t>P</w:t>
      </w:r>
      <w:r w:rsidRPr="007900B2">
        <w:t xml:space="preserve">romoting integrity </w:t>
      </w:r>
      <w:smartTag w:uri="urn:schemas-microsoft-com:office:smarttags" w:element="PersonName">
        <w:r w:rsidRPr="007900B2">
          <w:t>and</w:t>
        </w:r>
      </w:smartTag>
      <w:r w:rsidRPr="007900B2">
        <w:t xml:space="preserve"> good governance in formal </w:t>
      </w:r>
      <w:smartTag w:uri="urn:schemas-microsoft-com:office:smarttags" w:element="PersonName">
        <w:r w:rsidRPr="007900B2">
          <w:t>and</w:t>
        </w:r>
      </w:smartTag>
      <w:r w:rsidRPr="007900B2">
        <w:t xml:space="preserve"> customary processes </w:t>
      </w:r>
      <w:smartTag w:uri="urn:schemas-microsoft-com:office:smarttags" w:element="PersonName">
        <w:r w:rsidRPr="007900B2">
          <w:t>and</w:t>
        </w:r>
      </w:smartTag>
      <w:r w:rsidRPr="007900B2">
        <w:t xml:space="preserve"> services; and</w:t>
      </w:r>
    </w:p>
    <w:p w:rsidR="00B21B73" w:rsidRDefault="00B21B73" w:rsidP="00BF0FE1">
      <w:pPr>
        <w:numPr>
          <w:ilvl w:val="0"/>
          <w:numId w:val="35"/>
        </w:numPr>
        <w:spacing w:before="120"/>
        <w:ind w:left="357" w:hanging="357"/>
      </w:pPr>
      <w:r>
        <w:t>B</w:t>
      </w:r>
      <w:r w:rsidRPr="007900B2">
        <w:t xml:space="preserve">uilding sector agency capacity </w:t>
      </w:r>
      <w:smartTag w:uri="urn:schemas-microsoft-com:office:smarttags" w:element="PersonName">
        <w:r w:rsidRPr="007900B2">
          <w:t>and</w:t>
        </w:r>
      </w:smartTag>
      <w:r w:rsidRPr="007900B2">
        <w:t xml:space="preserve"> improved service coordination.</w:t>
      </w:r>
      <w:r>
        <w:t xml:space="preserve"> </w:t>
      </w:r>
    </w:p>
    <w:p w:rsidR="00B21B73" w:rsidRDefault="00B21B73" w:rsidP="004902E0">
      <w:r>
        <w:t xml:space="preserve">The first four were the same as the goals in the previous Sector Strategic Plan. Capacity development was included as an additional priority. </w:t>
      </w:r>
    </w:p>
    <w:p w:rsidR="00B21B73" w:rsidRDefault="00B21B73" w:rsidP="004902E0">
      <w:r>
        <w:t xml:space="preserve">The SLJS Secretariat developed a M&amp;E Framework to support the 2012 – 2016 Sector Plan. This is not aligned with the original Performance Management Framework. The Secretariat also conducted a mid-term review of the 2012 – 2016 Sector Plan in early 2015. </w:t>
      </w:r>
      <w:r w:rsidR="00726BE6">
        <w:t>The Government of Samoa</w:t>
      </w:r>
      <w:r>
        <w:t xml:space="preserve"> commenced fully funding the Secretariat from October 2012. </w:t>
      </w:r>
    </w:p>
    <w:p w:rsidR="00F83345" w:rsidRPr="0043784F" w:rsidRDefault="00F81BBD" w:rsidP="00F83345">
      <w:r w:rsidRPr="0043784F">
        <w:t xml:space="preserve">The Samoa-Australia LJ Partnership (SALJP) design mission occurred in March 2013 (Aide Memoire, 2013). The intent was that </w:t>
      </w:r>
      <w:r w:rsidR="0043784F" w:rsidRPr="0043784F">
        <w:t xml:space="preserve">implementation of </w:t>
      </w:r>
      <w:r w:rsidRPr="0043784F">
        <w:t xml:space="preserve">the new design would commence in July 2014. However, </w:t>
      </w:r>
      <w:r w:rsidR="00EC1878">
        <w:t>Australian Government officials</w:t>
      </w:r>
      <w:r w:rsidRPr="0043784F">
        <w:t xml:space="preserve"> and the sector were unable to reach agreement on the direction proposed by the design team and mutually agreed to cease the design process. </w:t>
      </w:r>
      <w:r w:rsidR="0043784F" w:rsidRPr="0043784F">
        <w:t xml:space="preserve">Subsequently it was </w:t>
      </w:r>
      <w:r w:rsidRPr="0043784F">
        <w:t>agreed</w:t>
      </w:r>
      <w:r w:rsidR="0043784F">
        <w:t xml:space="preserve"> between </w:t>
      </w:r>
      <w:r w:rsidR="003F037D">
        <w:t xml:space="preserve">the Governments of Samoa and Australia </w:t>
      </w:r>
      <w:r w:rsidRPr="0043784F">
        <w:t xml:space="preserve">that </w:t>
      </w:r>
      <w:r w:rsidR="0043784F" w:rsidRPr="0043784F">
        <w:t>future</w:t>
      </w:r>
      <w:r w:rsidRPr="0043784F">
        <w:t xml:space="preserve"> support </w:t>
      </w:r>
      <w:r w:rsidR="0043784F" w:rsidRPr="0043784F">
        <w:t>to the SLJS</w:t>
      </w:r>
      <w:r w:rsidRPr="0043784F">
        <w:t xml:space="preserve"> would be considered </w:t>
      </w:r>
      <w:r w:rsidR="0043784F" w:rsidRPr="0043784F">
        <w:t>within</w:t>
      </w:r>
      <w:r w:rsidRPr="0043784F">
        <w:t xml:space="preserve"> </w:t>
      </w:r>
      <w:r w:rsidR="003F037D">
        <w:t xml:space="preserve">Government of Samoa </w:t>
      </w:r>
      <w:r w:rsidRPr="0043784F">
        <w:t xml:space="preserve">priorities when setting a new </w:t>
      </w:r>
      <w:r w:rsidR="0043784F">
        <w:t xml:space="preserve">Samoa </w:t>
      </w:r>
      <w:r w:rsidRPr="0043784F">
        <w:t>country strategy.</w:t>
      </w:r>
      <w:r w:rsidR="0043784F" w:rsidRPr="0043784F">
        <w:t xml:space="preserve"> </w:t>
      </w:r>
      <w:r w:rsidR="0043784F">
        <w:t xml:space="preserve">In line with these priorities and </w:t>
      </w:r>
      <w:r w:rsidR="0043784F" w:rsidRPr="0043784F">
        <w:t xml:space="preserve">the </w:t>
      </w:r>
      <w:r w:rsidRPr="0043784F">
        <w:t xml:space="preserve">Australian aid program </w:t>
      </w:r>
      <w:r w:rsidR="0043784F" w:rsidRPr="0043784F">
        <w:t>recognis</w:t>
      </w:r>
      <w:r w:rsidR="0043784F">
        <w:t>ing</w:t>
      </w:r>
      <w:r w:rsidRPr="0043784F">
        <w:t xml:space="preserve"> the need to consolidate activities </w:t>
      </w:r>
      <w:r w:rsidR="0043784F" w:rsidRPr="0043784F">
        <w:t>to improve effectiveness</w:t>
      </w:r>
      <w:r w:rsidR="0043784F">
        <w:t>,</w:t>
      </w:r>
      <w:r w:rsidR="0043784F" w:rsidRPr="0043784F">
        <w:t xml:space="preserve"> </w:t>
      </w:r>
      <w:r w:rsidR="003F037D">
        <w:t>the Australian Government</w:t>
      </w:r>
      <w:r w:rsidR="0043784F" w:rsidRPr="0043784F">
        <w:t xml:space="preserve"> was </w:t>
      </w:r>
      <w:r w:rsidRPr="0043784F">
        <w:t xml:space="preserve">unable to commit to further broad-scale support to the SLJS. </w:t>
      </w:r>
      <w:r w:rsidR="0043784F" w:rsidRPr="0043784F">
        <w:t>At the 2014</w:t>
      </w:r>
      <w:r w:rsidRPr="0043784F">
        <w:t xml:space="preserve"> high-level aid talks both governments agreed to jointly commission an independent review at the conclusion of the current funding agreement (December 2014) to assess the effectiveness of Australian ass</w:t>
      </w:r>
      <w:r w:rsidR="005F55FA">
        <w:t xml:space="preserve">istance to the sector to date. </w:t>
      </w:r>
      <w:r w:rsidR="00F83345" w:rsidRPr="0043784F">
        <w:t xml:space="preserve">Further details on the establishment of the SLJS can be found in Appendix D. </w:t>
      </w:r>
    </w:p>
    <w:p w:rsidR="00F83345" w:rsidRDefault="00F83345" w:rsidP="00F83345">
      <w:pPr>
        <w:pStyle w:val="Heading2"/>
      </w:pPr>
      <w:bookmarkStart w:id="21" w:name="_Toc431828757"/>
      <w:r>
        <w:t>Sector funding</w:t>
      </w:r>
      <w:bookmarkEnd w:id="21"/>
    </w:p>
    <w:p w:rsidR="003F68DB" w:rsidRDefault="003F037D" w:rsidP="00F81BBD">
      <w:r>
        <w:t>The Australian Government</w:t>
      </w:r>
      <w:r w:rsidRPr="003C4CC6">
        <w:t xml:space="preserve"> </w:t>
      </w:r>
      <w:r w:rsidR="00B21B73" w:rsidRPr="003C4CC6">
        <w:t>has been the main don</w:t>
      </w:r>
      <w:r w:rsidR="00F81BBD">
        <w:t xml:space="preserve">or in this sector since 2008 </w:t>
      </w:r>
      <w:r w:rsidR="00DD0869" w:rsidRPr="003C4CC6">
        <w:t>(</w:t>
      </w:r>
      <w:r w:rsidR="00E35570">
        <w:t xml:space="preserve">refer </w:t>
      </w:r>
      <w:proofErr w:type="spellStart"/>
      <w:r w:rsidR="00E35570">
        <w:t>Appndix</w:t>
      </w:r>
      <w:proofErr w:type="spellEnd"/>
      <w:r w:rsidR="00E35570">
        <w:t xml:space="preserve"> D, </w:t>
      </w:r>
      <w:r w:rsidR="00DD0869" w:rsidRPr="003C4CC6">
        <w:t xml:space="preserve">Table </w:t>
      </w:r>
      <w:r w:rsidR="00E35570">
        <w:t>3</w:t>
      </w:r>
      <w:r w:rsidR="00DD0869" w:rsidRPr="003C4CC6">
        <w:t>).</w:t>
      </w:r>
      <w:r w:rsidR="00F81BBD" w:rsidRPr="00F81BBD">
        <w:t xml:space="preserve"> </w:t>
      </w:r>
      <w:r>
        <w:t>Australia</w:t>
      </w:r>
      <w:r w:rsidR="00F81BBD">
        <w:t xml:space="preserve"> provided these </w:t>
      </w:r>
      <w:r w:rsidR="00F81BBD" w:rsidRPr="003C4CC6">
        <w:t xml:space="preserve">funds through grants to the </w:t>
      </w:r>
      <w:r>
        <w:t>Samoan Government’s</w:t>
      </w:r>
      <w:r w:rsidR="00F81BBD" w:rsidRPr="003C4CC6">
        <w:t xml:space="preserve"> Ministry of Finance who in turn oversaw disbursal of funds to the law and justice sector in support of agreed law and justice sector activities.</w:t>
      </w:r>
      <w:r w:rsidR="003F68DB">
        <w:t xml:space="preserve"> Since development of the Sector Strategic Plans, this support has all been aligned with these Plans. </w:t>
      </w:r>
    </w:p>
    <w:p w:rsidR="00F81BBD" w:rsidRDefault="003F68DB" w:rsidP="00F81BBD">
      <w:r>
        <w:t xml:space="preserve">Agencies within the SLJS have also received significant support that generally does not appear to have considered the SLJS Strategic Plan. For example, this </w:t>
      </w:r>
      <w:r w:rsidR="00D357DA">
        <w:t>includes</w:t>
      </w:r>
      <w:r w:rsidR="00D357DA">
        <w:rPr>
          <w:rStyle w:val="CommentReference"/>
          <w:rFonts w:ascii="Cambria" w:hAnsi="Cambria"/>
          <w:color w:val="000000"/>
        </w:rPr>
        <w:t xml:space="preserve"> </w:t>
      </w:r>
      <w:r w:rsidR="00D357DA">
        <w:t>Australian</w:t>
      </w:r>
      <w:r w:rsidR="001D555E">
        <w:t xml:space="preserve"> </w:t>
      </w:r>
      <w:r>
        <w:t xml:space="preserve">support </w:t>
      </w:r>
      <w:r w:rsidR="001D555E">
        <w:t xml:space="preserve">provided to the sector through other mechanisms including </w:t>
      </w:r>
      <w:r>
        <w:t>A</w:t>
      </w:r>
      <w:r w:rsidR="003F037D">
        <w:t xml:space="preserve">ustralian </w:t>
      </w:r>
      <w:r>
        <w:t>F</w:t>
      </w:r>
      <w:r w:rsidR="003F037D">
        <w:t xml:space="preserve">ederal </w:t>
      </w:r>
      <w:r>
        <w:t>P</w:t>
      </w:r>
      <w:r w:rsidR="003F037D">
        <w:t>olice (AFP)</w:t>
      </w:r>
      <w:r>
        <w:t xml:space="preserve"> support to Police, the Ombudsman to </w:t>
      </w:r>
      <w:proofErr w:type="spellStart"/>
      <w:r>
        <w:t>OoO</w:t>
      </w:r>
      <w:proofErr w:type="spellEnd"/>
      <w:r>
        <w:t xml:space="preserve">, PACTAM to AGO; </w:t>
      </w:r>
      <w:r>
        <w:rPr>
          <w:caps/>
        </w:rPr>
        <w:t xml:space="preserve">AYAD </w:t>
      </w:r>
      <w:r>
        <w:t xml:space="preserve">to </w:t>
      </w:r>
      <w:r>
        <w:rPr>
          <w:caps/>
        </w:rPr>
        <w:t xml:space="preserve">MJCA </w:t>
      </w:r>
      <w:r w:rsidRPr="00EB770F">
        <w:t>and</w:t>
      </w:r>
      <w:r>
        <w:rPr>
          <w:caps/>
        </w:rPr>
        <w:t xml:space="preserve"> MWcSD; P</w:t>
      </w:r>
      <w:r>
        <w:t>acific Islands Law Library T</w:t>
      </w:r>
      <w:r w:rsidRPr="001D555E">
        <w:t>winning</w:t>
      </w:r>
      <w:r>
        <w:t xml:space="preserve"> and the Australasian Legal Information Institute</w:t>
      </w:r>
      <w:r w:rsidRPr="001D555E">
        <w:t xml:space="preserve"> to </w:t>
      </w:r>
      <w:r>
        <w:t>the J</w:t>
      </w:r>
      <w:r w:rsidRPr="001D555E">
        <w:t>udic</w:t>
      </w:r>
      <w:r>
        <w:t>i</w:t>
      </w:r>
      <w:r w:rsidRPr="001D555E">
        <w:t>ary</w:t>
      </w:r>
      <w:r>
        <w:t>. Support from other countries includes</w:t>
      </w:r>
      <w:r w:rsidR="00F81BBD">
        <w:t xml:space="preserve"> Go</w:t>
      </w:r>
      <w:r w:rsidR="003F037D">
        <w:t xml:space="preserve">vernment of </w:t>
      </w:r>
      <w:r w:rsidR="00F81BBD">
        <w:t>N</w:t>
      </w:r>
      <w:r w:rsidR="003F037D">
        <w:t>ew Zealand</w:t>
      </w:r>
      <w:r w:rsidR="00F81BBD">
        <w:t xml:space="preserve"> support to the Ministry of Police (training) and the Attorney General’s Office (review the Criminal Laws of Samoa)</w:t>
      </w:r>
      <w:r w:rsidR="00F81BBD" w:rsidRPr="00EB770F">
        <w:t xml:space="preserve"> </w:t>
      </w:r>
      <w:r w:rsidR="00F81BBD">
        <w:t xml:space="preserve">(Barlow Shuster, 2012). </w:t>
      </w:r>
      <w:r w:rsidR="003F037D">
        <w:t>The New Zealand Government</w:t>
      </w:r>
      <w:r w:rsidR="00F81BBD">
        <w:t xml:space="preserve"> </w:t>
      </w:r>
      <w:r>
        <w:t xml:space="preserve">also </w:t>
      </w:r>
      <w:r w:rsidR="00F81BBD">
        <w:t xml:space="preserve">established </w:t>
      </w:r>
      <w:proofErr w:type="gramStart"/>
      <w:r w:rsidR="00F81BBD">
        <w:t>an</w:t>
      </w:r>
      <w:proofErr w:type="gramEnd"/>
      <w:r w:rsidR="00F81BBD">
        <w:t xml:space="preserve"> MoU with Corrections in 2013 and is increasing this support in coming years</w:t>
      </w:r>
      <w:r w:rsidR="00F81BBD">
        <w:rPr>
          <w:rStyle w:val="EndnoteReference"/>
        </w:rPr>
        <w:endnoteReference w:id="8"/>
      </w:r>
      <w:r w:rsidR="00F81BBD">
        <w:t>. China constructed the new Court building and has committed to f</w:t>
      </w:r>
      <w:r w:rsidR="009B49B3">
        <w:t>u</w:t>
      </w:r>
      <w:r w:rsidR="00F81BBD">
        <w:t xml:space="preserve">nding infrastructure work at the prisons. </w:t>
      </w:r>
      <w:r w:rsidR="005D39FA">
        <w:t>A range of regional p</w:t>
      </w:r>
      <w:r w:rsidR="00F81BBD">
        <w:t xml:space="preserve">rograms </w:t>
      </w:r>
      <w:r w:rsidR="005D39FA">
        <w:t>have also provided support. These include Regional Rights resource Team, Pacific and Commonwealth Ombudsman Alliance and the Pacific Legal Information Institute (AusAID, 2012)</w:t>
      </w:r>
      <w:r w:rsidR="00F81BBD">
        <w:rPr>
          <w:caps/>
        </w:rPr>
        <w:t xml:space="preserve">. </w:t>
      </w:r>
      <w:r w:rsidR="00F81BBD">
        <w:t xml:space="preserve">It is thus </w:t>
      </w:r>
      <w:r w:rsidR="009B49B3">
        <w:t xml:space="preserve">a </w:t>
      </w:r>
      <w:r w:rsidR="00F81BBD">
        <w:t xml:space="preserve">complicated sector in terms of support. </w:t>
      </w:r>
    </w:p>
    <w:p w:rsidR="00B21B73" w:rsidRDefault="00B21B73" w:rsidP="00B21B73">
      <w:pPr>
        <w:tabs>
          <w:tab w:val="left" w:pos="2943"/>
          <w:tab w:val="left" w:pos="4077"/>
        </w:tabs>
        <w:spacing w:before="0"/>
        <w:ind w:left="108"/>
      </w:pPr>
      <w:r>
        <w:tab/>
      </w:r>
    </w:p>
    <w:bookmarkStart w:id="22" w:name="_Toc431828758"/>
    <w:p w:rsidR="00B21B73" w:rsidRDefault="00DF2B6A" w:rsidP="004902E0">
      <w:pPr>
        <w:pStyle w:val="Heading1"/>
      </w:pPr>
      <w:r>
        <w:rPr>
          <w:lang w:val="en-AU" w:eastAsia="en-AU"/>
        </w:rPr>
        <w:lastRenderedPageBreak/>
        <mc:AlternateContent>
          <mc:Choice Requires="wps">
            <w:drawing>
              <wp:anchor distT="0" distB="0" distL="114300" distR="114300" simplePos="0" relativeHeight="251659264" behindDoc="1" locked="0" layoutInCell="1" allowOverlap="1" wp14:anchorId="3B800BFA" wp14:editId="0486EBBA">
                <wp:simplePos x="0" y="0"/>
                <wp:positionH relativeFrom="page">
                  <wp:posOffset>-180976</wp:posOffset>
                </wp:positionH>
                <wp:positionV relativeFrom="paragraph">
                  <wp:posOffset>-314325</wp:posOffset>
                </wp:positionV>
                <wp:extent cx="7762875" cy="1468755"/>
                <wp:effectExtent l="0" t="0" r="9525" b="0"/>
                <wp:wrapNone/>
                <wp:docPr id="1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62875" cy="1468755"/>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4.25pt;margin-top:-24.75pt;width:611.25pt;height:115.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" fillcolor="#124486" stroked="f" strokeweight="2pt">
                <v:path arrowok="t"/>
                <w10:wrap anchorx="page"/>
              </v:rect>
            </w:pict>
          </mc:Fallback>
        </mc:AlternateContent>
      </w:r>
      <w:r w:rsidR="00B21B73">
        <w:t>Effectiveness/Impact</w:t>
      </w:r>
      <w:bookmarkEnd w:id="22"/>
      <w:r w:rsidR="00B21B73">
        <w:t xml:space="preserve"> </w:t>
      </w:r>
    </w:p>
    <w:p w:rsidR="00B21B73" w:rsidRDefault="00B21B73" w:rsidP="001A4A1C">
      <w:r>
        <w:t>This section identifies the expected o</w:t>
      </w:r>
      <w:r w:rsidRPr="001A4A1C">
        <w:t>utcomes</w:t>
      </w:r>
      <w:r w:rsidR="00744E1E">
        <w:t xml:space="preserve"> (Figure 1), </w:t>
      </w:r>
      <w:r>
        <w:t>whether these expectations were realistic and consistent across all stakeholders</w:t>
      </w:r>
      <w:r w:rsidR="00E85049">
        <w:t>. As part of this,</w:t>
      </w:r>
      <w:r w:rsidR="00E85049">
        <w:rPr>
          <w:lang w:val="en-US" w:eastAsia="en-US"/>
        </w:rPr>
        <w:t xml:space="preserve"> the Section discusses the</w:t>
      </w:r>
      <w:r w:rsidR="00E85049" w:rsidRPr="001A4A1C">
        <w:rPr>
          <w:lang w:val="en-US" w:eastAsia="en-US"/>
        </w:rPr>
        <w:t xml:space="preserve"> extent </w:t>
      </w:r>
      <w:r w:rsidR="00E85049">
        <w:rPr>
          <w:lang w:val="en-US" w:eastAsia="en-US"/>
        </w:rPr>
        <w:t xml:space="preserve">to which </w:t>
      </w:r>
      <w:r w:rsidR="00E85049" w:rsidRPr="001A4A1C">
        <w:rPr>
          <w:lang w:val="en-US" w:eastAsia="en-US"/>
        </w:rPr>
        <w:t>Australian aid funding consider</w:t>
      </w:r>
      <w:r w:rsidR="00E85049">
        <w:rPr>
          <w:lang w:val="en-US" w:eastAsia="en-US"/>
        </w:rPr>
        <w:t>ed</w:t>
      </w:r>
      <w:r w:rsidR="00E85049" w:rsidRPr="001A4A1C">
        <w:rPr>
          <w:lang w:val="en-US" w:eastAsia="en-US"/>
        </w:rPr>
        <w:t xml:space="preserve"> and adequately address</w:t>
      </w:r>
      <w:r w:rsidR="00E85049">
        <w:rPr>
          <w:lang w:val="en-US" w:eastAsia="en-US"/>
        </w:rPr>
        <w:t>ed</w:t>
      </w:r>
      <w:r w:rsidR="00E85049" w:rsidRPr="001A4A1C">
        <w:rPr>
          <w:lang w:val="en-US" w:eastAsia="en-US"/>
        </w:rPr>
        <w:t xml:space="preserve"> the different needs of </w:t>
      </w:r>
      <w:r w:rsidR="00E85049">
        <w:rPr>
          <w:lang w:val="en-US" w:eastAsia="en-US"/>
        </w:rPr>
        <w:t xml:space="preserve">those marginalized from the law and justice system. </w:t>
      </w:r>
      <w:r w:rsidR="006931A3">
        <w:t>It also identifies what was achieved, whether these achievements contributed to the expected high-level outcomes and</w:t>
      </w:r>
      <w:r w:rsidR="00E85049">
        <w:rPr>
          <w:lang w:val="en-US" w:eastAsia="en-US"/>
        </w:rPr>
        <w:t xml:space="preserve"> whether different</w:t>
      </w:r>
      <w:r w:rsidR="00E85049" w:rsidRPr="001A4A1C">
        <w:rPr>
          <w:lang w:val="en-US" w:eastAsia="en-US"/>
        </w:rPr>
        <w:t xml:space="preserve"> gender </w:t>
      </w:r>
      <w:r w:rsidR="00E85049">
        <w:rPr>
          <w:lang w:val="en-US" w:eastAsia="en-US"/>
        </w:rPr>
        <w:t>or</w:t>
      </w:r>
      <w:r w:rsidR="00E85049" w:rsidRPr="001A4A1C">
        <w:rPr>
          <w:lang w:val="en-US" w:eastAsia="en-US"/>
        </w:rPr>
        <w:t xml:space="preserve"> people with disabilities</w:t>
      </w:r>
      <w:r w:rsidR="00E85049">
        <w:rPr>
          <w:lang w:val="en-US" w:eastAsia="en-US"/>
        </w:rPr>
        <w:t xml:space="preserve"> gained diff</w:t>
      </w:r>
      <w:r w:rsidR="00E85049" w:rsidRPr="001A4A1C">
        <w:rPr>
          <w:lang w:val="en-US" w:eastAsia="en-US"/>
        </w:rPr>
        <w:t>erent outcomes</w:t>
      </w:r>
      <w:r>
        <w:t xml:space="preserve"> </w:t>
      </w:r>
    </w:p>
    <w:p w:rsidR="002B68DB" w:rsidRDefault="00603E33" w:rsidP="00F83345">
      <w:pPr>
        <w:pStyle w:val="BodyText1"/>
      </w:pPr>
      <w:r>
        <w:t xml:space="preserve">The initial documentation relating to </w:t>
      </w:r>
      <w:r w:rsidR="003F2F51">
        <w:t xml:space="preserve">the Australian Government </w:t>
      </w:r>
      <w:r>
        <w:t>support did not identify expected outcomes. Until 19 November 2010, the only reference to the purpose of support was to establish the Secretariat</w:t>
      </w:r>
      <w:r w:rsidR="00F83345">
        <w:t xml:space="preserve"> (</w:t>
      </w:r>
      <w:r w:rsidR="003F2F51">
        <w:t>AusAID</w:t>
      </w:r>
      <w:r w:rsidR="00F83345">
        <w:t>, 2010)</w:t>
      </w:r>
      <w:r>
        <w:t xml:space="preserve">. Subsequently, this was expanded to include providing support to implement the SLJS </w:t>
      </w:r>
      <w:r w:rsidR="00F83345">
        <w:t>Strategic</w:t>
      </w:r>
      <w:r>
        <w:t xml:space="preserve"> Plan, but still did not identify anticipated outcomes. In March 2012</w:t>
      </w:r>
      <w:r w:rsidR="003F2F51">
        <w:t>,</w:t>
      </w:r>
      <w:r>
        <w:t xml:space="preserve"> the purpose was stated to be “improve governance in law and justice”</w:t>
      </w:r>
      <w:r w:rsidR="00F83345" w:rsidRPr="00F83345">
        <w:t xml:space="preserve"> </w:t>
      </w:r>
      <w:r w:rsidR="00F83345">
        <w:t>(</w:t>
      </w:r>
      <w:r w:rsidR="003F2F51">
        <w:t>AusAID</w:t>
      </w:r>
      <w:r w:rsidR="00F83345">
        <w:t>, 2012, Annex 1)</w:t>
      </w:r>
      <w:r>
        <w:t>.  However, this was to</w:t>
      </w:r>
      <w:r w:rsidR="003F2F51">
        <w:t>o</w:t>
      </w:r>
      <w:r>
        <w:t xml:space="preserve"> general to provide any assistance and none of the funding was aimed at “improved governance”. Consequently, there </w:t>
      </w:r>
      <w:r w:rsidR="00F83345">
        <w:t>was</w:t>
      </w:r>
      <w:r>
        <w:t xml:space="preserve"> no clear </w:t>
      </w:r>
      <w:proofErr w:type="spellStart"/>
      <w:r>
        <w:t>ToC</w:t>
      </w:r>
      <w:proofErr w:type="spellEnd"/>
      <w:r>
        <w:t xml:space="preserve"> related to this support</w:t>
      </w:r>
      <w:r w:rsidR="00F83345">
        <w:t xml:space="preserve"> and no outcome</w:t>
      </w:r>
      <w:r w:rsidR="003F2F51">
        <w:t>-</w:t>
      </w:r>
      <w:r w:rsidR="00F83345">
        <w:t>level indicators</w:t>
      </w:r>
      <w:r>
        <w:t xml:space="preserve">. It is likely that there were two separate </w:t>
      </w:r>
      <w:r w:rsidR="00F83345">
        <w:t xml:space="preserve">unstated </w:t>
      </w:r>
      <w:proofErr w:type="spellStart"/>
      <w:r w:rsidR="00F83345">
        <w:t>ToC</w:t>
      </w:r>
      <w:proofErr w:type="spellEnd"/>
      <w:r w:rsidR="00F83345">
        <w:t>; (</w:t>
      </w:r>
      <w:proofErr w:type="spellStart"/>
      <w:r w:rsidR="00F83345">
        <w:t>i</w:t>
      </w:r>
      <w:proofErr w:type="spellEnd"/>
      <w:r w:rsidR="00F83345">
        <w:t xml:space="preserve">) the </w:t>
      </w:r>
      <w:proofErr w:type="spellStart"/>
      <w:r w:rsidR="00F83345">
        <w:t>ToC</w:t>
      </w:r>
      <w:proofErr w:type="spellEnd"/>
      <w:r>
        <w:t xml:space="preserve"> underpinning establis</w:t>
      </w:r>
      <w:r w:rsidR="00F83345">
        <w:t>hment of</w:t>
      </w:r>
      <w:r>
        <w:t xml:space="preserve"> a SLJS and </w:t>
      </w:r>
      <w:r w:rsidR="00F83345">
        <w:t>(ii)</w:t>
      </w:r>
      <w:r>
        <w:t xml:space="preserve"> the </w:t>
      </w:r>
      <w:proofErr w:type="spellStart"/>
      <w:r>
        <w:t>ToC</w:t>
      </w:r>
      <w:proofErr w:type="spellEnd"/>
      <w:r>
        <w:t xml:space="preserve"> underpinning the SLJS Strategic Plan. </w:t>
      </w:r>
      <w:r w:rsidR="00F83345" w:rsidRPr="004902E0">
        <w:t>Consequently, this review has considered separately two groups of outcomes</w:t>
      </w:r>
      <w:r w:rsidR="00F83345">
        <w:t>: (</w:t>
      </w:r>
      <w:proofErr w:type="spellStart"/>
      <w:r w:rsidR="00F83345">
        <w:t>i</w:t>
      </w:r>
      <w:proofErr w:type="spellEnd"/>
      <w:r w:rsidR="00F83345">
        <w:t xml:space="preserve">) </w:t>
      </w:r>
      <w:r w:rsidR="00F83345" w:rsidRPr="004902E0">
        <w:t>es</w:t>
      </w:r>
      <w:r w:rsidR="00F83345">
        <w:t>tablish</w:t>
      </w:r>
      <w:r w:rsidR="00F83345" w:rsidRPr="004902E0">
        <w:t xml:space="preserve"> a SLJS and </w:t>
      </w:r>
      <w:r w:rsidR="00F83345">
        <w:t xml:space="preserve">(ii) </w:t>
      </w:r>
      <w:r w:rsidR="00F83345" w:rsidRPr="004902E0">
        <w:t xml:space="preserve">the outcomes in the SLJS Strategic Plan. </w:t>
      </w:r>
      <w:r w:rsidR="00F83345">
        <w:t xml:space="preserve">The </w:t>
      </w:r>
      <w:proofErr w:type="spellStart"/>
      <w:r w:rsidR="00F83345">
        <w:t>ToC</w:t>
      </w:r>
      <w:proofErr w:type="spellEnd"/>
      <w:r w:rsidR="00F83345">
        <w:t xml:space="preserve"> and the outcomes are presented in this Section</w:t>
      </w:r>
      <w:r w:rsidR="0060600C">
        <w:t>.</w:t>
      </w:r>
    </w:p>
    <w:p w:rsidR="00335C6A" w:rsidRDefault="00335C6A" w:rsidP="00335C6A">
      <w:pPr>
        <w:pStyle w:val="Caption"/>
      </w:pPr>
      <w:r w:rsidRPr="00D06080">
        <w:lastRenderedPageBreak/>
        <w:t xml:space="preserve">Figure </w:t>
      </w:r>
      <w:fldSimple w:instr=" SEQ Figure \* ARABIC ">
        <w:r w:rsidR="00A8459C">
          <w:rPr>
            <w:noProof/>
          </w:rPr>
          <w:t>1</w:t>
        </w:r>
      </w:fldSimple>
      <w:r w:rsidRPr="00D06080">
        <w:t xml:space="preserve">. </w:t>
      </w:r>
      <w:r>
        <w:t xml:space="preserve">Progress against implicit </w:t>
      </w:r>
      <w:proofErr w:type="spellStart"/>
      <w:r>
        <w:t>ToC</w:t>
      </w:r>
      <w:proofErr w:type="spellEnd"/>
      <w:r>
        <w:t xml:space="preserve"> for establishing the SLJS</w:t>
      </w:r>
    </w:p>
    <w:p w:rsidR="002B68DB" w:rsidRPr="00CC7391" w:rsidRDefault="00335C6A" w:rsidP="00335C6A">
      <w:pPr>
        <w:pStyle w:val="BodyText1"/>
        <w:jc w:val="center"/>
      </w:pPr>
      <w:r>
        <w:rPr>
          <w:noProof/>
          <w:lang w:val="en-AU" w:eastAsia="en-AU"/>
        </w:rPr>
        <w:drawing>
          <wp:inline distT="0" distB="0" distL="0" distR="0" wp14:anchorId="25BBF6FB" wp14:editId="0D287FFF">
            <wp:extent cx="5229225" cy="39234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42443" cy="3933399"/>
                    </a:xfrm>
                    <a:prstGeom prst="rect">
                      <a:avLst/>
                    </a:prstGeom>
                    <a:noFill/>
                    <a:ln>
                      <a:noFill/>
                    </a:ln>
                  </pic:spPr>
                </pic:pic>
              </a:graphicData>
            </a:graphic>
          </wp:inline>
        </w:drawing>
      </w:r>
    </w:p>
    <w:p w:rsidR="00744E1E" w:rsidRDefault="00744E1E" w:rsidP="00744E1E">
      <w:pPr>
        <w:pStyle w:val="Heading2"/>
      </w:pPr>
      <w:bookmarkStart w:id="23" w:name="_Toc431828759"/>
      <w:r>
        <w:t>Establish SLJS</w:t>
      </w:r>
      <w:bookmarkEnd w:id="23"/>
    </w:p>
    <w:p w:rsidR="00744E1E" w:rsidRDefault="00744E1E" w:rsidP="00744E1E">
      <w:pPr>
        <w:pStyle w:val="Heading3"/>
      </w:pPr>
      <w:r>
        <w:t xml:space="preserve">Underpinning </w:t>
      </w:r>
      <w:proofErr w:type="spellStart"/>
      <w:r>
        <w:t>ToC</w:t>
      </w:r>
      <w:proofErr w:type="spellEnd"/>
      <w:r>
        <w:t xml:space="preserve"> for establishing the SLJS </w:t>
      </w:r>
    </w:p>
    <w:p w:rsidR="00744E1E" w:rsidRDefault="00744E1E" w:rsidP="00744E1E">
      <w:pPr>
        <w:pStyle w:val="BodyText1"/>
      </w:pPr>
      <w:r>
        <w:t xml:space="preserve">Across the documents reviewed, there was no articulated </w:t>
      </w:r>
      <w:proofErr w:type="spellStart"/>
      <w:r>
        <w:t>ToC</w:t>
      </w:r>
      <w:proofErr w:type="spellEnd"/>
      <w:r>
        <w:t xml:space="preserve"> for establishing a SLJS. However, there is a </w:t>
      </w:r>
      <w:proofErr w:type="spellStart"/>
      <w:r>
        <w:t>ToC</w:t>
      </w:r>
      <w:proofErr w:type="spellEnd"/>
      <w:r>
        <w:t xml:space="preserve"> expressed implicitly across the documents (Figure 1). During interviews, stakeholders consistently identified that addressing the challenges to safety and security in Samoa required all sector agencies to</w:t>
      </w:r>
      <w:r w:rsidRPr="002500BF">
        <w:rPr>
          <w:lang w:val="en-AU"/>
        </w:rPr>
        <w:t xml:space="preserve"> harmonise</w:t>
      </w:r>
      <w:r>
        <w:t xml:space="preserve"> their work and address the issues together. This would require: coordination across agencies, more effective and efficient sharing of resources and providing a stronger voice for the sector through which increased funding (particularly donor) could be obtained </w:t>
      </w:r>
      <w:r w:rsidRPr="0040520B">
        <w:t>for the sector</w:t>
      </w:r>
      <w:r>
        <w:t xml:space="preserve">. This is captured in the </w:t>
      </w:r>
      <w:proofErr w:type="spellStart"/>
      <w:r>
        <w:t>ToC</w:t>
      </w:r>
      <w:proofErr w:type="spellEnd"/>
      <w:r>
        <w:t xml:space="preserve">.  </w:t>
      </w:r>
    </w:p>
    <w:p w:rsidR="00744E1E" w:rsidRDefault="00744E1E" w:rsidP="00744E1E">
      <w:pPr>
        <w:pStyle w:val="BodyText1"/>
      </w:pPr>
      <w:r>
        <w:t>Thus, stakeholders reflect</w:t>
      </w:r>
      <w:r w:rsidR="00281223">
        <w:t>ed</w:t>
      </w:r>
      <w:r>
        <w:t xml:space="preserve"> a strong, consistent rationale for initially establis</w:t>
      </w:r>
      <w:r w:rsidR="00281223">
        <w:t xml:space="preserve">hing, </w:t>
      </w:r>
      <w:r>
        <w:t>and now maintaining</w:t>
      </w:r>
      <w:r w:rsidR="00281223">
        <w:t>,</w:t>
      </w:r>
      <w:r>
        <w:t xml:space="preserve"> the </w:t>
      </w:r>
      <w:r w:rsidR="00281223">
        <w:t>SLJS</w:t>
      </w:r>
      <w:r>
        <w:t xml:space="preserve">. However, </w:t>
      </w:r>
      <w:r w:rsidR="00281223">
        <w:t xml:space="preserve">initially </w:t>
      </w:r>
      <w:r>
        <w:t>stakeholders viewed the Sector as a way to obtain funding for their agency. In all cases, this is no longer seen as the key reason for maintaining the Sector. The CSO sector also expected that establishing the SLJS would provide opportunity for providing increased input into the sector’s planning. This had proved the case</w:t>
      </w:r>
      <w:r>
        <w:rPr>
          <w:rStyle w:val="EndnoteReference"/>
        </w:rPr>
        <w:endnoteReference w:id="9"/>
      </w:r>
      <w:r>
        <w:t xml:space="preserve">. </w:t>
      </w:r>
    </w:p>
    <w:p w:rsidR="00744E1E" w:rsidRDefault="00744E1E" w:rsidP="00744E1E">
      <w:pPr>
        <w:pStyle w:val="Heading3"/>
      </w:pPr>
      <w:r>
        <w:t>Effectiveness of establishing the SLJS</w:t>
      </w:r>
    </w:p>
    <w:p w:rsidR="00744E1E" w:rsidRDefault="00744E1E" w:rsidP="00744E1E">
      <w:r>
        <w:t>The SLJS is now established</w:t>
      </w:r>
      <w:r>
        <w:rPr>
          <w:rStyle w:val="EndnoteReference"/>
        </w:rPr>
        <w:endnoteReference w:id="10"/>
      </w:r>
      <w:r>
        <w:t xml:space="preserve">. </w:t>
      </w:r>
      <w:r w:rsidRPr="002500BF">
        <w:t xml:space="preserve">This is </w:t>
      </w:r>
      <w:r w:rsidR="00281223">
        <w:t xml:space="preserve">well </w:t>
      </w:r>
      <w:r w:rsidRPr="002500BF">
        <w:t xml:space="preserve">demonstrated by the </w:t>
      </w:r>
      <w:r w:rsidR="00EE7969">
        <w:t xml:space="preserve">continued monthly meeting of the </w:t>
      </w:r>
      <w:r w:rsidRPr="002500BF">
        <w:t xml:space="preserve">Steering Committee, even after </w:t>
      </w:r>
      <w:proofErr w:type="spellStart"/>
      <w:r w:rsidRPr="002500BF">
        <w:t>GoA</w:t>
      </w:r>
      <w:proofErr w:type="spellEnd"/>
      <w:r w:rsidRPr="002500BF">
        <w:t xml:space="preserve"> funding ceased (Figure 2). </w:t>
      </w:r>
      <w:r w:rsidR="00EE7969">
        <w:t>They have</w:t>
      </w:r>
      <w:r>
        <w:t xml:space="preserve"> identified, designed and implemented a number of cross-agency projects to help address specific law and justice problems facing Samoa (Section 3.2). In addition, all sector agencies are working together to establish a sector based database. While the database is not now functional, this is </w:t>
      </w:r>
      <w:r>
        <w:lastRenderedPageBreak/>
        <w:t xml:space="preserve">a consequence of technical issues rather than lack of coordination and cooperation. The Secretariat is fully staffed, operating and supporting the Steering Committee. In March 2012, the Steering Committee </w:t>
      </w:r>
      <w:r w:rsidR="00A33CB6">
        <w:t>decided</w:t>
      </w:r>
      <w:r>
        <w:t xml:space="preserve"> to fund the Secretariat and has </w:t>
      </w:r>
      <w:r w:rsidR="00A33CB6">
        <w:t>done</w:t>
      </w:r>
      <w:r>
        <w:t xml:space="preserve"> so since October 2012. </w:t>
      </w:r>
    </w:p>
    <w:p w:rsidR="00744E1E" w:rsidRPr="00D06080" w:rsidRDefault="00744E1E" w:rsidP="00744E1E">
      <w:pPr>
        <w:pStyle w:val="Caption"/>
      </w:pPr>
      <w:r w:rsidRPr="00D06080">
        <w:t xml:space="preserve">Figure </w:t>
      </w:r>
      <w:fldSimple w:instr=" SEQ Figure \* ARABIC ">
        <w:r w:rsidR="00A8459C">
          <w:rPr>
            <w:noProof/>
          </w:rPr>
          <w:t>2</w:t>
        </w:r>
      </w:fldSimple>
      <w:r w:rsidRPr="00D06080">
        <w:t>. Percentage of Steering Committee meetings attended</w:t>
      </w:r>
      <w:r>
        <w:t xml:space="preserve"> (to July 2015)</w:t>
      </w:r>
    </w:p>
    <w:p w:rsidR="00744E1E" w:rsidRDefault="00744E1E" w:rsidP="00744E1E">
      <w:pPr>
        <w:pStyle w:val="BodyText1"/>
        <w:jc w:val="center"/>
      </w:pPr>
      <w:r>
        <w:rPr>
          <w:noProof/>
          <w:lang w:val="en-AU" w:eastAsia="en-AU"/>
        </w:rPr>
        <w:drawing>
          <wp:inline distT="0" distB="0" distL="0" distR="0" wp14:anchorId="36627AAA" wp14:editId="7B0891AA">
            <wp:extent cx="4737100" cy="2260600"/>
            <wp:effectExtent l="0" t="0" r="6350" b="635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34889" w:rsidRDefault="00334889" w:rsidP="00334889">
      <w:pPr>
        <w:pStyle w:val="BodyText1"/>
      </w:pPr>
      <w:r>
        <w:t>The establishment of the sector is a significant achievement because it required a large change in stakeholder’s mindset</w:t>
      </w:r>
      <w:r>
        <w:rPr>
          <w:rStyle w:val="EndnoteReference"/>
        </w:rPr>
        <w:endnoteReference w:id="11"/>
      </w:r>
      <w:r>
        <w:t>. Prior to the support, there was limited cooperation between agencies. Each agency was very focused on responsibilities within the boundaries of their agencies and retaining these boundaries. This is reflected in stakeholder’s descriptions that the sector agencies “did everything on their own” and “they used to work in silos”</w:t>
      </w:r>
      <w:r>
        <w:rPr>
          <w:rStyle w:val="EndnoteReference"/>
        </w:rPr>
        <w:endnoteReference w:id="12"/>
      </w:r>
      <w:r>
        <w:t>. One CEO described the typical approach as “I run my ship and you run yours”</w:t>
      </w:r>
      <w:r>
        <w:rPr>
          <w:rStyle w:val="EndnoteReference"/>
        </w:rPr>
        <w:endnoteReference w:id="13"/>
      </w:r>
      <w:r>
        <w:t xml:space="preserve">. This was further compounded by the poor professional or personal relationships between senior executive of several sector agencies before the SLJS was established. </w:t>
      </w:r>
    </w:p>
    <w:p w:rsidR="009971CE" w:rsidRDefault="009971CE" w:rsidP="00334889">
      <w:pPr>
        <w:pStyle w:val="BodyText1"/>
      </w:pPr>
      <w:r>
        <w:t>Possibly, due to the lack of understanding of a sector approach, a number of sector agencies (SA) did not initially support the concept. They believed a SLJS would duplicate the work of SA work, or merely provide a mechanism through which they could access donor funds for their agency</w:t>
      </w:r>
      <w:r>
        <w:rPr>
          <w:rStyle w:val="EndnoteReference"/>
        </w:rPr>
        <w:endnoteReference w:id="14"/>
      </w:r>
      <w:r>
        <w:t>. However, since the SLJS was established in 2008, this situation has been transformed. All SA now recognize that the challenges faced to future safety and security in Samoa will require the united attention of each agency; that no agency can successfully address any of the issues alone</w:t>
      </w:r>
      <w:r>
        <w:rPr>
          <w:rStyle w:val="EndnoteReference"/>
        </w:rPr>
        <w:endnoteReference w:id="15"/>
      </w:r>
      <w:r>
        <w:t xml:space="preserve">. As a consequence, they work together to address these issues. The statement </w:t>
      </w:r>
      <w:r w:rsidRPr="00ED448D">
        <w:t>by a CEO is typical: “Now there is no more them a</w:t>
      </w:r>
      <w:r>
        <w:t>nd us mentality”</w:t>
      </w:r>
      <w:r>
        <w:rPr>
          <w:rStyle w:val="EndnoteReference"/>
        </w:rPr>
        <w:endnoteReference w:id="16"/>
      </w:r>
      <w:r>
        <w:t>. This interdependency is well recognized and the description of the SLJS by a CEO as “the best way forward for Samoa”</w:t>
      </w:r>
      <w:r>
        <w:rPr>
          <w:rStyle w:val="EndnoteReference"/>
        </w:rPr>
        <w:endnoteReference w:id="17"/>
      </w:r>
      <w:r>
        <w:t xml:space="preserve"> reflects the general sentiment across the sector.</w:t>
      </w:r>
    </w:p>
    <w:p w:rsidR="002B68DB" w:rsidRDefault="00335C6A" w:rsidP="002B68DB">
      <w:pPr>
        <w:pStyle w:val="BodyText1"/>
      </w:pPr>
      <w:r>
        <w:t>Consequently</w:t>
      </w:r>
      <w:r w:rsidR="002B68DB">
        <w:t xml:space="preserve">, </w:t>
      </w:r>
      <w:r>
        <w:t>SA</w:t>
      </w:r>
      <w:r w:rsidR="00BF3566">
        <w:t xml:space="preserve"> </w:t>
      </w:r>
      <w:r w:rsidR="002B68DB">
        <w:t xml:space="preserve">worked together to implement a number </w:t>
      </w:r>
      <w:r w:rsidR="00BF3566">
        <w:t>of</w:t>
      </w:r>
      <w:r w:rsidR="002B68DB">
        <w:t xml:space="preserve"> national strategies with excellent progress tow</w:t>
      </w:r>
      <w:r w:rsidR="00BF3566">
        <w:t>ards their goal (refer Section 3</w:t>
      </w:r>
      <w:r>
        <w:t xml:space="preserve">.2). </w:t>
      </w:r>
      <w:r w:rsidR="002B68DB">
        <w:t xml:space="preserve">Each SA recognized that the SLJS had a different function to that of the individual SA and brought significant benefit, regardless of donor funding. They considered the benefits to include coordination, addressing the critical issues facing the sector, and keeping each agency informed of the other agencies activities. The networking alone was described as invaluable. A CEO reflected that </w:t>
      </w:r>
      <w:r w:rsidR="00C831FD">
        <w:t>“the SLJS Steering Committee is one group I make a priority to attend … it is very valuable for communication”</w:t>
      </w:r>
      <w:r w:rsidR="00C831FD">
        <w:rPr>
          <w:rStyle w:val="EndnoteReference"/>
        </w:rPr>
        <w:endnoteReference w:id="18"/>
      </w:r>
      <w:r w:rsidR="00C831FD">
        <w:t>.</w:t>
      </w:r>
      <w:r w:rsidR="002B68DB">
        <w:t xml:space="preserve">  </w:t>
      </w:r>
    </w:p>
    <w:p w:rsidR="002B68DB" w:rsidRDefault="002B68DB" w:rsidP="00BF3566">
      <w:pPr>
        <w:pStyle w:val="Heading3"/>
      </w:pPr>
      <w:r>
        <w:t xml:space="preserve">Outcomes from establishing the SLJS. </w:t>
      </w:r>
    </w:p>
    <w:p w:rsidR="002B68DB" w:rsidRDefault="002B68DB" w:rsidP="002B68DB">
      <w:pPr>
        <w:pStyle w:val="BodyText1"/>
      </w:pPr>
      <w:r>
        <w:t xml:space="preserve">Even at this early stage, the SLJS has achieved some significant outcomes which could not have occurred without the Sector’s effective operation. Four examples are discussed briefly below. </w:t>
      </w:r>
    </w:p>
    <w:p w:rsidR="002B68DB" w:rsidRDefault="002B68DB" w:rsidP="002B68DB">
      <w:pPr>
        <w:pStyle w:val="BodyText1"/>
      </w:pPr>
      <w:r>
        <w:lastRenderedPageBreak/>
        <w:t xml:space="preserve">The first example is updating the Village </w:t>
      </w:r>
      <w:proofErr w:type="spellStart"/>
      <w:r>
        <w:t>Fono</w:t>
      </w:r>
      <w:proofErr w:type="spellEnd"/>
      <w:r>
        <w:t xml:space="preserve"> Act. </w:t>
      </w:r>
      <w:r w:rsidR="009A5F3E">
        <w:t xml:space="preserve">As explained by leaders from MJCA, AGO and the community, this </w:t>
      </w:r>
      <w:r>
        <w:t xml:space="preserve">was </w:t>
      </w:r>
      <w:r w:rsidR="00BF3566">
        <w:t xml:space="preserve">a </w:t>
      </w:r>
      <w:r>
        <w:t xml:space="preserve">necessary, but extremely sensitive issue in Samoa (Box 1). The </w:t>
      </w:r>
      <w:r w:rsidR="00E8094B">
        <w:t xml:space="preserve">Bill containing the </w:t>
      </w:r>
      <w:r>
        <w:t xml:space="preserve">amendments to the Act </w:t>
      </w:r>
      <w:r w:rsidR="009971CE">
        <w:t>is</w:t>
      </w:r>
      <w:r>
        <w:t xml:space="preserve"> currently before Parliament and, due to the united position of all </w:t>
      </w:r>
      <w:r w:rsidR="00E8094B">
        <w:t>sector agencies</w:t>
      </w:r>
      <w:r>
        <w:t xml:space="preserve"> and CSO, </w:t>
      </w:r>
      <w:r w:rsidR="00E8094B">
        <w:t>the Bill is</w:t>
      </w:r>
      <w:r>
        <w:t xml:space="preserve"> expected </w:t>
      </w:r>
      <w:r w:rsidR="009971CE">
        <w:t>to pass</w:t>
      </w:r>
      <w:r>
        <w:t xml:space="preserve"> quickly. These amendments will make a significant contribution towards harmonization of the traditional and formal legal systems. The Act itself underpins maintaining a safe and stable environment -  conflict between the two  legal systems undermines stability </w:t>
      </w:r>
      <w:r w:rsidR="00E8094B">
        <w:t>because</w:t>
      </w:r>
      <w:r>
        <w:t xml:space="preserve"> in a Samoan context, “peaceful families means peaceful communities, peaceful communities means a peaceful country”</w:t>
      </w:r>
      <w:r>
        <w:rPr>
          <w:rStyle w:val="EndnoteReference"/>
        </w:rPr>
        <w:endnoteReference w:id="19"/>
      </w:r>
      <w:r>
        <w:t xml:space="preserve">. </w:t>
      </w:r>
    </w:p>
    <w:p w:rsidR="009971CE" w:rsidRDefault="009971CE" w:rsidP="009971CE">
      <w:pPr>
        <w:pStyle w:val="BodyText1"/>
      </w:pPr>
      <w:r>
        <w:t>A National Human Rights Institute (NHRI) was established this year. While the need for a NHRI was recognized, it had not progressed as no individual agency would</w:t>
      </w:r>
      <w:r w:rsidRPr="00E46172">
        <w:rPr>
          <w:lang w:val="en-AU"/>
        </w:rPr>
        <w:t xml:space="preserve"> prioritise</w:t>
      </w:r>
      <w:r>
        <w:t xml:space="preserve"> their resources to establish a NHRI. However, when working together as a Sector, the agencies were able to</w:t>
      </w:r>
      <w:r w:rsidRPr="00E46172">
        <w:rPr>
          <w:lang w:val="en-AU"/>
        </w:rPr>
        <w:t xml:space="preserve"> prioritise</w:t>
      </w:r>
      <w:r>
        <w:t xml:space="preserve"> the NHRI as a common project. At this stage, it is too early to determine outcomes leading from the establishment of the NHRI as staff have only recently been appointed.</w:t>
      </w:r>
    </w:p>
    <w:p w:rsidR="009971CE" w:rsidRDefault="00335C6A" w:rsidP="009971CE">
      <w:pPr>
        <w:pStyle w:val="BodyText1"/>
      </w:pPr>
      <w:r>
        <w:t>E</w:t>
      </w:r>
      <w:r w:rsidR="009971CE">
        <w:t>stablishment of a Community Law Center</w:t>
      </w:r>
      <w:r>
        <w:t xml:space="preserve"> (CLC) has been approved and </w:t>
      </w:r>
      <w:r w:rsidR="009971CE">
        <w:t xml:space="preserve">is expected to be operational by the end of 2015. Agencies had recognized the need for such a center to improve access to justice, however due to potential conflict of interest for the agencies through which such a body could be established (MJCA and AGO), its establishment had not progressed. However, working as a Sector, the SA were able to </w:t>
      </w:r>
      <w:proofErr w:type="spellStart"/>
      <w:r w:rsidR="009971CE">
        <w:t>prioritise</w:t>
      </w:r>
      <w:proofErr w:type="spellEnd"/>
      <w:r w:rsidR="009971CE">
        <w:t xml:space="preserve"> this, identify approaches to address potential conflict of interest and obtain Cabinet support; none of which would have been possible for any SA operating alone. Once operational, this should significantly improve access to justice for members of the public who </w:t>
      </w:r>
      <w:r w:rsidR="00B21897">
        <w:t>cannot</w:t>
      </w:r>
      <w:r w:rsidR="009971CE">
        <w:t xml:space="preserve"> afford a private lawyer </w:t>
      </w:r>
    </w:p>
    <w:p w:rsidR="00932DE8" w:rsidRPr="00F7743F" w:rsidRDefault="00932DE8" w:rsidP="00932DE8">
      <w:pPr>
        <w:pStyle w:val="BoxHeading2"/>
        <w:rPr>
          <w:lang w:val="en-AU"/>
        </w:rPr>
      </w:pPr>
      <w:r>
        <w:rPr>
          <w:lang w:val="en-AU"/>
        </w:rPr>
        <w:t xml:space="preserve">Box 1: </w:t>
      </w:r>
      <w:r w:rsidRPr="00932DE8">
        <w:t>Together we can achieve the impossible</w:t>
      </w:r>
      <w:r w:rsidR="00F7743F">
        <w:rPr>
          <w:lang w:val="en-AU"/>
        </w:rPr>
        <w:t xml:space="preserve"> (Source: AGO, MJCA, Church and community</w:t>
      </w:r>
      <w:r w:rsidR="00F7743F" w:rsidRPr="009A5F3E">
        <w:rPr>
          <w:lang w:val="en-AU"/>
        </w:rPr>
        <w:t xml:space="preserve"> </w:t>
      </w:r>
      <w:r w:rsidR="00F7743F">
        <w:rPr>
          <w:lang w:val="en-AU"/>
        </w:rPr>
        <w:t>leaders)</w:t>
      </w:r>
    </w:p>
    <w:p w:rsidR="002B68DB" w:rsidRDefault="002B68DB" w:rsidP="002B68DB">
      <w:pPr>
        <w:pStyle w:val="BoxText"/>
      </w:pPr>
      <w:r>
        <w:t>There was significant conflict between village and formal law. At the village level, community rights predominated</w:t>
      </w:r>
      <w:r w:rsidR="00335C6A">
        <w:t>; a</w:t>
      </w:r>
      <w:r>
        <w:t xml:space="preserve"> person could be banished where their behaviour didn’t contribute to the good of the community</w:t>
      </w:r>
      <w:r w:rsidR="00335C6A">
        <w:t xml:space="preserve"> (f</w:t>
      </w:r>
      <w:r>
        <w:t>or example, if they tried to start a different church in the village</w:t>
      </w:r>
      <w:r w:rsidR="00335C6A">
        <w:t>)</w:t>
      </w:r>
      <w:r>
        <w:t xml:space="preserve">. Then they would appeal their banishment in the formal courts. The formal courts overturned the village decision because it was against the </w:t>
      </w:r>
      <w:r w:rsidR="00335C6A">
        <w:t xml:space="preserve">individuals </w:t>
      </w:r>
      <w:r>
        <w:t xml:space="preserve">rights. Many village </w:t>
      </w:r>
      <w:r w:rsidR="00335C6A">
        <w:t xml:space="preserve">leaders </w:t>
      </w:r>
      <w:r>
        <w:t>didn’t understand the limits o</w:t>
      </w:r>
      <w:r w:rsidR="00335C6A">
        <w:t xml:space="preserve">f their power, leading to </w:t>
      </w:r>
      <w:r>
        <w:t xml:space="preserve">a lot of conflict, it was growing, and we needed to do something before it got worse. But it is complex because there are so many different positions on this in Samoa – some people don’t want any change, and others want lots of change. Even the </w:t>
      </w:r>
      <w:r w:rsidR="0040520B">
        <w:t xml:space="preserve">sector agencies </w:t>
      </w:r>
      <w:r>
        <w:t>had different positions; MW</w:t>
      </w:r>
      <w:r w:rsidR="00EF42CB">
        <w:t>CSD</w:t>
      </w:r>
      <w:r>
        <w:t xml:space="preserve"> who are the sponsoring agency would focus on community rights and AGO and MJCA would focus on the formal system. Before the </w:t>
      </w:r>
      <w:r w:rsidR="00E8094B">
        <w:t>S</w:t>
      </w:r>
      <w:r>
        <w:t xml:space="preserve">LJS was established, there would have been little consultation between the </w:t>
      </w:r>
      <w:r w:rsidR="0040520B">
        <w:t>sector agencies</w:t>
      </w:r>
      <w:r>
        <w:t xml:space="preserve">. We wouldn’t have been able to get to an agreed position. When the Bill went to Parliament, a </w:t>
      </w:r>
      <w:r w:rsidR="0040520B">
        <w:t xml:space="preserve">sector agency </w:t>
      </w:r>
      <w:r>
        <w:t xml:space="preserve">would say they weren’t consulted and the process would be slowed or stopped. </w:t>
      </w:r>
    </w:p>
    <w:p w:rsidR="002B68DB" w:rsidRDefault="002B68DB" w:rsidP="002B68DB">
      <w:pPr>
        <w:pStyle w:val="BoxText"/>
      </w:pPr>
      <w:r>
        <w:t xml:space="preserve">The </w:t>
      </w:r>
      <w:r w:rsidR="0040520B">
        <w:t>S</w:t>
      </w:r>
      <w:r>
        <w:t xml:space="preserve">LJS identified that we needed to revise the Village </w:t>
      </w:r>
      <w:proofErr w:type="spellStart"/>
      <w:r>
        <w:t>Fono</w:t>
      </w:r>
      <w:proofErr w:type="spellEnd"/>
      <w:r>
        <w:t xml:space="preserve"> Act to try and address the conflict. We worked together to find a solution that would balance community and individual rights. Then we raised the awareness of people across Samoa about this. It was a big consultation process. When we came to the villages, everyone talked about the issue. People were really receptive to the need to address the problem and that change was required. We also ran advertisements on television. Because of the different perspectives of people, it was important for all of the </w:t>
      </w:r>
      <w:r w:rsidR="0040520B">
        <w:t>S</w:t>
      </w:r>
      <w:r>
        <w:t xml:space="preserve">LJS agencies and CBO to be at these consultations and communicate and hear the issues. At the end of the consultation, we all agreed that we had to find a way to revise the Act to address the issues. </w:t>
      </w:r>
    </w:p>
    <w:p w:rsidR="002B68DB" w:rsidRDefault="002B68DB" w:rsidP="002B68DB">
      <w:pPr>
        <w:pStyle w:val="BoxText"/>
      </w:pPr>
      <w:r>
        <w:t>We took all the comment</w:t>
      </w:r>
      <w:r w:rsidR="00EF42CB">
        <w:t>s</w:t>
      </w:r>
      <w:r>
        <w:t xml:space="preserve"> from the community and we worked together to modify the Bill to address </w:t>
      </w:r>
      <w:r w:rsidR="00EF42CB">
        <w:t xml:space="preserve">the </w:t>
      </w:r>
      <w:r>
        <w:t xml:space="preserve">people’s concerns. By working together we have an Amendment that each </w:t>
      </w:r>
      <w:r w:rsidR="0040520B">
        <w:t xml:space="preserve">sector agencies </w:t>
      </w:r>
      <w:r>
        <w:t>and the CBO support</w:t>
      </w:r>
      <w:r w:rsidR="00E8094B">
        <w:t>s</w:t>
      </w:r>
      <w:r>
        <w:t xml:space="preserve">, and is good for Samoa, this wouldn’t have happened if we didn’t work together – if the </w:t>
      </w:r>
      <w:r w:rsidR="0040520B">
        <w:t>S</w:t>
      </w:r>
      <w:r>
        <w:t xml:space="preserve">LJS </w:t>
      </w:r>
      <w:r>
        <w:lastRenderedPageBreak/>
        <w:t xml:space="preserve">hadn’t been established. We expect the Bill to go through Parliament quickly because all </w:t>
      </w:r>
      <w:r w:rsidR="0040520B">
        <w:t>sector agencies</w:t>
      </w:r>
      <w:r>
        <w:t xml:space="preserve"> support it</w:t>
      </w:r>
      <w:r w:rsidR="00EF42CB">
        <w:t xml:space="preserve"> and communities were widely consulted during the review process.</w:t>
      </w:r>
    </w:p>
    <w:p w:rsidR="002B68DB" w:rsidRDefault="002B68DB" w:rsidP="002B68DB">
      <w:pPr>
        <w:pStyle w:val="BoxText"/>
      </w:pPr>
      <w:r>
        <w:t>The consultations in villages immediately helped the leaders in the village understand the limits of their power. Some have already implemented the requirements of the new draft legislation.</w:t>
      </w:r>
    </w:p>
    <w:p w:rsidR="009971CE" w:rsidRDefault="009971CE" w:rsidP="009971CE">
      <w:pPr>
        <w:pStyle w:val="BodyText1"/>
      </w:pPr>
      <w:r>
        <w:t xml:space="preserve">The fourth example is the development of the Crime Prevention Strategy. While a number of agencies had considered or commenced developing such a strategy, a single agency strategy would not have been effective. This is because the cooperation of all agencies is essential to successfully address the drivers of crime. The SLJS has established a Working Group which is actively investigating the issues and developing  a strategy for the Sector. When completed, its implementation is expected to significantly support crime prevention. </w:t>
      </w:r>
    </w:p>
    <w:p w:rsidR="009971CE" w:rsidRPr="009971CE" w:rsidRDefault="009971CE" w:rsidP="009971CE">
      <w:pPr>
        <w:pStyle w:val="Heading3"/>
        <w:rPr>
          <w:rStyle w:val="Heading3Char"/>
        </w:rPr>
      </w:pPr>
      <w:r>
        <w:t xml:space="preserve">Areas in which the </w:t>
      </w:r>
      <w:r w:rsidRPr="009971CE">
        <w:rPr>
          <w:rStyle w:val="Heading3Char"/>
        </w:rPr>
        <w:t xml:space="preserve">SLJS can be strengthened. </w:t>
      </w:r>
    </w:p>
    <w:p w:rsidR="009971CE" w:rsidRDefault="009971CE" w:rsidP="009971CE">
      <w:pPr>
        <w:pStyle w:val="BodyText1"/>
      </w:pPr>
      <w:r>
        <w:t xml:space="preserve">A number of areas where the SLJS can be strengthened have been identified. These are summarized in </w:t>
      </w:r>
      <w:r w:rsidR="00200B99">
        <w:t xml:space="preserve">Section 7.3 </w:t>
      </w:r>
      <w:r>
        <w:t xml:space="preserve">and reflected in </w:t>
      </w:r>
      <w:r w:rsidR="00200B99">
        <w:t>Appendix H</w:t>
      </w:r>
      <w:r>
        <w:t xml:space="preserve">. </w:t>
      </w:r>
    </w:p>
    <w:p w:rsidR="002B68DB" w:rsidRDefault="00E8094B" w:rsidP="00806688">
      <w:pPr>
        <w:pStyle w:val="Heading2"/>
      </w:pPr>
      <w:bookmarkStart w:id="24" w:name="_Toc431828760"/>
      <w:r>
        <w:t xml:space="preserve">Goals in </w:t>
      </w:r>
      <w:r w:rsidR="002B68DB">
        <w:t>SLJS Strategic Plan</w:t>
      </w:r>
      <w:bookmarkEnd w:id="24"/>
    </w:p>
    <w:p w:rsidR="00B21B73" w:rsidRDefault="002B68DB" w:rsidP="00806688">
      <w:pPr>
        <w:pStyle w:val="Heading3"/>
      </w:pPr>
      <w:r>
        <w:t xml:space="preserve">Underpinning </w:t>
      </w:r>
      <w:r w:rsidR="004A03A0">
        <w:t>Theory of Change (</w:t>
      </w:r>
      <w:proofErr w:type="spellStart"/>
      <w:r w:rsidR="009A5F3E">
        <w:t>ToC</w:t>
      </w:r>
      <w:proofErr w:type="spellEnd"/>
      <w:r w:rsidR="004A03A0">
        <w:t xml:space="preserve">) </w:t>
      </w:r>
      <w:r>
        <w:t xml:space="preserve">for </w:t>
      </w:r>
      <w:r w:rsidR="00B21B73">
        <w:t xml:space="preserve">the </w:t>
      </w:r>
      <w:r>
        <w:t>S</w:t>
      </w:r>
      <w:r w:rsidR="00B21B73">
        <w:t xml:space="preserve">LJS Strategic Plan </w:t>
      </w:r>
    </w:p>
    <w:p w:rsidR="00932DE8" w:rsidRDefault="00B21B73" w:rsidP="00806688">
      <w:r>
        <w:t xml:space="preserve">Across the documents reviewed, there was no articulated </w:t>
      </w:r>
      <w:proofErr w:type="spellStart"/>
      <w:r>
        <w:t>ToC</w:t>
      </w:r>
      <w:proofErr w:type="spellEnd"/>
      <w:r>
        <w:t xml:space="preserve"> for the first Strategic Plan. In addition, it was also difficult to establish a clear implicit underpinning </w:t>
      </w:r>
      <w:proofErr w:type="spellStart"/>
      <w:r>
        <w:t>ToC</w:t>
      </w:r>
      <w:proofErr w:type="spellEnd"/>
      <w:r>
        <w:t xml:space="preserve">. However, there is a clear </w:t>
      </w:r>
      <w:proofErr w:type="spellStart"/>
      <w:r>
        <w:t>ToC</w:t>
      </w:r>
      <w:proofErr w:type="spellEnd"/>
      <w:r>
        <w:t xml:space="preserve"> expressed implicitly in the Strategic Plan for 2012 - 2016. This </w:t>
      </w:r>
      <w:proofErr w:type="spellStart"/>
      <w:r>
        <w:t>ToC</w:t>
      </w:r>
      <w:proofErr w:type="spellEnd"/>
      <w:r>
        <w:t xml:space="preserve"> reflects the five goals set out in</w:t>
      </w:r>
      <w:r w:rsidR="00932DE8">
        <w:t xml:space="preserve"> the Strategic Plan</w:t>
      </w:r>
      <w:r>
        <w:t xml:space="preserve">. </w:t>
      </w:r>
      <w:r w:rsidR="00932DE8">
        <w:t xml:space="preserve">The </w:t>
      </w:r>
      <w:proofErr w:type="spellStart"/>
      <w:r w:rsidR="00932DE8">
        <w:t>ToC</w:t>
      </w:r>
      <w:proofErr w:type="spellEnd"/>
      <w:r w:rsidR="00932DE8">
        <w:t xml:space="preserve"> for each of these five goals is included in Appendix </w:t>
      </w:r>
      <w:r w:rsidR="00FB28DF">
        <w:t>F</w:t>
      </w:r>
      <w:r w:rsidR="00932DE8">
        <w:t xml:space="preserve">. </w:t>
      </w:r>
      <w:proofErr w:type="gramStart"/>
      <w:r w:rsidR="00932DE8">
        <w:t>Unfortunately,</w:t>
      </w:r>
      <w:proofErr w:type="gramEnd"/>
      <w:r w:rsidR="00932DE8">
        <w:t xml:space="preserve"> the indicators specified in the Strategic Plan are not always clearly aligned with the change.</w:t>
      </w:r>
    </w:p>
    <w:p w:rsidR="00932DE8" w:rsidRDefault="00932DE8" w:rsidP="00932DE8">
      <w:r>
        <w:t xml:space="preserve">At a strategic level, the outcomes and targets set in each Strategic Plan were unrealistic. They were overly ambitious for a </w:t>
      </w:r>
      <w:r w:rsidR="00B21897">
        <w:t>well-established</w:t>
      </w:r>
      <w:r>
        <w:t xml:space="preserve"> sector, let alone one still going through the process of group formation. In addition, the extent of activities identified and the period in which they would be completed in each Strategic Plan was also highly ambitious. Consequently, this assessment considers what was achieved in light of the five goals more generally.  </w:t>
      </w:r>
    </w:p>
    <w:p w:rsidR="002B68DB" w:rsidRDefault="002B68DB" w:rsidP="002B68DB">
      <w:pPr>
        <w:pStyle w:val="Heading3"/>
      </w:pPr>
      <w:r>
        <w:t xml:space="preserve">Effectiveness </w:t>
      </w:r>
      <w:r w:rsidR="00932DE8">
        <w:t>of contribution</w:t>
      </w:r>
      <w:r>
        <w:t xml:space="preserve"> to the </w:t>
      </w:r>
      <w:r w:rsidR="00932DE8">
        <w:t xml:space="preserve">SLJS </w:t>
      </w:r>
      <w:r>
        <w:t xml:space="preserve">goals </w:t>
      </w:r>
    </w:p>
    <w:p w:rsidR="002B68DB" w:rsidRDefault="002B68DB" w:rsidP="002B68DB">
      <w:r>
        <w:t xml:space="preserve">The SLJS has made progress towards achieving their planned outcomes (Appendix </w:t>
      </w:r>
      <w:r w:rsidR="00FB28DF">
        <w:t>F</w:t>
      </w:r>
      <w:r>
        <w:t xml:space="preserve">). While this progress is limited, it is reasonable given that there has effectively only been funding for </w:t>
      </w:r>
      <w:r w:rsidR="008961EB">
        <w:t>63%</w:t>
      </w:r>
      <w:r w:rsidR="008961EB">
        <w:rPr>
          <w:rStyle w:val="EndnoteReference"/>
        </w:rPr>
        <w:endnoteReference w:id="20"/>
      </w:r>
      <w:r>
        <w:t xml:space="preserve"> of the </w:t>
      </w:r>
      <w:r w:rsidR="0060600C">
        <w:t xml:space="preserve">requirements </w:t>
      </w:r>
      <w:r w:rsidR="008961EB">
        <w:t xml:space="preserve">for projects </w:t>
      </w:r>
      <w:r w:rsidR="0060600C">
        <w:t>in the</w:t>
      </w:r>
      <w:r>
        <w:t xml:space="preserve"> Strategic Plan</w:t>
      </w:r>
      <w:r w:rsidR="0060600C">
        <w:t>s</w:t>
      </w:r>
      <w:r>
        <w:t xml:space="preserve"> and 2.5 years of project activities</w:t>
      </w:r>
      <w:r>
        <w:rPr>
          <w:rStyle w:val="EndnoteReference"/>
        </w:rPr>
        <w:endnoteReference w:id="21"/>
      </w:r>
      <w:r w:rsidR="0060600C">
        <w:t xml:space="preserve">.  </w:t>
      </w:r>
      <w:r>
        <w:t xml:space="preserve">Overall, support to the SLJS has contributed to each of the five goals, with significant contributions to Goals 2 and 3, and more limited contributions to Goals 1, 4 and 5.  </w:t>
      </w:r>
    </w:p>
    <w:p w:rsidR="002B68DB" w:rsidRDefault="002B68DB" w:rsidP="002B68DB">
      <w:r>
        <w:t xml:space="preserve">Goal 1 is improved community safety, both feeling safe and being safe. At this stage, most of the outcomes are a result of support to introduce a pilot neighbourhood watch program in settlement areas. The evaluation of this pilot found that the community felt safer (Box 2), thus contributing to part of this goal. However, initial analysis of crime statistics by </w:t>
      </w:r>
      <w:proofErr w:type="spellStart"/>
      <w:r>
        <w:t>MoPP</w:t>
      </w:r>
      <w:proofErr w:type="spellEnd"/>
      <w:r>
        <w:t xml:space="preserve"> (2011) did not show a change in levels of crime.  Analysis of data over a longer period is needed, such analysis must also consider the long term trend in settlements. This means that </w:t>
      </w:r>
      <w:r w:rsidRPr="00B0261D">
        <w:t xml:space="preserve">a reduction in the rate of increase should also be considered an improvement. This analysis was done as part </w:t>
      </w:r>
      <w:r w:rsidRPr="00B0261D">
        <w:lastRenderedPageBreak/>
        <w:t xml:space="preserve">of this review. The initial results showed a significant decline in crimes associated with theft. Further data has been requested from </w:t>
      </w:r>
      <w:proofErr w:type="spellStart"/>
      <w:r w:rsidRPr="00B0261D">
        <w:t>MoP</w:t>
      </w:r>
      <w:proofErr w:type="spellEnd"/>
      <w:r w:rsidRPr="00B0261D">
        <w:t xml:space="preserve"> to confirm these findings. If correct, this would be a significant outcome for </w:t>
      </w:r>
      <w:proofErr w:type="spellStart"/>
      <w:r w:rsidRPr="00B0261D">
        <w:t>MoP</w:t>
      </w:r>
      <w:proofErr w:type="spellEnd"/>
      <w:r w:rsidRPr="00B0261D">
        <w:t xml:space="preserve">.   </w:t>
      </w:r>
      <w:r w:rsidR="00932DE8" w:rsidRPr="00B0261D">
        <w:t>At the same time, this review identified a number of weaknesses with implementation of the pilot. Addressing these weaknesses would further improve outcomes. The Commissioner</w:t>
      </w:r>
      <w:r w:rsidR="00932DE8">
        <w:t xml:space="preserve"> of Police has been informed of these potential improvements. </w:t>
      </w:r>
    </w:p>
    <w:p w:rsidR="002B68DB" w:rsidRPr="009A5F3E" w:rsidRDefault="002B68DB" w:rsidP="002B68DB">
      <w:pPr>
        <w:pStyle w:val="BoxHeading2"/>
        <w:rPr>
          <w:lang w:val="en-AU"/>
        </w:rPr>
      </w:pPr>
      <w:r>
        <w:rPr>
          <w:lang w:val="en-AU"/>
        </w:rPr>
        <w:t xml:space="preserve">Box 2: </w:t>
      </w:r>
      <w:r>
        <w:t xml:space="preserve">Safer settlements: Neighbourhood watch </w:t>
      </w:r>
      <w:r w:rsidR="00A43E2F">
        <w:rPr>
          <w:lang w:val="en-AU"/>
        </w:rPr>
        <w:t>(Source: AGO, MJCA, Church</w:t>
      </w:r>
      <w:r w:rsidR="009A5F3E">
        <w:rPr>
          <w:lang w:val="en-AU"/>
        </w:rPr>
        <w:t xml:space="preserve"> and community</w:t>
      </w:r>
      <w:r w:rsidR="009A5F3E" w:rsidRPr="009A5F3E">
        <w:rPr>
          <w:lang w:val="en-AU"/>
        </w:rPr>
        <w:t xml:space="preserve"> </w:t>
      </w:r>
      <w:r w:rsidR="009A5F3E">
        <w:rPr>
          <w:lang w:val="en-AU"/>
        </w:rPr>
        <w:t>leaders)</w:t>
      </w:r>
    </w:p>
    <w:p w:rsidR="002B68DB" w:rsidRDefault="002B68DB" w:rsidP="002B68DB">
      <w:pPr>
        <w:pStyle w:val="BoxText"/>
      </w:pPr>
      <w:r>
        <w:t xml:space="preserve">People are moving into settlements in </w:t>
      </w:r>
      <w:proofErr w:type="spellStart"/>
      <w:r>
        <w:t>Vaitele-Fou</w:t>
      </w:r>
      <w:proofErr w:type="spellEnd"/>
      <w:r>
        <w:t xml:space="preserve"> </w:t>
      </w:r>
      <w:r w:rsidR="00932DE8">
        <w:t>and</w:t>
      </w:r>
      <w:r>
        <w:t xml:space="preserve"> </w:t>
      </w:r>
      <w:proofErr w:type="spellStart"/>
      <w:r>
        <w:t>Siusega</w:t>
      </w:r>
      <w:proofErr w:type="spellEnd"/>
      <w:r>
        <w:t xml:space="preserve">. The traditional village structures aren’t there, so there is no traditional control of behaviours. Police were not visible, and they only came when they were called (even then it was a slow response). As a result, petty crime increased, it wasn’t a good place to live and we don’t want this behaviour spreading elsewhere in Samoa. </w:t>
      </w:r>
    </w:p>
    <w:p w:rsidR="002B68DB" w:rsidRDefault="002B68DB" w:rsidP="002B68DB">
      <w:pPr>
        <w:pStyle w:val="BoxText"/>
      </w:pPr>
      <w:r>
        <w:t xml:space="preserve">The </w:t>
      </w:r>
      <w:r w:rsidR="00932DE8">
        <w:t>S</w:t>
      </w:r>
      <w:r>
        <w:t xml:space="preserve">LJS agreed to support piloting a neighbourhood watch program. We know what we are doing won’t be enough, but it is a start. The program is working with the Churches that are in these communities and others. They also specifically engaged with women and youth. </w:t>
      </w:r>
    </w:p>
    <w:p w:rsidR="002B68DB" w:rsidRDefault="002B68DB" w:rsidP="002B68DB">
      <w:pPr>
        <w:pStyle w:val="BoxText"/>
      </w:pPr>
      <w:r>
        <w:t xml:space="preserve">Since we started the neighbourhood watch program, the police are patrolling the streets more. They also respond more quickly when they are called. People in the village feel more secure. The program has been very successful. Police also consider this to be the only effective program they have established in these communities. </w:t>
      </w:r>
    </w:p>
    <w:p w:rsidR="002B68DB" w:rsidRDefault="002B68DB" w:rsidP="002B68DB">
      <w:pPr>
        <w:pStyle w:val="BoxText"/>
      </w:pPr>
      <w:r>
        <w:t xml:space="preserve">The same also applies with the new police posts that were established in villages.  </w:t>
      </w:r>
    </w:p>
    <w:p w:rsidR="00C668FF" w:rsidRDefault="002B68DB" w:rsidP="00C668FF">
      <w:r>
        <w:t xml:space="preserve">Goal 2 is improved access to justice and law. Support to the sector has already contributed to this goal through the digitisation of all </w:t>
      </w:r>
      <w:r w:rsidR="00C668FF">
        <w:t xml:space="preserve">lands and titles </w:t>
      </w:r>
      <w:r>
        <w:t xml:space="preserve">documents at the Land and Title Court (LTC). In this case, </w:t>
      </w:r>
      <w:proofErr w:type="spellStart"/>
      <w:r>
        <w:t>GoA</w:t>
      </w:r>
      <w:proofErr w:type="spellEnd"/>
      <w:r>
        <w:t xml:space="preserve"> funding overcame the financial constraint to implementation, significantly improving</w:t>
      </w:r>
      <w:r w:rsidRPr="005F43BB">
        <w:t xml:space="preserve"> access to </w:t>
      </w:r>
      <w:r>
        <w:t xml:space="preserve">law and </w:t>
      </w:r>
      <w:r w:rsidRPr="005F43BB">
        <w:t>justice</w:t>
      </w:r>
      <w:r>
        <w:t xml:space="preserve"> (Box </w:t>
      </w:r>
      <w:r w:rsidR="00932DE8">
        <w:t>3</w:t>
      </w:r>
      <w:r>
        <w:t xml:space="preserve">). The Law Society noted </w:t>
      </w:r>
      <w:r w:rsidR="00C668FF">
        <w:t xml:space="preserve">provision of Court recording equipment to MJCA had </w:t>
      </w:r>
      <w:r>
        <w:t>significant</w:t>
      </w:r>
      <w:r w:rsidR="00C668FF">
        <w:t>ly improved</w:t>
      </w:r>
      <w:r>
        <w:t xml:space="preserve"> access to justice. </w:t>
      </w:r>
      <w:r w:rsidR="00C668FF">
        <w:t xml:space="preserve">This overcame the previous lack of timeliness and loss of transcriptions. As previously discussed, the establishment of the HRI and the CLC will also improve access to law and justice once these organisations are fully operational. This contribution to the goal should be achieved in 2016. </w:t>
      </w:r>
    </w:p>
    <w:p w:rsidR="002B68DB" w:rsidRPr="00932DE8" w:rsidRDefault="002B68DB" w:rsidP="002B68DB">
      <w:pPr>
        <w:pStyle w:val="BoxHeading2"/>
      </w:pPr>
      <w:r w:rsidRPr="00932DE8">
        <w:rPr>
          <w:lang w:val="en-AU"/>
        </w:rPr>
        <w:t>Box 3</w:t>
      </w:r>
      <w:r w:rsidRPr="00932DE8">
        <w:t xml:space="preserve">: The Heart and Blood of Justice.  </w:t>
      </w:r>
      <w:r w:rsidR="00A43E2F">
        <w:rPr>
          <w:lang w:val="en-AU"/>
        </w:rPr>
        <w:t>(Source: MJCA officers, and church and community</w:t>
      </w:r>
      <w:r w:rsidR="00A43E2F" w:rsidRPr="009A5F3E">
        <w:rPr>
          <w:lang w:val="en-AU"/>
        </w:rPr>
        <w:t xml:space="preserve"> </w:t>
      </w:r>
      <w:r w:rsidR="00A43E2F">
        <w:rPr>
          <w:lang w:val="en-AU"/>
        </w:rPr>
        <w:t>leaders)</w:t>
      </w:r>
    </w:p>
    <w:p w:rsidR="002B68DB" w:rsidRDefault="002B68DB" w:rsidP="002B68DB">
      <w:pPr>
        <w:pStyle w:val="BoxText"/>
      </w:pPr>
      <w:r>
        <w:t xml:space="preserve">The records kept at LTC are the records of our life, our roots, our genealogy. They link us to our family, our land and our title. Every Samoan is born to a title, so you have a line to access land (85% of land in Samoa is customary land). These records are our identity, they give proof of who we are, they are critical in showing the land we can access and the rightful holder of a title. You can be added to a family and have access to the land, but not the title. These records show this. The records affect the future, my children and grandchildren, the next 100 years. As a title holder, it is my job to protect my family’s assets and resources for the future generations. These records help me do this. </w:t>
      </w:r>
    </w:p>
    <w:p w:rsidR="002B68DB" w:rsidRDefault="002B68DB" w:rsidP="002B68DB">
      <w:pPr>
        <w:pStyle w:val="BoxText"/>
      </w:pPr>
      <w:r>
        <w:t xml:space="preserve">Some people can become a title holder by default if they have access to the records and others don’t. If the records were lost, my identity would be questioned by so many people. They could acquire the title and family assets when they should not. So the records need to be there forever, everyone must be able to access them, they are needed until the end of time. </w:t>
      </w:r>
    </w:p>
    <w:p w:rsidR="002B68DB" w:rsidRDefault="002B68DB" w:rsidP="002B68DB">
      <w:pPr>
        <w:pStyle w:val="BoxText"/>
      </w:pPr>
      <w:r>
        <w:t xml:space="preserve">Before, the records were only in files. They are old – some are over 100 years old. They were damaged by people handling them, insects and the climate. Sometimes people removed some of the records from the file. So we lost important information. We were concerned that if the building was damaged, the information would all be lost. We didn’t have confidence that the information would always be there.  When you wanted to get a copy of the record we had to sit and wait all day, often coming back day after </w:t>
      </w:r>
      <w:r>
        <w:lastRenderedPageBreak/>
        <w:t>day. When lawyers wanted to access the documents for a judicial review, they would submit the request forms it would take at least two weeks to get a copy.</w:t>
      </w:r>
    </w:p>
    <w:p w:rsidR="002B68DB" w:rsidRDefault="002B68DB" w:rsidP="002B68DB">
      <w:pPr>
        <w:pStyle w:val="BoxText"/>
      </w:pPr>
      <w:r>
        <w:t xml:space="preserve">Now all the documents are scanned and stored electronically. There is also an off-site electronic copy. We still have the hard copy of the </w:t>
      </w:r>
      <w:r w:rsidR="00C668FF">
        <w:t>records. The records are safe. W</w:t>
      </w:r>
      <w:r>
        <w:t xml:space="preserve">hen people come, they can get a copy of the records </w:t>
      </w:r>
      <w:r w:rsidR="00C668FF">
        <w:t>within</w:t>
      </w:r>
      <w:r>
        <w:t xml:space="preserve"> 10 minutes. As one young woman explained, “Most people who come for the LTC are old. Can you imagine your grandparents waiting at the office for days to get the information” . Lawyers see this as a big improvement and now they obtain a copy of the records almost instantaneously.</w:t>
      </w:r>
      <w:r w:rsidR="000D6B40" w:rsidRPr="000D6B40">
        <w:t xml:space="preserve"> </w:t>
      </w:r>
      <w:r w:rsidR="000D6B40">
        <w:t xml:space="preserve">Because access to the records has improved, people can see that the issue has already been addressed. So the number of cases coming to Court may also decrease.  </w:t>
      </w:r>
    </w:p>
    <w:p w:rsidR="002B68DB" w:rsidRDefault="002B68DB" w:rsidP="002B68DB">
      <w:pPr>
        <w:pStyle w:val="BoxText"/>
      </w:pPr>
      <w:r>
        <w:t xml:space="preserve">MJCA didn’t realise just how good it would be, it is something we can’t now live without, so we </w:t>
      </w:r>
      <w:r w:rsidR="000D6B40">
        <w:t>must</w:t>
      </w:r>
      <w:r>
        <w:t xml:space="preserve"> continue it. </w:t>
      </w:r>
      <w:r w:rsidR="000D6B40">
        <w:t xml:space="preserve">It </w:t>
      </w:r>
      <w:r>
        <w:t>would be a sin for us</w:t>
      </w:r>
      <w:r w:rsidR="000D6B40">
        <w:t xml:space="preserve"> to stop digitising the records in Savai’i, </w:t>
      </w:r>
      <w:r>
        <w:t>we would</w:t>
      </w:r>
      <w:r w:rsidR="00932DE8">
        <w:t xml:space="preserve"> be saying the people in Savai’i</w:t>
      </w:r>
      <w:r>
        <w:t xml:space="preserve"> aren’t important.</w:t>
      </w:r>
      <w:r w:rsidR="000D6B40">
        <w:t xml:space="preserve"> So we prioritised</w:t>
      </w:r>
      <w:r w:rsidR="00932DE8">
        <w:t xml:space="preserve"> this and </w:t>
      </w:r>
      <w:r w:rsidR="000D6B40">
        <w:t xml:space="preserve">are </w:t>
      </w:r>
      <w:r w:rsidR="00932DE8">
        <w:t xml:space="preserve">finding </w:t>
      </w:r>
      <w:r w:rsidR="000D6B40">
        <w:t>money</w:t>
      </w:r>
      <w:r w:rsidR="00932DE8">
        <w:t xml:space="preserve"> </w:t>
      </w:r>
      <w:r w:rsidR="000D6B40">
        <w:t>in</w:t>
      </w:r>
      <w:r w:rsidR="00932DE8">
        <w:t xml:space="preserve"> our budget to </w:t>
      </w:r>
      <w:r w:rsidR="000D6B40">
        <w:t>do</w:t>
      </w:r>
      <w:r w:rsidR="00932DE8">
        <w:t xml:space="preserve"> this work.</w:t>
      </w:r>
    </w:p>
    <w:p w:rsidR="002B68DB" w:rsidRDefault="002B68DB" w:rsidP="002B68DB">
      <w:pPr>
        <w:pStyle w:val="BoxText"/>
      </w:pPr>
      <w:r>
        <w:t xml:space="preserve">And this brings a sense of peace that only a Samoan can fully understand: “I feel safe and secure because I now know no one can alter or destroy these records. Everything is based on our culture, and these records are central to our culture. This is why Samoa is such a peaceful country, because peaceful families mean a peaceful community, and this gives a peaceful country. The safety of these records will help keep Samoa safe and peaceful.” </w:t>
      </w:r>
    </w:p>
    <w:p w:rsidR="00C668FF" w:rsidRPr="00FC5F5C" w:rsidRDefault="00C668FF" w:rsidP="00C668FF">
      <w:r>
        <w:t>Goal 3 is recognition of c</w:t>
      </w:r>
      <w:r w:rsidRPr="00B367C7">
        <w:t xml:space="preserve">ustomary justice </w:t>
      </w:r>
      <w:r>
        <w:t>and</w:t>
      </w:r>
      <w:r w:rsidRPr="00B367C7">
        <w:t xml:space="preserve"> </w:t>
      </w:r>
      <w:r>
        <w:t>its integration</w:t>
      </w:r>
      <w:r w:rsidRPr="00B367C7">
        <w:t xml:space="preserve"> into the justice system</w:t>
      </w:r>
      <w:r>
        <w:t xml:space="preserve">. </w:t>
      </w:r>
      <w:r w:rsidR="00A33CB6">
        <w:t xml:space="preserve">The </w:t>
      </w:r>
      <w:r>
        <w:t xml:space="preserve">work </w:t>
      </w:r>
      <w:r w:rsidR="00A33CB6">
        <w:t>to amend</w:t>
      </w:r>
      <w:r>
        <w:t xml:space="preserve"> the Village </w:t>
      </w:r>
      <w:proofErr w:type="spellStart"/>
      <w:r>
        <w:t>Fono</w:t>
      </w:r>
      <w:proofErr w:type="spellEnd"/>
      <w:r>
        <w:t xml:space="preserve"> Act has already made significant contributions towards increasing</w:t>
      </w:r>
      <w:r w:rsidRPr="00B367C7">
        <w:t xml:space="preserve"> community awareness </w:t>
      </w:r>
      <w:r>
        <w:t>and</w:t>
      </w:r>
      <w:r w:rsidRPr="00B367C7">
        <w:t xml:space="preserve"> understandin</w:t>
      </w:r>
      <w:r>
        <w:t>g of formal and customary systems</w:t>
      </w:r>
      <w:r w:rsidR="00A33CB6">
        <w:t xml:space="preserve"> (Box 1)</w:t>
      </w:r>
      <w:r>
        <w:t>. Once the Amendments to the Bill are passed, this will make a substantial contribution to recognition of c</w:t>
      </w:r>
      <w:r w:rsidRPr="00B367C7">
        <w:t xml:space="preserve">ustomary justice </w:t>
      </w:r>
      <w:r>
        <w:t>and</w:t>
      </w:r>
      <w:r w:rsidRPr="00B367C7">
        <w:t xml:space="preserve"> </w:t>
      </w:r>
      <w:r>
        <w:t>its integration</w:t>
      </w:r>
      <w:r w:rsidRPr="00B367C7">
        <w:t xml:space="preserve"> into the justice system</w:t>
      </w:r>
      <w:r w:rsidR="00A33CB6">
        <w:t>;</w:t>
      </w:r>
      <w:r>
        <w:t xml:space="preserve"> a major outcome.  </w:t>
      </w:r>
    </w:p>
    <w:p w:rsidR="00C668FF" w:rsidRDefault="00C668FF" w:rsidP="00C668FF">
      <w:r>
        <w:t>Goal 4 is improved i</w:t>
      </w:r>
      <w:r w:rsidRPr="00F0499D">
        <w:t xml:space="preserve">ntegrity </w:t>
      </w:r>
      <w:r>
        <w:t>and</w:t>
      </w:r>
      <w:r w:rsidRPr="00F0499D">
        <w:t xml:space="preserve"> good governance across the </w:t>
      </w:r>
      <w:r>
        <w:t>S</w:t>
      </w:r>
      <w:r w:rsidRPr="00F0499D">
        <w:t>LJS</w:t>
      </w:r>
      <w:r>
        <w:t xml:space="preserve">. As previously discussed, SLJS has established a Human Rights Institute which will contribute to this goal once it is fully operational (late this year). However, at this stage, the contribution is limited. </w:t>
      </w:r>
    </w:p>
    <w:p w:rsidR="00C668FF" w:rsidRDefault="00C668FF" w:rsidP="00C668FF">
      <w:r>
        <w:t xml:space="preserve">Goal 5 is improved capacity and </w:t>
      </w:r>
      <w:r w:rsidRPr="003D4F77">
        <w:t>service coordination</w:t>
      </w:r>
      <w:r>
        <w:t xml:space="preserve"> within the SLJS resulting in delivery of coordinated services. While outputs have been produced (the sector and human resource needs assessment, communication strategy and plan), these outputs have not been used to any meaningful extent. In addition, work on the sectors management information system has not led to a usable database at this stage. The reasons for this are </w:t>
      </w:r>
      <w:r w:rsidRPr="00A2202F">
        <w:t xml:space="preserve">discussed in Section </w:t>
      </w:r>
      <w:r w:rsidR="00200B99">
        <w:t>5</w:t>
      </w:r>
      <w:r w:rsidRPr="00A2202F">
        <w:t>.2. Consequently, these outputs have made little, if any, contribution</w:t>
      </w:r>
      <w:r>
        <w:t xml:space="preserve"> to the outcome. </w:t>
      </w:r>
    </w:p>
    <w:p w:rsidR="002B68DB" w:rsidRDefault="002B68DB" w:rsidP="002B68DB">
      <w:r>
        <w:t xml:space="preserve">However, the capacity of various agencies within the sector has been significantly strengthened </w:t>
      </w:r>
      <w:r w:rsidR="00C668FF">
        <w:t>because of improved</w:t>
      </w:r>
      <w:r>
        <w:t xml:space="preserve"> resourcing and the competency of staff. For example, participants on the mentoring program conducted with the AGO identified how this had improved their skill. This</w:t>
      </w:r>
      <w:r w:rsidR="00B40DE5">
        <w:t xml:space="preserve"> was</w:t>
      </w:r>
      <w:r>
        <w:t xml:space="preserve"> supported by </w:t>
      </w:r>
      <w:r w:rsidRPr="00B40DE5">
        <w:t>the Chief Justice and Law Society</w:t>
      </w:r>
      <w:r>
        <w:t xml:space="preserve"> who each identified that p</w:t>
      </w:r>
      <w:r w:rsidR="00B40DE5">
        <w:t xml:space="preserve">erformance of staff at the AGO </w:t>
      </w:r>
      <w:r>
        <w:t xml:space="preserve">work had improved. In addition, the Law Society noted the significant improvement in </w:t>
      </w:r>
      <w:r w:rsidR="00B40DE5">
        <w:t xml:space="preserve">MJCA </w:t>
      </w:r>
      <w:r>
        <w:t>service as a result of prov</w:t>
      </w:r>
      <w:r w:rsidR="00B40DE5">
        <w:t xml:space="preserve">ision </w:t>
      </w:r>
      <w:r w:rsidR="00B65A6F">
        <w:t xml:space="preserve">of </w:t>
      </w:r>
      <w:r w:rsidR="00B40DE5">
        <w:t>Court recording equipment.</w:t>
      </w:r>
    </w:p>
    <w:p w:rsidR="006931A3" w:rsidRPr="006931A3" w:rsidRDefault="006931A3" w:rsidP="006931A3">
      <w:pPr>
        <w:pStyle w:val="Heading2"/>
      </w:pPr>
      <w:bookmarkStart w:id="25" w:name="_Toc431828761"/>
      <w:r w:rsidRPr="006931A3">
        <w:t>The Marginalised</w:t>
      </w:r>
      <w:bookmarkEnd w:id="25"/>
    </w:p>
    <w:p w:rsidR="00B21B73" w:rsidRDefault="00B21B73" w:rsidP="00CE0756">
      <w:pPr>
        <w:rPr>
          <w:lang w:val="en-US" w:eastAsia="en-US"/>
        </w:rPr>
      </w:pPr>
      <w:r>
        <w:rPr>
          <w:lang w:val="en-US" w:eastAsia="en-US"/>
        </w:rPr>
        <w:t xml:space="preserve">The SLJS has not specifically considered </w:t>
      </w:r>
      <w:r w:rsidRPr="00DE4F21">
        <w:t xml:space="preserve">the different needs of men, women, boys and girls (including those with disabilities) to access justice </w:t>
      </w:r>
      <w:r w:rsidR="000D6B40">
        <w:t>or</w:t>
      </w:r>
      <w:r w:rsidRPr="00DE4F21">
        <w:t xml:space="preserve"> interact with the law and justice system</w:t>
      </w:r>
      <w:r>
        <w:t xml:space="preserve">. However, an extensive range of support has been provided to improve access to justice (Table </w:t>
      </w:r>
      <w:r w:rsidR="00043668">
        <w:t>2</w:t>
      </w:r>
      <w:r>
        <w:t xml:space="preserve">). </w:t>
      </w:r>
      <w:r w:rsidR="00043668">
        <w:t>Consequently</w:t>
      </w:r>
      <w:r>
        <w:t xml:space="preserve">, </w:t>
      </w:r>
      <w:r w:rsidR="00043668">
        <w:t xml:space="preserve">each groups </w:t>
      </w:r>
      <w:r>
        <w:t xml:space="preserve">different needs have been addressed to an extent that would </w:t>
      </w:r>
      <w:r w:rsidR="00043668">
        <w:t xml:space="preserve">be </w:t>
      </w:r>
      <w:r w:rsidR="00043668">
        <w:lastRenderedPageBreak/>
        <w:t>assessed as reasonable with</w:t>
      </w:r>
      <w:r w:rsidR="000D6B40">
        <w:t>in</w:t>
      </w:r>
      <w:r>
        <w:t xml:space="preserve"> the available resources. </w:t>
      </w:r>
      <w:r>
        <w:rPr>
          <w:lang w:val="en-US" w:eastAsia="en-US"/>
        </w:rPr>
        <w:t>Importantly, this review did not</w:t>
      </w:r>
      <w:r w:rsidRPr="000110E0">
        <w:rPr>
          <w:lang w:val="en-US" w:eastAsia="en-US"/>
        </w:rPr>
        <w:t xml:space="preserve"> identify any group that had negative outcomes as a result of </w:t>
      </w:r>
      <w:r>
        <w:rPr>
          <w:lang w:val="en-US" w:eastAsia="en-US"/>
        </w:rPr>
        <w:t>SLJS support</w:t>
      </w:r>
      <w:r w:rsidRPr="000110E0">
        <w:rPr>
          <w:lang w:val="en-US" w:eastAsia="en-US"/>
        </w:rPr>
        <w:t xml:space="preserve">. </w:t>
      </w:r>
    </w:p>
    <w:p w:rsidR="00B21B73" w:rsidRPr="004515E0" w:rsidRDefault="00B21B73" w:rsidP="00043668">
      <w:pPr>
        <w:pStyle w:val="Caption"/>
        <w:spacing w:after="0"/>
      </w:pPr>
      <w:r w:rsidRPr="004515E0">
        <w:t xml:space="preserve">Table </w:t>
      </w:r>
      <w:fldSimple w:instr=" SEQ Table \* ARABIC ">
        <w:r w:rsidR="00A8459C">
          <w:rPr>
            <w:noProof/>
          </w:rPr>
          <w:t>1</w:t>
        </w:r>
      </w:fldSimple>
      <w:r w:rsidRPr="004515E0">
        <w:t>: Support targeting specific marginalised groups</w:t>
      </w:r>
    </w:p>
    <w:tbl>
      <w:tblPr>
        <w:tblpPr w:leftFromText="180" w:rightFromText="180" w:vertAnchor="text" w:horzAnchor="margin" w:tblpXSpec="center" w:tblpY="346"/>
        <w:tblW w:w="10167" w:type="dxa"/>
        <w:jc w:val="center"/>
        <w:tblBorders>
          <w:top w:val="single" w:sz="4" w:space="0" w:color="007FAD"/>
          <w:bottom w:val="single" w:sz="4" w:space="0" w:color="007FAD"/>
          <w:insideH w:val="single" w:sz="4" w:space="0" w:color="007FAD"/>
        </w:tblBorders>
        <w:tblLayout w:type="fixed"/>
        <w:tblCellMar>
          <w:top w:w="85" w:type="dxa"/>
          <w:bottom w:w="85" w:type="dxa"/>
        </w:tblCellMar>
        <w:tblLook w:val="04A0" w:firstRow="1" w:lastRow="0" w:firstColumn="1" w:lastColumn="0" w:noHBand="0" w:noVBand="1"/>
      </w:tblPr>
      <w:tblGrid>
        <w:gridCol w:w="3897"/>
        <w:gridCol w:w="742"/>
        <w:gridCol w:w="709"/>
        <w:gridCol w:w="992"/>
        <w:gridCol w:w="851"/>
        <w:gridCol w:w="850"/>
        <w:gridCol w:w="1276"/>
        <w:gridCol w:w="850"/>
      </w:tblGrid>
      <w:tr w:rsidR="00B21B73" w:rsidRPr="00D30C05" w:rsidTr="00043668">
        <w:trPr>
          <w:cantSplit/>
          <w:trHeight w:val="189"/>
          <w:tblHeader/>
          <w:jc w:val="center"/>
        </w:trPr>
        <w:tc>
          <w:tcPr>
            <w:tcW w:w="3897" w:type="dxa"/>
            <w:shd w:val="clear" w:color="auto" w:fill="007FAD"/>
          </w:tcPr>
          <w:p w:rsidR="00B21B73" w:rsidRPr="00D30C05" w:rsidRDefault="00B21B73" w:rsidP="00F85C6A">
            <w:pPr>
              <w:spacing w:before="0" w:line="200" w:lineRule="exact"/>
              <w:jc w:val="center"/>
              <w:rPr>
                <w:b/>
                <w:color w:val="FFFFFF"/>
                <w:sz w:val="20"/>
              </w:rPr>
            </w:pPr>
          </w:p>
        </w:tc>
        <w:tc>
          <w:tcPr>
            <w:tcW w:w="6270" w:type="dxa"/>
            <w:gridSpan w:val="7"/>
            <w:shd w:val="clear" w:color="auto" w:fill="007FAD"/>
          </w:tcPr>
          <w:p w:rsidR="00B21B73" w:rsidRPr="00D30C05" w:rsidRDefault="00B21B73" w:rsidP="00F85C6A">
            <w:pPr>
              <w:spacing w:before="0" w:line="200" w:lineRule="exact"/>
              <w:jc w:val="center"/>
              <w:rPr>
                <w:b/>
                <w:color w:val="FFFFFF"/>
                <w:sz w:val="20"/>
              </w:rPr>
            </w:pPr>
            <w:r w:rsidRPr="00D30C05">
              <w:rPr>
                <w:b/>
                <w:color w:val="FFFFFF"/>
                <w:sz w:val="20"/>
              </w:rPr>
              <w:t>Marginalised group</w:t>
            </w:r>
            <w:r w:rsidRPr="00D30C05">
              <w:rPr>
                <w:rStyle w:val="EndnoteReference"/>
                <w:b/>
                <w:color w:val="FFFFFF"/>
                <w:sz w:val="20"/>
              </w:rPr>
              <w:endnoteReference w:id="22"/>
            </w:r>
          </w:p>
        </w:tc>
      </w:tr>
      <w:tr w:rsidR="00B21B73" w:rsidRPr="00D30C05" w:rsidTr="00043668">
        <w:trPr>
          <w:cantSplit/>
          <w:trHeight w:val="481"/>
          <w:tblHeader/>
          <w:jc w:val="center"/>
        </w:trPr>
        <w:tc>
          <w:tcPr>
            <w:tcW w:w="3897" w:type="dxa"/>
            <w:shd w:val="clear" w:color="auto" w:fill="007FAD"/>
          </w:tcPr>
          <w:p w:rsidR="00B21B73" w:rsidRPr="00D30C05" w:rsidRDefault="00B21B73" w:rsidP="00F85C6A">
            <w:pPr>
              <w:spacing w:before="0" w:line="200" w:lineRule="exact"/>
              <w:jc w:val="center"/>
              <w:rPr>
                <w:b/>
                <w:color w:val="FFFFFF"/>
                <w:sz w:val="20"/>
              </w:rPr>
            </w:pPr>
            <w:r w:rsidRPr="00D30C05">
              <w:rPr>
                <w:b/>
                <w:color w:val="FFFFFF"/>
                <w:sz w:val="20"/>
              </w:rPr>
              <w:t xml:space="preserve">Support </w:t>
            </w:r>
            <w:r w:rsidR="00043668">
              <w:rPr>
                <w:b/>
                <w:color w:val="FFFFFF"/>
                <w:sz w:val="20"/>
              </w:rPr>
              <w:t xml:space="preserve"> (*1)</w:t>
            </w:r>
          </w:p>
        </w:tc>
        <w:tc>
          <w:tcPr>
            <w:tcW w:w="742" w:type="dxa"/>
            <w:shd w:val="clear" w:color="auto" w:fill="007FAD"/>
          </w:tcPr>
          <w:p w:rsidR="00B21B73" w:rsidRPr="00D30C05" w:rsidRDefault="00B21B73" w:rsidP="00F85C6A">
            <w:pPr>
              <w:spacing w:before="0" w:line="200" w:lineRule="exact"/>
              <w:jc w:val="center"/>
              <w:rPr>
                <w:b/>
                <w:color w:val="FFFFFF"/>
                <w:sz w:val="20"/>
              </w:rPr>
            </w:pPr>
            <w:r w:rsidRPr="00D30C05">
              <w:rPr>
                <w:b/>
                <w:color w:val="FFFFFF"/>
                <w:sz w:val="20"/>
              </w:rPr>
              <w:t>Poor</w:t>
            </w:r>
          </w:p>
        </w:tc>
        <w:tc>
          <w:tcPr>
            <w:tcW w:w="709" w:type="dxa"/>
            <w:shd w:val="clear" w:color="auto" w:fill="007FAD"/>
          </w:tcPr>
          <w:p w:rsidR="00B21B73" w:rsidRPr="00D30C05" w:rsidRDefault="00B21B73" w:rsidP="00F85C6A">
            <w:pPr>
              <w:spacing w:before="0" w:line="200" w:lineRule="exact"/>
              <w:jc w:val="center"/>
              <w:rPr>
                <w:b/>
                <w:color w:val="FFFFFF"/>
                <w:sz w:val="20"/>
              </w:rPr>
            </w:pPr>
            <w:r w:rsidRPr="00D30C05">
              <w:rPr>
                <w:b/>
                <w:color w:val="FFFFFF"/>
                <w:sz w:val="20"/>
              </w:rPr>
              <w:t>Rural</w:t>
            </w:r>
          </w:p>
        </w:tc>
        <w:tc>
          <w:tcPr>
            <w:tcW w:w="992" w:type="dxa"/>
            <w:shd w:val="clear" w:color="auto" w:fill="007FAD"/>
          </w:tcPr>
          <w:p w:rsidR="00B21B73" w:rsidRPr="00D30C05" w:rsidRDefault="00B21B73" w:rsidP="00F85C6A">
            <w:pPr>
              <w:spacing w:before="0" w:line="200" w:lineRule="exact"/>
              <w:jc w:val="center"/>
              <w:rPr>
                <w:b/>
                <w:color w:val="FFFFFF"/>
                <w:sz w:val="20"/>
              </w:rPr>
            </w:pPr>
            <w:r w:rsidRPr="00D30C05">
              <w:rPr>
                <w:b/>
                <w:color w:val="FFFFFF"/>
                <w:sz w:val="20"/>
              </w:rPr>
              <w:t>Women</w:t>
            </w:r>
          </w:p>
        </w:tc>
        <w:tc>
          <w:tcPr>
            <w:tcW w:w="851" w:type="dxa"/>
            <w:shd w:val="clear" w:color="auto" w:fill="007FAD"/>
          </w:tcPr>
          <w:p w:rsidR="00B21B73" w:rsidRPr="00D30C05" w:rsidRDefault="00B21B73" w:rsidP="00F85C6A">
            <w:pPr>
              <w:spacing w:before="0" w:line="200" w:lineRule="exact"/>
              <w:jc w:val="center"/>
              <w:rPr>
                <w:b/>
                <w:color w:val="FFFFFF"/>
                <w:sz w:val="20"/>
              </w:rPr>
            </w:pPr>
            <w:r w:rsidRPr="00D30C05">
              <w:rPr>
                <w:b/>
                <w:color w:val="FFFFFF"/>
                <w:sz w:val="20"/>
              </w:rPr>
              <w:t>Victims</w:t>
            </w:r>
          </w:p>
        </w:tc>
        <w:tc>
          <w:tcPr>
            <w:tcW w:w="850" w:type="dxa"/>
            <w:shd w:val="clear" w:color="auto" w:fill="007FAD"/>
          </w:tcPr>
          <w:p w:rsidR="00B21B73" w:rsidRPr="00D30C05" w:rsidRDefault="00B21B73" w:rsidP="00F85C6A">
            <w:pPr>
              <w:spacing w:before="0" w:line="200" w:lineRule="exact"/>
              <w:jc w:val="center"/>
              <w:rPr>
                <w:b/>
                <w:color w:val="FFFFFF"/>
                <w:sz w:val="20"/>
              </w:rPr>
            </w:pPr>
            <w:r w:rsidRPr="00D30C05">
              <w:rPr>
                <w:b/>
                <w:color w:val="FFFFFF"/>
                <w:sz w:val="20"/>
              </w:rPr>
              <w:t>Youth</w:t>
            </w:r>
          </w:p>
        </w:tc>
        <w:tc>
          <w:tcPr>
            <w:tcW w:w="1276" w:type="dxa"/>
            <w:shd w:val="clear" w:color="auto" w:fill="007FAD"/>
          </w:tcPr>
          <w:p w:rsidR="00B21B73" w:rsidRPr="00D30C05" w:rsidRDefault="00B21B73" w:rsidP="00F85C6A">
            <w:pPr>
              <w:spacing w:before="0" w:line="200" w:lineRule="exact"/>
              <w:jc w:val="center"/>
              <w:rPr>
                <w:b/>
                <w:color w:val="FFFFFF"/>
                <w:sz w:val="20"/>
              </w:rPr>
            </w:pPr>
            <w:r w:rsidRPr="00D30C05">
              <w:rPr>
                <w:b/>
                <w:color w:val="FFFFFF"/>
                <w:sz w:val="20"/>
              </w:rPr>
              <w:t>People with disability</w:t>
            </w:r>
          </w:p>
        </w:tc>
        <w:tc>
          <w:tcPr>
            <w:tcW w:w="850" w:type="dxa"/>
            <w:shd w:val="clear" w:color="auto" w:fill="007FAD"/>
          </w:tcPr>
          <w:p w:rsidR="00B21B73" w:rsidRPr="00D30C05" w:rsidRDefault="00B21B73" w:rsidP="00F85C6A">
            <w:pPr>
              <w:spacing w:before="0" w:line="200" w:lineRule="exact"/>
              <w:jc w:val="center"/>
              <w:rPr>
                <w:b/>
                <w:color w:val="FFFFFF"/>
                <w:sz w:val="20"/>
              </w:rPr>
            </w:pPr>
            <w:r w:rsidRPr="00D30C05">
              <w:rPr>
                <w:b/>
                <w:color w:val="FFFFFF"/>
                <w:sz w:val="20"/>
              </w:rPr>
              <w:t>Returnees</w:t>
            </w:r>
            <w:r w:rsidRPr="00D30C05">
              <w:rPr>
                <w:rStyle w:val="EndnoteReference"/>
                <w:b/>
                <w:color w:val="FFFFFF"/>
                <w:sz w:val="20"/>
              </w:rPr>
              <w:endnoteReference w:id="23"/>
            </w:r>
          </w:p>
        </w:tc>
      </w:tr>
      <w:tr w:rsidR="00043668" w:rsidTr="004E0202">
        <w:trPr>
          <w:cantSplit/>
          <w:jc w:val="center"/>
        </w:trPr>
        <w:tc>
          <w:tcPr>
            <w:tcW w:w="3897" w:type="dxa"/>
            <w:shd w:val="clear" w:color="auto" w:fill="FFFFFF"/>
          </w:tcPr>
          <w:p w:rsidR="00043668" w:rsidRPr="00D30C05" w:rsidRDefault="00043668" w:rsidP="00F85C6A">
            <w:pPr>
              <w:spacing w:before="0" w:line="200" w:lineRule="exact"/>
              <w:rPr>
                <w:b/>
                <w:i/>
                <w:sz w:val="18"/>
              </w:rPr>
            </w:pPr>
            <w:r w:rsidRPr="00D30C05">
              <w:rPr>
                <w:b/>
                <w:i/>
                <w:sz w:val="18"/>
              </w:rPr>
              <w:t xml:space="preserve">Awareness programs for new legislation </w:t>
            </w:r>
            <w:r w:rsidRPr="00D30C05">
              <w:rPr>
                <w:b/>
                <w:i/>
                <w:vanish/>
                <w:sz w:val="18"/>
              </w:rPr>
              <w:t xml:space="preserve">has increased knowledge about the legislation, increased understanding of what can be done, and increased protection orders issued. </w:t>
            </w:r>
          </w:p>
        </w:tc>
        <w:tc>
          <w:tcPr>
            <w:tcW w:w="742" w:type="dxa"/>
            <w:shd w:val="clear" w:color="auto" w:fill="FFFFFF"/>
          </w:tcPr>
          <w:p w:rsidR="00043668" w:rsidRPr="00D30C05" w:rsidRDefault="00043668" w:rsidP="00F85C6A">
            <w:pPr>
              <w:spacing w:before="0" w:line="200" w:lineRule="exact"/>
              <w:jc w:val="center"/>
              <w:rPr>
                <w:sz w:val="20"/>
              </w:rPr>
            </w:pPr>
          </w:p>
        </w:tc>
        <w:tc>
          <w:tcPr>
            <w:tcW w:w="709" w:type="dxa"/>
            <w:shd w:val="clear" w:color="auto" w:fill="FFFFFF"/>
          </w:tcPr>
          <w:p w:rsidR="00043668" w:rsidRPr="00D30C05" w:rsidRDefault="00043668" w:rsidP="00F85C6A">
            <w:pPr>
              <w:spacing w:before="0" w:line="200" w:lineRule="exact"/>
              <w:jc w:val="center"/>
              <w:rPr>
                <w:sz w:val="20"/>
              </w:rPr>
            </w:pPr>
            <w:r w:rsidRPr="00D30C05">
              <w:rPr>
                <w:sz w:val="20"/>
              </w:rPr>
              <w:sym w:font="Wingdings" w:char="F0FC"/>
            </w:r>
          </w:p>
        </w:tc>
        <w:tc>
          <w:tcPr>
            <w:tcW w:w="992" w:type="dxa"/>
            <w:shd w:val="clear" w:color="auto" w:fill="FFFFFF"/>
          </w:tcPr>
          <w:p w:rsidR="00043668" w:rsidRPr="00D30C05" w:rsidRDefault="00043668" w:rsidP="00F85C6A">
            <w:pPr>
              <w:spacing w:before="0" w:line="200" w:lineRule="exact"/>
              <w:jc w:val="center"/>
              <w:rPr>
                <w:sz w:val="20"/>
              </w:rPr>
            </w:pPr>
            <w:r w:rsidRPr="00D30C05">
              <w:rPr>
                <w:sz w:val="20"/>
              </w:rPr>
              <w:sym w:font="Wingdings" w:char="F0FC"/>
            </w:r>
          </w:p>
        </w:tc>
        <w:tc>
          <w:tcPr>
            <w:tcW w:w="851" w:type="dxa"/>
            <w:shd w:val="clear" w:color="auto" w:fill="FFFFFF"/>
          </w:tcPr>
          <w:p w:rsidR="00043668" w:rsidRPr="00D30C05" w:rsidRDefault="00043668" w:rsidP="00F85C6A">
            <w:pPr>
              <w:spacing w:before="0" w:line="200" w:lineRule="exact"/>
              <w:jc w:val="center"/>
              <w:rPr>
                <w:sz w:val="20"/>
              </w:rPr>
            </w:pPr>
            <w:r w:rsidRPr="00D30C05">
              <w:rPr>
                <w:sz w:val="20"/>
              </w:rPr>
              <w:sym w:font="Wingdings" w:char="F0FC"/>
            </w:r>
          </w:p>
        </w:tc>
        <w:tc>
          <w:tcPr>
            <w:tcW w:w="850" w:type="dxa"/>
            <w:shd w:val="clear" w:color="auto" w:fill="FFFFFF"/>
          </w:tcPr>
          <w:p w:rsidR="00043668" w:rsidRPr="00D30C05" w:rsidRDefault="00043668" w:rsidP="00F85C6A">
            <w:pPr>
              <w:spacing w:before="0" w:line="200" w:lineRule="exact"/>
              <w:jc w:val="center"/>
              <w:rPr>
                <w:sz w:val="20"/>
              </w:rPr>
            </w:pPr>
            <w:r w:rsidRPr="00D30C05">
              <w:rPr>
                <w:sz w:val="20"/>
              </w:rPr>
              <w:sym w:font="Wingdings" w:char="F0FC"/>
            </w:r>
          </w:p>
        </w:tc>
        <w:tc>
          <w:tcPr>
            <w:tcW w:w="1276" w:type="dxa"/>
            <w:shd w:val="clear" w:color="auto" w:fill="FFFFFF"/>
          </w:tcPr>
          <w:p w:rsidR="00043668" w:rsidRPr="00D30C05" w:rsidRDefault="00043668" w:rsidP="00F85C6A">
            <w:pPr>
              <w:spacing w:before="0" w:line="200" w:lineRule="exact"/>
              <w:jc w:val="center"/>
              <w:rPr>
                <w:sz w:val="20"/>
              </w:rPr>
            </w:pPr>
          </w:p>
        </w:tc>
        <w:tc>
          <w:tcPr>
            <w:tcW w:w="850" w:type="dxa"/>
            <w:shd w:val="clear" w:color="auto" w:fill="FFFFFF"/>
          </w:tcPr>
          <w:p w:rsidR="00043668" w:rsidRPr="00D30C05" w:rsidRDefault="00043668" w:rsidP="00F85C6A">
            <w:pPr>
              <w:spacing w:before="0" w:line="200" w:lineRule="exact"/>
              <w:jc w:val="center"/>
              <w:rPr>
                <w:sz w:val="20"/>
              </w:rPr>
            </w:pPr>
          </w:p>
        </w:tc>
      </w:tr>
      <w:tr w:rsidR="00043668" w:rsidTr="004E0202">
        <w:trPr>
          <w:cantSplit/>
          <w:jc w:val="center"/>
        </w:trPr>
        <w:tc>
          <w:tcPr>
            <w:tcW w:w="3897" w:type="dxa"/>
            <w:shd w:val="clear" w:color="auto" w:fill="FFFFFF"/>
          </w:tcPr>
          <w:p w:rsidR="00043668" w:rsidRPr="00D30C05" w:rsidRDefault="00043668" w:rsidP="00F85C6A">
            <w:pPr>
              <w:spacing w:before="0" w:line="200" w:lineRule="exact"/>
              <w:rPr>
                <w:b/>
                <w:i/>
                <w:sz w:val="18"/>
              </w:rPr>
            </w:pPr>
            <w:r>
              <w:rPr>
                <w:b/>
                <w:i/>
                <w:sz w:val="18"/>
              </w:rPr>
              <w:t>Anger management for</w:t>
            </w:r>
            <w:r w:rsidRPr="00D30C05">
              <w:rPr>
                <w:b/>
                <w:i/>
                <w:sz w:val="18"/>
              </w:rPr>
              <w:t xml:space="preserve"> men who are violent within the family. </w:t>
            </w:r>
            <w:r w:rsidRPr="00D30C05">
              <w:rPr>
                <w:b/>
                <w:i/>
                <w:vanish/>
                <w:sz w:val="18"/>
              </w:rPr>
              <w:t>Of the 165 who completed the anger management course run by Victims of Crime, none have reoffended (several of those who didn’t complete the course have reoffended)</w:t>
            </w:r>
            <w:r w:rsidRPr="00D30C05">
              <w:rPr>
                <w:rStyle w:val="EndnoteReference"/>
                <w:b/>
                <w:i/>
                <w:vanish/>
                <w:sz w:val="18"/>
                <w:vertAlign w:val="baseline"/>
              </w:rPr>
              <w:t xml:space="preserve"> </w:t>
            </w:r>
            <w:r w:rsidRPr="00D30C05">
              <w:rPr>
                <w:rStyle w:val="EndnoteReference"/>
                <w:b/>
                <w:i/>
                <w:vanish/>
                <w:sz w:val="18"/>
                <w:vertAlign w:val="baseline"/>
              </w:rPr>
              <w:endnoteReference w:id="24"/>
            </w:r>
            <w:r w:rsidRPr="00D30C05">
              <w:rPr>
                <w:b/>
                <w:i/>
                <w:vanish/>
                <w:sz w:val="18"/>
              </w:rPr>
              <w:t>.</w:t>
            </w:r>
            <w:r w:rsidRPr="00D30C05">
              <w:rPr>
                <w:b/>
                <w:i/>
                <w:sz w:val="18"/>
              </w:rPr>
              <w:t xml:space="preserve">  </w:t>
            </w:r>
          </w:p>
        </w:tc>
        <w:tc>
          <w:tcPr>
            <w:tcW w:w="742" w:type="dxa"/>
            <w:shd w:val="clear" w:color="auto" w:fill="FFFFFF"/>
          </w:tcPr>
          <w:p w:rsidR="00043668" w:rsidRPr="00D30C05" w:rsidRDefault="00043668" w:rsidP="00F85C6A">
            <w:pPr>
              <w:spacing w:before="0" w:line="200" w:lineRule="exact"/>
              <w:jc w:val="center"/>
              <w:rPr>
                <w:sz w:val="20"/>
              </w:rPr>
            </w:pPr>
          </w:p>
        </w:tc>
        <w:tc>
          <w:tcPr>
            <w:tcW w:w="709" w:type="dxa"/>
            <w:shd w:val="clear" w:color="auto" w:fill="FFFFFF"/>
          </w:tcPr>
          <w:p w:rsidR="00043668" w:rsidRPr="00D30C05" w:rsidRDefault="00043668" w:rsidP="00F85C6A">
            <w:pPr>
              <w:spacing w:before="0" w:line="200" w:lineRule="exact"/>
              <w:jc w:val="center"/>
              <w:rPr>
                <w:sz w:val="20"/>
              </w:rPr>
            </w:pPr>
          </w:p>
        </w:tc>
        <w:tc>
          <w:tcPr>
            <w:tcW w:w="992" w:type="dxa"/>
            <w:shd w:val="clear" w:color="auto" w:fill="FFFFFF"/>
          </w:tcPr>
          <w:p w:rsidR="00043668" w:rsidRPr="00D30C05" w:rsidRDefault="00043668" w:rsidP="00F85C6A">
            <w:pPr>
              <w:spacing w:before="0" w:line="200" w:lineRule="exact"/>
              <w:jc w:val="center"/>
              <w:rPr>
                <w:sz w:val="20"/>
              </w:rPr>
            </w:pPr>
            <w:r w:rsidRPr="00D30C05">
              <w:rPr>
                <w:sz w:val="20"/>
              </w:rPr>
              <w:sym w:font="Wingdings" w:char="F0FC"/>
            </w:r>
          </w:p>
        </w:tc>
        <w:tc>
          <w:tcPr>
            <w:tcW w:w="851" w:type="dxa"/>
            <w:shd w:val="clear" w:color="auto" w:fill="FFFFFF"/>
          </w:tcPr>
          <w:p w:rsidR="00043668" w:rsidRPr="00D30C05" w:rsidRDefault="00043668" w:rsidP="00F85C6A">
            <w:pPr>
              <w:spacing w:before="0" w:line="200" w:lineRule="exact"/>
              <w:jc w:val="center"/>
              <w:rPr>
                <w:sz w:val="20"/>
              </w:rPr>
            </w:pPr>
            <w:r w:rsidRPr="00D30C05">
              <w:rPr>
                <w:sz w:val="20"/>
              </w:rPr>
              <w:sym w:font="Wingdings" w:char="F0FC"/>
            </w:r>
          </w:p>
        </w:tc>
        <w:tc>
          <w:tcPr>
            <w:tcW w:w="850" w:type="dxa"/>
            <w:shd w:val="clear" w:color="auto" w:fill="FFFFFF"/>
          </w:tcPr>
          <w:p w:rsidR="00043668" w:rsidRPr="00D30C05" w:rsidRDefault="00043668" w:rsidP="00F85C6A">
            <w:pPr>
              <w:spacing w:before="0" w:line="200" w:lineRule="exact"/>
              <w:jc w:val="center"/>
              <w:rPr>
                <w:sz w:val="20"/>
              </w:rPr>
            </w:pPr>
          </w:p>
        </w:tc>
        <w:tc>
          <w:tcPr>
            <w:tcW w:w="1276" w:type="dxa"/>
            <w:shd w:val="clear" w:color="auto" w:fill="FFFFFF"/>
          </w:tcPr>
          <w:p w:rsidR="00043668" w:rsidRPr="00D30C05" w:rsidRDefault="00043668" w:rsidP="00F85C6A">
            <w:pPr>
              <w:spacing w:before="0" w:line="200" w:lineRule="exact"/>
              <w:jc w:val="center"/>
              <w:rPr>
                <w:sz w:val="20"/>
              </w:rPr>
            </w:pPr>
          </w:p>
        </w:tc>
        <w:tc>
          <w:tcPr>
            <w:tcW w:w="850" w:type="dxa"/>
            <w:shd w:val="clear" w:color="auto" w:fill="FFFFFF"/>
          </w:tcPr>
          <w:p w:rsidR="00043668" w:rsidRPr="00D30C05" w:rsidRDefault="00043668" w:rsidP="00F85C6A">
            <w:pPr>
              <w:spacing w:before="0" w:line="200" w:lineRule="exact"/>
              <w:jc w:val="center"/>
              <w:rPr>
                <w:sz w:val="20"/>
              </w:rPr>
            </w:pPr>
          </w:p>
        </w:tc>
      </w:tr>
      <w:tr w:rsidR="00B21B73" w:rsidTr="00043668">
        <w:trPr>
          <w:cantSplit/>
          <w:jc w:val="center"/>
        </w:trPr>
        <w:tc>
          <w:tcPr>
            <w:tcW w:w="3897" w:type="dxa"/>
            <w:shd w:val="clear" w:color="auto" w:fill="FFFFFF"/>
          </w:tcPr>
          <w:p w:rsidR="00B21B73" w:rsidRPr="00D30C05" w:rsidRDefault="00B21B73" w:rsidP="00F85C6A">
            <w:pPr>
              <w:spacing w:before="0" w:line="200" w:lineRule="exact"/>
              <w:rPr>
                <w:b/>
                <w:i/>
                <w:sz w:val="18"/>
              </w:rPr>
            </w:pPr>
            <w:r w:rsidRPr="00D30C05">
              <w:rPr>
                <w:b/>
                <w:i/>
                <w:sz w:val="18"/>
              </w:rPr>
              <w:t>Police outposts on Savai’i</w:t>
            </w:r>
            <w:r w:rsidRPr="00D30C05">
              <w:rPr>
                <w:rStyle w:val="EndnoteReference"/>
                <w:sz w:val="18"/>
              </w:rPr>
              <w:endnoteReference w:id="25"/>
            </w:r>
          </w:p>
        </w:tc>
        <w:tc>
          <w:tcPr>
            <w:tcW w:w="742" w:type="dxa"/>
            <w:shd w:val="clear" w:color="auto" w:fill="FFFFFF"/>
          </w:tcPr>
          <w:p w:rsidR="00B21B73" w:rsidRPr="00D30C05" w:rsidRDefault="00B21B73" w:rsidP="00F85C6A">
            <w:pPr>
              <w:spacing w:before="0" w:line="200" w:lineRule="exact"/>
              <w:jc w:val="center"/>
              <w:rPr>
                <w:sz w:val="20"/>
              </w:rPr>
            </w:pPr>
          </w:p>
        </w:tc>
        <w:tc>
          <w:tcPr>
            <w:tcW w:w="709" w:type="dxa"/>
            <w:shd w:val="clear" w:color="auto" w:fill="FFFFFF"/>
          </w:tcPr>
          <w:p w:rsidR="00B21B73" w:rsidRPr="00D30C05" w:rsidRDefault="00B21B73" w:rsidP="00F85C6A">
            <w:pPr>
              <w:spacing w:before="0" w:line="200" w:lineRule="exact"/>
              <w:jc w:val="center"/>
              <w:rPr>
                <w:sz w:val="20"/>
              </w:rPr>
            </w:pPr>
            <w:r w:rsidRPr="00D30C05">
              <w:rPr>
                <w:sz w:val="20"/>
              </w:rPr>
              <w:sym w:font="Wingdings" w:char="F0FC"/>
            </w:r>
          </w:p>
        </w:tc>
        <w:tc>
          <w:tcPr>
            <w:tcW w:w="992" w:type="dxa"/>
            <w:shd w:val="clear" w:color="auto" w:fill="FFFFFF"/>
          </w:tcPr>
          <w:p w:rsidR="00B21B73" w:rsidRPr="00D30C05" w:rsidRDefault="00B21B73" w:rsidP="00F85C6A">
            <w:pPr>
              <w:spacing w:before="0" w:line="200" w:lineRule="exact"/>
              <w:jc w:val="center"/>
              <w:rPr>
                <w:sz w:val="20"/>
              </w:rPr>
            </w:pPr>
          </w:p>
        </w:tc>
        <w:tc>
          <w:tcPr>
            <w:tcW w:w="851" w:type="dxa"/>
            <w:shd w:val="clear" w:color="auto" w:fill="FFFFFF"/>
          </w:tcPr>
          <w:p w:rsidR="00B21B73" w:rsidRPr="00D30C05" w:rsidRDefault="00B21B73" w:rsidP="00F85C6A">
            <w:pPr>
              <w:spacing w:before="0" w:line="200" w:lineRule="exact"/>
              <w:jc w:val="center"/>
              <w:rPr>
                <w:sz w:val="20"/>
              </w:rPr>
            </w:pPr>
          </w:p>
        </w:tc>
        <w:tc>
          <w:tcPr>
            <w:tcW w:w="850" w:type="dxa"/>
            <w:shd w:val="clear" w:color="auto" w:fill="FFFFFF"/>
          </w:tcPr>
          <w:p w:rsidR="00B21B73" w:rsidRPr="00D30C05" w:rsidRDefault="00B21B73" w:rsidP="00F85C6A">
            <w:pPr>
              <w:spacing w:before="0" w:line="200" w:lineRule="exact"/>
              <w:jc w:val="center"/>
              <w:rPr>
                <w:sz w:val="20"/>
              </w:rPr>
            </w:pPr>
          </w:p>
        </w:tc>
        <w:tc>
          <w:tcPr>
            <w:tcW w:w="1276" w:type="dxa"/>
            <w:shd w:val="clear" w:color="auto" w:fill="FFFFFF"/>
          </w:tcPr>
          <w:p w:rsidR="00B21B73" w:rsidRPr="00D30C05" w:rsidRDefault="00B21B73" w:rsidP="00F85C6A">
            <w:pPr>
              <w:spacing w:before="0" w:line="200" w:lineRule="exact"/>
              <w:jc w:val="center"/>
              <w:rPr>
                <w:sz w:val="20"/>
              </w:rPr>
            </w:pPr>
          </w:p>
        </w:tc>
        <w:tc>
          <w:tcPr>
            <w:tcW w:w="850" w:type="dxa"/>
            <w:shd w:val="clear" w:color="auto" w:fill="FFFFFF"/>
          </w:tcPr>
          <w:p w:rsidR="00B21B73" w:rsidRPr="00D30C05" w:rsidRDefault="00B21B73" w:rsidP="00F85C6A">
            <w:pPr>
              <w:spacing w:before="0" w:line="200" w:lineRule="exact"/>
              <w:jc w:val="center"/>
              <w:rPr>
                <w:sz w:val="20"/>
              </w:rPr>
            </w:pPr>
          </w:p>
        </w:tc>
      </w:tr>
      <w:tr w:rsidR="00043668" w:rsidTr="004E0202">
        <w:trPr>
          <w:cantSplit/>
          <w:jc w:val="center"/>
        </w:trPr>
        <w:tc>
          <w:tcPr>
            <w:tcW w:w="3897" w:type="dxa"/>
            <w:shd w:val="clear" w:color="auto" w:fill="FFFFFF"/>
          </w:tcPr>
          <w:p w:rsidR="00043668" w:rsidRPr="00D30C05" w:rsidRDefault="00043668" w:rsidP="00F85C6A">
            <w:pPr>
              <w:spacing w:before="0" w:line="200" w:lineRule="exact"/>
              <w:rPr>
                <w:b/>
                <w:i/>
                <w:sz w:val="18"/>
              </w:rPr>
            </w:pPr>
            <w:r w:rsidRPr="00D30C05">
              <w:rPr>
                <w:b/>
                <w:i/>
                <w:sz w:val="18"/>
              </w:rPr>
              <w:t>Through support to Victims of Crime, established facilities so victims can give evidence from outside the Court room</w:t>
            </w:r>
            <w:r w:rsidRPr="00D30C05">
              <w:rPr>
                <w:rStyle w:val="EndnoteReference"/>
                <w:sz w:val="18"/>
              </w:rPr>
              <w:endnoteReference w:id="26"/>
            </w:r>
            <w:r w:rsidRPr="00D30C05">
              <w:rPr>
                <w:b/>
                <w:i/>
                <w:sz w:val="18"/>
              </w:rPr>
              <w:t xml:space="preserve">. </w:t>
            </w:r>
          </w:p>
        </w:tc>
        <w:tc>
          <w:tcPr>
            <w:tcW w:w="742" w:type="dxa"/>
            <w:shd w:val="clear" w:color="auto" w:fill="FFFFFF"/>
          </w:tcPr>
          <w:p w:rsidR="00043668" w:rsidRPr="00D30C05" w:rsidRDefault="00043668" w:rsidP="00F85C6A">
            <w:pPr>
              <w:spacing w:before="0" w:line="200" w:lineRule="exact"/>
              <w:jc w:val="center"/>
              <w:rPr>
                <w:sz w:val="20"/>
              </w:rPr>
            </w:pPr>
          </w:p>
        </w:tc>
        <w:tc>
          <w:tcPr>
            <w:tcW w:w="709" w:type="dxa"/>
            <w:shd w:val="clear" w:color="auto" w:fill="FFFFFF"/>
          </w:tcPr>
          <w:p w:rsidR="00043668" w:rsidRPr="00D30C05" w:rsidRDefault="00043668" w:rsidP="00F85C6A">
            <w:pPr>
              <w:spacing w:before="0" w:line="200" w:lineRule="exact"/>
              <w:jc w:val="center"/>
              <w:rPr>
                <w:sz w:val="20"/>
              </w:rPr>
            </w:pPr>
          </w:p>
        </w:tc>
        <w:tc>
          <w:tcPr>
            <w:tcW w:w="992" w:type="dxa"/>
            <w:shd w:val="clear" w:color="auto" w:fill="FFFFFF"/>
          </w:tcPr>
          <w:p w:rsidR="00043668" w:rsidRPr="00D30C05" w:rsidRDefault="00043668" w:rsidP="00F85C6A">
            <w:pPr>
              <w:spacing w:before="0" w:line="200" w:lineRule="exact"/>
              <w:jc w:val="center"/>
              <w:rPr>
                <w:sz w:val="20"/>
              </w:rPr>
            </w:pPr>
          </w:p>
        </w:tc>
        <w:tc>
          <w:tcPr>
            <w:tcW w:w="851" w:type="dxa"/>
            <w:shd w:val="clear" w:color="auto" w:fill="FFFFFF"/>
          </w:tcPr>
          <w:p w:rsidR="00043668" w:rsidRPr="00D30C05" w:rsidRDefault="00043668" w:rsidP="00F85C6A">
            <w:pPr>
              <w:spacing w:before="0" w:line="200" w:lineRule="exact"/>
              <w:jc w:val="center"/>
              <w:rPr>
                <w:rStyle w:val="EndnoteReference"/>
                <w:sz w:val="20"/>
              </w:rPr>
            </w:pPr>
            <w:r w:rsidRPr="00D30C05">
              <w:rPr>
                <w:sz w:val="20"/>
              </w:rPr>
              <w:sym w:font="Wingdings" w:char="F0FC"/>
            </w:r>
          </w:p>
        </w:tc>
        <w:tc>
          <w:tcPr>
            <w:tcW w:w="850" w:type="dxa"/>
            <w:shd w:val="clear" w:color="auto" w:fill="FFFFFF"/>
          </w:tcPr>
          <w:p w:rsidR="00043668" w:rsidRPr="00D30C05" w:rsidRDefault="00043668" w:rsidP="00F85C6A">
            <w:pPr>
              <w:spacing w:before="0" w:line="200" w:lineRule="exact"/>
              <w:jc w:val="center"/>
              <w:rPr>
                <w:sz w:val="20"/>
              </w:rPr>
            </w:pPr>
          </w:p>
        </w:tc>
        <w:tc>
          <w:tcPr>
            <w:tcW w:w="1276" w:type="dxa"/>
            <w:shd w:val="clear" w:color="auto" w:fill="FFFFFF"/>
          </w:tcPr>
          <w:p w:rsidR="00043668" w:rsidRPr="00D30C05" w:rsidRDefault="00043668" w:rsidP="00F85C6A">
            <w:pPr>
              <w:spacing w:before="0" w:line="200" w:lineRule="exact"/>
              <w:jc w:val="center"/>
              <w:rPr>
                <w:sz w:val="20"/>
              </w:rPr>
            </w:pPr>
          </w:p>
        </w:tc>
        <w:tc>
          <w:tcPr>
            <w:tcW w:w="850" w:type="dxa"/>
            <w:shd w:val="clear" w:color="auto" w:fill="FFFFFF"/>
          </w:tcPr>
          <w:p w:rsidR="00043668" w:rsidRPr="00D30C05" w:rsidRDefault="00043668" w:rsidP="00F85C6A">
            <w:pPr>
              <w:spacing w:before="0" w:line="200" w:lineRule="exact"/>
              <w:jc w:val="center"/>
              <w:rPr>
                <w:sz w:val="20"/>
              </w:rPr>
            </w:pPr>
          </w:p>
        </w:tc>
      </w:tr>
      <w:tr w:rsidR="00043668" w:rsidTr="00043668">
        <w:trPr>
          <w:cantSplit/>
          <w:jc w:val="center"/>
        </w:trPr>
        <w:tc>
          <w:tcPr>
            <w:tcW w:w="3897" w:type="dxa"/>
            <w:shd w:val="clear" w:color="auto" w:fill="FFFFFF"/>
          </w:tcPr>
          <w:p w:rsidR="00043668" w:rsidRDefault="00043668" w:rsidP="00F85C6A">
            <w:pPr>
              <w:spacing w:before="0" w:line="200" w:lineRule="exact"/>
              <w:rPr>
                <w:b/>
                <w:i/>
                <w:sz w:val="18"/>
              </w:rPr>
            </w:pPr>
            <w:r>
              <w:rPr>
                <w:b/>
                <w:i/>
                <w:sz w:val="18"/>
              </w:rPr>
              <w:t>Returnees program</w:t>
            </w:r>
            <w:r w:rsidR="00093724">
              <w:rPr>
                <w:b/>
                <w:i/>
                <w:sz w:val="18"/>
              </w:rPr>
              <w:t xml:space="preserve"> (Box </w:t>
            </w:r>
            <w:r w:rsidR="007414C2">
              <w:rPr>
                <w:b/>
                <w:i/>
                <w:sz w:val="18"/>
              </w:rPr>
              <w:t>4</w:t>
            </w:r>
            <w:r w:rsidR="00093724">
              <w:rPr>
                <w:b/>
                <w:i/>
                <w:sz w:val="18"/>
              </w:rPr>
              <w:t>)</w:t>
            </w:r>
          </w:p>
        </w:tc>
        <w:tc>
          <w:tcPr>
            <w:tcW w:w="742" w:type="dxa"/>
            <w:shd w:val="clear" w:color="auto" w:fill="FFFFFF"/>
          </w:tcPr>
          <w:p w:rsidR="00043668" w:rsidRPr="00D30C05" w:rsidRDefault="00043668" w:rsidP="00F85C6A">
            <w:pPr>
              <w:spacing w:before="0" w:line="200" w:lineRule="exact"/>
              <w:jc w:val="center"/>
              <w:rPr>
                <w:sz w:val="20"/>
              </w:rPr>
            </w:pPr>
          </w:p>
        </w:tc>
        <w:tc>
          <w:tcPr>
            <w:tcW w:w="709" w:type="dxa"/>
            <w:shd w:val="clear" w:color="auto" w:fill="FFFFFF"/>
          </w:tcPr>
          <w:p w:rsidR="00043668" w:rsidRPr="00D30C05" w:rsidRDefault="00043668" w:rsidP="00F85C6A">
            <w:pPr>
              <w:spacing w:before="0" w:line="200" w:lineRule="exact"/>
              <w:jc w:val="center"/>
              <w:rPr>
                <w:sz w:val="20"/>
              </w:rPr>
            </w:pPr>
          </w:p>
        </w:tc>
        <w:tc>
          <w:tcPr>
            <w:tcW w:w="992" w:type="dxa"/>
            <w:shd w:val="clear" w:color="auto" w:fill="FFFFFF"/>
          </w:tcPr>
          <w:p w:rsidR="00043668" w:rsidRPr="00D30C05" w:rsidRDefault="00043668" w:rsidP="00F85C6A">
            <w:pPr>
              <w:spacing w:before="0" w:line="200" w:lineRule="exact"/>
              <w:jc w:val="center"/>
              <w:rPr>
                <w:sz w:val="20"/>
              </w:rPr>
            </w:pPr>
          </w:p>
        </w:tc>
        <w:tc>
          <w:tcPr>
            <w:tcW w:w="851" w:type="dxa"/>
            <w:shd w:val="clear" w:color="auto" w:fill="FFFFFF"/>
          </w:tcPr>
          <w:p w:rsidR="00043668" w:rsidRPr="00D30C05" w:rsidRDefault="00043668" w:rsidP="00F85C6A">
            <w:pPr>
              <w:spacing w:before="0" w:line="200" w:lineRule="exact"/>
              <w:jc w:val="center"/>
              <w:rPr>
                <w:sz w:val="20"/>
              </w:rPr>
            </w:pPr>
          </w:p>
        </w:tc>
        <w:tc>
          <w:tcPr>
            <w:tcW w:w="850" w:type="dxa"/>
            <w:shd w:val="clear" w:color="auto" w:fill="FFFFFF"/>
          </w:tcPr>
          <w:p w:rsidR="00043668" w:rsidRPr="00D30C05" w:rsidRDefault="00043668" w:rsidP="00F85C6A">
            <w:pPr>
              <w:spacing w:before="0" w:line="200" w:lineRule="exact"/>
              <w:jc w:val="center"/>
              <w:rPr>
                <w:sz w:val="20"/>
              </w:rPr>
            </w:pPr>
          </w:p>
        </w:tc>
        <w:tc>
          <w:tcPr>
            <w:tcW w:w="1276" w:type="dxa"/>
            <w:shd w:val="clear" w:color="auto" w:fill="FFFFFF"/>
          </w:tcPr>
          <w:p w:rsidR="00043668" w:rsidRPr="00D30C05" w:rsidRDefault="00043668" w:rsidP="00F85C6A">
            <w:pPr>
              <w:spacing w:before="0" w:line="200" w:lineRule="exact"/>
              <w:jc w:val="center"/>
              <w:rPr>
                <w:sz w:val="20"/>
              </w:rPr>
            </w:pPr>
          </w:p>
        </w:tc>
        <w:tc>
          <w:tcPr>
            <w:tcW w:w="850" w:type="dxa"/>
            <w:shd w:val="clear" w:color="auto" w:fill="FFFFFF"/>
          </w:tcPr>
          <w:p w:rsidR="00043668" w:rsidRPr="00D30C05" w:rsidRDefault="00043668" w:rsidP="00F85C6A">
            <w:pPr>
              <w:spacing w:before="0" w:line="200" w:lineRule="exact"/>
              <w:jc w:val="center"/>
              <w:rPr>
                <w:sz w:val="20"/>
              </w:rPr>
            </w:pPr>
            <w:r w:rsidRPr="00D30C05">
              <w:rPr>
                <w:sz w:val="20"/>
              </w:rPr>
              <w:sym w:font="Wingdings" w:char="F0FC"/>
            </w:r>
          </w:p>
        </w:tc>
      </w:tr>
      <w:tr w:rsidR="00043668" w:rsidTr="004E0202">
        <w:trPr>
          <w:cantSplit/>
          <w:jc w:val="center"/>
        </w:trPr>
        <w:tc>
          <w:tcPr>
            <w:tcW w:w="3897" w:type="dxa"/>
            <w:shd w:val="clear" w:color="auto" w:fill="FFFFFF"/>
          </w:tcPr>
          <w:p w:rsidR="00043668" w:rsidRPr="00D30C05" w:rsidRDefault="00043668" w:rsidP="00F85C6A">
            <w:pPr>
              <w:spacing w:before="0" w:line="200" w:lineRule="exact"/>
              <w:rPr>
                <w:sz w:val="18"/>
              </w:rPr>
            </w:pPr>
            <w:r w:rsidRPr="00D30C05">
              <w:rPr>
                <w:sz w:val="18"/>
              </w:rPr>
              <w:t>Establishing the Human Rights Institute</w:t>
            </w:r>
          </w:p>
        </w:tc>
        <w:tc>
          <w:tcPr>
            <w:tcW w:w="742" w:type="dxa"/>
            <w:shd w:val="clear" w:color="auto" w:fill="FFFFFF"/>
          </w:tcPr>
          <w:p w:rsidR="00043668" w:rsidRPr="00D30C05" w:rsidRDefault="00043668" w:rsidP="00F85C6A">
            <w:pPr>
              <w:spacing w:before="0" w:line="200" w:lineRule="exact"/>
              <w:jc w:val="center"/>
              <w:rPr>
                <w:sz w:val="20"/>
              </w:rPr>
            </w:pPr>
            <w:r w:rsidRPr="00D30C05">
              <w:rPr>
                <w:sz w:val="20"/>
              </w:rPr>
              <w:sym w:font="Wingdings" w:char="F0FC"/>
            </w:r>
          </w:p>
        </w:tc>
        <w:tc>
          <w:tcPr>
            <w:tcW w:w="709" w:type="dxa"/>
            <w:shd w:val="clear" w:color="auto" w:fill="FFFFFF"/>
          </w:tcPr>
          <w:p w:rsidR="00043668" w:rsidRPr="00D30C05" w:rsidRDefault="00043668" w:rsidP="00F85C6A">
            <w:pPr>
              <w:spacing w:before="0" w:line="200" w:lineRule="exact"/>
              <w:jc w:val="center"/>
              <w:rPr>
                <w:sz w:val="20"/>
              </w:rPr>
            </w:pPr>
            <w:r w:rsidRPr="00D30C05">
              <w:rPr>
                <w:sz w:val="20"/>
              </w:rPr>
              <w:sym w:font="Wingdings" w:char="F0FC"/>
            </w:r>
          </w:p>
        </w:tc>
        <w:tc>
          <w:tcPr>
            <w:tcW w:w="992" w:type="dxa"/>
            <w:shd w:val="clear" w:color="auto" w:fill="FFFFFF"/>
          </w:tcPr>
          <w:p w:rsidR="00043668" w:rsidRPr="00D30C05" w:rsidRDefault="00043668" w:rsidP="00F85C6A">
            <w:pPr>
              <w:spacing w:before="0" w:line="200" w:lineRule="exact"/>
              <w:jc w:val="center"/>
              <w:rPr>
                <w:sz w:val="20"/>
              </w:rPr>
            </w:pPr>
            <w:r w:rsidRPr="00D30C05">
              <w:rPr>
                <w:sz w:val="20"/>
              </w:rPr>
              <w:sym w:font="Wingdings" w:char="F0FC"/>
            </w:r>
          </w:p>
        </w:tc>
        <w:tc>
          <w:tcPr>
            <w:tcW w:w="851" w:type="dxa"/>
            <w:shd w:val="clear" w:color="auto" w:fill="FFFFFF"/>
          </w:tcPr>
          <w:p w:rsidR="00043668" w:rsidRPr="00D30C05" w:rsidRDefault="00043668" w:rsidP="00F85C6A">
            <w:pPr>
              <w:spacing w:before="0" w:line="200" w:lineRule="exact"/>
              <w:jc w:val="center"/>
              <w:rPr>
                <w:rStyle w:val="EndnoteReference"/>
                <w:sz w:val="20"/>
              </w:rPr>
            </w:pPr>
            <w:r w:rsidRPr="00D30C05">
              <w:rPr>
                <w:sz w:val="20"/>
              </w:rPr>
              <w:sym w:font="Wingdings" w:char="F0FC"/>
            </w:r>
          </w:p>
        </w:tc>
        <w:tc>
          <w:tcPr>
            <w:tcW w:w="850" w:type="dxa"/>
            <w:shd w:val="clear" w:color="auto" w:fill="FFFFFF"/>
          </w:tcPr>
          <w:p w:rsidR="00043668" w:rsidRPr="00D30C05" w:rsidRDefault="00043668" w:rsidP="00F85C6A">
            <w:pPr>
              <w:spacing w:before="0" w:line="200" w:lineRule="exact"/>
              <w:jc w:val="center"/>
              <w:rPr>
                <w:sz w:val="20"/>
              </w:rPr>
            </w:pPr>
            <w:r w:rsidRPr="00D30C05">
              <w:rPr>
                <w:sz w:val="20"/>
              </w:rPr>
              <w:sym w:font="Wingdings" w:char="F0FC"/>
            </w:r>
          </w:p>
        </w:tc>
        <w:tc>
          <w:tcPr>
            <w:tcW w:w="1276" w:type="dxa"/>
            <w:shd w:val="clear" w:color="auto" w:fill="FFFFFF"/>
          </w:tcPr>
          <w:p w:rsidR="00043668" w:rsidRPr="00D30C05" w:rsidRDefault="00043668" w:rsidP="00F85C6A">
            <w:pPr>
              <w:spacing w:before="0" w:line="200" w:lineRule="exact"/>
              <w:jc w:val="center"/>
              <w:rPr>
                <w:sz w:val="20"/>
              </w:rPr>
            </w:pPr>
            <w:r w:rsidRPr="00D30C05">
              <w:rPr>
                <w:sz w:val="20"/>
              </w:rPr>
              <w:sym w:font="Wingdings" w:char="F0FC"/>
            </w:r>
          </w:p>
        </w:tc>
        <w:tc>
          <w:tcPr>
            <w:tcW w:w="850" w:type="dxa"/>
            <w:shd w:val="clear" w:color="auto" w:fill="FFFFFF"/>
          </w:tcPr>
          <w:p w:rsidR="00043668" w:rsidRPr="00D30C05" w:rsidRDefault="00043668" w:rsidP="00F85C6A">
            <w:pPr>
              <w:spacing w:before="0" w:line="200" w:lineRule="exact"/>
              <w:jc w:val="center"/>
              <w:rPr>
                <w:sz w:val="20"/>
              </w:rPr>
            </w:pPr>
            <w:r w:rsidRPr="00D30C05">
              <w:rPr>
                <w:sz w:val="20"/>
              </w:rPr>
              <w:sym w:font="Wingdings" w:char="F0FC"/>
            </w:r>
          </w:p>
        </w:tc>
      </w:tr>
      <w:tr w:rsidR="00043668" w:rsidTr="004E0202">
        <w:trPr>
          <w:cantSplit/>
          <w:jc w:val="center"/>
        </w:trPr>
        <w:tc>
          <w:tcPr>
            <w:tcW w:w="3897" w:type="dxa"/>
            <w:shd w:val="clear" w:color="auto" w:fill="FFFFFF"/>
          </w:tcPr>
          <w:p w:rsidR="00043668" w:rsidRPr="00D30C05" w:rsidRDefault="00043668" w:rsidP="00F85C6A">
            <w:pPr>
              <w:spacing w:before="0" w:line="200" w:lineRule="exact"/>
              <w:rPr>
                <w:sz w:val="18"/>
              </w:rPr>
            </w:pPr>
            <w:r w:rsidRPr="00D30C05">
              <w:rPr>
                <w:sz w:val="18"/>
              </w:rPr>
              <w:t>Establishing the Community L</w:t>
            </w:r>
            <w:r w:rsidR="00B65A6F">
              <w:rPr>
                <w:sz w:val="18"/>
              </w:rPr>
              <w:t>aw</w:t>
            </w:r>
            <w:r w:rsidRPr="00D30C05">
              <w:rPr>
                <w:sz w:val="18"/>
              </w:rPr>
              <w:t xml:space="preserve"> </w:t>
            </w:r>
            <w:r w:rsidR="00E46172" w:rsidRPr="00D30C05">
              <w:rPr>
                <w:sz w:val="18"/>
              </w:rPr>
              <w:t>Centre</w:t>
            </w:r>
            <w:r w:rsidRPr="00D30C05">
              <w:rPr>
                <w:rStyle w:val="EndnoteReference"/>
                <w:sz w:val="18"/>
              </w:rPr>
              <w:endnoteReference w:id="27"/>
            </w:r>
          </w:p>
        </w:tc>
        <w:tc>
          <w:tcPr>
            <w:tcW w:w="742" w:type="dxa"/>
            <w:shd w:val="clear" w:color="auto" w:fill="FFFFFF"/>
          </w:tcPr>
          <w:p w:rsidR="00043668" w:rsidRPr="00D30C05" w:rsidRDefault="00043668" w:rsidP="00F85C6A">
            <w:pPr>
              <w:spacing w:before="0" w:line="200" w:lineRule="exact"/>
              <w:jc w:val="center"/>
              <w:rPr>
                <w:sz w:val="20"/>
              </w:rPr>
            </w:pPr>
            <w:r w:rsidRPr="00D30C05">
              <w:rPr>
                <w:sz w:val="20"/>
              </w:rPr>
              <w:sym w:font="Wingdings" w:char="F0FC"/>
            </w:r>
          </w:p>
        </w:tc>
        <w:tc>
          <w:tcPr>
            <w:tcW w:w="709" w:type="dxa"/>
            <w:shd w:val="clear" w:color="auto" w:fill="FFFFFF"/>
          </w:tcPr>
          <w:p w:rsidR="00043668" w:rsidRPr="00D30C05" w:rsidRDefault="00043668" w:rsidP="00F85C6A">
            <w:pPr>
              <w:spacing w:before="0" w:line="200" w:lineRule="exact"/>
              <w:jc w:val="center"/>
              <w:rPr>
                <w:sz w:val="20"/>
              </w:rPr>
            </w:pPr>
            <w:r w:rsidRPr="00D30C05">
              <w:rPr>
                <w:sz w:val="20"/>
              </w:rPr>
              <w:sym w:font="Wingdings" w:char="F0FC"/>
            </w:r>
          </w:p>
        </w:tc>
        <w:tc>
          <w:tcPr>
            <w:tcW w:w="992" w:type="dxa"/>
            <w:shd w:val="clear" w:color="auto" w:fill="FFFFFF"/>
          </w:tcPr>
          <w:p w:rsidR="00043668" w:rsidRPr="00D30C05" w:rsidRDefault="00043668" w:rsidP="00F85C6A">
            <w:pPr>
              <w:spacing w:before="0" w:line="200" w:lineRule="exact"/>
              <w:jc w:val="center"/>
              <w:rPr>
                <w:sz w:val="20"/>
              </w:rPr>
            </w:pPr>
            <w:r w:rsidRPr="00D30C05">
              <w:rPr>
                <w:sz w:val="20"/>
              </w:rPr>
              <w:sym w:font="Wingdings" w:char="F0FC"/>
            </w:r>
          </w:p>
        </w:tc>
        <w:tc>
          <w:tcPr>
            <w:tcW w:w="851" w:type="dxa"/>
            <w:shd w:val="clear" w:color="auto" w:fill="FFFFFF"/>
          </w:tcPr>
          <w:p w:rsidR="00043668" w:rsidRPr="00D30C05" w:rsidRDefault="00043668" w:rsidP="00F85C6A">
            <w:pPr>
              <w:spacing w:before="0" w:line="200" w:lineRule="exact"/>
              <w:jc w:val="center"/>
              <w:rPr>
                <w:sz w:val="20"/>
              </w:rPr>
            </w:pPr>
            <w:r w:rsidRPr="00D30C05">
              <w:rPr>
                <w:sz w:val="20"/>
              </w:rPr>
              <w:sym w:font="Wingdings" w:char="F0FC"/>
            </w:r>
          </w:p>
        </w:tc>
        <w:tc>
          <w:tcPr>
            <w:tcW w:w="850" w:type="dxa"/>
            <w:shd w:val="clear" w:color="auto" w:fill="FFFFFF"/>
          </w:tcPr>
          <w:p w:rsidR="00043668" w:rsidRPr="00D30C05" w:rsidRDefault="00043668" w:rsidP="00F85C6A">
            <w:pPr>
              <w:spacing w:before="0" w:line="200" w:lineRule="exact"/>
              <w:jc w:val="center"/>
              <w:rPr>
                <w:sz w:val="20"/>
              </w:rPr>
            </w:pPr>
            <w:r w:rsidRPr="00D30C05">
              <w:rPr>
                <w:sz w:val="20"/>
              </w:rPr>
              <w:sym w:font="Wingdings" w:char="F0FC"/>
            </w:r>
          </w:p>
        </w:tc>
        <w:tc>
          <w:tcPr>
            <w:tcW w:w="1276" w:type="dxa"/>
            <w:shd w:val="clear" w:color="auto" w:fill="FFFFFF"/>
          </w:tcPr>
          <w:p w:rsidR="00043668" w:rsidRPr="00D30C05" w:rsidRDefault="00043668" w:rsidP="00F85C6A">
            <w:pPr>
              <w:spacing w:before="0" w:line="200" w:lineRule="exact"/>
              <w:jc w:val="center"/>
              <w:rPr>
                <w:sz w:val="20"/>
              </w:rPr>
            </w:pPr>
            <w:r w:rsidRPr="00D30C05">
              <w:rPr>
                <w:sz w:val="20"/>
              </w:rPr>
              <w:sym w:font="Wingdings" w:char="F0FC"/>
            </w:r>
          </w:p>
        </w:tc>
        <w:tc>
          <w:tcPr>
            <w:tcW w:w="850" w:type="dxa"/>
            <w:shd w:val="clear" w:color="auto" w:fill="FFFFFF"/>
          </w:tcPr>
          <w:p w:rsidR="00043668" w:rsidRPr="00D30C05" w:rsidRDefault="00043668" w:rsidP="00F85C6A">
            <w:pPr>
              <w:spacing w:before="0" w:line="200" w:lineRule="exact"/>
              <w:jc w:val="center"/>
              <w:rPr>
                <w:sz w:val="20"/>
              </w:rPr>
            </w:pPr>
          </w:p>
        </w:tc>
      </w:tr>
      <w:tr w:rsidR="00043668" w:rsidTr="004E0202">
        <w:trPr>
          <w:cantSplit/>
          <w:jc w:val="center"/>
        </w:trPr>
        <w:tc>
          <w:tcPr>
            <w:tcW w:w="3897" w:type="dxa"/>
            <w:shd w:val="clear" w:color="auto" w:fill="FFFFFF"/>
          </w:tcPr>
          <w:p w:rsidR="00043668" w:rsidRPr="00D30C05" w:rsidRDefault="00043668" w:rsidP="00F85C6A">
            <w:pPr>
              <w:spacing w:before="0" w:line="200" w:lineRule="exact"/>
              <w:rPr>
                <w:sz w:val="18"/>
              </w:rPr>
            </w:pPr>
            <w:r w:rsidRPr="00D30C05">
              <w:rPr>
                <w:sz w:val="18"/>
              </w:rPr>
              <w:t xml:space="preserve">Amendments proposed to the Village </w:t>
            </w:r>
            <w:proofErr w:type="spellStart"/>
            <w:r w:rsidRPr="00D30C05">
              <w:rPr>
                <w:sz w:val="18"/>
              </w:rPr>
              <w:t>Fono</w:t>
            </w:r>
            <w:proofErr w:type="spellEnd"/>
            <w:r w:rsidRPr="00D30C05">
              <w:rPr>
                <w:sz w:val="18"/>
              </w:rPr>
              <w:t xml:space="preserve"> Act</w:t>
            </w:r>
            <w:r w:rsidRPr="00D30C05">
              <w:rPr>
                <w:rStyle w:val="EndnoteReference"/>
                <w:sz w:val="18"/>
              </w:rPr>
              <w:endnoteReference w:id="28"/>
            </w:r>
          </w:p>
        </w:tc>
        <w:tc>
          <w:tcPr>
            <w:tcW w:w="742" w:type="dxa"/>
            <w:shd w:val="clear" w:color="auto" w:fill="FFFFFF"/>
          </w:tcPr>
          <w:p w:rsidR="00043668" w:rsidRPr="00D30C05" w:rsidRDefault="00043668" w:rsidP="00F85C6A">
            <w:pPr>
              <w:spacing w:before="0" w:line="200" w:lineRule="exact"/>
              <w:jc w:val="center"/>
              <w:rPr>
                <w:sz w:val="20"/>
              </w:rPr>
            </w:pPr>
          </w:p>
        </w:tc>
        <w:tc>
          <w:tcPr>
            <w:tcW w:w="709" w:type="dxa"/>
            <w:shd w:val="clear" w:color="auto" w:fill="FFFFFF"/>
          </w:tcPr>
          <w:p w:rsidR="00043668" w:rsidRPr="00D30C05" w:rsidRDefault="00043668" w:rsidP="00F85C6A">
            <w:pPr>
              <w:spacing w:before="0" w:line="200" w:lineRule="exact"/>
              <w:jc w:val="center"/>
              <w:rPr>
                <w:sz w:val="20"/>
              </w:rPr>
            </w:pPr>
            <w:r w:rsidRPr="00D30C05">
              <w:rPr>
                <w:sz w:val="20"/>
              </w:rPr>
              <w:sym w:font="Wingdings" w:char="F0FC"/>
            </w:r>
          </w:p>
        </w:tc>
        <w:tc>
          <w:tcPr>
            <w:tcW w:w="992" w:type="dxa"/>
            <w:shd w:val="clear" w:color="auto" w:fill="FFFFFF"/>
          </w:tcPr>
          <w:p w:rsidR="00043668" w:rsidRPr="00D30C05" w:rsidRDefault="00043668" w:rsidP="00F85C6A">
            <w:pPr>
              <w:spacing w:before="0" w:line="200" w:lineRule="exact"/>
              <w:jc w:val="center"/>
              <w:rPr>
                <w:sz w:val="20"/>
              </w:rPr>
            </w:pPr>
            <w:r w:rsidRPr="00D30C05">
              <w:rPr>
                <w:sz w:val="20"/>
              </w:rPr>
              <w:sym w:font="Wingdings" w:char="F0FC"/>
            </w:r>
          </w:p>
        </w:tc>
        <w:tc>
          <w:tcPr>
            <w:tcW w:w="851" w:type="dxa"/>
            <w:shd w:val="clear" w:color="auto" w:fill="FFFFFF"/>
          </w:tcPr>
          <w:p w:rsidR="00043668" w:rsidRPr="00D30C05" w:rsidRDefault="00043668" w:rsidP="00F85C6A">
            <w:pPr>
              <w:spacing w:before="0" w:line="200" w:lineRule="exact"/>
              <w:jc w:val="center"/>
              <w:rPr>
                <w:sz w:val="20"/>
              </w:rPr>
            </w:pPr>
            <w:r w:rsidRPr="00D30C05">
              <w:rPr>
                <w:sz w:val="20"/>
              </w:rPr>
              <w:sym w:font="Wingdings" w:char="F0FC"/>
            </w:r>
          </w:p>
        </w:tc>
        <w:tc>
          <w:tcPr>
            <w:tcW w:w="850" w:type="dxa"/>
            <w:shd w:val="clear" w:color="auto" w:fill="FFFFFF"/>
          </w:tcPr>
          <w:p w:rsidR="00043668" w:rsidRPr="00D30C05" w:rsidRDefault="00043668" w:rsidP="00F85C6A">
            <w:pPr>
              <w:spacing w:before="0" w:line="200" w:lineRule="exact"/>
              <w:jc w:val="center"/>
              <w:rPr>
                <w:sz w:val="20"/>
              </w:rPr>
            </w:pPr>
            <w:r w:rsidRPr="00D30C05">
              <w:rPr>
                <w:sz w:val="20"/>
              </w:rPr>
              <w:sym w:font="Wingdings" w:char="F0FC"/>
            </w:r>
          </w:p>
        </w:tc>
        <w:tc>
          <w:tcPr>
            <w:tcW w:w="1276" w:type="dxa"/>
            <w:shd w:val="clear" w:color="auto" w:fill="FFFFFF"/>
          </w:tcPr>
          <w:p w:rsidR="00043668" w:rsidRPr="00D30C05" w:rsidRDefault="00043668" w:rsidP="00F85C6A">
            <w:pPr>
              <w:spacing w:before="0" w:line="200" w:lineRule="exact"/>
              <w:jc w:val="center"/>
              <w:rPr>
                <w:sz w:val="20"/>
              </w:rPr>
            </w:pPr>
            <w:r w:rsidRPr="00D30C05">
              <w:rPr>
                <w:sz w:val="20"/>
              </w:rPr>
              <w:sym w:font="Wingdings" w:char="F0FC"/>
            </w:r>
          </w:p>
        </w:tc>
        <w:tc>
          <w:tcPr>
            <w:tcW w:w="850" w:type="dxa"/>
            <w:shd w:val="clear" w:color="auto" w:fill="FFFFFF"/>
          </w:tcPr>
          <w:p w:rsidR="00043668" w:rsidRPr="00D30C05" w:rsidRDefault="00043668" w:rsidP="00F85C6A">
            <w:pPr>
              <w:spacing w:before="0" w:line="200" w:lineRule="exact"/>
              <w:jc w:val="center"/>
              <w:rPr>
                <w:sz w:val="20"/>
              </w:rPr>
            </w:pPr>
            <w:r w:rsidRPr="00D30C05">
              <w:rPr>
                <w:sz w:val="20"/>
              </w:rPr>
              <w:sym w:font="Wingdings" w:char="F0FC"/>
            </w:r>
          </w:p>
        </w:tc>
      </w:tr>
      <w:tr w:rsidR="00B21B73" w:rsidTr="00043668">
        <w:trPr>
          <w:cantSplit/>
          <w:jc w:val="center"/>
        </w:trPr>
        <w:tc>
          <w:tcPr>
            <w:tcW w:w="3897" w:type="dxa"/>
            <w:shd w:val="clear" w:color="auto" w:fill="FFFFFF"/>
          </w:tcPr>
          <w:p w:rsidR="00B21B73" w:rsidRPr="00D30C05" w:rsidRDefault="00B21B73" w:rsidP="00F85C6A">
            <w:pPr>
              <w:spacing w:before="0" w:line="200" w:lineRule="exact"/>
              <w:rPr>
                <w:sz w:val="18"/>
              </w:rPr>
            </w:pPr>
            <w:r w:rsidRPr="00D30C05">
              <w:rPr>
                <w:sz w:val="18"/>
              </w:rPr>
              <w:t>Family Law</w:t>
            </w:r>
            <w:r w:rsidRPr="00D30C05">
              <w:rPr>
                <w:rStyle w:val="EndnoteReference"/>
                <w:sz w:val="18"/>
              </w:rPr>
              <w:endnoteReference w:id="29"/>
            </w:r>
          </w:p>
        </w:tc>
        <w:tc>
          <w:tcPr>
            <w:tcW w:w="742" w:type="dxa"/>
            <w:shd w:val="clear" w:color="auto" w:fill="FFFFFF"/>
          </w:tcPr>
          <w:p w:rsidR="00B21B73" w:rsidRPr="00D30C05" w:rsidRDefault="00B21B73" w:rsidP="00F85C6A">
            <w:pPr>
              <w:spacing w:before="0" w:line="200" w:lineRule="exact"/>
              <w:jc w:val="center"/>
              <w:rPr>
                <w:sz w:val="20"/>
              </w:rPr>
            </w:pPr>
          </w:p>
        </w:tc>
        <w:tc>
          <w:tcPr>
            <w:tcW w:w="709" w:type="dxa"/>
            <w:shd w:val="clear" w:color="auto" w:fill="FFFFFF"/>
          </w:tcPr>
          <w:p w:rsidR="00B21B73" w:rsidRPr="00D30C05" w:rsidRDefault="00B21B73" w:rsidP="00F85C6A">
            <w:pPr>
              <w:spacing w:before="0" w:line="200" w:lineRule="exact"/>
              <w:jc w:val="center"/>
              <w:rPr>
                <w:sz w:val="20"/>
              </w:rPr>
            </w:pPr>
          </w:p>
        </w:tc>
        <w:tc>
          <w:tcPr>
            <w:tcW w:w="992" w:type="dxa"/>
            <w:shd w:val="clear" w:color="auto" w:fill="FFFFFF"/>
          </w:tcPr>
          <w:p w:rsidR="00B21B73" w:rsidRPr="00D30C05" w:rsidRDefault="00B21B73" w:rsidP="00F85C6A">
            <w:pPr>
              <w:spacing w:before="0" w:line="200" w:lineRule="exact"/>
              <w:jc w:val="center"/>
              <w:rPr>
                <w:sz w:val="20"/>
              </w:rPr>
            </w:pPr>
            <w:r w:rsidRPr="00D30C05">
              <w:rPr>
                <w:sz w:val="20"/>
              </w:rPr>
              <w:sym w:font="Wingdings" w:char="F0FC"/>
            </w:r>
          </w:p>
        </w:tc>
        <w:tc>
          <w:tcPr>
            <w:tcW w:w="851" w:type="dxa"/>
            <w:shd w:val="clear" w:color="auto" w:fill="FFFFFF"/>
          </w:tcPr>
          <w:p w:rsidR="00B21B73" w:rsidRPr="00D30C05" w:rsidRDefault="00B21B73" w:rsidP="00F85C6A">
            <w:pPr>
              <w:spacing w:before="0" w:line="200" w:lineRule="exact"/>
              <w:jc w:val="center"/>
              <w:rPr>
                <w:sz w:val="20"/>
              </w:rPr>
            </w:pPr>
          </w:p>
        </w:tc>
        <w:tc>
          <w:tcPr>
            <w:tcW w:w="850" w:type="dxa"/>
            <w:shd w:val="clear" w:color="auto" w:fill="FFFFFF"/>
          </w:tcPr>
          <w:p w:rsidR="00B21B73" w:rsidRPr="00D30C05" w:rsidRDefault="00B21B73" w:rsidP="00F85C6A">
            <w:pPr>
              <w:spacing w:before="0" w:line="200" w:lineRule="exact"/>
              <w:jc w:val="center"/>
              <w:rPr>
                <w:sz w:val="20"/>
              </w:rPr>
            </w:pPr>
            <w:r w:rsidRPr="00D30C05">
              <w:rPr>
                <w:sz w:val="20"/>
              </w:rPr>
              <w:sym w:font="Wingdings" w:char="F0FC"/>
            </w:r>
          </w:p>
        </w:tc>
        <w:tc>
          <w:tcPr>
            <w:tcW w:w="1276" w:type="dxa"/>
            <w:shd w:val="clear" w:color="auto" w:fill="FFFFFF"/>
          </w:tcPr>
          <w:p w:rsidR="00B21B73" w:rsidRPr="00D30C05" w:rsidRDefault="00B21B73" w:rsidP="00F85C6A">
            <w:pPr>
              <w:spacing w:before="0" w:line="200" w:lineRule="exact"/>
              <w:jc w:val="center"/>
              <w:rPr>
                <w:sz w:val="20"/>
              </w:rPr>
            </w:pPr>
          </w:p>
        </w:tc>
        <w:tc>
          <w:tcPr>
            <w:tcW w:w="850" w:type="dxa"/>
            <w:shd w:val="clear" w:color="auto" w:fill="FFFFFF"/>
          </w:tcPr>
          <w:p w:rsidR="00B21B73" w:rsidRPr="00D30C05" w:rsidRDefault="00B21B73" w:rsidP="00F85C6A">
            <w:pPr>
              <w:spacing w:before="0" w:line="200" w:lineRule="exact"/>
              <w:jc w:val="center"/>
              <w:rPr>
                <w:sz w:val="20"/>
              </w:rPr>
            </w:pPr>
          </w:p>
        </w:tc>
      </w:tr>
      <w:tr w:rsidR="00B21B73" w:rsidTr="00043668">
        <w:trPr>
          <w:cantSplit/>
          <w:jc w:val="center"/>
        </w:trPr>
        <w:tc>
          <w:tcPr>
            <w:tcW w:w="3897" w:type="dxa"/>
            <w:shd w:val="clear" w:color="auto" w:fill="FFFFFF"/>
          </w:tcPr>
          <w:p w:rsidR="00B21B73" w:rsidRPr="00D30C05" w:rsidRDefault="00043668" w:rsidP="00F85C6A">
            <w:pPr>
              <w:spacing w:before="0" w:line="200" w:lineRule="exact"/>
              <w:rPr>
                <w:sz w:val="18"/>
              </w:rPr>
            </w:pPr>
            <w:r>
              <w:rPr>
                <w:sz w:val="18"/>
              </w:rPr>
              <w:t>I</w:t>
            </w:r>
            <w:r w:rsidR="00B21B73" w:rsidRPr="00D30C05">
              <w:rPr>
                <w:sz w:val="18"/>
              </w:rPr>
              <w:t>mprovements in prison</w:t>
            </w:r>
            <w:r>
              <w:rPr>
                <w:sz w:val="18"/>
              </w:rPr>
              <w:t xml:space="preserve"> for juvenile prisoners</w:t>
            </w:r>
            <w:r w:rsidR="00B21B73" w:rsidRPr="00D30C05">
              <w:rPr>
                <w:rStyle w:val="EndnoteReference"/>
                <w:sz w:val="18"/>
              </w:rPr>
              <w:endnoteReference w:id="30"/>
            </w:r>
          </w:p>
        </w:tc>
        <w:tc>
          <w:tcPr>
            <w:tcW w:w="742" w:type="dxa"/>
            <w:shd w:val="clear" w:color="auto" w:fill="FFFFFF"/>
          </w:tcPr>
          <w:p w:rsidR="00B21B73" w:rsidRPr="00D30C05" w:rsidRDefault="00B21B73" w:rsidP="00F85C6A">
            <w:pPr>
              <w:spacing w:before="0" w:line="200" w:lineRule="exact"/>
              <w:jc w:val="center"/>
              <w:rPr>
                <w:sz w:val="20"/>
              </w:rPr>
            </w:pPr>
          </w:p>
        </w:tc>
        <w:tc>
          <w:tcPr>
            <w:tcW w:w="709" w:type="dxa"/>
            <w:shd w:val="clear" w:color="auto" w:fill="FFFFFF"/>
          </w:tcPr>
          <w:p w:rsidR="00B21B73" w:rsidRPr="00D30C05" w:rsidRDefault="00B21B73" w:rsidP="00F85C6A">
            <w:pPr>
              <w:spacing w:before="0" w:line="200" w:lineRule="exact"/>
              <w:jc w:val="center"/>
              <w:rPr>
                <w:sz w:val="20"/>
              </w:rPr>
            </w:pPr>
          </w:p>
        </w:tc>
        <w:tc>
          <w:tcPr>
            <w:tcW w:w="992" w:type="dxa"/>
            <w:shd w:val="clear" w:color="auto" w:fill="FFFFFF"/>
          </w:tcPr>
          <w:p w:rsidR="00B21B73" w:rsidRPr="00D30C05" w:rsidRDefault="00B21B73" w:rsidP="00F85C6A">
            <w:pPr>
              <w:spacing w:before="0" w:line="200" w:lineRule="exact"/>
              <w:jc w:val="center"/>
              <w:rPr>
                <w:sz w:val="20"/>
              </w:rPr>
            </w:pPr>
          </w:p>
        </w:tc>
        <w:tc>
          <w:tcPr>
            <w:tcW w:w="851" w:type="dxa"/>
            <w:shd w:val="clear" w:color="auto" w:fill="FFFFFF"/>
          </w:tcPr>
          <w:p w:rsidR="00B21B73" w:rsidRPr="00D30C05" w:rsidRDefault="00B21B73" w:rsidP="00F85C6A">
            <w:pPr>
              <w:spacing w:before="0" w:line="200" w:lineRule="exact"/>
              <w:jc w:val="center"/>
              <w:rPr>
                <w:sz w:val="20"/>
              </w:rPr>
            </w:pPr>
          </w:p>
        </w:tc>
        <w:tc>
          <w:tcPr>
            <w:tcW w:w="850" w:type="dxa"/>
            <w:shd w:val="clear" w:color="auto" w:fill="FFFFFF"/>
          </w:tcPr>
          <w:p w:rsidR="00B21B73" w:rsidRPr="00D30C05" w:rsidRDefault="00B21B73" w:rsidP="00F85C6A">
            <w:pPr>
              <w:spacing w:before="0" w:line="200" w:lineRule="exact"/>
              <w:jc w:val="center"/>
              <w:rPr>
                <w:sz w:val="20"/>
              </w:rPr>
            </w:pPr>
            <w:r w:rsidRPr="00D30C05">
              <w:rPr>
                <w:sz w:val="20"/>
              </w:rPr>
              <w:sym w:font="Wingdings" w:char="F0FC"/>
            </w:r>
          </w:p>
        </w:tc>
        <w:tc>
          <w:tcPr>
            <w:tcW w:w="1276" w:type="dxa"/>
            <w:shd w:val="clear" w:color="auto" w:fill="FFFFFF"/>
          </w:tcPr>
          <w:p w:rsidR="00B21B73" w:rsidRPr="00D30C05" w:rsidRDefault="00B21B73" w:rsidP="00F85C6A">
            <w:pPr>
              <w:spacing w:before="0" w:line="200" w:lineRule="exact"/>
              <w:jc w:val="center"/>
              <w:rPr>
                <w:sz w:val="20"/>
              </w:rPr>
            </w:pPr>
          </w:p>
        </w:tc>
        <w:tc>
          <w:tcPr>
            <w:tcW w:w="850" w:type="dxa"/>
            <w:shd w:val="clear" w:color="auto" w:fill="FFFFFF"/>
          </w:tcPr>
          <w:p w:rsidR="00B21B73" w:rsidRPr="00D30C05" w:rsidRDefault="00B21B73" w:rsidP="00F85C6A">
            <w:pPr>
              <w:spacing w:before="0" w:line="200" w:lineRule="exact"/>
              <w:jc w:val="center"/>
              <w:rPr>
                <w:sz w:val="20"/>
              </w:rPr>
            </w:pPr>
          </w:p>
        </w:tc>
      </w:tr>
      <w:tr w:rsidR="00B21B73" w:rsidTr="00043668">
        <w:trPr>
          <w:cantSplit/>
          <w:jc w:val="center"/>
        </w:trPr>
        <w:tc>
          <w:tcPr>
            <w:tcW w:w="10167" w:type="dxa"/>
            <w:gridSpan w:val="8"/>
            <w:shd w:val="clear" w:color="auto" w:fill="FFFFFF"/>
          </w:tcPr>
          <w:p w:rsidR="00A33CB6" w:rsidRPr="00A33CB6" w:rsidRDefault="00043668" w:rsidP="00F85C6A">
            <w:pPr>
              <w:spacing w:before="0" w:line="200" w:lineRule="exact"/>
              <w:rPr>
                <w:b/>
                <w:i/>
                <w:sz w:val="18"/>
              </w:rPr>
            </w:pPr>
            <w:r>
              <w:rPr>
                <w:b/>
                <w:i/>
                <w:sz w:val="18"/>
              </w:rPr>
              <w:t xml:space="preserve">*1 </w:t>
            </w:r>
            <w:r w:rsidR="00B21B73" w:rsidRPr="00D30C05">
              <w:rPr>
                <w:b/>
                <w:i/>
                <w:sz w:val="18"/>
              </w:rPr>
              <w:t xml:space="preserve">Those shown in bold italics have already demonstrated positive outcomes for those marginalised. </w:t>
            </w:r>
          </w:p>
        </w:tc>
      </w:tr>
    </w:tbl>
    <w:p w:rsidR="00A33CB6" w:rsidRDefault="00A33CB6" w:rsidP="00A33CB6">
      <w:pPr>
        <w:rPr>
          <w:lang w:val="en-US" w:eastAsia="en-US"/>
        </w:rPr>
      </w:pPr>
      <w:r>
        <w:rPr>
          <w:lang w:val="en-US" w:eastAsia="en-US"/>
        </w:rPr>
        <w:t xml:space="preserve">The Steering Committee has considered representation of marginalized groups within its membership. To this end, membership of the Steering Committee was expanded in 2012 to include a representative from each of SUNGO (the umbrella organization for NGOs), </w:t>
      </w:r>
      <w:r w:rsidRPr="003001F7">
        <w:rPr>
          <w:lang w:val="en-US" w:eastAsia="en-US"/>
        </w:rPr>
        <w:t xml:space="preserve">Sui o </w:t>
      </w:r>
      <w:proofErr w:type="spellStart"/>
      <w:r w:rsidRPr="003001F7">
        <w:rPr>
          <w:lang w:val="en-US" w:eastAsia="en-US"/>
        </w:rPr>
        <w:t>Nuu</w:t>
      </w:r>
      <w:proofErr w:type="spellEnd"/>
      <w:r>
        <w:rPr>
          <w:lang w:val="en-US" w:eastAsia="en-US"/>
        </w:rPr>
        <w:t xml:space="preserve"> (men) and </w:t>
      </w:r>
      <w:r w:rsidRPr="00194053">
        <w:rPr>
          <w:lang w:val="en-US" w:eastAsia="en-US"/>
        </w:rPr>
        <w:t xml:space="preserve">Sui </w:t>
      </w:r>
      <w:proofErr w:type="spellStart"/>
      <w:r>
        <w:rPr>
          <w:lang w:val="en-US" w:eastAsia="en-US"/>
        </w:rPr>
        <w:t>Tamaitai</w:t>
      </w:r>
      <w:proofErr w:type="spellEnd"/>
      <w:r>
        <w:rPr>
          <w:lang w:val="en-US" w:eastAsia="en-US"/>
        </w:rPr>
        <w:t xml:space="preserve"> </w:t>
      </w:r>
      <w:r w:rsidRPr="00194053">
        <w:rPr>
          <w:lang w:val="en-US" w:eastAsia="en-US"/>
        </w:rPr>
        <w:t xml:space="preserve">o </w:t>
      </w:r>
      <w:proofErr w:type="spellStart"/>
      <w:r w:rsidRPr="00194053">
        <w:rPr>
          <w:lang w:val="en-US" w:eastAsia="en-US"/>
        </w:rPr>
        <w:t>Nuu</w:t>
      </w:r>
      <w:proofErr w:type="spellEnd"/>
      <w:r>
        <w:rPr>
          <w:lang w:val="en-US" w:eastAsia="en-US"/>
        </w:rPr>
        <w:t xml:space="preserve">  (women), Samoa Victim Support Group (SVSG) in addition to matai. MWCSD noted extremely positively that this was the first time in the SLJS and the first Sector Steering Committee for which they had not been the sole representative of women. However, there is no youth representative specifically included. This may be a consequence of the National </w:t>
      </w:r>
      <w:r>
        <w:rPr>
          <w:lang w:eastAsia="en-US"/>
        </w:rPr>
        <w:t xml:space="preserve">Youth Council being established after the expansion of the Steering Committee. </w:t>
      </w:r>
      <w:r>
        <w:rPr>
          <w:lang w:val="en-US" w:eastAsia="en-US"/>
        </w:rPr>
        <w:t xml:space="preserve"> </w:t>
      </w:r>
    </w:p>
    <w:p w:rsidR="00A33CB6" w:rsidRDefault="00A33CB6" w:rsidP="00A33CB6">
      <w:pPr>
        <w:rPr>
          <w:lang w:val="en-US" w:eastAsia="en-US"/>
        </w:rPr>
      </w:pPr>
      <w:r>
        <w:t xml:space="preserve">The interviews suggested that marginalisation of groups within the Samoan community to access law and justice was generally poorly understood. There was widespread variation in assessment of whether any specific group was marginalised, and a general </w:t>
      </w:r>
      <w:r w:rsidRPr="000110E0">
        <w:rPr>
          <w:lang w:val="en-US" w:eastAsia="en-US"/>
        </w:rPr>
        <w:t xml:space="preserve">lack of </w:t>
      </w:r>
      <w:r>
        <w:rPr>
          <w:lang w:val="en-US" w:eastAsia="en-US"/>
        </w:rPr>
        <w:t xml:space="preserve">articulated </w:t>
      </w:r>
      <w:r w:rsidRPr="000110E0">
        <w:rPr>
          <w:lang w:val="en-US" w:eastAsia="en-US"/>
        </w:rPr>
        <w:t xml:space="preserve">understanding about </w:t>
      </w:r>
      <w:r>
        <w:rPr>
          <w:lang w:val="en-US" w:eastAsia="en-US"/>
        </w:rPr>
        <w:t xml:space="preserve">the </w:t>
      </w:r>
      <w:r w:rsidRPr="000110E0">
        <w:rPr>
          <w:lang w:val="en-US" w:eastAsia="en-US"/>
        </w:rPr>
        <w:t xml:space="preserve">relevance </w:t>
      </w:r>
      <w:r>
        <w:rPr>
          <w:lang w:val="en-US" w:eastAsia="en-US"/>
        </w:rPr>
        <w:t xml:space="preserve">of </w:t>
      </w:r>
      <w:r w:rsidR="00B21897">
        <w:rPr>
          <w:lang w:val="en-US" w:eastAsia="en-US"/>
        </w:rPr>
        <w:t>marginalization</w:t>
      </w:r>
      <w:r>
        <w:rPr>
          <w:lang w:val="en-US" w:eastAsia="en-US"/>
        </w:rPr>
        <w:t xml:space="preserve"> </w:t>
      </w:r>
      <w:r w:rsidRPr="000110E0">
        <w:rPr>
          <w:lang w:val="en-US" w:eastAsia="en-US"/>
        </w:rPr>
        <w:t xml:space="preserve">to </w:t>
      </w:r>
      <w:r>
        <w:rPr>
          <w:lang w:val="en-US" w:eastAsia="en-US"/>
        </w:rPr>
        <w:t xml:space="preserve">the </w:t>
      </w:r>
      <w:r w:rsidRPr="000110E0">
        <w:rPr>
          <w:lang w:val="en-US" w:eastAsia="en-US"/>
        </w:rPr>
        <w:t>sector</w:t>
      </w:r>
      <w:r>
        <w:rPr>
          <w:lang w:val="en-US" w:eastAsia="en-US"/>
        </w:rPr>
        <w:t>. However, in practice, the sector had identified and prioritized implementation of numerous projects specifically aimed at improving access to justice</w:t>
      </w:r>
      <w:r w:rsidRPr="00043668">
        <w:rPr>
          <w:lang w:val="en-US" w:eastAsia="en-US"/>
        </w:rPr>
        <w:t xml:space="preserve"> </w:t>
      </w:r>
      <w:r>
        <w:rPr>
          <w:lang w:val="en-US" w:eastAsia="en-US"/>
        </w:rPr>
        <w:t xml:space="preserve">for the marginalized, and the experience of and outcomes from encounters with the sector. Given the breadth of projects focused on marginalized, it is difficult to equate the lack of awareness with actual practice. </w:t>
      </w:r>
    </w:p>
    <w:p w:rsidR="00A33CB6" w:rsidRDefault="00A33CB6" w:rsidP="00A33CB6">
      <w:pPr>
        <w:rPr>
          <w:lang w:val="en-US" w:eastAsia="en-US"/>
        </w:rPr>
      </w:pPr>
      <w:r>
        <w:rPr>
          <w:lang w:val="en-US" w:eastAsia="en-US"/>
        </w:rPr>
        <w:t>This dichotomy may be a consequence of cultural interpretations of the words used – Western vs Samoan. Alternatively, the focus of each agency on the range of co</w:t>
      </w:r>
      <w:r w:rsidRPr="000110E0">
        <w:rPr>
          <w:lang w:val="en-US" w:eastAsia="en-US"/>
        </w:rPr>
        <w:t>nventions to which Samoa is a signatory (disability) or has ratified (CEDAW</w:t>
      </w:r>
      <w:r>
        <w:rPr>
          <w:lang w:val="en-US" w:eastAsia="en-US"/>
        </w:rPr>
        <w:t>) may in some way account for this</w:t>
      </w:r>
      <w:r w:rsidRPr="000110E0">
        <w:rPr>
          <w:lang w:val="en-US" w:eastAsia="en-US"/>
        </w:rPr>
        <w:t>.</w:t>
      </w:r>
      <w:r>
        <w:rPr>
          <w:lang w:val="en-US" w:eastAsia="en-US"/>
        </w:rPr>
        <w:t xml:space="preserve"> The reason was not identified during this review. </w:t>
      </w:r>
      <w:r w:rsidRPr="000110E0">
        <w:rPr>
          <w:lang w:val="en-US" w:eastAsia="en-US"/>
        </w:rPr>
        <w:t xml:space="preserve"> </w:t>
      </w:r>
    </w:p>
    <w:p w:rsidR="00093724" w:rsidRPr="000310D3" w:rsidRDefault="00093724" w:rsidP="00093724">
      <w:pPr>
        <w:pStyle w:val="BoxHeading2"/>
      </w:pPr>
      <w:r>
        <w:rPr>
          <w:lang w:val="en-AU"/>
        </w:rPr>
        <w:lastRenderedPageBreak/>
        <w:t>Box</w:t>
      </w:r>
      <w:r w:rsidRPr="000310D3">
        <w:t xml:space="preserve"> </w:t>
      </w:r>
      <w:r w:rsidR="007414C2">
        <w:rPr>
          <w:lang w:val="en-AU"/>
        </w:rPr>
        <w:t>4</w:t>
      </w:r>
      <w:r w:rsidRPr="000310D3">
        <w:t xml:space="preserve">: A really, really bad man. </w:t>
      </w:r>
    </w:p>
    <w:p w:rsidR="00093724" w:rsidRPr="000310D3" w:rsidRDefault="00093724" w:rsidP="00093724">
      <w:pPr>
        <w:pStyle w:val="BoxText"/>
      </w:pPr>
      <w:r w:rsidRPr="000310D3">
        <w:t>When people who have committed crimes oversees are returned to Samoa (returnees), they are often rejected by their family and community. Many have been away so long, they no longer know our culture. They have no support, find it difficult to get a job, and have real problems in fitting back into society.</w:t>
      </w:r>
    </w:p>
    <w:p w:rsidR="00093724" w:rsidRPr="000310D3" w:rsidRDefault="00093724" w:rsidP="00093724">
      <w:pPr>
        <w:pStyle w:val="BoxText"/>
      </w:pPr>
      <w:r w:rsidRPr="000310D3">
        <w:t xml:space="preserve">One returnee was from our village. He was deported for drug use and murder. He was really, really, … really bad. He displayed a real attitude problem. Everyone was afraid of him and afraid of the influence he would have on our young people. </w:t>
      </w:r>
    </w:p>
    <w:p w:rsidR="00093724" w:rsidRPr="000310D3" w:rsidRDefault="00093724" w:rsidP="00093724">
      <w:pPr>
        <w:pStyle w:val="BoxText"/>
      </w:pPr>
      <w:r w:rsidRPr="000310D3">
        <w:t xml:space="preserve">The </w:t>
      </w:r>
      <w:r>
        <w:t xml:space="preserve">Returnees Charitable </w:t>
      </w:r>
      <w:r w:rsidRPr="000310D3">
        <w:t>Trust helps returnees find their family, relearn our culture, become involved in the local church</w:t>
      </w:r>
      <w:r>
        <w:t xml:space="preserve"> and find their place again in our society</w:t>
      </w:r>
      <w:r w:rsidRPr="000310D3">
        <w:t xml:space="preserve">. They took the returnees to the prison and the returnees realised that the conditions in prisons here really are not good. </w:t>
      </w:r>
    </w:p>
    <w:p w:rsidR="00093724" w:rsidRDefault="00093724" w:rsidP="00093724">
      <w:pPr>
        <w:pStyle w:val="BoxText"/>
      </w:pPr>
      <w:r w:rsidRPr="000310D3">
        <w:t xml:space="preserve">The returnee in our village is closely involved in the returnee program. He has become a Christian, goes to church and bible study. Now he has completely changed. He has a house in our village and is respected. He is a really positive influence on our youth. He talks to them about his experience. After they talk with him, taking drugs and rebelling </w:t>
      </w:r>
      <w:r>
        <w:t>don’t</w:t>
      </w:r>
      <w:r w:rsidRPr="000310D3">
        <w:t xml:space="preserve"> seem so exciting or enticing. I would feel safe to walk alone with him, even after dark. He is a really changed man. </w:t>
      </w:r>
    </w:p>
    <w:p w:rsidR="00B21B73" w:rsidRDefault="00B21B73" w:rsidP="00521F23">
      <w:pPr>
        <w:pStyle w:val="RecommendationName"/>
      </w:pPr>
      <w:r>
        <w:t>Recommendation:</w:t>
      </w:r>
    </w:p>
    <w:p w:rsidR="00B21B73" w:rsidRPr="000110E0" w:rsidRDefault="00B21B73" w:rsidP="00521F23">
      <w:pPr>
        <w:pStyle w:val="RecommendationEnd"/>
      </w:pPr>
      <w:r>
        <w:t>The Steering Committee may want to consider inclusion of member of the National Youth Council to bring the v</w:t>
      </w:r>
      <w:r w:rsidR="00303359">
        <w:t>o</w:t>
      </w:r>
      <w:r>
        <w:t xml:space="preserve">ice of the youth to the discussions. </w:t>
      </w:r>
    </w:p>
    <w:bookmarkStart w:id="26" w:name="_Toc431828762"/>
    <w:p w:rsidR="00B21B73" w:rsidRDefault="00DF2B6A" w:rsidP="00806688">
      <w:pPr>
        <w:pStyle w:val="Heading1"/>
      </w:pPr>
      <w:r>
        <w:rPr>
          <w:lang w:val="en-AU" w:eastAsia="en-AU"/>
        </w:rPr>
        <w:lastRenderedPageBreak/>
        <mc:AlternateContent>
          <mc:Choice Requires="wps">
            <w:drawing>
              <wp:anchor distT="0" distB="0" distL="114300" distR="114300" simplePos="0" relativeHeight="251662336" behindDoc="1" locked="0" layoutInCell="1" allowOverlap="1" wp14:anchorId="11EB336E" wp14:editId="2A621FA4">
                <wp:simplePos x="0" y="0"/>
                <wp:positionH relativeFrom="page">
                  <wp:posOffset>-62865</wp:posOffset>
                </wp:positionH>
                <wp:positionV relativeFrom="paragraph">
                  <wp:posOffset>-378460</wp:posOffset>
                </wp:positionV>
                <wp:extent cx="7658100" cy="1468755"/>
                <wp:effectExtent l="0" t="0" r="0" b="0"/>
                <wp:wrapNone/>
                <wp:docPr id="1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58100" cy="1468755"/>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95pt;margin-top:-29.8pt;width:603pt;height:115.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" fillcolor="#124486" stroked="f" strokeweight="2pt">
                <v:path arrowok="t"/>
                <w10:wrap anchorx="page"/>
              </v:rect>
            </w:pict>
          </mc:Fallback>
        </mc:AlternateContent>
      </w:r>
      <w:r w:rsidR="000F4D0F">
        <w:t>Sustainability</w:t>
      </w:r>
      <w:r w:rsidR="00C653D4">
        <w:t xml:space="preserve"> &amp; Innovation</w:t>
      </w:r>
      <w:bookmarkEnd w:id="26"/>
    </w:p>
    <w:p w:rsidR="00B21B73" w:rsidRDefault="00B21B73" w:rsidP="00806688">
      <w:r>
        <w:t xml:space="preserve">This Section identifies the </w:t>
      </w:r>
      <w:r w:rsidRPr="00DE4F21">
        <w:t xml:space="preserve">benefits </w:t>
      </w:r>
      <w:r>
        <w:t xml:space="preserve">from Australian support that </w:t>
      </w:r>
      <w:r w:rsidRPr="00DE4F21">
        <w:t>will</w:t>
      </w:r>
      <w:r>
        <w:t xml:space="preserve"> or </w:t>
      </w:r>
      <w:r w:rsidRPr="00DE4F21">
        <w:t xml:space="preserve">will not continue </w:t>
      </w:r>
      <w:r>
        <w:t xml:space="preserve">after Australian funding ceases. It identifies </w:t>
      </w:r>
      <w:r w:rsidRPr="00DE4F21">
        <w:t xml:space="preserve">immediate options (funding or otherwise) for </w:t>
      </w:r>
      <w:proofErr w:type="spellStart"/>
      <w:r>
        <w:t>GoS</w:t>
      </w:r>
      <w:proofErr w:type="spellEnd"/>
      <w:r w:rsidRPr="00DE4F21">
        <w:t xml:space="preserve"> and its development partners to consider </w:t>
      </w:r>
      <w:r>
        <w:t>to</w:t>
      </w:r>
      <w:r w:rsidRPr="00DE4F21">
        <w:t xml:space="preserve"> reinforce the sustainability of positive outcomes achieved to date</w:t>
      </w:r>
      <w:r>
        <w:t xml:space="preserve">. The Section recaps the approaches identified earlier in this report that would have enhanced sustainability. </w:t>
      </w:r>
    </w:p>
    <w:p w:rsidR="00B21B73" w:rsidRDefault="00B21B73" w:rsidP="00806688">
      <w:r>
        <w:t xml:space="preserve">Benefits resulting from Australian support have been achieved at two levels, at a sector level and at a project level. </w:t>
      </w:r>
    </w:p>
    <w:p w:rsidR="00B21B73" w:rsidRDefault="00B21B73" w:rsidP="00806688">
      <w:pPr>
        <w:pStyle w:val="Heading2"/>
      </w:pPr>
      <w:bookmarkStart w:id="27" w:name="_Toc431828763"/>
      <w:r>
        <w:t xml:space="preserve">Sustainability of the </w:t>
      </w:r>
      <w:r w:rsidR="00093724">
        <w:t>s</w:t>
      </w:r>
      <w:r>
        <w:t>ector</w:t>
      </w:r>
      <w:bookmarkEnd w:id="27"/>
      <w:r>
        <w:t xml:space="preserve"> </w:t>
      </w:r>
    </w:p>
    <w:p w:rsidR="00B21B73" w:rsidRDefault="00B21B73" w:rsidP="00806688">
      <w:r>
        <w:t xml:space="preserve">As discussed in Section </w:t>
      </w:r>
      <w:r w:rsidR="00303359">
        <w:t>3</w:t>
      </w:r>
      <w:r>
        <w:t>, the sector has been sustainably</w:t>
      </w:r>
      <w:r w:rsidRPr="00464338">
        <w:t xml:space="preserve"> </w:t>
      </w:r>
      <w:r>
        <w:t xml:space="preserve">established. All members identified the existence of a functional sector as a significant benefit. The SLJS Steering Committee has continued to meet and progress sectoral </w:t>
      </w:r>
      <w:r w:rsidR="007854A4">
        <w:t>priorities</w:t>
      </w:r>
      <w:r>
        <w:t xml:space="preserve"> without Australian funding. Agencies have contributed budget to cover costs associated with implem</w:t>
      </w:r>
      <w:r w:rsidR="007854A4">
        <w:t xml:space="preserve">entation of priority activities. For example, in the 2014 – 2015 financial year they contributed almost AUD 175,000 to progress the </w:t>
      </w:r>
      <w:r>
        <w:t>Crime Prevention Strategy</w:t>
      </w:r>
      <w:r w:rsidR="007854A4">
        <w:t>, customary mediation, mentoring and</w:t>
      </w:r>
      <w:r w:rsidRPr="00B3084F">
        <w:t xml:space="preserve"> </w:t>
      </w:r>
      <w:r>
        <w:t>public awareness campaign</w:t>
      </w:r>
      <w:r>
        <w:rPr>
          <w:rStyle w:val="EndnoteReference"/>
        </w:rPr>
        <w:endnoteReference w:id="31"/>
      </w:r>
      <w:r>
        <w:t xml:space="preserve">.  This clearly reflects that sector is sustainable, regardless of donor funding. </w:t>
      </w:r>
    </w:p>
    <w:p w:rsidR="00B21B73" w:rsidRDefault="00B21B73" w:rsidP="00806688">
      <w:r>
        <w:t>Provision of sectoral funding rather than only fund</w:t>
      </w:r>
      <w:r w:rsidR="00303359">
        <w:t>ing individual sector agencies would enhance</w:t>
      </w:r>
      <w:r>
        <w:t xml:space="preserve"> sustainability. This enables the </w:t>
      </w:r>
      <w:r w:rsidR="0040520B">
        <w:t xml:space="preserve">sector agencies </w:t>
      </w:r>
      <w:r>
        <w:t xml:space="preserve">to work together to implement some of the more costly initiatives that they have planned. However, the advice obtained during this review indicated that the SLJS is the only sector in Samoa that does not receive a specific budget from </w:t>
      </w:r>
      <w:proofErr w:type="spellStart"/>
      <w:r>
        <w:t>GoS</w:t>
      </w:r>
      <w:proofErr w:type="spellEnd"/>
      <w:r>
        <w:t xml:space="preserve">. If this is correct, </w:t>
      </w:r>
      <w:proofErr w:type="spellStart"/>
      <w:r>
        <w:t>GoS</w:t>
      </w:r>
      <w:proofErr w:type="spellEnd"/>
      <w:r>
        <w:t xml:space="preserve"> could consider provision of </w:t>
      </w:r>
      <w:r w:rsidR="0040520B">
        <w:t xml:space="preserve">a </w:t>
      </w:r>
      <w:r>
        <w:t xml:space="preserve">budget to support sectoral initiatives. Donors may also want to consider providing a sectoral budget where they match the budget provided by the </w:t>
      </w:r>
      <w:proofErr w:type="spellStart"/>
      <w:r>
        <w:t>GoS</w:t>
      </w:r>
      <w:proofErr w:type="spellEnd"/>
      <w:r>
        <w:t xml:space="preserve">. This would encourage </w:t>
      </w:r>
      <w:proofErr w:type="spellStart"/>
      <w:r>
        <w:t>GoS</w:t>
      </w:r>
      <w:proofErr w:type="spellEnd"/>
      <w:r>
        <w:t xml:space="preserve"> funding and discourage a donor from being the sole funder</w:t>
      </w:r>
      <w:r w:rsidR="00A2202F">
        <w:t xml:space="preserve"> of the sector</w:t>
      </w:r>
      <w:r>
        <w:t>.</w:t>
      </w:r>
    </w:p>
    <w:p w:rsidR="00B21B73" w:rsidRDefault="00B21B73" w:rsidP="00806688">
      <w:pPr>
        <w:pStyle w:val="Heading2"/>
      </w:pPr>
      <w:bookmarkStart w:id="28" w:name="_Toc431828764"/>
      <w:r>
        <w:t>Sustainability of the project benefits</w:t>
      </w:r>
      <w:bookmarkEnd w:id="28"/>
      <w:r>
        <w:t xml:space="preserve"> </w:t>
      </w:r>
    </w:p>
    <w:p w:rsidR="00B21B73" w:rsidRDefault="00303359" w:rsidP="00806688">
      <w:r>
        <w:t>P</w:t>
      </w:r>
      <w:r w:rsidR="00B21B73">
        <w:t xml:space="preserve">rojects initiated by the SLJS have been sustainable while the benefits of those </w:t>
      </w:r>
      <w:r w:rsidR="000A44FB">
        <w:t xml:space="preserve">perceived to have been </w:t>
      </w:r>
      <w:r w:rsidR="00B21B73">
        <w:t xml:space="preserve">driven by </w:t>
      </w:r>
      <w:proofErr w:type="spellStart"/>
      <w:r w:rsidR="00B21B73">
        <w:t>GoA</w:t>
      </w:r>
      <w:proofErr w:type="spellEnd"/>
      <w:r w:rsidR="00B21B73">
        <w:t xml:space="preserve"> </w:t>
      </w:r>
      <w:r w:rsidR="000A44FB">
        <w:t>(</w:t>
      </w:r>
      <w:r w:rsidR="000A44FB">
        <w:rPr>
          <w:lang w:val="en-US" w:eastAsia="en-US"/>
        </w:rPr>
        <w:t xml:space="preserve">either activities considered critical for the new sector or for the development of the new design) </w:t>
      </w:r>
      <w:proofErr w:type="spellStart"/>
      <w:r w:rsidR="00B21B73">
        <w:t>were</w:t>
      </w:r>
      <w:proofErr w:type="spellEnd"/>
      <w:r w:rsidR="00B21B73">
        <w:t xml:space="preserve"> not sustained</w:t>
      </w:r>
      <w:r>
        <w:t xml:space="preserve"> </w:t>
      </w:r>
      <w:r w:rsidR="000A44FB">
        <w:t xml:space="preserve">(refer Section </w:t>
      </w:r>
      <w:r w:rsidR="00200B99">
        <w:t>5</w:t>
      </w:r>
      <w:r w:rsidR="000A44FB">
        <w:t>.2)</w:t>
      </w:r>
      <w:r w:rsidR="000A44FB">
        <w:rPr>
          <w:lang w:val="en-US" w:eastAsia="en-US"/>
        </w:rPr>
        <w:t xml:space="preserve">. </w:t>
      </w:r>
      <w:r w:rsidR="00B21B73">
        <w:t xml:space="preserve">The key difference was the level of ownership of the output and the extent to which it met the </w:t>
      </w:r>
      <w:r w:rsidR="00F41151">
        <w:t xml:space="preserve">needs identified by the </w:t>
      </w:r>
      <w:r w:rsidR="00B21B73">
        <w:t xml:space="preserve">SLJS. Initiatives driven by </w:t>
      </w:r>
      <w:proofErr w:type="spellStart"/>
      <w:r w:rsidR="00B21B73">
        <w:t>GoA</w:t>
      </w:r>
      <w:proofErr w:type="spellEnd"/>
      <w:r w:rsidR="00B21B73">
        <w:t xml:space="preserve"> were not owned, generally the output was produced by an external specialist. The time allowed for the production of the output was insufficient to create understanding, ownership and develop capacity sufficiently to use the output. While the outputs may have been of high quality, they generally did not meet Samoa’s needs. They were usually too complex and lacked guidance (or support) in how to commence implementation. </w:t>
      </w:r>
      <w:r w:rsidR="00B21B73">
        <w:lastRenderedPageBreak/>
        <w:t xml:space="preserve">The most effective support would have </w:t>
      </w:r>
      <w:r w:rsidR="00F41151">
        <w:t xml:space="preserve">been improved, rather than best </w:t>
      </w:r>
      <w:r w:rsidR="00B63747">
        <w:t xml:space="preserve">practice </w:t>
      </w:r>
      <w:r w:rsidR="00F41151">
        <w:t xml:space="preserve">(refer Section </w:t>
      </w:r>
      <w:r w:rsidR="00B63747">
        <w:t>7.1</w:t>
      </w:r>
      <w:r w:rsidR="00F41151">
        <w:t>)</w:t>
      </w:r>
      <w:r w:rsidR="00B21B73">
        <w:t xml:space="preserve">. </w:t>
      </w:r>
    </w:p>
    <w:p w:rsidR="00B21B73" w:rsidRDefault="00B21B73" w:rsidP="00C1410C">
      <w:r>
        <w:t xml:space="preserve">Those interviewed acknowledged that the attitude of senior management to sustainability </w:t>
      </w:r>
      <w:r w:rsidRPr="0017783A">
        <w:t>ha</w:t>
      </w:r>
      <w:r>
        <w:t>d</w:t>
      </w:r>
      <w:r w:rsidRPr="0017783A">
        <w:t xml:space="preserve"> changed. </w:t>
      </w:r>
      <w:r>
        <w:t xml:space="preserve">In the past, managers gave little attention to how to sustain achievements when funding ceased. This is reflected in a typical statement that </w:t>
      </w:r>
      <w:r w:rsidRPr="0017783A">
        <w:t>“Before, when the money for a project finished, so did the project. Now we think how we can keep it going</w:t>
      </w:r>
      <w:r>
        <w:rPr>
          <w:rStyle w:val="EndnoteReference"/>
        </w:rPr>
        <w:endnoteReference w:id="32"/>
      </w:r>
      <w:r>
        <w:t xml:space="preserve">”. This change in attitude may be a consequence of previous support being through project and program modality, with donors having a greater influence on the areas addressed. However, the direction of the support provided through the SLJS was fully determined by the sector, it was not influenced by Australia. When </w:t>
      </w:r>
      <w:r w:rsidRPr="0017783A">
        <w:t xml:space="preserve">sector driven </w:t>
      </w:r>
      <w:r>
        <w:t xml:space="preserve">initiatives </w:t>
      </w:r>
      <w:r w:rsidRPr="0017783A">
        <w:t>proved more successful than expected</w:t>
      </w:r>
      <w:r>
        <w:t>, senior management</w:t>
      </w:r>
      <w:r w:rsidRPr="0017783A">
        <w:t xml:space="preserve"> </w:t>
      </w:r>
      <w:r>
        <w:t>focussed o</w:t>
      </w:r>
      <w:r w:rsidRPr="0017783A">
        <w:t>n sustain</w:t>
      </w:r>
      <w:r w:rsidR="00303359">
        <w:t>ing</w:t>
      </w:r>
      <w:r w:rsidRPr="0017783A">
        <w:t xml:space="preserve"> </w:t>
      </w:r>
      <w:r>
        <w:t>the benefits from these initiatives</w:t>
      </w:r>
      <w:r w:rsidRPr="0017783A">
        <w:t xml:space="preserve"> when </w:t>
      </w:r>
      <w:r>
        <w:t>funding ceased.</w:t>
      </w:r>
      <w:r w:rsidRPr="0017783A">
        <w:t xml:space="preserve"> </w:t>
      </w:r>
      <w:r w:rsidR="00303359">
        <w:t xml:space="preserve">This established a new </w:t>
      </w:r>
      <w:r>
        <w:t>focus on sustaining benefits. This review makes no recommendations to SLJS on how to reinforce sustainability of benefits from work they initiated. All available evidence suggested that sustainability was not a constraint and because of the level of ownership, the sector was ensuring sustainability</w:t>
      </w:r>
      <w:r>
        <w:rPr>
          <w:rStyle w:val="EndnoteReference"/>
        </w:rPr>
        <w:endnoteReference w:id="33"/>
      </w:r>
      <w:r>
        <w:t xml:space="preserve">. However, a number of recommendations are made in relation to work that is driven by donors. These are discussed in Section </w:t>
      </w:r>
      <w:r w:rsidR="00200B99">
        <w:t>5</w:t>
      </w:r>
      <w:r w:rsidR="00A2202F">
        <w:t>.2</w:t>
      </w:r>
      <w:r w:rsidR="00C653D4">
        <w:t xml:space="preserve">. </w:t>
      </w:r>
    </w:p>
    <w:p w:rsidR="00C653D4" w:rsidRDefault="00C653D4" w:rsidP="00C653D4">
      <w:pPr>
        <w:pStyle w:val="Heading2"/>
      </w:pPr>
      <w:bookmarkStart w:id="29" w:name="_Toc431828765"/>
      <w:r>
        <w:t>Innovation</w:t>
      </w:r>
      <w:bookmarkEnd w:id="29"/>
      <w:r>
        <w:t xml:space="preserve"> </w:t>
      </w:r>
    </w:p>
    <w:p w:rsidR="000975BB" w:rsidRDefault="000975BB" w:rsidP="00C653D4">
      <w:pPr>
        <w:tabs>
          <w:tab w:val="left" w:pos="1134"/>
        </w:tabs>
      </w:pPr>
      <w:r>
        <w:t xml:space="preserve">The support to the SLJS was highly innovative. </w:t>
      </w:r>
      <w:r w:rsidR="00EC1878">
        <w:t>The Australian Government</w:t>
      </w:r>
      <w:r>
        <w:t xml:space="preserve"> facilitated an innovate approach to the support and the Steering Committee has funded a number of innovative projects. </w:t>
      </w:r>
    </w:p>
    <w:p w:rsidR="000975BB" w:rsidRDefault="000975BB" w:rsidP="000975BB">
      <w:pPr>
        <w:tabs>
          <w:tab w:val="left" w:pos="1134"/>
        </w:tabs>
      </w:pPr>
      <w:r>
        <w:t xml:space="preserve">At the time the development assistance was originally planned (2008), sector support was a new modality for Australia, and relatively new worldwide. As a consequence, those involved faced a steep learning curve and there was limited guidance available. </w:t>
      </w:r>
      <w:r w:rsidR="00723F35">
        <w:t xml:space="preserve">Within </w:t>
      </w:r>
      <w:r w:rsidR="00EC1878">
        <w:t>the Australian Government</w:t>
      </w:r>
      <w:r w:rsidR="00723F35">
        <w:t xml:space="preserve"> there was recognition that the approach was new and high risk, but had the potential for significant achievements</w:t>
      </w:r>
      <w:r w:rsidR="00723F35">
        <w:rPr>
          <w:rStyle w:val="EndnoteReference"/>
        </w:rPr>
        <w:endnoteReference w:id="34"/>
      </w:r>
      <w:r w:rsidR="00723F35">
        <w:t>.</w:t>
      </w:r>
      <w:r w:rsidR="003A312E">
        <w:t xml:space="preserve"> Those involved are to be commended for accepting this risk, enabling significant achievements in the SLJS. </w:t>
      </w:r>
      <w:r w:rsidR="00723F35">
        <w:t xml:space="preserve"> </w:t>
      </w:r>
      <w:r>
        <w:t xml:space="preserve"> </w:t>
      </w:r>
    </w:p>
    <w:p w:rsidR="000975BB" w:rsidRDefault="003A312E" w:rsidP="000975BB">
      <w:pPr>
        <w:tabs>
          <w:tab w:val="left" w:pos="1134"/>
        </w:tabs>
      </w:pPr>
      <w:r>
        <w:t xml:space="preserve">Specific elements </w:t>
      </w:r>
      <w:r w:rsidR="000975BB">
        <w:t xml:space="preserve">of the approach taken were also innovative. For example, whether the decision to allow the Steering Committee to determine the direction of support without </w:t>
      </w:r>
      <w:r w:rsidR="00EC1878">
        <w:t>Australian Government</w:t>
      </w:r>
      <w:r w:rsidR="000975BB">
        <w:t xml:space="preserve"> influence was deliberate, different or innovative is unclear (Section 7.1). However, this approach is certainly atypical. While it lead to challenges, this innovation resulted in the highly sustainable outcomes  discussed earlier in this Section.  </w:t>
      </w:r>
    </w:p>
    <w:p w:rsidR="00C653D4" w:rsidRDefault="00C653D4" w:rsidP="00C653D4">
      <w:pPr>
        <w:tabs>
          <w:tab w:val="left" w:pos="1134"/>
        </w:tabs>
      </w:pPr>
      <w:r>
        <w:t xml:space="preserve">At a project level, the support provided to reintegrate prison returnees into Samoan society is significant (Box 4).  As similar strategies have not been identified elsewhere, this support can be considered innovative within Samoa, </w:t>
      </w:r>
      <w:r w:rsidR="00EC1878">
        <w:t>Australian Government</w:t>
      </w:r>
      <w:r>
        <w:t xml:space="preserve"> programs and internationally. It will be important to monitor the long</w:t>
      </w:r>
      <w:r w:rsidR="00461E1A">
        <w:t>-</w:t>
      </w:r>
      <w:r>
        <w:t xml:space="preserve">term success of this project as the concept may have applicability elsewhere, particularly where culture is strong. </w:t>
      </w:r>
    </w:p>
    <w:bookmarkStart w:id="30" w:name="_Toc431828766"/>
    <w:p w:rsidR="00B21B73" w:rsidRDefault="00DF2B6A" w:rsidP="004902E0">
      <w:pPr>
        <w:pStyle w:val="Heading1"/>
      </w:pPr>
      <w:r>
        <w:rPr>
          <w:lang w:val="en-AU" w:eastAsia="en-AU"/>
        </w:rPr>
        <w:lastRenderedPageBreak/>
        <mc:AlternateContent>
          <mc:Choice Requires="wps">
            <w:drawing>
              <wp:anchor distT="0" distB="0" distL="114300" distR="114300" simplePos="0" relativeHeight="251656192" behindDoc="1" locked="0" layoutInCell="1" allowOverlap="1" wp14:anchorId="0BCD4654" wp14:editId="715B9456">
                <wp:simplePos x="0" y="0"/>
                <wp:positionH relativeFrom="page">
                  <wp:posOffset>-62865</wp:posOffset>
                </wp:positionH>
                <wp:positionV relativeFrom="paragraph">
                  <wp:posOffset>-257810</wp:posOffset>
                </wp:positionV>
                <wp:extent cx="7658100" cy="1468755"/>
                <wp:effectExtent l="0" t="0" r="0" b="0"/>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58100" cy="1468755"/>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95pt;margin-top:-20.3pt;width:603pt;height:11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" fillcolor="#124486" stroked="f" strokeweight="2pt">
                <v:path arrowok="t"/>
                <w10:wrap anchorx="page"/>
              </v:rect>
            </w:pict>
          </mc:Fallback>
        </mc:AlternateContent>
      </w:r>
      <w:r w:rsidR="00B21B73">
        <w:t>Efficiency</w:t>
      </w:r>
      <w:bookmarkEnd w:id="30"/>
      <w:r w:rsidR="00B21B73">
        <w:t xml:space="preserve"> </w:t>
      </w:r>
    </w:p>
    <w:p w:rsidR="00B21B73" w:rsidRPr="00A45906" w:rsidRDefault="00B21B73" w:rsidP="00A028CE">
      <w:r>
        <w:t xml:space="preserve">Efficiency considers how economically the resources were converted to results. This includes whether the objectives were achieved on time and the initiative implemented in </w:t>
      </w:r>
      <w:r w:rsidRPr="00A45906">
        <w:t xml:space="preserve">the most efficient way compared to alternatives. Specifically, </w:t>
      </w:r>
      <w:r w:rsidR="000F4D0F">
        <w:t>the Australian Government</w:t>
      </w:r>
      <w:r w:rsidRPr="00A45906">
        <w:t xml:space="preserve"> and the Steering Committee requested this consider whether:</w:t>
      </w:r>
    </w:p>
    <w:p w:rsidR="00B21B73" w:rsidRPr="00A45906" w:rsidRDefault="00B21B73" w:rsidP="00A028CE">
      <w:pPr>
        <w:pStyle w:val="Bullet"/>
      </w:pPr>
      <w:r w:rsidRPr="00A45906">
        <w:t xml:space="preserve">The lack of a design affect the efficiency of the support. </w:t>
      </w:r>
    </w:p>
    <w:p w:rsidR="00B21B73" w:rsidRPr="00A45906" w:rsidRDefault="00B21B73" w:rsidP="00A028CE">
      <w:pPr>
        <w:pStyle w:val="Bullet"/>
      </w:pPr>
      <w:r w:rsidRPr="00A45906">
        <w:t xml:space="preserve">Lessons can be learnt from the way implementation occurred (including modality, policy dialogue, </w:t>
      </w:r>
      <w:r w:rsidR="00EC1878">
        <w:t>Australian Government</w:t>
      </w:r>
      <w:r w:rsidRPr="00A45906">
        <w:t xml:space="preserve"> approach and use of Samoan financial systems). </w:t>
      </w:r>
    </w:p>
    <w:p w:rsidR="008C4FDE" w:rsidRDefault="008C4FDE" w:rsidP="008C4FDE">
      <w:pPr>
        <w:pStyle w:val="BodyText"/>
      </w:pPr>
      <w:r>
        <w:t xml:space="preserve">This section is summarized given space limitations. Further detail can be found in Appendix </w:t>
      </w:r>
      <w:r w:rsidR="008D7761">
        <w:t>I</w:t>
      </w:r>
      <w:r>
        <w:t xml:space="preserve">. </w:t>
      </w:r>
    </w:p>
    <w:p w:rsidR="00B21B73" w:rsidRDefault="00B21B73" w:rsidP="00130DB3">
      <w:pPr>
        <w:pStyle w:val="Heading2"/>
      </w:pPr>
      <w:bookmarkStart w:id="31" w:name="_Toc431828767"/>
      <w:r>
        <w:t xml:space="preserve">Contractual </w:t>
      </w:r>
      <w:r w:rsidR="00303359">
        <w:t>matters</w:t>
      </w:r>
      <w:bookmarkEnd w:id="31"/>
    </w:p>
    <w:p w:rsidR="00B21B73" w:rsidRDefault="00B21B73" w:rsidP="00455202">
      <w:pPr>
        <w:pStyle w:val="Heading3"/>
      </w:pPr>
      <w:r>
        <w:t xml:space="preserve">Agreements between </w:t>
      </w:r>
      <w:r w:rsidR="000F4D0F">
        <w:t xml:space="preserve">the Governments of Australia </w:t>
      </w:r>
      <w:r>
        <w:t xml:space="preserve">and </w:t>
      </w:r>
      <w:r w:rsidR="000F4D0F">
        <w:t>Samoa</w:t>
      </w:r>
    </w:p>
    <w:p w:rsidR="00B21B73" w:rsidRDefault="00B21B73" w:rsidP="000B6BDA">
      <w:pPr>
        <w:pStyle w:val="BodyText"/>
      </w:pPr>
      <w:r>
        <w:t>As discussed in Section 2</w:t>
      </w:r>
      <w:r w:rsidR="00A2202F">
        <w:t>.1</w:t>
      </w:r>
      <w:r>
        <w:t xml:space="preserve">, when the SLJS was established, there was a lack of understanding among both </w:t>
      </w:r>
      <w:r w:rsidR="00030EEE">
        <w:t>Australian Government</w:t>
      </w:r>
      <w:r>
        <w:t xml:space="preserve"> and </w:t>
      </w:r>
      <w:r w:rsidR="00303359">
        <w:t xml:space="preserve">SLJS </w:t>
      </w:r>
      <w:r>
        <w:t xml:space="preserve">stakeholders about sector based approaches. </w:t>
      </w:r>
      <w:r w:rsidR="00D65625">
        <w:t>As a result of this and</w:t>
      </w:r>
      <w:r>
        <w:t xml:space="preserve"> the perceived pressure to progress expenditure as quickly as possible, much of the preparation that would normally be undertaken did not occur</w:t>
      </w:r>
      <w:r w:rsidR="00D65625">
        <w:t xml:space="preserve"> and documentation was not available</w:t>
      </w:r>
      <w:r w:rsidR="00EB3561">
        <w:t xml:space="preserve">. </w:t>
      </w:r>
      <w:r w:rsidRPr="009529F9">
        <w:t xml:space="preserve">This </w:t>
      </w:r>
      <w:r w:rsidR="00D65625">
        <w:t>gap was not addressed</w:t>
      </w:r>
      <w:r w:rsidRPr="009529F9">
        <w:t xml:space="preserve"> because</w:t>
      </w:r>
      <w:r w:rsidR="00030EEE">
        <w:t xml:space="preserve"> the Australian Government’s</w:t>
      </w:r>
      <w:r w:rsidRPr="009529F9">
        <w:t xml:space="preserve"> focus was on sector ownership</w:t>
      </w:r>
      <w:r w:rsidR="00D65625">
        <w:t xml:space="preserve"> and </w:t>
      </w:r>
      <w:r w:rsidRPr="009529F9">
        <w:t xml:space="preserve">therefore </w:t>
      </w:r>
      <w:r w:rsidR="00D65625">
        <w:t>they</w:t>
      </w:r>
      <w:r w:rsidRPr="009529F9">
        <w:t xml:space="preserve"> did not want to drive the sector</w:t>
      </w:r>
      <w:r w:rsidR="00303359" w:rsidRPr="009529F9">
        <w:rPr>
          <w:rStyle w:val="EndnoteReference"/>
        </w:rPr>
        <w:endnoteReference w:id="35"/>
      </w:r>
      <w:r w:rsidRPr="009529F9">
        <w:t xml:space="preserve">. </w:t>
      </w:r>
    </w:p>
    <w:p w:rsidR="00B21031" w:rsidRDefault="00B21B73" w:rsidP="00D65625">
      <w:pPr>
        <w:rPr>
          <w:lang w:val="en-US" w:eastAsia="en-US"/>
        </w:rPr>
      </w:pPr>
      <w:r>
        <w:t xml:space="preserve">The Direct Funding Agreement established in 2012 sought to clarify some of these elements. </w:t>
      </w:r>
      <w:r>
        <w:rPr>
          <w:lang w:val="en-US" w:eastAsia="en-US"/>
        </w:rPr>
        <w:t xml:space="preserve">However, the Principles and other Clauses </w:t>
      </w:r>
      <w:r w:rsidR="00D65625">
        <w:rPr>
          <w:lang w:val="en-US" w:eastAsia="en-US"/>
        </w:rPr>
        <w:t xml:space="preserve">in this Agreement </w:t>
      </w:r>
      <w:r>
        <w:rPr>
          <w:lang w:val="en-US" w:eastAsia="en-US"/>
        </w:rPr>
        <w:t>could easily be interpreted in contradictory ways</w:t>
      </w:r>
      <w:r w:rsidR="008C4FDE">
        <w:rPr>
          <w:lang w:val="en-US" w:eastAsia="en-US"/>
        </w:rPr>
        <w:t xml:space="preserve"> </w:t>
      </w:r>
      <w:r w:rsidR="00D65625">
        <w:rPr>
          <w:lang w:val="en-US" w:eastAsia="en-US"/>
        </w:rPr>
        <w:t xml:space="preserve">and there were specific problems with wording in Clauses 16 and 17 </w:t>
      </w:r>
      <w:r w:rsidR="008C4FDE">
        <w:rPr>
          <w:lang w:val="en-US" w:eastAsia="en-US"/>
        </w:rPr>
        <w:t xml:space="preserve">(refer Appendix </w:t>
      </w:r>
      <w:r w:rsidR="00FB28DF">
        <w:rPr>
          <w:lang w:val="en-US" w:eastAsia="en-US"/>
        </w:rPr>
        <w:t>G</w:t>
      </w:r>
      <w:r w:rsidR="008C4FDE">
        <w:rPr>
          <w:lang w:val="en-US" w:eastAsia="en-US"/>
        </w:rPr>
        <w:t>)</w:t>
      </w:r>
      <w:r>
        <w:rPr>
          <w:lang w:val="en-US" w:eastAsia="en-US"/>
        </w:rPr>
        <w:t>.</w:t>
      </w:r>
      <w:r w:rsidR="00D65625">
        <w:rPr>
          <w:lang w:val="en-US" w:eastAsia="en-US"/>
        </w:rPr>
        <w:t xml:space="preserve"> Consequently, clarity was not improved and</w:t>
      </w:r>
      <w:r w:rsidR="008C4FDE">
        <w:rPr>
          <w:lang w:val="en-US" w:eastAsia="en-US"/>
        </w:rPr>
        <w:t xml:space="preserve"> </w:t>
      </w:r>
      <w:r w:rsidR="00D65625">
        <w:rPr>
          <w:lang w:val="en-US" w:eastAsia="en-US"/>
        </w:rPr>
        <w:t xml:space="preserve">contractual </w:t>
      </w:r>
      <w:r w:rsidR="008C4FDE">
        <w:rPr>
          <w:lang w:val="en-US" w:eastAsia="en-US"/>
        </w:rPr>
        <w:t>requirements</w:t>
      </w:r>
      <w:r w:rsidR="00D65625">
        <w:rPr>
          <w:lang w:val="en-US" w:eastAsia="en-US"/>
        </w:rPr>
        <w:t xml:space="preserve"> (</w:t>
      </w:r>
      <w:r w:rsidR="008C4FDE">
        <w:rPr>
          <w:lang w:val="en-US" w:eastAsia="en-US"/>
        </w:rPr>
        <w:t xml:space="preserve">such as </w:t>
      </w:r>
      <w:r w:rsidR="00C656C3">
        <w:rPr>
          <w:lang w:val="en-US" w:eastAsia="en-US"/>
        </w:rPr>
        <w:t>those</w:t>
      </w:r>
      <w:r>
        <w:rPr>
          <w:lang w:val="en-US" w:eastAsia="en-US"/>
        </w:rPr>
        <w:t xml:space="preserve"> for reprioritization</w:t>
      </w:r>
      <w:r w:rsidR="00D65625">
        <w:rPr>
          <w:lang w:val="en-US" w:eastAsia="en-US"/>
        </w:rPr>
        <w:t>)</w:t>
      </w:r>
      <w:r>
        <w:rPr>
          <w:lang w:val="en-US" w:eastAsia="en-US"/>
        </w:rPr>
        <w:t xml:space="preserve"> </w:t>
      </w:r>
      <w:r w:rsidR="00D65625">
        <w:rPr>
          <w:lang w:val="en-US" w:eastAsia="en-US"/>
        </w:rPr>
        <w:t>were not</w:t>
      </w:r>
      <w:r>
        <w:rPr>
          <w:lang w:val="en-US" w:eastAsia="en-US"/>
        </w:rPr>
        <w:t xml:space="preserve"> well understood </w:t>
      </w:r>
      <w:r w:rsidR="00D65625">
        <w:rPr>
          <w:lang w:val="en-US" w:eastAsia="en-US"/>
        </w:rPr>
        <w:t>and were</w:t>
      </w:r>
      <w:r>
        <w:rPr>
          <w:lang w:val="en-US" w:eastAsia="en-US"/>
        </w:rPr>
        <w:t xml:space="preserve"> breached. </w:t>
      </w:r>
    </w:p>
    <w:p w:rsidR="00B21B73" w:rsidRPr="00F958F5" w:rsidRDefault="00B21B73" w:rsidP="00D65625">
      <w:pPr>
        <w:rPr>
          <w:vanish/>
        </w:rPr>
      </w:pPr>
      <w:r w:rsidRPr="00F958F5">
        <w:rPr>
          <w:vanish/>
        </w:rPr>
        <w:t>During 2011 – 12, Australia adopted a very hands off management style</w:t>
      </w:r>
      <w:r w:rsidRPr="00F958F5">
        <w:rPr>
          <w:rStyle w:val="EndnoteReference"/>
          <w:vanish/>
        </w:rPr>
        <w:endnoteReference w:id="36"/>
      </w:r>
      <w:r w:rsidRPr="00F958F5">
        <w:rPr>
          <w:vanish/>
        </w:rPr>
        <w:t xml:space="preserve">. </w:t>
      </w:r>
    </w:p>
    <w:p w:rsidR="00B21B73" w:rsidRPr="0093435D" w:rsidRDefault="00B21B73" w:rsidP="00130DB3">
      <w:pPr>
        <w:pStyle w:val="Heading3"/>
        <w:rPr>
          <w:lang w:val="en-US" w:eastAsia="en-US"/>
        </w:rPr>
      </w:pPr>
      <w:r w:rsidRPr="0093435D">
        <w:rPr>
          <w:lang w:val="en-US" w:eastAsia="en-US"/>
        </w:rPr>
        <w:t xml:space="preserve">Funding </w:t>
      </w:r>
    </w:p>
    <w:p w:rsidR="006C320F" w:rsidRDefault="00B21B73" w:rsidP="006C320F">
      <w:pPr>
        <w:rPr>
          <w:lang w:val="en-US" w:eastAsia="en-US"/>
        </w:rPr>
      </w:pPr>
      <w:r>
        <w:rPr>
          <w:lang w:val="en-US" w:eastAsia="en-US"/>
        </w:rPr>
        <w:t xml:space="preserve">Numerous inefficiencies were introduced </w:t>
      </w:r>
      <w:r w:rsidR="006C320F">
        <w:rPr>
          <w:lang w:val="en-US" w:eastAsia="en-US"/>
        </w:rPr>
        <w:t>because</w:t>
      </w:r>
      <w:r>
        <w:rPr>
          <w:lang w:val="en-US" w:eastAsia="en-US"/>
        </w:rPr>
        <w:t xml:space="preserve"> of the timing of funding</w:t>
      </w:r>
      <w:r w:rsidR="006C320F">
        <w:rPr>
          <w:lang w:val="en-US" w:eastAsia="en-US"/>
        </w:rPr>
        <w:t>. These included:</w:t>
      </w:r>
    </w:p>
    <w:p w:rsidR="006C320F" w:rsidRDefault="006C320F" w:rsidP="006C320F">
      <w:pPr>
        <w:pStyle w:val="Bullet"/>
        <w:rPr>
          <w:lang w:val="en-US"/>
        </w:rPr>
      </w:pPr>
      <w:r>
        <w:rPr>
          <w:lang w:val="en-US"/>
        </w:rPr>
        <w:t>Delayed payment</w:t>
      </w:r>
      <w:r w:rsidRPr="0093435D">
        <w:rPr>
          <w:lang w:val="en-US"/>
        </w:rPr>
        <w:t xml:space="preserve"> of funds associated with the Direct Funding Agreement</w:t>
      </w:r>
      <w:r>
        <w:rPr>
          <w:lang w:val="en-US"/>
        </w:rPr>
        <w:t xml:space="preserve"> of almost five months,</w:t>
      </w:r>
      <w:r w:rsidRPr="0093435D">
        <w:rPr>
          <w:lang w:val="en-US"/>
        </w:rPr>
        <w:t xml:space="preserve"> dela</w:t>
      </w:r>
      <w:r>
        <w:rPr>
          <w:lang w:val="en-US"/>
        </w:rPr>
        <w:t xml:space="preserve">yed implementation of projects identified in the second SLJS Strategic Plan. </w:t>
      </w:r>
    </w:p>
    <w:p w:rsidR="00D65625" w:rsidRPr="006C320F" w:rsidRDefault="006C320F" w:rsidP="00D65625">
      <w:pPr>
        <w:pStyle w:val="Bullet"/>
        <w:rPr>
          <w:lang w:val="en-US"/>
        </w:rPr>
      </w:pPr>
      <w:r>
        <w:rPr>
          <w:lang w:val="en-US"/>
        </w:rPr>
        <w:t xml:space="preserve">A lack of congruence in SLJS planning (July </w:t>
      </w:r>
      <w:r w:rsidRPr="0093435D">
        <w:rPr>
          <w:lang w:val="en-US"/>
        </w:rPr>
        <w:t xml:space="preserve">2012 – </w:t>
      </w:r>
      <w:r>
        <w:rPr>
          <w:lang w:val="en-US"/>
        </w:rPr>
        <w:t xml:space="preserve">June </w:t>
      </w:r>
      <w:r w:rsidRPr="0093435D">
        <w:rPr>
          <w:lang w:val="en-US"/>
        </w:rPr>
        <w:t>2016</w:t>
      </w:r>
      <w:r>
        <w:rPr>
          <w:lang w:val="en-US"/>
        </w:rPr>
        <w:t xml:space="preserve">) and </w:t>
      </w:r>
      <w:r w:rsidR="000F4D0F">
        <w:rPr>
          <w:lang w:val="en-US"/>
        </w:rPr>
        <w:t>Australian Government</w:t>
      </w:r>
      <w:r>
        <w:rPr>
          <w:lang w:val="en-US"/>
        </w:rPr>
        <w:t xml:space="preserve"> funding periods </w:t>
      </w:r>
      <w:r w:rsidRPr="0093435D">
        <w:rPr>
          <w:lang w:val="en-US"/>
        </w:rPr>
        <w:t>(Mar</w:t>
      </w:r>
      <w:r>
        <w:rPr>
          <w:lang w:val="en-US"/>
        </w:rPr>
        <w:t>ch</w:t>
      </w:r>
      <w:r w:rsidRPr="0093435D">
        <w:rPr>
          <w:lang w:val="en-US"/>
        </w:rPr>
        <w:t xml:space="preserve"> 2012 – Sep</w:t>
      </w:r>
      <w:r>
        <w:rPr>
          <w:lang w:val="en-US"/>
        </w:rPr>
        <w:t>tember</w:t>
      </w:r>
      <w:r w:rsidRPr="0093435D">
        <w:rPr>
          <w:lang w:val="en-US"/>
        </w:rPr>
        <w:t xml:space="preserve"> 2013</w:t>
      </w:r>
      <w:r>
        <w:rPr>
          <w:lang w:val="en-US"/>
        </w:rPr>
        <w:t>) made</w:t>
      </w:r>
      <w:r w:rsidRPr="0093435D">
        <w:rPr>
          <w:lang w:val="en-US"/>
        </w:rPr>
        <w:t xml:space="preserve"> planning</w:t>
      </w:r>
      <w:r>
        <w:rPr>
          <w:lang w:val="en-US"/>
        </w:rPr>
        <w:t xml:space="preserve"> and reporting</w:t>
      </w:r>
      <w:r w:rsidRPr="0093435D">
        <w:rPr>
          <w:lang w:val="en-US"/>
        </w:rPr>
        <w:t xml:space="preserve"> </w:t>
      </w:r>
      <w:r>
        <w:rPr>
          <w:lang w:val="en-US"/>
        </w:rPr>
        <w:t xml:space="preserve">more </w:t>
      </w:r>
      <w:r w:rsidRPr="0093435D">
        <w:rPr>
          <w:lang w:val="en-US"/>
        </w:rPr>
        <w:t xml:space="preserve">difficult for the </w:t>
      </w:r>
      <w:r>
        <w:rPr>
          <w:lang w:val="en-US"/>
        </w:rPr>
        <w:t xml:space="preserve">Steering Committee and led to inefficient use of the original funds where funding was discontinued as projects could not be completed. </w:t>
      </w:r>
    </w:p>
    <w:p w:rsidR="00B21B73" w:rsidRPr="0093435D" w:rsidRDefault="006C320F" w:rsidP="00D65625">
      <w:pPr>
        <w:rPr>
          <w:lang w:val="en-US" w:eastAsia="en-US"/>
        </w:rPr>
      </w:pPr>
      <w:r>
        <w:rPr>
          <w:lang w:val="en-US" w:eastAsia="en-US"/>
        </w:rPr>
        <w:t>In addition,</w:t>
      </w:r>
      <w:r w:rsidR="008D5409">
        <w:rPr>
          <w:lang w:val="en-US" w:eastAsia="en-US"/>
        </w:rPr>
        <w:t xml:space="preserve"> when supporting establishment of the sector,</w:t>
      </w:r>
      <w:r>
        <w:rPr>
          <w:lang w:val="en-US" w:eastAsia="en-US"/>
        </w:rPr>
        <w:t xml:space="preserve"> </w:t>
      </w:r>
      <w:r w:rsidR="000F4D0F">
        <w:rPr>
          <w:lang w:val="en-US" w:eastAsia="en-US"/>
        </w:rPr>
        <w:t>the Government of Australia</w:t>
      </w:r>
      <w:r>
        <w:rPr>
          <w:lang w:val="en-US" w:eastAsia="en-US"/>
        </w:rPr>
        <w:t xml:space="preserve"> i</w:t>
      </w:r>
      <w:r w:rsidR="00193924">
        <w:rPr>
          <w:lang w:val="en-US" w:eastAsia="en-US"/>
        </w:rPr>
        <w:t>ndicated</w:t>
      </w:r>
      <w:r>
        <w:rPr>
          <w:lang w:val="en-US" w:eastAsia="en-US"/>
        </w:rPr>
        <w:t xml:space="preserve"> </w:t>
      </w:r>
      <w:r w:rsidR="00193924">
        <w:rPr>
          <w:lang w:val="en-US" w:eastAsia="en-US"/>
        </w:rPr>
        <w:t xml:space="preserve">verbally </w:t>
      </w:r>
      <w:r>
        <w:rPr>
          <w:lang w:val="en-US" w:eastAsia="en-US"/>
        </w:rPr>
        <w:t>they would provide funding</w:t>
      </w:r>
      <w:r w:rsidR="00BC775D">
        <w:rPr>
          <w:lang w:val="en-US" w:eastAsia="en-US"/>
        </w:rPr>
        <w:t xml:space="preserve"> of up to $20m over an extended, but unspecified,</w:t>
      </w:r>
      <w:r w:rsidR="008D5409">
        <w:rPr>
          <w:lang w:val="en-US" w:eastAsia="en-US"/>
        </w:rPr>
        <w:t xml:space="preserve"> </w:t>
      </w:r>
      <w:r>
        <w:rPr>
          <w:lang w:val="en-US" w:eastAsia="en-US"/>
        </w:rPr>
        <w:t xml:space="preserve">period. Ultimately Australia provided only $4m, with sectoral funding really only </w:t>
      </w:r>
      <w:r>
        <w:rPr>
          <w:lang w:val="en-US" w:eastAsia="en-US"/>
        </w:rPr>
        <w:lastRenderedPageBreak/>
        <w:t>being available for two years. This created difficulty for</w:t>
      </w:r>
      <w:r w:rsidR="00D65625" w:rsidRPr="0093435D">
        <w:rPr>
          <w:lang w:val="en-US" w:eastAsia="en-US"/>
        </w:rPr>
        <w:t xml:space="preserve"> sectoral planning </w:t>
      </w:r>
      <w:r w:rsidR="00D65625">
        <w:rPr>
          <w:lang w:val="en-US" w:eastAsia="en-US"/>
        </w:rPr>
        <w:t>and</w:t>
      </w:r>
      <w:r>
        <w:rPr>
          <w:lang w:val="en-US" w:eastAsia="en-US"/>
        </w:rPr>
        <w:t xml:space="preserve"> adversely</w:t>
      </w:r>
      <w:r w:rsidR="00D65625" w:rsidRPr="0093435D">
        <w:rPr>
          <w:lang w:val="en-US" w:eastAsia="en-US"/>
        </w:rPr>
        <w:t xml:space="preserve"> impact</w:t>
      </w:r>
      <w:r>
        <w:rPr>
          <w:lang w:val="en-US" w:eastAsia="en-US"/>
        </w:rPr>
        <w:t>ed</w:t>
      </w:r>
      <w:r w:rsidR="00D65625">
        <w:rPr>
          <w:lang w:val="en-US" w:eastAsia="en-US"/>
        </w:rPr>
        <w:t xml:space="preserve"> on</w:t>
      </w:r>
      <w:r w:rsidR="00D65625" w:rsidRPr="0093435D">
        <w:rPr>
          <w:lang w:val="en-US" w:eastAsia="en-US"/>
        </w:rPr>
        <w:t xml:space="preserve"> </w:t>
      </w:r>
      <w:r w:rsidR="00D65625">
        <w:rPr>
          <w:lang w:val="en-US" w:eastAsia="en-US"/>
        </w:rPr>
        <w:t xml:space="preserve">the perception of </w:t>
      </w:r>
      <w:r>
        <w:rPr>
          <w:lang w:val="en-US" w:eastAsia="en-US"/>
        </w:rPr>
        <w:t xml:space="preserve">Australia among many SLJS stakeholders. </w:t>
      </w:r>
    </w:p>
    <w:p w:rsidR="00B21B73" w:rsidRDefault="00B21B73" w:rsidP="00521F23">
      <w:pPr>
        <w:pStyle w:val="RecommendationName"/>
        <w:rPr>
          <w:lang w:eastAsia="en-US"/>
        </w:rPr>
      </w:pPr>
      <w:r>
        <w:rPr>
          <w:lang w:eastAsia="en-US"/>
        </w:rPr>
        <w:t xml:space="preserve">Recommendations. </w:t>
      </w:r>
    </w:p>
    <w:p w:rsidR="00B21B73" w:rsidRPr="00521F23" w:rsidRDefault="00B21B73" w:rsidP="00254954">
      <w:pPr>
        <w:pStyle w:val="RecommendationEnd"/>
        <w:pBdr>
          <w:bottom w:val="none" w:sz="0" w:space="0" w:color="auto"/>
        </w:pBdr>
      </w:pPr>
      <w:r w:rsidRPr="00521F23">
        <w:t>Wherever possible, efficiency should be maximized by:</w:t>
      </w:r>
    </w:p>
    <w:p w:rsidR="00B21B73" w:rsidRPr="00521F23" w:rsidRDefault="00B21B73" w:rsidP="00482197">
      <w:pPr>
        <w:pStyle w:val="RecommendationEnd"/>
        <w:numPr>
          <w:ilvl w:val="0"/>
          <w:numId w:val="47"/>
        </w:numPr>
        <w:pBdr>
          <w:bottom w:val="none" w:sz="0" w:space="0" w:color="auto"/>
        </w:pBdr>
      </w:pPr>
      <w:r w:rsidRPr="00521F23">
        <w:t xml:space="preserve">Ensuring that the timing </w:t>
      </w:r>
      <w:r w:rsidR="002F6212">
        <w:t>o</w:t>
      </w:r>
      <w:r w:rsidRPr="00521F23">
        <w:t xml:space="preserve">f payments is predictable. </w:t>
      </w:r>
    </w:p>
    <w:p w:rsidR="00B21B73" w:rsidRPr="00521F23" w:rsidRDefault="00B21B73" w:rsidP="00482197">
      <w:pPr>
        <w:pStyle w:val="RecommendationEnd"/>
        <w:numPr>
          <w:ilvl w:val="0"/>
          <w:numId w:val="47"/>
        </w:numPr>
      </w:pPr>
      <w:r w:rsidRPr="00521F23">
        <w:t xml:space="preserve">Avoiding providing funding for short periods. Committing funds over a longer period supports good planning practice. </w:t>
      </w:r>
    </w:p>
    <w:p w:rsidR="00B21B73" w:rsidRPr="00521F23" w:rsidRDefault="00B21B73" w:rsidP="00482197">
      <w:pPr>
        <w:pStyle w:val="RecommendationEnd"/>
        <w:numPr>
          <w:ilvl w:val="0"/>
          <w:numId w:val="47"/>
        </w:numPr>
      </w:pPr>
      <w:r w:rsidRPr="00521F23">
        <w:t xml:space="preserve">Acting consistently with the verbal message communicated. </w:t>
      </w:r>
    </w:p>
    <w:p w:rsidR="00B21B73" w:rsidRPr="0093435D" w:rsidRDefault="00B21B73" w:rsidP="002A72C7">
      <w:pPr>
        <w:pStyle w:val="Heading3"/>
        <w:rPr>
          <w:lang w:val="en-US" w:eastAsia="en-US"/>
        </w:rPr>
      </w:pPr>
      <w:r w:rsidRPr="0093435D">
        <w:rPr>
          <w:lang w:val="en-US" w:eastAsia="en-US"/>
        </w:rPr>
        <w:t xml:space="preserve">Design </w:t>
      </w:r>
      <w:r>
        <w:rPr>
          <w:lang w:val="en-US" w:eastAsia="en-US"/>
        </w:rPr>
        <w:t>of support to the SLJS</w:t>
      </w:r>
    </w:p>
    <w:p w:rsidR="00B21B73" w:rsidRDefault="00B21B73" w:rsidP="002A72C7">
      <w:pPr>
        <w:rPr>
          <w:lang w:val="en-US" w:eastAsia="en-US"/>
        </w:rPr>
      </w:pPr>
      <w:r>
        <w:rPr>
          <w:lang w:val="en-US" w:eastAsia="en-US"/>
        </w:rPr>
        <w:t xml:space="preserve">Both the absence of a design (or more specifically, the lack of agreement on boundaries and process) and the approach used to develop a design for support to the second SLJS Strategic Plan created significant inefficiencies. </w:t>
      </w:r>
    </w:p>
    <w:p w:rsidR="00B21B73" w:rsidRDefault="00B21B73" w:rsidP="00A4328B">
      <w:pPr>
        <w:rPr>
          <w:lang w:val="en-US" w:eastAsia="en-US"/>
        </w:rPr>
      </w:pPr>
      <w:r>
        <w:rPr>
          <w:lang w:val="en-US" w:eastAsia="en-US"/>
        </w:rPr>
        <w:t xml:space="preserve">All support to the SLJS was provided without a design. </w:t>
      </w:r>
      <w:r w:rsidR="00A4328B">
        <w:rPr>
          <w:lang w:val="en-US" w:eastAsia="en-US"/>
        </w:rPr>
        <w:t xml:space="preserve">While there were sound reasons for this decision (Appendix </w:t>
      </w:r>
      <w:r w:rsidR="008D7761">
        <w:rPr>
          <w:lang w:val="en-US" w:eastAsia="en-US"/>
        </w:rPr>
        <w:t>I</w:t>
      </w:r>
      <w:r w:rsidR="00A4328B">
        <w:rPr>
          <w:lang w:val="en-US" w:eastAsia="en-US"/>
        </w:rPr>
        <w:t>), t</w:t>
      </w:r>
      <w:r>
        <w:rPr>
          <w:lang w:val="en-US" w:eastAsia="en-US"/>
        </w:rPr>
        <w:t>he absence of a design created a number of inefficiencies consequent on the lack of agreement on many of the details included in a design. For example, the agreed outcomes, criteria for applyin</w:t>
      </w:r>
      <w:r w:rsidR="008F78E6">
        <w:rPr>
          <w:lang w:val="en-US" w:eastAsia="en-US"/>
        </w:rPr>
        <w:t xml:space="preserve">g </w:t>
      </w:r>
      <w:r w:rsidR="000F4D0F">
        <w:rPr>
          <w:lang w:val="en-US" w:eastAsia="en-US"/>
        </w:rPr>
        <w:t>Australian Government</w:t>
      </w:r>
      <w:r w:rsidR="008F78E6">
        <w:rPr>
          <w:lang w:val="en-US" w:eastAsia="en-US"/>
        </w:rPr>
        <w:t xml:space="preserve"> funds to projects and the Australian Government’s</w:t>
      </w:r>
      <w:r>
        <w:rPr>
          <w:lang w:val="en-US" w:eastAsia="en-US"/>
        </w:rPr>
        <w:t xml:space="preserve"> role (</w:t>
      </w:r>
      <w:r w:rsidR="008F78E6">
        <w:rPr>
          <w:lang w:val="en-US" w:eastAsia="en-US"/>
        </w:rPr>
        <w:t xml:space="preserve">i.e. </w:t>
      </w:r>
      <w:r>
        <w:rPr>
          <w:lang w:val="en-US" w:eastAsia="en-US"/>
        </w:rPr>
        <w:t>what is the role of an observer SC member). Had these issues been discussed, agreed and documented, it may have prevented the subsequent issues that emerged to adversely affect relationships.</w:t>
      </w:r>
    </w:p>
    <w:p w:rsidR="00B21B73" w:rsidRPr="00A2202F" w:rsidRDefault="00B21B73" w:rsidP="002A72C7">
      <w:pPr>
        <w:rPr>
          <w:lang w:val="en-US" w:eastAsia="en-US"/>
        </w:rPr>
      </w:pPr>
      <w:r>
        <w:rPr>
          <w:lang w:val="en-US" w:eastAsia="en-US"/>
        </w:rPr>
        <w:t xml:space="preserve">Finding a balance in these two perspectives (valid reasons why a design was not developed and the need for agreed boundaries) in providing future support, particularly to new </w:t>
      </w:r>
      <w:r w:rsidRPr="00A2202F">
        <w:rPr>
          <w:lang w:val="en-US" w:eastAsia="en-US"/>
        </w:rPr>
        <w:t xml:space="preserve">modalities, is essential. </w:t>
      </w:r>
    </w:p>
    <w:p w:rsidR="00B21B73" w:rsidRDefault="00B21B73" w:rsidP="00A4328B">
      <w:pPr>
        <w:rPr>
          <w:lang w:val="en-US" w:eastAsia="en-US"/>
        </w:rPr>
      </w:pPr>
      <w:r>
        <w:rPr>
          <w:lang w:val="en-US" w:eastAsia="en-US"/>
        </w:rPr>
        <w:t xml:space="preserve">There was an intention that a design would underpin the support provided to implement the second Strategic Plan. However </w:t>
      </w:r>
      <w:r w:rsidR="00A4328B">
        <w:rPr>
          <w:lang w:val="en-US" w:eastAsia="en-US"/>
        </w:rPr>
        <w:t>the design was not completed</w:t>
      </w:r>
      <w:r>
        <w:rPr>
          <w:lang w:val="en-US" w:eastAsia="en-US"/>
        </w:rPr>
        <w:t xml:space="preserve">, fundamentally due to poor initial planning leading to misunderstandings </w:t>
      </w:r>
      <w:r w:rsidR="00A4328B">
        <w:rPr>
          <w:lang w:val="en-US" w:eastAsia="en-US"/>
        </w:rPr>
        <w:t xml:space="preserve">and a lack of SLJS ownership of the design process, and the approach adopted by the design team </w:t>
      </w:r>
      <w:r>
        <w:rPr>
          <w:lang w:val="en-US" w:eastAsia="en-US"/>
        </w:rPr>
        <w:t xml:space="preserve">(Appendix </w:t>
      </w:r>
      <w:r w:rsidR="008D7761">
        <w:rPr>
          <w:lang w:val="en-US" w:eastAsia="en-US"/>
        </w:rPr>
        <w:t>I)</w:t>
      </w:r>
      <w:r>
        <w:rPr>
          <w:lang w:val="en-US" w:eastAsia="en-US"/>
        </w:rPr>
        <w:t xml:space="preserve">. </w:t>
      </w:r>
      <w:r w:rsidR="00A4328B">
        <w:rPr>
          <w:lang w:val="en-US" w:eastAsia="en-US"/>
        </w:rPr>
        <w:t xml:space="preserve">In particular, the Steering Committee </w:t>
      </w:r>
      <w:r>
        <w:rPr>
          <w:lang w:val="en-US" w:eastAsia="en-US"/>
        </w:rPr>
        <w:t>did not consider</w:t>
      </w:r>
      <w:r w:rsidRPr="008C602C">
        <w:rPr>
          <w:lang w:val="en-US" w:eastAsia="en-US"/>
        </w:rPr>
        <w:t xml:space="preserve"> </w:t>
      </w:r>
      <w:r>
        <w:rPr>
          <w:lang w:val="en-US" w:eastAsia="en-US"/>
        </w:rPr>
        <w:t xml:space="preserve">the approach </w:t>
      </w:r>
      <w:r w:rsidRPr="008C602C">
        <w:rPr>
          <w:lang w:val="en-US" w:eastAsia="en-US"/>
        </w:rPr>
        <w:t xml:space="preserve">collegial </w:t>
      </w:r>
      <w:r>
        <w:rPr>
          <w:lang w:val="en-US" w:eastAsia="en-US"/>
        </w:rPr>
        <w:t>n</w:t>
      </w:r>
      <w:r w:rsidRPr="008C602C">
        <w:rPr>
          <w:lang w:val="en-US" w:eastAsia="en-US"/>
        </w:rPr>
        <w:t xml:space="preserve">or </w:t>
      </w:r>
      <w:r>
        <w:rPr>
          <w:lang w:val="en-US" w:eastAsia="en-US"/>
        </w:rPr>
        <w:t xml:space="preserve">to </w:t>
      </w:r>
      <w:r w:rsidRPr="008C602C">
        <w:rPr>
          <w:lang w:val="en-US" w:eastAsia="en-US"/>
        </w:rPr>
        <w:t xml:space="preserve">consider adequately the Samoan perspective: the context, </w:t>
      </w:r>
      <w:r>
        <w:rPr>
          <w:lang w:val="en-US" w:eastAsia="en-US"/>
        </w:rPr>
        <w:t>achievements or</w:t>
      </w:r>
      <w:r w:rsidRPr="008C602C">
        <w:rPr>
          <w:lang w:val="en-US" w:eastAsia="en-US"/>
        </w:rPr>
        <w:t xml:space="preserve"> and feedback provided</w:t>
      </w:r>
      <w:r>
        <w:rPr>
          <w:lang w:val="en-US" w:eastAsia="en-US"/>
        </w:rPr>
        <w:t xml:space="preserve"> by the </w:t>
      </w:r>
      <w:r w:rsidR="00A4328B">
        <w:rPr>
          <w:lang w:val="en-US" w:eastAsia="en-US"/>
        </w:rPr>
        <w:t>Steering Committee</w:t>
      </w:r>
      <w:r w:rsidRPr="008C602C">
        <w:rPr>
          <w:lang w:val="en-US" w:eastAsia="en-US"/>
        </w:rPr>
        <w:t xml:space="preserve">. </w:t>
      </w:r>
      <w:r>
        <w:rPr>
          <w:lang w:val="en-US" w:eastAsia="en-US"/>
        </w:rPr>
        <w:t xml:space="preserve">The design team did not provide a </w:t>
      </w:r>
      <w:r w:rsidRPr="008C602C">
        <w:rPr>
          <w:lang w:val="en-US" w:eastAsia="en-US"/>
        </w:rPr>
        <w:t xml:space="preserve">written aide memoir </w:t>
      </w:r>
      <w:r>
        <w:rPr>
          <w:lang w:val="en-US" w:eastAsia="en-US"/>
        </w:rPr>
        <w:t xml:space="preserve">while in-country </w:t>
      </w:r>
      <w:r w:rsidRPr="008C602C">
        <w:rPr>
          <w:lang w:val="en-US" w:eastAsia="en-US"/>
        </w:rPr>
        <w:t xml:space="preserve">and </w:t>
      </w:r>
      <w:r w:rsidR="00A9582B">
        <w:rPr>
          <w:lang w:val="en-US" w:eastAsia="en-US"/>
        </w:rPr>
        <w:t xml:space="preserve">no evidence was available that that </w:t>
      </w:r>
      <w:r w:rsidRPr="008C602C">
        <w:rPr>
          <w:lang w:val="en-US" w:eastAsia="en-US"/>
        </w:rPr>
        <w:t xml:space="preserve">a verbal debrief </w:t>
      </w:r>
      <w:r w:rsidR="00A9582B">
        <w:rPr>
          <w:lang w:val="en-US" w:eastAsia="en-US"/>
        </w:rPr>
        <w:t xml:space="preserve">had been given to </w:t>
      </w:r>
      <w:r w:rsidRPr="008C602C">
        <w:rPr>
          <w:lang w:val="en-US" w:eastAsia="en-US"/>
        </w:rPr>
        <w:t xml:space="preserve">the </w:t>
      </w:r>
      <w:r w:rsidR="00A4328B">
        <w:rPr>
          <w:lang w:val="en-US" w:eastAsia="en-US"/>
        </w:rPr>
        <w:t>Steering Committee</w:t>
      </w:r>
      <w:r w:rsidRPr="008C602C">
        <w:rPr>
          <w:lang w:val="en-US" w:eastAsia="en-US"/>
        </w:rPr>
        <w:t xml:space="preserve">. </w:t>
      </w:r>
    </w:p>
    <w:p w:rsidR="00B21B73" w:rsidRDefault="00A4328B" w:rsidP="002A72C7">
      <w:pPr>
        <w:rPr>
          <w:lang w:val="en-US" w:eastAsia="en-US"/>
        </w:rPr>
      </w:pPr>
      <w:r>
        <w:rPr>
          <w:lang w:val="en-US" w:eastAsia="en-US"/>
        </w:rPr>
        <w:t>T</w:t>
      </w:r>
      <w:r w:rsidR="00B21B73">
        <w:rPr>
          <w:lang w:val="en-US" w:eastAsia="en-US"/>
        </w:rPr>
        <w:t>his process</w:t>
      </w:r>
      <w:r>
        <w:rPr>
          <w:lang w:val="en-US" w:eastAsia="en-US"/>
        </w:rPr>
        <w:t xml:space="preserve"> also</w:t>
      </w:r>
      <w:r w:rsidR="00B21B73">
        <w:rPr>
          <w:lang w:val="en-US" w:eastAsia="en-US"/>
        </w:rPr>
        <w:t xml:space="preserve"> adversely impacted the relationship between </w:t>
      </w:r>
      <w:r w:rsidR="008F78E6">
        <w:rPr>
          <w:lang w:val="en-US" w:eastAsia="en-US"/>
        </w:rPr>
        <w:t xml:space="preserve">the Australian Government </w:t>
      </w:r>
      <w:r w:rsidR="00B21B73">
        <w:rPr>
          <w:lang w:val="en-US" w:eastAsia="en-US"/>
        </w:rPr>
        <w:t>and the SLJS for an extended period. Entrenched positions were established quickly</w:t>
      </w:r>
      <w:r w:rsidR="00B21B73" w:rsidRPr="0093435D">
        <w:rPr>
          <w:lang w:val="en-US" w:eastAsia="en-US"/>
        </w:rPr>
        <w:t>.</w:t>
      </w:r>
      <w:r w:rsidR="00B21B73">
        <w:rPr>
          <w:lang w:val="en-US" w:eastAsia="en-US"/>
        </w:rPr>
        <w:t xml:space="preserve"> Significant work on both sides was required to restore a positive relationship, and those who contributed to this should be commended for their efforts.   </w:t>
      </w:r>
    </w:p>
    <w:p w:rsidR="00B21B73" w:rsidRPr="0093435D" w:rsidRDefault="00B21B73" w:rsidP="002A72C7">
      <w:pPr>
        <w:rPr>
          <w:lang w:val="en-US" w:eastAsia="en-US"/>
        </w:rPr>
      </w:pPr>
      <w:r>
        <w:rPr>
          <w:lang w:val="en-US" w:eastAsia="en-US"/>
        </w:rPr>
        <w:t xml:space="preserve">As described by members of the SC, </w:t>
      </w:r>
      <w:r w:rsidR="00C85EB6">
        <w:rPr>
          <w:lang w:val="en-US" w:eastAsia="en-US"/>
        </w:rPr>
        <w:t xml:space="preserve">there </w:t>
      </w:r>
      <w:r>
        <w:rPr>
          <w:lang w:val="en-US" w:eastAsia="en-US"/>
        </w:rPr>
        <w:t xml:space="preserve">was </w:t>
      </w:r>
      <w:r w:rsidRPr="0093435D">
        <w:rPr>
          <w:lang w:val="en-US" w:eastAsia="en-US"/>
        </w:rPr>
        <w:t xml:space="preserve">“a problem with the </w:t>
      </w:r>
      <w:r>
        <w:rPr>
          <w:lang w:val="en-US" w:eastAsia="en-US"/>
        </w:rPr>
        <w:t>process rather than the content</w:t>
      </w:r>
      <w:r w:rsidRPr="0093435D">
        <w:rPr>
          <w:lang w:val="en-US" w:eastAsia="en-US"/>
        </w:rPr>
        <w:t>”</w:t>
      </w:r>
      <w:r w:rsidR="00B21031">
        <w:rPr>
          <w:lang w:val="en-US" w:eastAsia="en-US"/>
        </w:rPr>
        <w:t xml:space="preserve"> of the design</w:t>
      </w:r>
      <w:r>
        <w:rPr>
          <w:lang w:val="en-US" w:eastAsia="en-US"/>
        </w:rPr>
        <w:t xml:space="preserve">. To be both effective and efficient, the design should not have proceeded without the full involvement and ownership of the process by the SLJS. There exclusion from the selection process should have halted the process. If this did not occur, the SLJS written advice that they did not understand the purpose of the design, should, as a minimum, have delayed the process.  With the lack of SLJS ownership, any design produced </w:t>
      </w:r>
      <w:r>
        <w:rPr>
          <w:lang w:val="en-US" w:eastAsia="en-US"/>
        </w:rPr>
        <w:lastRenderedPageBreak/>
        <w:t>was likely to be unsuccessful. Thus, efforts to resurrect the design process were unlikely to be effective in the long te</w:t>
      </w:r>
      <w:r w:rsidRPr="00A2202F">
        <w:rPr>
          <w:lang w:val="en-US" w:eastAsia="en-US"/>
        </w:rPr>
        <w:t xml:space="preserve">rm. This is discussed further in </w:t>
      </w:r>
      <w:r w:rsidR="00B63747">
        <w:rPr>
          <w:lang w:val="en-US" w:eastAsia="en-US"/>
        </w:rPr>
        <w:t>Appendices I and J</w:t>
      </w:r>
      <w:r w:rsidRPr="00BD34A4">
        <w:rPr>
          <w:color w:val="FF0000"/>
          <w:lang w:val="en-US" w:eastAsia="en-US"/>
        </w:rPr>
        <w:t>.</w:t>
      </w:r>
    </w:p>
    <w:p w:rsidR="00B21B73" w:rsidRDefault="00B21B73" w:rsidP="00035E32">
      <w:pPr>
        <w:pStyle w:val="Heading2"/>
      </w:pPr>
      <w:bookmarkStart w:id="32" w:name="_Toc431828768"/>
      <w:r>
        <w:t>SLJS Management</w:t>
      </w:r>
      <w:bookmarkEnd w:id="32"/>
    </w:p>
    <w:p w:rsidR="00B21B73" w:rsidRDefault="009F4A63" w:rsidP="00A028CE">
      <w:r>
        <w:t>T</w:t>
      </w:r>
      <w:r w:rsidR="00B21B73">
        <w:t xml:space="preserve">hose interviewed </w:t>
      </w:r>
      <w:r w:rsidR="004E0202">
        <w:t>who had</w:t>
      </w:r>
      <w:r w:rsidR="00B21B73">
        <w:t xml:space="preserve"> experience of other sectors identified that the SLJS was more effective and more efficient than those sectors. This was reflected in clear, simple processes and procedures for proposing a project and the Steering Committee assessing proposals through the Working Group and then debating (rather than rubber stamping) projects</w:t>
      </w:r>
      <w:r w:rsidR="00B21B73">
        <w:rPr>
          <w:rStyle w:val="EndnoteReference"/>
        </w:rPr>
        <w:endnoteReference w:id="37"/>
      </w:r>
      <w:r w:rsidR="00B21B73">
        <w:t xml:space="preserve">. In addition, a number of stakeholders commended the SLJS for housing the Secretariat outside (under a different roof) </w:t>
      </w:r>
      <w:r>
        <w:t>to sector agencies</w:t>
      </w:r>
      <w:r w:rsidR="00B21B73">
        <w:t xml:space="preserve"> so that there is no perceived conflict of interest. They believed this was a better approach than housing the Secretariat within one of the SA as standard practice in all other sectors, and recently adopted within the SLJS</w:t>
      </w:r>
      <w:r w:rsidR="00B21B73">
        <w:rPr>
          <w:rStyle w:val="EndnoteReference"/>
        </w:rPr>
        <w:endnoteReference w:id="38"/>
      </w:r>
      <w:r w:rsidR="00B21B73">
        <w:t xml:space="preserve">. However, there are a number of areas in which significant improvements in efficiency could have been achieved with greater support. These are discussed below. </w:t>
      </w:r>
    </w:p>
    <w:p w:rsidR="00B21B73" w:rsidRDefault="00994756" w:rsidP="00994756">
      <w:r>
        <w:t>The definition</w:t>
      </w:r>
      <w:r w:rsidR="00B21B73">
        <w:t xml:space="preserve"> of the role of the Secretariat</w:t>
      </w:r>
      <w:r>
        <w:t xml:space="preserve"> (SLJS, 2012d)</w:t>
      </w:r>
      <w:r w:rsidRPr="00994756">
        <w:t xml:space="preserve"> </w:t>
      </w:r>
      <w:r>
        <w:t>is focussed at the project level and does not include supporting strategic level monitoring or planning</w:t>
      </w:r>
      <w:r w:rsidR="00B21B73">
        <w:t>.</w:t>
      </w:r>
      <w:r w:rsidRPr="00994756">
        <w:t xml:space="preserve"> </w:t>
      </w:r>
      <w:r>
        <w:t>They also don’t clearly identify the Secretariat’s authority to act without specific direction.</w:t>
      </w:r>
      <w:r w:rsidRPr="00994756">
        <w:t xml:space="preserve"> </w:t>
      </w:r>
      <w:r>
        <w:t>Consequently, the Secretariat has not supported the strategic level and there was some confusion among members of the Steering Committee and Secretariat on specific responsibilities and authority</w:t>
      </w:r>
      <w:r>
        <w:rPr>
          <w:rStyle w:val="EndnoteReference"/>
        </w:rPr>
        <w:endnoteReference w:id="39"/>
      </w:r>
      <w:r>
        <w:t>.</w:t>
      </w:r>
      <w:r w:rsidR="00B21B73">
        <w:t xml:space="preserve">This may have contributed to some of the issues identified later in relation to procurement. </w:t>
      </w:r>
    </w:p>
    <w:p w:rsidR="00B21B73" w:rsidRDefault="004E0202" w:rsidP="00B64210">
      <w:r>
        <w:t>An</w:t>
      </w:r>
      <w:r w:rsidR="00B21B73">
        <w:t xml:space="preserve"> effective sector database is critical</w:t>
      </w:r>
      <w:r>
        <w:t xml:space="preserve"> to support monitoring</w:t>
      </w:r>
      <w:r w:rsidR="00B21B73">
        <w:t>. While the sector database (</w:t>
      </w:r>
      <w:proofErr w:type="spellStart"/>
      <w:r w:rsidR="00B21B73">
        <w:t>Auafa</w:t>
      </w:r>
      <w:proofErr w:type="spellEnd"/>
      <w:r w:rsidR="00B21B73">
        <w:t xml:space="preserve"> Ma</w:t>
      </w:r>
      <w:r w:rsidR="00641559">
        <w:t>u</w:t>
      </w:r>
      <w:r w:rsidR="00B21B73">
        <w:t>) has been developed, it is not operational,</w:t>
      </w:r>
      <w:r w:rsidR="00B21B73" w:rsidRPr="00D55002">
        <w:t xml:space="preserve"> </w:t>
      </w:r>
      <w:r w:rsidR="00B21B73">
        <w:t xml:space="preserve">apparently due to a small error in coding. </w:t>
      </w:r>
      <w:r w:rsidR="00167C94">
        <w:t xml:space="preserve">There </w:t>
      </w:r>
      <w:r w:rsidR="00B21B73">
        <w:t>was no contractual mechanism to ensure it was completed as scheduled</w:t>
      </w:r>
      <w:r w:rsidR="00167C94">
        <w:t xml:space="preserve"> because the database was developed by a volunteer</w:t>
      </w:r>
      <w:r w:rsidR="00B21B73">
        <w:t xml:space="preserve">. Engaging a </w:t>
      </w:r>
      <w:r w:rsidR="00F64482">
        <w:t xml:space="preserve">local </w:t>
      </w:r>
      <w:r w:rsidR="00B21B73">
        <w:t xml:space="preserve">firm to develop the database using an output based contract with a maintenance period would have been more efficient, even though more costly. The firm would not be paid until the database was operating successfully. </w:t>
      </w:r>
    </w:p>
    <w:p w:rsidR="00B21B73" w:rsidRPr="00521F23" w:rsidRDefault="00B21B73" w:rsidP="00E35570">
      <w:pPr>
        <w:pStyle w:val="RecommendationName"/>
        <w:keepNext/>
      </w:pPr>
      <w:r w:rsidRPr="00521F23">
        <w:t>Recommendation:</w:t>
      </w:r>
    </w:p>
    <w:p w:rsidR="00B21B73" w:rsidRPr="00521F23" w:rsidRDefault="00B21B73" w:rsidP="00521F23">
      <w:pPr>
        <w:pStyle w:val="RecommendationEnd"/>
      </w:pPr>
      <w:r w:rsidRPr="00521F23">
        <w:t xml:space="preserve">Where timely production of functional outputs is critical, establishing output based contracts with payments attached to specific milestones, and including maintenance periods may be more effective. Inclusion of liquidated damages for delayed completion may also be appropriate in some situations. </w:t>
      </w:r>
    </w:p>
    <w:p w:rsidR="00B21B73" w:rsidRDefault="00B21B73" w:rsidP="00B64210">
      <w:r>
        <w:t xml:space="preserve">In addition, the Secretariat staffing did not include team members with the capacity to support the monitoring role (and perhaps planning) effectively, particularly at the strategic level. As the development of the database progressed, inclusion of a person with IT skills to manage the database would have been beneficial. We strongly support the Steering Committee’s current proposal to include such a person within the Secretariat. </w:t>
      </w:r>
    </w:p>
    <w:p w:rsidR="00B21B73" w:rsidRDefault="00B21B73" w:rsidP="00521F23">
      <w:pPr>
        <w:pStyle w:val="RecommendationName"/>
      </w:pPr>
      <w:r>
        <w:t>Recommendation:</w:t>
      </w:r>
    </w:p>
    <w:p w:rsidR="00B21B73" w:rsidRDefault="00B21B73" w:rsidP="00521F23">
      <w:pPr>
        <w:pStyle w:val="RecommendationEnd"/>
      </w:pPr>
      <w:r w:rsidRPr="00521F23">
        <w:t>The Secretariat should be resourced adequately to support the Steering Committee. This may mean team members with specialist skills in planning and monitoring in addition to finance (which is generally included in such teams). Alternatively, it may require short-term technical assistance</w:t>
      </w:r>
      <w:r w:rsidR="00DD6835" w:rsidRPr="00DD6835">
        <w:t xml:space="preserve"> </w:t>
      </w:r>
      <w:r w:rsidR="00DD6835" w:rsidRPr="00521F23">
        <w:t>inputs</w:t>
      </w:r>
      <w:r>
        <w:t xml:space="preserve">. </w:t>
      </w:r>
    </w:p>
    <w:p w:rsidR="00B21B73" w:rsidRDefault="004E0202" w:rsidP="002A72C7">
      <w:pPr>
        <w:rPr>
          <w:lang w:val="en-US" w:eastAsia="en-US"/>
        </w:rPr>
      </w:pPr>
      <w:r>
        <w:rPr>
          <w:lang w:val="en-US" w:eastAsia="en-US"/>
        </w:rPr>
        <w:t>The</w:t>
      </w:r>
      <w:r w:rsidR="00B21B73">
        <w:rPr>
          <w:lang w:val="en-US" w:eastAsia="en-US"/>
        </w:rPr>
        <w:t xml:space="preserve"> Agreement required that SLJS </w:t>
      </w:r>
      <w:r w:rsidR="005F55FA">
        <w:rPr>
          <w:lang w:val="en-US" w:eastAsia="en-US"/>
        </w:rPr>
        <w:t>Steering Committee</w:t>
      </w:r>
      <w:r w:rsidR="00B21B73">
        <w:rPr>
          <w:lang w:val="en-US" w:eastAsia="en-US"/>
        </w:rPr>
        <w:t xml:space="preserve"> </w:t>
      </w:r>
      <w:r w:rsidR="00F41151">
        <w:rPr>
          <w:lang w:val="en-US" w:eastAsia="en-US"/>
        </w:rPr>
        <w:t xml:space="preserve">apply </w:t>
      </w:r>
      <w:r w:rsidR="00B21B73">
        <w:rPr>
          <w:lang w:val="en-US" w:eastAsia="en-US"/>
        </w:rPr>
        <w:t>t</w:t>
      </w:r>
      <w:r w:rsidR="00B21B73" w:rsidRPr="0093435D">
        <w:rPr>
          <w:lang w:val="en-US" w:eastAsia="en-US"/>
        </w:rPr>
        <w:t xml:space="preserve">he </w:t>
      </w:r>
      <w:r w:rsidR="000F4D0F">
        <w:rPr>
          <w:lang w:val="en-US" w:eastAsia="en-US"/>
        </w:rPr>
        <w:t>Samoan Government</w:t>
      </w:r>
      <w:r w:rsidR="00B21B73" w:rsidRPr="0093435D">
        <w:rPr>
          <w:lang w:val="en-US" w:eastAsia="en-US"/>
        </w:rPr>
        <w:t xml:space="preserve"> procurement process</w:t>
      </w:r>
      <w:r w:rsidR="00B21B73">
        <w:rPr>
          <w:lang w:val="en-US" w:eastAsia="en-US"/>
        </w:rPr>
        <w:t xml:space="preserve">. However, although the procurement process was well documented and </w:t>
      </w:r>
      <w:r w:rsidR="00B21B73">
        <w:rPr>
          <w:lang w:val="en-US" w:eastAsia="en-US"/>
        </w:rPr>
        <w:lastRenderedPageBreak/>
        <w:t xml:space="preserve">transparent, procurement did not always comply with the </w:t>
      </w:r>
      <w:r w:rsidR="000F4D0F">
        <w:rPr>
          <w:lang w:val="en-US" w:eastAsia="en-US"/>
        </w:rPr>
        <w:t>Samoan Government</w:t>
      </w:r>
      <w:r w:rsidR="000F4D0F" w:rsidRPr="0093435D">
        <w:rPr>
          <w:lang w:val="en-US" w:eastAsia="en-US"/>
        </w:rPr>
        <w:t xml:space="preserve"> </w:t>
      </w:r>
      <w:r w:rsidR="00B21B73" w:rsidRPr="0093435D">
        <w:rPr>
          <w:lang w:val="en-US" w:eastAsia="en-US"/>
        </w:rPr>
        <w:t>procurement process.</w:t>
      </w:r>
      <w:r w:rsidR="00B21B73">
        <w:rPr>
          <w:lang w:val="en-US" w:eastAsia="en-US"/>
        </w:rPr>
        <w:t xml:space="preserve"> </w:t>
      </w:r>
      <w:r>
        <w:rPr>
          <w:lang w:val="en-US" w:eastAsia="en-US"/>
        </w:rPr>
        <w:t xml:space="preserve"> </w:t>
      </w:r>
      <w:r w:rsidR="00B21B73">
        <w:rPr>
          <w:lang w:val="en-US" w:eastAsia="en-US"/>
        </w:rPr>
        <w:t xml:space="preserve">Two cases of procurement that did not adhere to the </w:t>
      </w:r>
      <w:r w:rsidR="000F4D0F">
        <w:rPr>
          <w:lang w:val="en-US" w:eastAsia="en-US"/>
        </w:rPr>
        <w:t>Samoan Government</w:t>
      </w:r>
      <w:r w:rsidR="000F4D0F" w:rsidRPr="0093435D">
        <w:rPr>
          <w:lang w:val="en-US" w:eastAsia="en-US"/>
        </w:rPr>
        <w:t xml:space="preserve"> </w:t>
      </w:r>
      <w:r w:rsidR="00B21B73">
        <w:rPr>
          <w:lang w:val="en-US" w:eastAsia="en-US"/>
        </w:rPr>
        <w:t xml:space="preserve">process were identified. Both cases occurred at the start of funding </w:t>
      </w:r>
      <w:r w:rsidR="00613059">
        <w:rPr>
          <w:lang w:val="en-US" w:eastAsia="en-US"/>
        </w:rPr>
        <w:t xml:space="preserve">the </w:t>
      </w:r>
      <w:r w:rsidR="00B21B73">
        <w:rPr>
          <w:lang w:val="en-US" w:eastAsia="en-US"/>
        </w:rPr>
        <w:t xml:space="preserve">projects. In part, both were a consequence of attempting to </w:t>
      </w:r>
      <w:r w:rsidR="005F55FA">
        <w:rPr>
          <w:lang w:val="en-US" w:eastAsia="en-US"/>
        </w:rPr>
        <w:t xml:space="preserve">quickly </w:t>
      </w:r>
      <w:r w:rsidR="00B21B73">
        <w:rPr>
          <w:lang w:val="en-US" w:eastAsia="en-US"/>
        </w:rPr>
        <w:t xml:space="preserve">establish activities. In one case (digitization of LTC records), lack of full-compliance with the </w:t>
      </w:r>
      <w:r w:rsidR="000F4D0F">
        <w:rPr>
          <w:lang w:val="en-US" w:eastAsia="en-US"/>
        </w:rPr>
        <w:t>Samoan Government</w:t>
      </w:r>
      <w:r w:rsidR="000F4D0F" w:rsidRPr="0093435D">
        <w:rPr>
          <w:lang w:val="en-US" w:eastAsia="en-US"/>
        </w:rPr>
        <w:t xml:space="preserve"> </w:t>
      </w:r>
      <w:r w:rsidR="00B21B73">
        <w:rPr>
          <w:lang w:val="en-US" w:eastAsia="en-US"/>
        </w:rPr>
        <w:t>procurement procedure did not adversely affect either quality or cost of the work</w:t>
      </w:r>
      <w:r w:rsidR="00B21B73">
        <w:rPr>
          <w:rStyle w:val="EndnoteReference"/>
          <w:lang w:val="en-US" w:eastAsia="en-US"/>
        </w:rPr>
        <w:endnoteReference w:id="40"/>
      </w:r>
      <w:r w:rsidR="005F55FA">
        <w:rPr>
          <w:lang w:val="en-US" w:eastAsia="en-US"/>
        </w:rPr>
        <w:t xml:space="preserve">. </w:t>
      </w:r>
      <w:r w:rsidR="00B21B73">
        <w:rPr>
          <w:lang w:val="en-US" w:eastAsia="en-US"/>
        </w:rPr>
        <w:t>In the other case (</w:t>
      </w:r>
      <w:r w:rsidR="00B21B73" w:rsidRPr="0093435D">
        <w:rPr>
          <w:lang w:val="en-US" w:eastAsia="en-US"/>
        </w:rPr>
        <w:t xml:space="preserve">construction of female inmates </w:t>
      </w:r>
      <w:r w:rsidR="00B21B73">
        <w:rPr>
          <w:lang w:val="en-US" w:eastAsia="en-US"/>
        </w:rPr>
        <w:t xml:space="preserve">cells), the Steering Committee </w:t>
      </w:r>
      <w:r w:rsidR="00B21B73" w:rsidRPr="0093435D">
        <w:rPr>
          <w:lang w:val="en-US" w:eastAsia="en-US"/>
        </w:rPr>
        <w:t>identified</w:t>
      </w:r>
      <w:r w:rsidR="00B21B73">
        <w:rPr>
          <w:lang w:val="en-US" w:eastAsia="en-US"/>
        </w:rPr>
        <w:t xml:space="preserve"> numerous quality and cost issues resulting from not contracting the works. The</w:t>
      </w:r>
      <w:r w:rsidR="009446B1">
        <w:rPr>
          <w:lang w:val="en-US" w:eastAsia="en-US"/>
        </w:rPr>
        <w:t>y</w:t>
      </w:r>
      <w:r w:rsidR="00B21B73">
        <w:rPr>
          <w:lang w:val="en-US" w:eastAsia="en-US"/>
        </w:rPr>
        <w:t xml:space="preserve"> increased their supervision of the works to address these problems.</w:t>
      </w:r>
      <w:r w:rsidR="00B21B73" w:rsidRPr="0093435D">
        <w:rPr>
          <w:lang w:val="en-US" w:eastAsia="en-US"/>
        </w:rPr>
        <w:t xml:space="preserve"> </w:t>
      </w:r>
      <w:r>
        <w:rPr>
          <w:lang w:val="en-US" w:eastAsia="en-US"/>
        </w:rPr>
        <w:t>Consequently</w:t>
      </w:r>
      <w:r w:rsidR="00B21B73">
        <w:rPr>
          <w:lang w:val="en-US" w:eastAsia="en-US"/>
        </w:rPr>
        <w:t xml:space="preserve">, the Steering Committee concluded that </w:t>
      </w:r>
      <w:r w:rsidR="00B21B73" w:rsidRPr="0093435D">
        <w:rPr>
          <w:lang w:val="en-US" w:eastAsia="en-US"/>
        </w:rPr>
        <w:t xml:space="preserve">all construction works </w:t>
      </w:r>
      <w:r w:rsidR="00B21B73">
        <w:rPr>
          <w:lang w:val="en-US" w:eastAsia="en-US"/>
        </w:rPr>
        <w:t xml:space="preserve">should be contracted </w:t>
      </w:r>
      <w:r w:rsidR="00B21B73" w:rsidRPr="0093435D">
        <w:rPr>
          <w:lang w:val="en-US" w:eastAsia="en-US"/>
        </w:rPr>
        <w:t>in future regardless</w:t>
      </w:r>
      <w:r w:rsidR="00B21B73">
        <w:rPr>
          <w:lang w:val="en-US" w:eastAsia="en-US"/>
        </w:rPr>
        <w:t xml:space="preserve"> </w:t>
      </w:r>
      <w:r w:rsidR="00B21B73" w:rsidRPr="0093435D">
        <w:rPr>
          <w:lang w:val="en-US" w:eastAsia="en-US"/>
        </w:rPr>
        <w:t xml:space="preserve">of </w:t>
      </w:r>
      <w:r w:rsidR="00B21B73">
        <w:rPr>
          <w:lang w:val="en-US" w:eastAsia="en-US"/>
        </w:rPr>
        <w:t>perceived benefits of one agency u</w:t>
      </w:r>
      <w:r w:rsidR="00521F23">
        <w:rPr>
          <w:lang w:val="en-US" w:eastAsia="en-US"/>
        </w:rPr>
        <w:t>ndertaking the work themselves</w:t>
      </w:r>
      <w:r w:rsidR="00521F23">
        <w:rPr>
          <w:rStyle w:val="EndnoteReference"/>
          <w:lang w:val="en-US" w:eastAsia="en-US"/>
        </w:rPr>
        <w:endnoteReference w:id="41"/>
      </w:r>
      <w:r w:rsidR="00B21B73" w:rsidRPr="0093435D">
        <w:rPr>
          <w:lang w:val="en-US" w:eastAsia="en-US"/>
        </w:rPr>
        <w:t xml:space="preserve">. </w:t>
      </w:r>
    </w:p>
    <w:p w:rsidR="00A3236A" w:rsidRDefault="00B21B73" w:rsidP="00A3236A">
      <w:pPr>
        <w:rPr>
          <w:lang w:eastAsia="en-US"/>
        </w:rPr>
      </w:pPr>
      <w:r>
        <w:rPr>
          <w:lang w:val="en-US" w:eastAsia="en-US"/>
        </w:rPr>
        <w:t xml:space="preserve">In both cases, there </w:t>
      </w:r>
      <w:r w:rsidR="009446B1">
        <w:rPr>
          <w:lang w:val="en-US" w:eastAsia="en-US"/>
        </w:rPr>
        <w:t>was</w:t>
      </w:r>
      <w:r>
        <w:rPr>
          <w:lang w:val="en-US" w:eastAsia="en-US"/>
        </w:rPr>
        <w:t xml:space="preserve"> no suggestion of fraud or</w:t>
      </w:r>
      <w:r w:rsidR="00521F23">
        <w:rPr>
          <w:lang w:val="en-US" w:eastAsia="en-US"/>
        </w:rPr>
        <w:t xml:space="preserve"> misappropriation </w:t>
      </w:r>
      <w:r>
        <w:rPr>
          <w:lang w:val="en-US" w:eastAsia="en-US"/>
        </w:rPr>
        <w:t xml:space="preserve">associated with these activities. </w:t>
      </w:r>
      <w:r>
        <w:rPr>
          <w:lang w:eastAsia="en-US"/>
        </w:rPr>
        <w:t xml:space="preserve">The process applied was clear in documents available at </w:t>
      </w:r>
      <w:r w:rsidR="004E0202">
        <w:rPr>
          <w:lang w:eastAsia="en-US"/>
        </w:rPr>
        <w:t>Steering Committee</w:t>
      </w:r>
      <w:r>
        <w:rPr>
          <w:lang w:eastAsia="en-US"/>
        </w:rPr>
        <w:t xml:space="preserve"> meetings </w:t>
      </w:r>
      <w:r w:rsidR="00613059">
        <w:rPr>
          <w:lang w:eastAsia="en-US"/>
        </w:rPr>
        <w:t xml:space="preserve">and </w:t>
      </w:r>
      <w:r>
        <w:rPr>
          <w:lang w:eastAsia="en-US"/>
        </w:rPr>
        <w:t>minutes. The breach in Go</w:t>
      </w:r>
      <w:r w:rsidR="000F4D0F">
        <w:rPr>
          <w:lang w:eastAsia="en-US"/>
        </w:rPr>
        <w:t xml:space="preserve">vernment of </w:t>
      </w:r>
      <w:r>
        <w:rPr>
          <w:lang w:eastAsia="en-US"/>
        </w:rPr>
        <w:t>S</w:t>
      </w:r>
      <w:r w:rsidR="000F4D0F">
        <w:rPr>
          <w:lang w:eastAsia="en-US"/>
        </w:rPr>
        <w:t>amoa</w:t>
      </w:r>
      <w:r>
        <w:rPr>
          <w:lang w:eastAsia="en-US"/>
        </w:rPr>
        <w:t xml:space="preserve"> procedures could have been identified by </w:t>
      </w:r>
      <w:proofErr w:type="spellStart"/>
      <w:r w:rsidR="003277C9">
        <w:rPr>
          <w:lang w:eastAsia="en-US"/>
        </w:rPr>
        <w:t>MoF</w:t>
      </w:r>
      <w:proofErr w:type="spellEnd"/>
      <w:r w:rsidR="003277C9">
        <w:rPr>
          <w:lang w:eastAsia="en-US"/>
        </w:rPr>
        <w:t xml:space="preserve"> </w:t>
      </w:r>
      <w:r w:rsidR="0018497C">
        <w:rPr>
          <w:lang w:eastAsia="en-US"/>
        </w:rPr>
        <w:t xml:space="preserve">(who had responsibility for monitoring sector expenditure) </w:t>
      </w:r>
      <w:r w:rsidR="0071774B">
        <w:rPr>
          <w:lang w:eastAsia="en-US"/>
        </w:rPr>
        <w:t>or</w:t>
      </w:r>
      <w:r w:rsidR="003277C9">
        <w:rPr>
          <w:lang w:eastAsia="en-US"/>
        </w:rPr>
        <w:t xml:space="preserve"> </w:t>
      </w:r>
      <w:r w:rsidR="008F78E6">
        <w:rPr>
          <w:lang w:eastAsia="en-US"/>
        </w:rPr>
        <w:t xml:space="preserve">Australian Government officials </w:t>
      </w:r>
      <w:r>
        <w:rPr>
          <w:lang w:eastAsia="en-US"/>
        </w:rPr>
        <w:t xml:space="preserve">had they </w:t>
      </w:r>
      <w:r w:rsidR="004E0202">
        <w:rPr>
          <w:lang w:eastAsia="en-US"/>
        </w:rPr>
        <w:t xml:space="preserve">regularly </w:t>
      </w:r>
      <w:r>
        <w:rPr>
          <w:lang w:eastAsia="en-US"/>
        </w:rPr>
        <w:t xml:space="preserve">attended and actively participated in </w:t>
      </w:r>
      <w:r w:rsidR="004E0202">
        <w:rPr>
          <w:lang w:eastAsia="en-US"/>
        </w:rPr>
        <w:t xml:space="preserve">Steering Committee </w:t>
      </w:r>
      <w:r>
        <w:rPr>
          <w:lang w:eastAsia="en-US"/>
        </w:rPr>
        <w:t xml:space="preserve">meetings. </w:t>
      </w:r>
      <w:r w:rsidR="009446B1">
        <w:rPr>
          <w:lang w:eastAsia="en-US"/>
        </w:rPr>
        <w:t xml:space="preserve">However, </w:t>
      </w:r>
      <w:r w:rsidR="0018497C">
        <w:rPr>
          <w:lang w:eastAsia="en-US"/>
        </w:rPr>
        <w:t xml:space="preserve">neither identified the breach. </w:t>
      </w:r>
      <w:r w:rsidR="008F78E6">
        <w:rPr>
          <w:lang w:eastAsia="en-US"/>
        </w:rPr>
        <w:t>The Australian Government</w:t>
      </w:r>
      <w:r w:rsidR="00A3236A">
        <w:rPr>
          <w:lang w:eastAsia="en-US"/>
        </w:rPr>
        <w:t xml:space="preserve"> first became aware of these breaches through their procurement and public financial management review</w:t>
      </w:r>
      <w:r w:rsidR="009446B1">
        <w:rPr>
          <w:lang w:eastAsia="en-US"/>
        </w:rPr>
        <w:t>s</w:t>
      </w:r>
      <w:r w:rsidR="00F40673">
        <w:rPr>
          <w:rStyle w:val="EndnoteReference"/>
          <w:lang w:eastAsia="en-US"/>
        </w:rPr>
        <w:endnoteReference w:id="42"/>
      </w:r>
      <w:r w:rsidR="00A3236A">
        <w:rPr>
          <w:lang w:eastAsia="en-US"/>
        </w:rPr>
        <w:t xml:space="preserve"> </w:t>
      </w:r>
      <w:r w:rsidR="00F40673">
        <w:rPr>
          <w:lang w:eastAsia="en-US"/>
        </w:rPr>
        <w:t xml:space="preserve">. </w:t>
      </w:r>
      <w:r w:rsidR="00A3236A">
        <w:rPr>
          <w:lang w:eastAsia="en-US"/>
        </w:rPr>
        <w:t xml:space="preserve">Unfortunately, </w:t>
      </w:r>
      <w:r w:rsidR="006B7DDE">
        <w:rPr>
          <w:lang w:eastAsia="en-US"/>
        </w:rPr>
        <w:t xml:space="preserve">as the focus of these reports was on a </w:t>
      </w:r>
      <w:r w:rsidR="00786A06">
        <w:rPr>
          <w:lang w:eastAsia="en-US"/>
        </w:rPr>
        <w:t xml:space="preserve">Canberra-based </w:t>
      </w:r>
      <w:r w:rsidR="006B7DDE">
        <w:rPr>
          <w:lang w:eastAsia="en-US"/>
        </w:rPr>
        <w:t xml:space="preserve">audience, </w:t>
      </w:r>
      <w:r w:rsidR="00A3236A">
        <w:t xml:space="preserve">the tone of </w:t>
      </w:r>
      <w:r w:rsidR="009446B1">
        <w:t xml:space="preserve">reporting of these breaches </w:t>
      </w:r>
      <w:r w:rsidR="00A3236A">
        <w:t>(conveyed through words, punctuation and formatting)</w:t>
      </w:r>
      <w:r w:rsidR="003B717A">
        <w:t xml:space="preserve"> did n</w:t>
      </w:r>
      <w:r w:rsidR="005A1E5A">
        <w:t>ot consider the Samoan audience. A</w:t>
      </w:r>
      <w:r w:rsidR="003277C9">
        <w:t>s a result</w:t>
      </w:r>
      <w:r w:rsidR="00786A06">
        <w:t>,</w:t>
      </w:r>
      <w:r w:rsidR="003277C9">
        <w:t xml:space="preserve"> </w:t>
      </w:r>
      <w:r w:rsidR="00786A06">
        <w:t xml:space="preserve">the </w:t>
      </w:r>
      <w:r w:rsidR="00786A06">
        <w:rPr>
          <w:lang w:eastAsia="en-US"/>
        </w:rPr>
        <w:t>SLJS Steering Committee</w:t>
      </w:r>
      <w:r w:rsidR="00786A06" w:rsidDel="003277C9">
        <w:t xml:space="preserve"> </w:t>
      </w:r>
      <w:r w:rsidR="00786A06">
        <w:t xml:space="preserve">considered the </w:t>
      </w:r>
      <w:r w:rsidR="00786A06">
        <w:rPr>
          <w:lang w:eastAsia="en-US"/>
        </w:rPr>
        <w:t>tone conveyed disrespect and was offensive.  Thus,</w:t>
      </w:r>
      <w:r w:rsidR="00A3236A">
        <w:rPr>
          <w:lang w:eastAsia="en-US"/>
        </w:rPr>
        <w:t xml:space="preserve"> </w:t>
      </w:r>
      <w:r w:rsidR="0005056D">
        <w:rPr>
          <w:lang w:eastAsia="en-US"/>
        </w:rPr>
        <w:t xml:space="preserve">reporting by consultants to meet a new </w:t>
      </w:r>
      <w:r w:rsidR="00577CCB">
        <w:rPr>
          <w:lang w:eastAsia="en-US"/>
        </w:rPr>
        <w:t>Government of Australia</w:t>
      </w:r>
      <w:r w:rsidR="0005056D">
        <w:rPr>
          <w:lang w:eastAsia="en-US"/>
        </w:rPr>
        <w:t xml:space="preserve"> requirement </w:t>
      </w:r>
      <w:r w:rsidR="00A3236A">
        <w:rPr>
          <w:lang w:eastAsia="en-US"/>
        </w:rPr>
        <w:t xml:space="preserve">contributed to a loss of trust for both </w:t>
      </w:r>
      <w:r w:rsidR="008F78E6">
        <w:rPr>
          <w:lang w:eastAsia="en-US"/>
        </w:rPr>
        <w:t>the Australian Government</w:t>
      </w:r>
      <w:r w:rsidR="00A3236A">
        <w:rPr>
          <w:lang w:eastAsia="en-US"/>
        </w:rPr>
        <w:t xml:space="preserve"> and the Steering Committee</w:t>
      </w:r>
      <w:r w:rsidR="00D33773">
        <w:rPr>
          <w:rStyle w:val="EndnoteReference"/>
          <w:lang w:eastAsia="en-US"/>
        </w:rPr>
        <w:endnoteReference w:id="43"/>
      </w:r>
      <w:r w:rsidR="0071774B">
        <w:rPr>
          <w:lang w:eastAsia="en-US"/>
        </w:rPr>
        <w:t>,</w:t>
      </w:r>
      <w:r w:rsidR="00A3236A">
        <w:rPr>
          <w:lang w:eastAsia="en-US"/>
        </w:rPr>
        <w:t xml:space="preserve"> adversely impacted their relationship</w:t>
      </w:r>
      <w:r w:rsidR="009446B1">
        <w:rPr>
          <w:lang w:eastAsia="en-US"/>
        </w:rPr>
        <w:t xml:space="preserve"> (refer </w:t>
      </w:r>
      <w:r w:rsidR="00B63747">
        <w:rPr>
          <w:lang w:eastAsia="en-US"/>
        </w:rPr>
        <w:t>Appendix J</w:t>
      </w:r>
      <w:r w:rsidR="0071774B">
        <w:rPr>
          <w:lang w:eastAsia="en-US"/>
        </w:rPr>
        <w:t xml:space="preserve">) and contributed to the Steering Committee’s slow recognition that these actions were breaches </w:t>
      </w:r>
      <w:r w:rsidR="00A3236A" w:rsidRPr="00A3236A">
        <w:rPr>
          <w:lang w:eastAsia="en-US"/>
        </w:rPr>
        <w:t xml:space="preserve"> </w:t>
      </w:r>
      <w:r w:rsidR="0071774B">
        <w:rPr>
          <w:lang w:eastAsia="en-US"/>
        </w:rPr>
        <w:t xml:space="preserve">of agreed procedures. </w:t>
      </w:r>
      <w:r w:rsidR="00A3236A">
        <w:rPr>
          <w:lang w:eastAsia="en-US"/>
        </w:rPr>
        <w:t xml:space="preserve"> </w:t>
      </w:r>
    </w:p>
    <w:p w:rsidR="00A3236A" w:rsidRDefault="00B21B73" w:rsidP="002A72C7">
      <w:pPr>
        <w:rPr>
          <w:lang w:eastAsia="en-US"/>
        </w:rPr>
      </w:pPr>
      <w:r>
        <w:rPr>
          <w:lang w:eastAsia="en-US"/>
        </w:rPr>
        <w:t xml:space="preserve">Both </w:t>
      </w:r>
      <w:r w:rsidR="00A3236A">
        <w:rPr>
          <w:lang w:eastAsia="en-US"/>
        </w:rPr>
        <w:t>breaches</w:t>
      </w:r>
      <w:r>
        <w:rPr>
          <w:lang w:eastAsia="en-US"/>
        </w:rPr>
        <w:t xml:space="preserve"> were a learning experience for the Secretariat and </w:t>
      </w:r>
      <w:r w:rsidR="004E0202">
        <w:rPr>
          <w:lang w:eastAsia="en-US"/>
        </w:rPr>
        <w:t>Steering Committee</w:t>
      </w:r>
      <w:r>
        <w:rPr>
          <w:lang w:eastAsia="en-US"/>
        </w:rPr>
        <w:t>. Therefore, this review considers that while a breach of process, t</w:t>
      </w:r>
      <w:r w:rsidR="004E0202">
        <w:rPr>
          <w:lang w:eastAsia="en-US"/>
        </w:rPr>
        <w:t xml:space="preserve">he focus should be on learning </w:t>
      </w:r>
      <w:r>
        <w:rPr>
          <w:lang w:eastAsia="en-US"/>
        </w:rPr>
        <w:t>to avoid similar situations in the future. On this basis, a series of recommendations follow</w:t>
      </w:r>
      <w:r w:rsidR="004E0202">
        <w:rPr>
          <w:lang w:eastAsia="en-US"/>
        </w:rPr>
        <w:t xml:space="preserve"> to help avoid this situation. </w:t>
      </w:r>
    </w:p>
    <w:p w:rsidR="00B21B73" w:rsidRDefault="00B21B73" w:rsidP="00521F23">
      <w:pPr>
        <w:pStyle w:val="RecommendationName"/>
      </w:pPr>
      <w:r>
        <w:t xml:space="preserve">Recommendation: </w:t>
      </w:r>
    </w:p>
    <w:p w:rsidR="00B21B73" w:rsidRPr="00521F23" w:rsidRDefault="00B21B73" w:rsidP="00521F23">
      <w:pPr>
        <w:pStyle w:val="RecommendationEnd"/>
      </w:pPr>
      <w:proofErr w:type="gramStart"/>
      <w:r w:rsidRPr="00521F23">
        <w:t xml:space="preserve">When sector funding commences </w:t>
      </w:r>
      <w:r w:rsidR="00577CCB">
        <w:t>the Australian Government</w:t>
      </w:r>
      <w:r w:rsidRPr="00521F23">
        <w:t xml:space="preserve"> and partner agency/Secretariat work closely together to ensure that processes are understood by all parties.</w:t>
      </w:r>
      <w:proofErr w:type="gramEnd"/>
      <w:r w:rsidRPr="00521F23">
        <w:t xml:space="preserve"> </w:t>
      </w:r>
    </w:p>
    <w:p w:rsidR="00B21B73" w:rsidRDefault="00577CCB" w:rsidP="00521F23">
      <w:pPr>
        <w:pStyle w:val="RecommendationEnd"/>
      </w:pPr>
      <w:r>
        <w:t>The Australian Government</w:t>
      </w:r>
      <w:r w:rsidR="00B21B73" w:rsidRPr="00521F23">
        <w:t xml:space="preserve"> monitor compliance more closely at the start of an initiative to ensure procedural compliance. </w:t>
      </w:r>
    </w:p>
    <w:p w:rsidR="00254954" w:rsidRPr="00521F23" w:rsidRDefault="00254954" w:rsidP="00521F23">
      <w:pPr>
        <w:pStyle w:val="RecommendationEnd"/>
      </w:pPr>
      <w:r w:rsidRPr="00254954">
        <w:t>In all communication, work from a basis of partnership and trust rather than adopting an adversarial tone and ensure open and direct communication.</w:t>
      </w:r>
    </w:p>
    <w:p w:rsidR="00B21B73" w:rsidRDefault="00B21B73" w:rsidP="00130DB3">
      <w:pPr>
        <w:pStyle w:val="Heading2"/>
      </w:pPr>
      <w:bookmarkStart w:id="33" w:name="_Toc431828769"/>
      <w:bookmarkStart w:id="34" w:name="_Toc431828770"/>
      <w:bookmarkEnd w:id="33"/>
      <w:r>
        <w:t>Projects</w:t>
      </w:r>
      <w:bookmarkEnd w:id="34"/>
    </w:p>
    <w:p w:rsidR="00B21B73" w:rsidRDefault="00B21B73" w:rsidP="00455202">
      <w:pPr>
        <w:pStyle w:val="Heading3"/>
      </w:pPr>
      <w:r>
        <w:t>Project proposal assessment</w:t>
      </w:r>
    </w:p>
    <w:p w:rsidR="00B21B73" w:rsidRPr="0093435D" w:rsidRDefault="00B21B73" w:rsidP="00455202">
      <w:pPr>
        <w:rPr>
          <w:lang w:val="en-US" w:eastAsia="en-US"/>
        </w:rPr>
      </w:pPr>
      <w:r>
        <w:rPr>
          <w:lang w:val="en-US" w:eastAsia="en-US"/>
        </w:rPr>
        <w:t xml:space="preserve">The Steering Committee </w:t>
      </w:r>
      <w:r w:rsidR="00521F23">
        <w:rPr>
          <w:lang w:val="en-US" w:eastAsia="en-US"/>
        </w:rPr>
        <w:t>applied</w:t>
      </w:r>
      <w:r>
        <w:rPr>
          <w:lang w:val="en-US" w:eastAsia="en-US"/>
        </w:rPr>
        <w:t xml:space="preserve"> a clear (though undocumented) procedure for assessment of proposals. </w:t>
      </w:r>
      <w:r w:rsidR="005F55FA">
        <w:rPr>
          <w:lang w:val="en-US" w:eastAsia="en-US"/>
        </w:rPr>
        <w:t>I</w:t>
      </w:r>
      <w:r>
        <w:rPr>
          <w:lang w:val="en-US" w:eastAsia="en-US"/>
        </w:rPr>
        <w:t xml:space="preserve">nformation </w:t>
      </w:r>
      <w:r w:rsidR="005F55FA">
        <w:rPr>
          <w:lang w:val="en-US" w:eastAsia="en-US"/>
        </w:rPr>
        <w:t xml:space="preserve">was </w:t>
      </w:r>
      <w:r>
        <w:rPr>
          <w:lang w:val="en-US" w:eastAsia="en-US"/>
        </w:rPr>
        <w:t xml:space="preserve">submitted </w:t>
      </w:r>
      <w:r w:rsidR="00521F23">
        <w:rPr>
          <w:lang w:val="en-US" w:eastAsia="en-US"/>
        </w:rPr>
        <w:t xml:space="preserve">for each proposal </w:t>
      </w:r>
      <w:r>
        <w:rPr>
          <w:lang w:val="en-US" w:eastAsia="en-US"/>
        </w:rPr>
        <w:t xml:space="preserve">in a very detailed form. Consequently, </w:t>
      </w:r>
      <w:r>
        <w:rPr>
          <w:lang w:val="en-US" w:eastAsia="en-US"/>
        </w:rPr>
        <w:lastRenderedPageBreak/>
        <w:t>there was adequate information available to assess proposals. However, there was</w:t>
      </w:r>
      <w:r w:rsidRPr="0093435D">
        <w:rPr>
          <w:lang w:val="en-US" w:eastAsia="en-US"/>
        </w:rPr>
        <w:t xml:space="preserve"> </w:t>
      </w:r>
      <w:r>
        <w:rPr>
          <w:lang w:val="en-US" w:eastAsia="en-US"/>
        </w:rPr>
        <w:t>no</w:t>
      </w:r>
      <w:r w:rsidRPr="0093435D">
        <w:rPr>
          <w:lang w:val="en-US" w:eastAsia="en-US"/>
        </w:rPr>
        <w:t xml:space="preserve"> specific set of </w:t>
      </w:r>
      <w:r>
        <w:rPr>
          <w:lang w:val="en-US" w:eastAsia="en-US"/>
        </w:rPr>
        <w:t xml:space="preserve">agreed </w:t>
      </w:r>
      <w:r w:rsidRPr="0093435D">
        <w:rPr>
          <w:lang w:val="en-US" w:eastAsia="en-US"/>
        </w:rPr>
        <w:t xml:space="preserve">criteria </w:t>
      </w:r>
      <w:r w:rsidR="004E0202">
        <w:rPr>
          <w:lang w:val="en-US" w:eastAsia="en-US"/>
        </w:rPr>
        <w:t xml:space="preserve">against which to assess or </w:t>
      </w:r>
      <w:proofErr w:type="spellStart"/>
      <w:r w:rsidR="004E0202">
        <w:rPr>
          <w:lang w:val="en-US" w:eastAsia="en-US"/>
        </w:rPr>
        <w:t>prio</w:t>
      </w:r>
      <w:r w:rsidRPr="0093435D">
        <w:rPr>
          <w:lang w:val="en-US" w:eastAsia="en-US"/>
        </w:rPr>
        <w:t>ritise</w:t>
      </w:r>
      <w:proofErr w:type="spellEnd"/>
      <w:r w:rsidRPr="0093435D">
        <w:rPr>
          <w:lang w:val="en-US" w:eastAsia="en-US"/>
        </w:rPr>
        <w:t xml:space="preserve"> proposals. </w:t>
      </w:r>
    </w:p>
    <w:p w:rsidR="00B21B73" w:rsidRDefault="00B21B73" w:rsidP="00EC097A">
      <w:pPr>
        <w:rPr>
          <w:lang w:val="en-US" w:eastAsia="en-US"/>
        </w:rPr>
      </w:pPr>
      <w:r>
        <w:rPr>
          <w:lang w:val="en-US" w:eastAsia="en-US"/>
        </w:rPr>
        <w:t xml:space="preserve">There was an undocumented general understanding that </w:t>
      </w:r>
      <w:r w:rsidR="00577CCB" w:rsidRPr="00577CCB">
        <w:rPr>
          <w:lang w:val="en-US" w:eastAsia="en-US"/>
        </w:rPr>
        <w:t xml:space="preserve">Australian Government </w:t>
      </w:r>
      <w:r>
        <w:rPr>
          <w:lang w:val="en-US" w:eastAsia="en-US"/>
        </w:rPr>
        <w:t xml:space="preserve">funding was </w:t>
      </w:r>
      <w:r w:rsidRPr="0093435D">
        <w:rPr>
          <w:lang w:val="en-US" w:eastAsia="en-US"/>
        </w:rPr>
        <w:t>for activities that benefit</w:t>
      </w:r>
      <w:r w:rsidR="005F55FA">
        <w:rPr>
          <w:lang w:val="en-US" w:eastAsia="en-US"/>
        </w:rPr>
        <w:t>ed</w:t>
      </w:r>
      <w:r w:rsidRPr="0093435D">
        <w:rPr>
          <w:lang w:val="en-US" w:eastAsia="en-US"/>
        </w:rPr>
        <w:t xml:space="preserve"> the whole sector (usually multi-agency responsibility) rather than </w:t>
      </w:r>
      <w:r w:rsidR="005F55FA">
        <w:rPr>
          <w:lang w:val="en-US" w:eastAsia="en-US"/>
        </w:rPr>
        <w:t>a single agency</w:t>
      </w:r>
      <w:r w:rsidRPr="0093435D">
        <w:rPr>
          <w:lang w:val="en-US" w:eastAsia="en-US"/>
        </w:rPr>
        <w:t>.</w:t>
      </w:r>
      <w:r>
        <w:rPr>
          <w:lang w:val="en-US" w:eastAsia="en-US"/>
        </w:rPr>
        <w:t xml:space="preserve"> This understanding was reflected in the projects on which expenditure occurred (Appendix </w:t>
      </w:r>
      <w:r w:rsidR="008D7761">
        <w:rPr>
          <w:lang w:val="en-US" w:eastAsia="en-US"/>
        </w:rPr>
        <w:t>K</w:t>
      </w:r>
      <w:r>
        <w:rPr>
          <w:lang w:val="en-US" w:eastAsia="en-US"/>
        </w:rPr>
        <w:t xml:space="preserve">). Despite this, a number of </w:t>
      </w:r>
      <w:r w:rsidR="007B18C4">
        <w:rPr>
          <w:lang w:val="en-US" w:eastAsia="en-US"/>
        </w:rPr>
        <w:t xml:space="preserve">interviewees from smaller stakeholders </w:t>
      </w:r>
      <w:r w:rsidRPr="0093435D">
        <w:rPr>
          <w:lang w:val="en-US" w:eastAsia="en-US"/>
        </w:rPr>
        <w:t>expected funding was available to support activities related to a single agency</w:t>
      </w:r>
      <w:r>
        <w:rPr>
          <w:lang w:val="en-US" w:eastAsia="en-US"/>
        </w:rPr>
        <w:t xml:space="preserve">. In some cases, where the agency did not obtain significant funding for their proposed projects, this led to a perception of </w:t>
      </w:r>
      <w:r w:rsidR="00697D22">
        <w:rPr>
          <w:lang w:val="en-US" w:eastAsia="en-US"/>
        </w:rPr>
        <w:t xml:space="preserve">bias in the selection process. </w:t>
      </w:r>
      <w:r>
        <w:rPr>
          <w:lang w:val="en-US" w:eastAsia="en-US"/>
        </w:rPr>
        <w:t xml:space="preserve">Other </w:t>
      </w:r>
      <w:proofErr w:type="spellStart"/>
      <w:r>
        <w:rPr>
          <w:lang w:val="en-US" w:eastAsia="en-US"/>
        </w:rPr>
        <w:t>organisations</w:t>
      </w:r>
      <w:proofErr w:type="spellEnd"/>
      <w:r>
        <w:rPr>
          <w:lang w:val="en-US" w:eastAsia="en-US"/>
        </w:rPr>
        <w:t xml:space="preserve"> were unclear whether CBO could propose projects. The establishment and communication of selection criteria would help avoid this situation. </w:t>
      </w:r>
    </w:p>
    <w:p w:rsidR="008C4FDE" w:rsidRDefault="00B21B73" w:rsidP="008C4FDE">
      <w:pPr>
        <w:pStyle w:val="RecommendationName"/>
        <w:rPr>
          <w:lang w:eastAsia="en-US"/>
        </w:rPr>
      </w:pPr>
      <w:r>
        <w:rPr>
          <w:lang w:eastAsia="en-US"/>
        </w:rPr>
        <w:t xml:space="preserve">Recommendation: </w:t>
      </w:r>
    </w:p>
    <w:p w:rsidR="00B21B73" w:rsidRDefault="00B21B73" w:rsidP="008C4FDE">
      <w:pPr>
        <w:pStyle w:val="RecommendationEnd"/>
        <w:rPr>
          <w:lang w:val="en-US"/>
        </w:rPr>
      </w:pPr>
      <w:r>
        <w:rPr>
          <w:lang w:val="en-US"/>
        </w:rPr>
        <w:t xml:space="preserve">The </w:t>
      </w:r>
      <w:r w:rsidR="008C4FDE">
        <w:rPr>
          <w:lang w:val="en-US"/>
        </w:rPr>
        <w:t>Steering Committee</w:t>
      </w:r>
      <w:r>
        <w:rPr>
          <w:lang w:val="en-US"/>
        </w:rPr>
        <w:t xml:space="preserve"> establish and communicate criteria for </w:t>
      </w:r>
      <w:r w:rsidR="008C4FDE">
        <w:rPr>
          <w:lang w:val="en-US"/>
        </w:rPr>
        <w:t xml:space="preserve">project </w:t>
      </w:r>
      <w:r>
        <w:rPr>
          <w:lang w:val="en-US"/>
        </w:rPr>
        <w:t xml:space="preserve">selection. </w:t>
      </w:r>
    </w:p>
    <w:p w:rsidR="00B21B73" w:rsidRPr="0093435D" w:rsidRDefault="00B21B73" w:rsidP="00130DB3">
      <w:pPr>
        <w:pStyle w:val="Heading3"/>
      </w:pPr>
      <w:r w:rsidRPr="0093435D">
        <w:t>Activities seen to be initiated by DFAT</w:t>
      </w:r>
    </w:p>
    <w:p w:rsidR="00B21B73" w:rsidRDefault="00B21B73" w:rsidP="00130DB3">
      <w:pPr>
        <w:rPr>
          <w:lang w:val="en-US" w:eastAsia="en-US"/>
        </w:rPr>
      </w:pPr>
      <w:r>
        <w:rPr>
          <w:lang w:val="en-US" w:eastAsia="en-US"/>
        </w:rPr>
        <w:t xml:space="preserve">Most activities were identified, planned, </w:t>
      </w:r>
      <w:r w:rsidR="00697D22">
        <w:rPr>
          <w:lang w:val="en-US" w:eastAsia="en-US"/>
        </w:rPr>
        <w:t>implemented</w:t>
      </w:r>
      <w:r>
        <w:rPr>
          <w:lang w:val="en-US" w:eastAsia="en-US"/>
        </w:rPr>
        <w:t xml:space="preserve"> and driven by the SLJS</w:t>
      </w:r>
      <w:r w:rsidR="00697D22">
        <w:rPr>
          <w:lang w:val="en-US" w:eastAsia="en-US"/>
        </w:rPr>
        <w:t xml:space="preserve">. SLJS has used all outputs they initiated and directed. </w:t>
      </w:r>
      <w:r>
        <w:rPr>
          <w:lang w:val="en-US" w:eastAsia="en-US"/>
        </w:rPr>
        <w:t xml:space="preserve">However, </w:t>
      </w:r>
      <w:r w:rsidR="003C64CF">
        <w:rPr>
          <w:lang w:val="en-US" w:eastAsia="en-US"/>
        </w:rPr>
        <w:t xml:space="preserve">a small number of </w:t>
      </w:r>
      <w:r w:rsidR="00697D22">
        <w:rPr>
          <w:lang w:val="en-US" w:eastAsia="en-US"/>
        </w:rPr>
        <w:t xml:space="preserve">activities </w:t>
      </w:r>
      <w:r w:rsidR="005A1E5A">
        <w:rPr>
          <w:lang w:val="en-US" w:eastAsia="en-US"/>
        </w:rPr>
        <w:t xml:space="preserve">agreed to by the SLJS </w:t>
      </w:r>
      <w:r>
        <w:rPr>
          <w:lang w:val="en-US" w:eastAsia="en-US"/>
        </w:rPr>
        <w:t xml:space="preserve">were </w:t>
      </w:r>
      <w:r w:rsidR="004E0202">
        <w:rPr>
          <w:lang w:val="en-US" w:eastAsia="en-US"/>
        </w:rPr>
        <w:t>perceived</w:t>
      </w:r>
      <w:r>
        <w:rPr>
          <w:lang w:val="en-US" w:eastAsia="en-US"/>
        </w:rPr>
        <w:t xml:space="preserve"> to be driven by </w:t>
      </w:r>
      <w:r w:rsidR="00577CCB">
        <w:rPr>
          <w:lang w:val="en-US" w:eastAsia="en-US"/>
        </w:rPr>
        <w:t xml:space="preserve">the </w:t>
      </w:r>
      <w:r w:rsidR="00577CCB" w:rsidRPr="00577CCB">
        <w:rPr>
          <w:lang w:val="en-US" w:eastAsia="en-US"/>
        </w:rPr>
        <w:t>Australian Government</w:t>
      </w:r>
      <w:r>
        <w:rPr>
          <w:lang w:val="en-US" w:eastAsia="en-US"/>
        </w:rPr>
        <w:t xml:space="preserve">. These were either activities </w:t>
      </w:r>
      <w:r w:rsidR="00432AC8">
        <w:rPr>
          <w:lang w:val="en-US" w:eastAsia="en-US"/>
        </w:rPr>
        <w:t>considered</w:t>
      </w:r>
      <w:r>
        <w:rPr>
          <w:lang w:val="en-US" w:eastAsia="en-US"/>
        </w:rPr>
        <w:t xml:space="preserve"> critical for the new sector</w:t>
      </w:r>
      <w:r w:rsidR="0045042C">
        <w:rPr>
          <w:lang w:val="en-US" w:eastAsia="en-US"/>
        </w:rPr>
        <w:t>’s functioning</w:t>
      </w:r>
      <w:r w:rsidR="00786852">
        <w:rPr>
          <w:lang w:val="en-US" w:eastAsia="en-US"/>
        </w:rPr>
        <w:t xml:space="preserve"> </w:t>
      </w:r>
      <w:r>
        <w:rPr>
          <w:lang w:val="en-US" w:eastAsia="en-US"/>
        </w:rPr>
        <w:t xml:space="preserve">or for the development of the new design. These activities were not efficient. </w:t>
      </w:r>
    </w:p>
    <w:p w:rsidR="00432AC8" w:rsidRDefault="00432AC8" w:rsidP="00130DB3">
      <w:pPr>
        <w:rPr>
          <w:lang w:val="en-US" w:eastAsia="en-US"/>
        </w:rPr>
      </w:pPr>
      <w:r>
        <w:rPr>
          <w:lang w:val="en-US" w:eastAsia="en-US"/>
        </w:rPr>
        <w:t>W</w:t>
      </w:r>
      <w:r w:rsidR="00B21B73">
        <w:rPr>
          <w:lang w:val="en-US" w:eastAsia="en-US"/>
        </w:rPr>
        <w:t xml:space="preserve">hen the sector was </w:t>
      </w:r>
      <w:r>
        <w:rPr>
          <w:lang w:val="en-US" w:eastAsia="en-US"/>
        </w:rPr>
        <w:t xml:space="preserve">established, </w:t>
      </w:r>
      <w:r w:rsidR="00577CCB">
        <w:rPr>
          <w:lang w:val="en-US" w:eastAsia="en-US"/>
        </w:rPr>
        <w:t xml:space="preserve">the </w:t>
      </w:r>
      <w:r w:rsidR="00577CCB" w:rsidRPr="00577CCB">
        <w:rPr>
          <w:lang w:val="en-US" w:eastAsia="en-US"/>
        </w:rPr>
        <w:t>Australian Government</w:t>
      </w:r>
      <w:r>
        <w:rPr>
          <w:lang w:val="en-US" w:eastAsia="en-US"/>
        </w:rPr>
        <w:t xml:space="preserve"> </w:t>
      </w:r>
      <w:r w:rsidR="004D5C3F">
        <w:rPr>
          <w:lang w:val="en-US" w:eastAsia="en-US"/>
        </w:rPr>
        <w:t>engaged</w:t>
      </w:r>
      <w:r>
        <w:rPr>
          <w:lang w:val="en-US" w:eastAsia="en-US"/>
        </w:rPr>
        <w:t xml:space="preserve"> </w:t>
      </w:r>
      <w:r w:rsidR="00554645">
        <w:rPr>
          <w:lang w:val="en-US" w:eastAsia="en-US"/>
        </w:rPr>
        <w:t xml:space="preserve">several </w:t>
      </w:r>
      <w:r w:rsidR="004D5C3F">
        <w:rPr>
          <w:lang w:val="en-US" w:eastAsia="en-US"/>
        </w:rPr>
        <w:t>short-term specialist</w:t>
      </w:r>
      <w:r w:rsidR="00554645">
        <w:rPr>
          <w:lang w:val="en-US" w:eastAsia="en-US"/>
        </w:rPr>
        <w:t>s</w:t>
      </w:r>
      <w:r w:rsidR="004D5C3F">
        <w:rPr>
          <w:lang w:val="en-US" w:eastAsia="en-US"/>
        </w:rPr>
        <w:t xml:space="preserve"> </w:t>
      </w:r>
      <w:r w:rsidR="00554645">
        <w:rPr>
          <w:lang w:val="en-US" w:eastAsia="en-US"/>
        </w:rPr>
        <w:t xml:space="preserve">to develop </w:t>
      </w:r>
      <w:r>
        <w:rPr>
          <w:lang w:val="en-US" w:eastAsia="en-US"/>
        </w:rPr>
        <w:t xml:space="preserve">a series of studies to support </w:t>
      </w:r>
      <w:r w:rsidR="00697D22">
        <w:rPr>
          <w:lang w:val="en-US" w:eastAsia="en-US"/>
        </w:rPr>
        <w:t>establishing the</w:t>
      </w:r>
      <w:r>
        <w:rPr>
          <w:lang w:val="en-US" w:eastAsia="en-US"/>
        </w:rPr>
        <w:t xml:space="preserve"> sector</w:t>
      </w:r>
      <w:r w:rsidR="00B21B73">
        <w:rPr>
          <w:lang w:val="en-US" w:eastAsia="en-US"/>
        </w:rPr>
        <w:t xml:space="preserve">. </w:t>
      </w:r>
      <w:r w:rsidR="00554645">
        <w:rPr>
          <w:lang w:val="en-US" w:eastAsia="en-US"/>
        </w:rPr>
        <w:t>Following consultation with the SLJS agencies, the specialist wrote the</w:t>
      </w:r>
      <w:r w:rsidR="00697D22">
        <w:rPr>
          <w:lang w:val="en-US" w:eastAsia="en-US"/>
        </w:rPr>
        <w:t xml:space="preserve"> study</w:t>
      </w:r>
      <w:r w:rsidR="00B21B73">
        <w:rPr>
          <w:lang w:val="en-US" w:eastAsia="en-US"/>
        </w:rPr>
        <w:t xml:space="preserve">. As a result, </w:t>
      </w:r>
      <w:r w:rsidR="00917A04">
        <w:rPr>
          <w:lang w:val="en-US" w:eastAsia="en-US"/>
        </w:rPr>
        <w:t>even where</w:t>
      </w:r>
      <w:r>
        <w:rPr>
          <w:lang w:val="en-US" w:eastAsia="en-US"/>
        </w:rPr>
        <w:t xml:space="preserve"> SLJS </w:t>
      </w:r>
      <w:r w:rsidR="00917A04">
        <w:rPr>
          <w:lang w:val="en-US" w:eastAsia="en-US"/>
        </w:rPr>
        <w:t xml:space="preserve">supported the activity they </w:t>
      </w:r>
      <w:r>
        <w:rPr>
          <w:lang w:val="en-US" w:eastAsia="en-US"/>
        </w:rPr>
        <w:t xml:space="preserve">had </w:t>
      </w:r>
      <w:r w:rsidR="00B21B73">
        <w:rPr>
          <w:lang w:val="en-US" w:eastAsia="en-US"/>
        </w:rPr>
        <w:t xml:space="preserve">no ownership of the documents produced. In some cases, </w:t>
      </w:r>
      <w:r>
        <w:rPr>
          <w:lang w:val="en-US" w:eastAsia="en-US"/>
        </w:rPr>
        <w:t>the documents</w:t>
      </w:r>
      <w:r w:rsidR="00B21B73">
        <w:rPr>
          <w:lang w:val="en-US" w:eastAsia="en-US"/>
        </w:rPr>
        <w:t xml:space="preserve"> were unnecessarily complex (</w:t>
      </w:r>
      <w:r w:rsidR="00577CCB">
        <w:rPr>
          <w:lang w:val="en-US" w:eastAsia="en-US"/>
        </w:rPr>
        <w:t>AusAID</w:t>
      </w:r>
      <w:r w:rsidR="00B21B73">
        <w:rPr>
          <w:lang w:val="en-US" w:eastAsia="en-US"/>
        </w:rPr>
        <w:t xml:space="preserve">, 2012, p. 21) and the SLJS did not know how to apply </w:t>
      </w:r>
      <w:r>
        <w:rPr>
          <w:lang w:val="en-US" w:eastAsia="en-US"/>
        </w:rPr>
        <w:t>them</w:t>
      </w:r>
      <w:r w:rsidR="00554645">
        <w:rPr>
          <w:lang w:val="en-US" w:eastAsia="en-US"/>
        </w:rPr>
        <w:t>. Consequently</w:t>
      </w:r>
      <w:r w:rsidR="00B21B73">
        <w:rPr>
          <w:lang w:val="en-US" w:eastAsia="en-US"/>
        </w:rPr>
        <w:t xml:space="preserve">, none of these documents </w:t>
      </w:r>
      <w:r>
        <w:rPr>
          <w:lang w:val="en-US" w:eastAsia="en-US"/>
        </w:rPr>
        <w:t>were</w:t>
      </w:r>
      <w:r w:rsidR="00B21B73">
        <w:rPr>
          <w:lang w:val="en-US" w:eastAsia="en-US"/>
        </w:rPr>
        <w:t xml:space="preserve"> used. </w:t>
      </w:r>
    </w:p>
    <w:p w:rsidR="00432AC8" w:rsidRDefault="00B21B73" w:rsidP="00432AC8">
      <w:pPr>
        <w:rPr>
          <w:lang w:val="en-US" w:eastAsia="en-US"/>
        </w:rPr>
      </w:pPr>
      <w:r>
        <w:rPr>
          <w:lang w:val="en-US" w:eastAsia="en-US"/>
        </w:rPr>
        <w:t>Similarly, s</w:t>
      </w:r>
      <w:r w:rsidRPr="0093435D">
        <w:rPr>
          <w:lang w:val="en-US" w:eastAsia="en-US"/>
        </w:rPr>
        <w:t xml:space="preserve">takeholders </w:t>
      </w:r>
      <w:r w:rsidR="00672EAB">
        <w:rPr>
          <w:lang w:val="en-US" w:eastAsia="en-US"/>
        </w:rPr>
        <w:t>had limited involvement in planning</w:t>
      </w:r>
      <w:r w:rsidR="00672EAB" w:rsidRPr="0093435D">
        <w:rPr>
          <w:lang w:val="en-US" w:eastAsia="en-US"/>
        </w:rPr>
        <w:t xml:space="preserve"> </w:t>
      </w:r>
      <w:r>
        <w:rPr>
          <w:lang w:val="en-US" w:eastAsia="en-US"/>
        </w:rPr>
        <w:t xml:space="preserve">activities </w:t>
      </w:r>
      <w:r w:rsidR="00577CCB">
        <w:rPr>
          <w:lang w:val="en-US" w:eastAsia="en-US"/>
        </w:rPr>
        <w:t xml:space="preserve">the </w:t>
      </w:r>
      <w:r w:rsidR="00577CCB" w:rsidRPr="00577CCB">
        <w:rPr>
          <w:lang w:val="en-US" w:eastAsia="en-US"/>
        </w:rPr>
        <w:t>Australian Government</w:t>
      </w:r>
      <w:r>
        <w:rPr>
          <w:lang w:val="en-US" w:eastAsia="en-US"/>
        </w:rPr>
        <w:t xml:space="preserve"> initiated related to development of the design</w:t>
      </w:r>
      <w:r w:rsidR="00672EAB">
        <w:rPr>
          <w:lang w:val="en-US" w:eastAsia="en-US"/>
        </w:rPr>
        <w:t xml:space="preserve"> and</w:t>
      </w:r>
      <w:r w:rsidR="00672EAB" w:rsidRPr="00672EAB">
        <w:rPr>
          <w:lang w:val="en-US" w:eastAsia="en-US"/>
        </w:rPr>
        <w:t xml:space="preserve"> </w:t>
      </w:r>
      <w:r w:rsidR="00672EAB" w:rsidRPr="0093435D">
        <w:rPr>
          <w:lang w:val="en-US" w:eastAsia="en-US"/>
        </w:rPr>
        <w:t xml:space="preserve">did not understand </w:t>
      </w:r>
      <w:r w:rsidR="00672EAB">
        <w:rPr>
          <w:lang w:val="en-US" w:eastAsia="en-US"/>
        </w:rPr>
        <w:t>the design</w:t>
      </w:r>
      <w:r w:rsidR="0005056D">
        <w:rPr>
          <w:lang w:val="en-US" w:eastAsia="en-US"/>
        </w:rPr>
        <w:t>’</w:t>
      </w:r>
      <w:r w:rsidR="00672EAB">
        <w:rPr>
          <w:lang w:val="en-US" w:eastAsia="en-US"/>
        </w:rPr>
        <w:t>s purpose</w:t>
      </w:r>
      <w:r w:rsidR="00672EAB">
        <w:rPr>
          <w:rStyle w:val="EndnoteReference"/>
          <w:lang w:val="en-US" w:eastAsia="en-US"/>
        </w:rPr>
        <w:endnoteReference w:id="44"/>
      </w:r>
      <w:r w:rsidR="00672EAB">
        <w:rPr>
          <w:lang w:val="en-US" w:eastAsia="en-US"/>
        </w:rPr>
        <w:t xml:space="preserve">. </w:t>
      </w:r>
      <w:r>
        <w:rPr>
          <w:lang w:val="en-US" w:eastAsia="en-US"/>
        </w:rPr>
        <w:t xml:space="preserve">In </w:t>
      </w:r>
      <w:r w:rsidR="002F28BF">
        <w:rPr>
          <w:lang w:val="en-US" w:eastAsia="en-US"/>
        </w:rPr>
        <w:t>addition, key elements of some of these documents are unreadable</w:t>
      </w:r>
      <w:r w:rsidR="00F40673">
        <w:rPr>
          <w:rStyle w:val="EndnoteReference"/>
          <w:lang w:val="en-US" w:eastAsia="en-US"/>
        </w:rPr>
        <w:endnoteReference w:id="45"/>
      </w:r>
      <w:r w:rsidR="002F28BF">
        <w:rPr>
          <w:lang w:val="en-US" w:eastAsia="en-US"/>
        </w:rPr>
        <w:t xml:space="preserve">, in others </w:t>
      </w:r>
      <w:r>
        <w:rPr>
          <w:lang w:val="en-US" w:eastAsia="en-US"/>
        </w:rPr>
        <w:t>the wording and formatting of the Executive Summary is likely to cause offence to any Samoan reader</w:t>
      </w:r>
      <w:r w:rsidR="0005056D">
        <w:rPr>
          <w:rStyle w:val="EndnoteReference"/>
          <w:lang w:eastAsia="en-US"/>
        </w:rPr>
        <w:endnoteReference w:id="46"/>
      </w:r>
      <w:r w:rsidR="003668EE">
        <w:rPr>
          <w:lang w:val="en-US" w:eastAsia="en-US"/>
        </w:rPr>
        <w:t xml:space="preserve"> (refer </w:t>
      </w:r>
      <w:r w:rsidR="00B63747">
        <w:rPr>
          <w:lang w:val="en-US" w:eastAsia="en-US"/>
        </w:rPr>
        <w:t>Appendix J</w:t>
      </w:r>
      <w:r w:rsidR="003668EE">
        <w:rPr>
          <w:lang w:val="en-US" w:eastAsia="en-US"/>
        </w:rPr>
        <w:t>)</w:t>
      </w:r>
      <w:r>
        <w:rPr>
          <w:lang w:val="en-US" w:eastAsia="en-US"/>
        </w:rPr>
        <w:t xml:space="preserve">. </w:t>
      </w:r>
      <w:r w:rsidR="002F28BF">
        <w:rPr>
          <w:lang w:val="en-US" w:eastAsia="en-US"/>
        </w:rPr>
        <w:t>The</w:t>
      </w:r>
      <w:r>
        <w:rPr>
          <w:lang w:val="en-US" w:eastAsia="en-US"/>
        </w:rPr>
        <w:t xml:space="preserve"> same message could have been conveyed in a manner </w:t>
      </w:r>
      <w:r w:rsidR="00697D22">
        <w:rPr>
          <w:lang w:val="en-US" w:eastAsia="en-US"/>
        </w:rPr>
        <w:t>that</w:t>
      </w:r>
      <w:r>
        <w:rPr>
          <w:lang w:val="en-US" w:eastAsia="en-US"/>
        </w:rPr>
        <w:t xml:space="preserve"> would not create offence and would encourage positive action. </w:t>
      </w:r>
    </w:p>
    <w:p w:rsidR="00B21B73" w:rsidRDefault="00B21B73" w:rsidP="00521F23">
      <w:pPr>
        <w:pStyle w:val="RecommendationName"/>
      </w:pPr>
      <w:r>
        <w:t xml:space="preserve">Recommendations. </w:t>
      </w:r>
    </w:p>
    <w:p w:rsidR="00B21B73" w:rsidRPr="00521F23" w:rsidRDefault="00B21B73" w:rsidP="008C4FDE">
      <w:pPr>
        <w:pStyle w:val="RecommendationEnd"/>
      </w:pPr>
      <w:r w:rsidRPr="00521F23">
        <w:t xml:space="preserve">Wherever possible, activities supported should be those initiated by the sector to maximise efficiency and effectiveness.  </w:t>
      </w:r>
    </w:p>
    <w:p w:rsidR="0005056D" w:rsidRPr="00521F23" w:rsidRDefault="00B21B73" w:rsidP="00521F23">
      <w:pPr>
        <w:pStyle w:val="RecommendationEnd"/>
      </w:pPr>
      <w:r w:rsidRPr="00521F23">
        <w:t xml:space="preserve">Where </w:t>
      </w:r>
      <w:r w:rsidR="00577CCB">
        <w:t xml:space="preserve">the </w:t>
      </w:r>
      <w:r w:rsidR="00577CCB" w:rsidRPr="00577CCB">
        <w:t>Australian Government</w:t>
      </w:r>
      <w:r w:rsidRPr="00521F23">
        <w:t xml:space="preserve"> initiates activities, the purpose must be clear</w:t>
      </w:r>
      <w:r w:rsidR="008C4FDE">
        <w:t>, the output useable</w:t>
      </w:r>
      <w:r w:rsidRPr="00521F23">
        <w:t xml:space="preserve"> and</w:t>
      </w:r>
      <w:r w:rsidR="008C4FDE">
        <w:t>,</w:t>
      </w:r>
      <w:r w:rsidRPr="00521F23">
        <w:t xml:space="preserve"> </w:t>
      </w:r>
      <w:r w:rsidR="008C4FDE" w:rsidRPr="00521F23">
        <w:t>where necessary</w:t>
      </w:r>
      <w:r w:rsidR="008C4FDE">
        <w:t>,</w:t>
      </w:r>
      <w:r w:rsidR="008C4FDE" w:rsidRPr="00521F23">
        <w:t xml:space="preserve"> </w:t>
      </w:r>
      <w:r w:rsidRPr="00521F23">
        <w:t xml:space="preserve">support provided to facilitate application of the output. In addition, ownership would be enhanced if the TA facilitated partners within the sector to produce the output rather than the TA producing the output. This approach is more expensive, but more efficient than producing an output that is not used. </w:t>
      </w:r>
    </w:p>
    <w:bookmarkStart w:id="35" w:name="_Toc431828771"/>
    <w:bookmarkStart w:id="36" w:name="_Toc431828772"/>
    <w:bookmarkStart w:id="37" w:name="_Toc431828775"/>
    <w:bookmarkStart w:id="38" w:name="_Toc431828778"/>
    <w:bookmarkStart w:id="39" w:name="_Toc431828779"/>
    <w:bookmarkEnd w:id="35"/>
    <w:bookmarkEnd w:id="36"/>
    <w:bookmarkEnd w:id="37"/>
    <w:bookmarkEnd w:id="38"/>
    <w:p w:rsidR="00B21B73" w:rsidRDefault="00DF2B6A" w:rsidP="004902E0">
      <w:pPr>
        <w:pStyle w:val="Heading1"/>
      </w:pPr>
      <w:r>
        <w:rPr>
          <w:lang w:val="en-AU" w:eastAsia="en-AU"/>
        </w:rPr>
        <w:lastRenderedPageBreak/>
        <mc:AlternateContent>
          <mc:Choice Requires="wps">
            <w:drawing>
              <wp:anchor distT="0" distB="0" distL="114300" distR="114300" simplePos="0" relativeHeight="251658240" behindDoc="1" locked="0" layoutInCell="1" allowOverlap="1" wp14:anchorId="619AE0CB" wp14:editId="79BD4614">
                <wp:simplePos x="0" y="0"/>
                <wp:positionH relativeFrom="page">
                  <wp:posOffset>-62865</wp:posOffset>
                </wp:positionH>
                <wp:positionV relativeFrom="paragraph">
                  <wp:posOffset>-542290</wp:posOffset>
                </wp:positionV>
                <wp:extent cx="7658100" cy="1468755"/>
                <wp:effectExtent l="0" t="0" r="0" b="0"/>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58100" cy="1468755"/>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95pt;margin-top:-42.7pt;width:603pt;height:11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" fillcolor="#124486" stroked="f" strokeweight="2pt">
                <v:path arrowok="t"/>
                <w10:wrap anchorx="page"/>
              </v:rect>
            </w:pict>
          </mc:Fallback>
        </mc:AlternateContent>
      </w:r>
      <w:r w:rsidR="00B21B73">
        <w:t>Monitoring &amp; Review</w:t>
      </w:r>
      <w:bookmarkEnd w:id="39"/>
      <w:r w:rsidR="00B21B73">
        <w:t xml:space="preserve"> </w:t>
      </w:r>
    </w:p>
    <w:p w:rsidR="00B21B73" w:rsidRDefault="00B21B73" w:rsidP="005B19CE">
      <w:r>
        <w:t xml:space="preserve">As identified in Section </w:t>
      </w:r>
      <w:r w:rsidR="00EF3ABD">
        <w:t>3</w:t>
      </w:r>
      <w:r>
        <w:t xml:space="preserve">, documentation did not clearly define agreed </w:t>
      </w:r>
      <w:r w:rsidRPr="00DE4F21">
        <w:t xml:space="preserve">outcomes </w:t>
      </w:r>
      <w:r w:rsidR="005F55FA">
        <w:t>or</w:t>
      </w:r>
      <w:r w:rsidR="005F55FA" w:rsidRPr="00DE4F21">
        <w:t xml:space="preserve"> the </w:t>
      </w:r>
      <w:proofErr w:type="spellStart"/>
      <w:r w:rsidR="005F55FA">
        <w:t>ToC</w:t>
      </w:r>
      <w:proofErr w:type="spellEnd"/>
      <w:r w:rsidR="005F55FA">
        <w:t xml:space="preserve"> </w:t>
      </w:r>
      <w:r>
        <w:t xml:space="preserve">for the Australia support. However, this review documented an implicit </w:t>
      </w:r>
      <w:proofErr w:type="spellStart"/>
      <w:r w:rsidR="00EF3ABD">
        <w:t>ToC</w:t>
      </w:r>
      <w:proofErr w:type="spellEnd"/>
      <w:r w:rsidR="00EF3ABD">
        <w:t xml:space="preserve"> </w:t>
      </w:r>
      <w:r>
        <w:t xml:space="preserve">based on the SLJS Strategic Plan (Section </w:t>
      </w:r>
      <w:r w:rsidR="005F55FA">
        <w:t>3</w:t>
      </w:r>
      <w:r>
        <w:t xml:space="preserve">). </w:t>
      </w:r>
      <w:r w:rsidRPr="00DE4F21">
        <w:t xml:space="preserve"> </w:t>
      </w:r>
      <w:r>
        <w:t xml:space="preserve">This Section briefly considers whether the </w:t>
      </w:r>
      <w:r w:rsidRPr="00DE4F21">
        <w:t xml:space="preserve">projects supported </w:t>
      </w:r>
      <w:r>
        <w:t>are consistent with</w:t>
      </w:r>
      <w:r w:rsidRPr="00DE4F21">
        <w:t xml:space="preserve"> this </w:t>
      </w:r>
      <w:proofErr w:type="spellStart"/>
      <w:r w:rsidR="00EF3ABD">
        <w:t>ToC</w:t>
      </w:r>
      <w:proofErr w:type="spellEnd"/>
      <w:r>
        <w:t xml:space="preserve">. It then identifies the extent to which </w:t>
      </w:r>
      <w:r w:rsidRPr="00DE4F21">
        <w:t xml:space="preserve">monitoring </w:t>
      </w:r>
      <w:r>
        <w:t xml:space="preserve">and reporting </w:t>
      </w:r>
      <w:r w:rsidRPr="00DE4F21">
        <w:t>enable</w:t>
      </w:r>
      <w:r>
        <w:t>d</w:t>
      </w:r>
      <w:r w:rsidRPr="00DE4F21">
        <w:t xml:space="preserve"> assessment of progress towards outcomes and manage</w:t>
      </w:r>
      <w:r>
        <w:t>ment of</w:t>
      </w:r>
      <w:r w:rsidRPr="00DE4F21">
        <w:t xml:space="preserve"> risk</w:t>
      </w:r>
      <w:r w:rsidR="005F55FA">
        <w:t xml:space="preserve"> and</w:t>
      </w:r>
      <w:r>
        <w:t xml:space="preserve"> the use of this information.</w:t>
      </w:r>
    </w:p>
    <w:p w:rsidR="00A764EA" w:rsidRDefault="00A764EA" w:rsidP="00E824A7">
      <w:pPr>
        <w:pStyle w:val="Heading2"/>
      </w:pPr>
      <w:bookmarkStart w:id="40" w:name="_Toc431828780"/>
      <w:r>
        <w:t xml:space="preserve">Partnership </w:t>
      </w:r>
      <w:r w:rsidR="00C653D4">
        <w:t>i</w:t>
      </w:r>
      <w:r>
        <w:t>ndicators</w:t>
      </w:r>
      <w:bookmarkEnd w:id="40"/>
    </w:p>
    <w:p w:rsidR="00EA1E5D" w:rsidRPr="0048200C" w:rsidRDefault="00EA1E5D" w:rsidP="00A87920">
      <w:r w:rsidRPr="0048200C">
        <w:t xml:space="preserve">The Agreement </w:t>
      </w:r>
      <w:r w:rsidR="0048200C">
        <w:t>(</w:t>
      </w:r>
      <w:r w:rsidR="00577CCB">
        <w:t>Government of Australia</w:t>
      </w:r>
      <w:r w:rsidR="0048200C">
        <w:t xml:space="preserve"> &amp; Go</w:t>
      </w:r>
      <w:r w:rsidR="00577CCB">
        <w:t xml:space="preserve">vernment of </w:t>
      </w:r>
      <w:r w:rsidR="0048200C">
        <w:t>S</w:t>
      </w:r>
      <w:r w:rsidR="00577CCB">
        <w:t>amoa</w:t>
      </w:r>
      <w:r w:rsidR="0048200C">
        <w:t xml:space="preserve">, 2012) </w:t>
      </w:r>
      <w:r w:rsidRPr="0048200C">
        <w:t xml:space="preserve">identified the Partnership for Development between </w:t>
      </w:r>
      <w:r w:rsidR="00577CCB">
        <w:t xml:space="preserve">the </w:t>
      </w:r>
      <w:r w:rsidRPr="0048200C">
        <w:t>Go</w:t>
      </w:r>
      <w:r w:rsidR="00577CCB">
        <w:t xml:space="preserve">vernments of </w:t>
      </w:r>
      <w:r w:rsidRPr="0048200C">
        <w:t>A</w:t>
      </w:r>
      <w:r w:rsidR="00577CCB">
        <w:t>ustralia</w:t>
      </w:r>
      <w:r w:rsidRPr="0048200C">
        <w:t xml:space="preserve"> and S</w:t>
      </w:r>
      <w:r w:rsidR="00577CCB">
        <w:t>amoa</w:t>
      </w:r>
      <w:r w:rsidRPr="0048200C">
        <w:t xml:space="preserve"> (2008) </w:t>
      </w:r>
      <w:r w:rsidR="0048200C">
        <w:t xml:space="preserve">goal and </w:t>
      </w:r>
      <w:r w:rsidR="0048200C" w:rsidRPr="0048200C">
        <w:t xml:space="preserve">indicators </w:t>
      </w:r>
      <w:r w:rsidR="0048200C">
        <w:t>as applicable to this support</w:t>
      </w:r>
      <w:r w:rsidRPr="0048200C">
        <w:t>. These indicators are:</w:t>
      </w:r>
    </w:p>
    <w:p w:rsidR="00EA1E5D" w:rsidRPr="0048200C" w:rsidRDefault="00EA1E5D" w:rsidP="00802107">
      <w:pPr>
        <w:pStyle w:val="Bullet"/>
        <w:ind w:right="-164"/>
      </w:pPr>
      <w:r w:rsidRPr="0048200C">
        <w:t>Improved Government Effectiveness Score in World Bank Governance Indicators</w:t>
      </w:r>
      <w:r w:rsidR="00802107" w:rsidRPr="0048200C">
        <w:t xml:space="preserve"> (Figure 3)</w:t>
      </w:r>
      <w:r w:rsidRPr="0048200C">
        <w:t xml:space="preserve">. </w:t>
      </w:r>
    </w:p>
    <w:p w:rsidR="00EA1E5D" w:rsidRPr="0048200C" w:rsidRDefault="00EA1E5D" w:rsidP="00EA1E5D">
      <w:pPr>
        <w:pStyle w:val="Bullet"/>
      </w:pPr>
      <w:r w:rsidRPr="0048200C">
        <w:t xml:space="preserve">Improved Rule of Law Score in World Bank Governance Indicators. </w:t>
      </w:r>
    </w:p>
    <w:p w:rsidR="00EA1E5D" w:rsidRPr="0048200C" w:rsidRDefault="00EA1E5D" w:rsidP="00EA1E5D">
      <w:pPr>
        <w:pStyle w:val="Bullet"/>
      </w:pPr>
      <w:r w:rsidRPr="0048200C">
        <w:t xml:space="preserve">Improved PASP Secretariat Evaluation Report. </w:t>
      </w:r>
    </w:p>
    <w:p w:rsidR="00ED448D" w:rsidRDefault="00ED448D" w:rsidP="00ED448D">
      <w:pPr>
        <w:pStyle w:val="Caption"/>
        <w:spacing w:after="0"/>
      </w:pPr>
      <w:r w:rsidRPr="00D06080">
        <w:t xml:space="preserve">Figure </w:t>
      </w:r>
      <w:fldSimple w:instr=" SEQ Figure \* ARABIC ">
        <w:r w:rsidR="00A8459C">
          <w:rPr>
            <w:noProof/>
          </w:rPr>
          <w:t>3</w:t>
        </w:r>
      </w:fldSimple>
      <w:r w:rsidRPr="00D06080">
        <w:t xml:space="preserve">. </w:t>
      </w:r>
      <w:r>
        <w:t>World Bank Governance Indicators (percentile rank)</w:t>
      </w:r>
    </w:p>
    <w:p w:rsidR="00ED448D" w:rsidRPr="00ED448D" w:rsidRDefault="00ED448D" w:rsidP="00ED448D">
      <w:pPr>
        <w:spacing w:before="0"/>
        <w:rPr>
          <w:sz w:val="20"/>
          <w:szCs w:val="20"/>
        </w:rPr>
      </w:pPr>
      <w:r w:rsidRPr="000510F2">
        <w:rPr>
          <w:sz w:val="20"/>
          <w:szCs w:val="20"/>
        </w:rPr>
        <w:t>(Source</w:t>
      </w:r>
      <w:r>
        <w:rPr>
          <w:sz w:val="20"/>
          <w:szCs w:val="20"/>
        </w:rPr>
        <w:t xml:space="preserve"> of data</w:t>
      </w:r>
      <w:r w:rsidRPr="000510F2">
        <w:rPr>
          <w:sz w:val="20"/>
          <w:szCs w:val="20"/>
        </w:rPr>
        <w:t xml:space="preserve">: </w:t>
      </w:r>
      <w:hyperlink r:id="rId25" w:anchor="doc" w:history="1">
        <w:r w:rsidRPr="000510F2">
          <w:rPr>
            <w:rStyle w:val="Hyperlink"/>
            <w:color w:val="auto"/>
            <w:sz w:val="20"/>
            <w:szCs w:val="20"/>
          </w:rPr>
          <w:t>http://info.worldbank.org/governance/wgi/index.aspx#doc</w:t>
        </w:r>
      </w:hyperlink>
      <w:r w:rsidRPr="000510F2">
        <w:rPr>
          <w:sz w:val="20"/>
          <w:szCs w:val="20"/>
        </w:rPr>
        <w:t>)</w:t>
      </w:r>
    </w:p>
    <w:p w:rsidR="00ED448D" w:rsidRDefault="00DF2B6A" w:rsidP="00802107">
      <w:pPr>
        <w:jc w:val="center"/>
        <w:rPr>
          <w:color w:val="FF0000"/>
        </w:rPr>
      </w:pPr>
      <w:r>
        <w:rPr>
          <w:noProof/>
          <w:lang w:eastAsia="en-AU"/>
        </w:rPr>
        <w:drawing>
          <wp:inline distT="0" distB="0" distL="0" distR="0" wp14:anchorId="054EC0E7" wp14:editId="394B0EB2">
            <wp:extent cx="4440555" cy="2540635"/>
            <wp:effectExtent l="0" t="0" r="17145" b="12065"/>
            <wp:docPr id="3" name="Pictur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02107" w:rsidRPr="000510F2" w:rsidRDefault="00802107" w:rsidP="00802107">
      <w:r w:rsidRPr="000510F2">
        <w:t>While the World Bank indicators show an improvement since 2009 (when the sector began operating as a united group), it is difficult to say that the support has contributed to this</w:t>
      </w:r>
      <w:r>
        <w:t xml:space="preserve"> (Figure 3)</w:t>
      </w:r>
      <w:r w:rsidRPr="000510F2">
        <w:rPr>
          <w:rStyle w:val="EndnoteReference"/>
        </w:rPr>
        <w:endnoteReference w:id="47"/>
      </w:r>
      <w:r w:rsidRPr="000510F2">
        <w:t xml:space="preserve">. The PASP Secretariat Evaluation Report has only been completed once during this period. It is therefore not helpful in assessing change. With the wisdom of hindsight, these </w:t>
      </w:r>
      <w:r w:rsidR="0048200C">
        <w:t xml:space="preserve">high level </w:t>
      </w:r>
      <w:r w:rsidRPr="000510F2">
        <w:t xml:space="preserve">indicators were not appropriate as they measure change over too long a period to be useful for evaluating the impact of support provided to SLJS. </w:t>
      </w:r>
    </w:p>
    <w:p w:rsidR="00ED448D" w:rsidRDefault="00ED448D" w:rsidP="00ED448D">
      <w:pPr>
        <w:pStyle w:val="Heading2"/>
      </w:pPr>
      <w:bookmarkStart w:id="41" w:name="_Toc431828781"/>
      <w:r>
        <w:lastRenderedPageBreak/>
        <w:t>Consistency with the</w:t>
      </w:r>
      <w:r w:rsidRPr="00DE4F21">
        <w:t xml:space="preserve"> </w:t>
      </w:r>
      <w:proofErr w:type="spellStart"/>
      <w:r>
        <w:t>ToC</w:t>
      </w:r>
      <w:bookmarkEnd w:id="41"/>
      <w:proofErr w:type="spellEnd"/>
      <w:r>
        <w:t xml:space="preserve"> </w:t>
      </w:r>
    </w:p>
    <w:p w:rsidR="00ED448D" w:rsidRDefault="00ED448D" w:rsidP="00ED448D">
      <w:r>
        <w:t>Review of all activities funded through the SLJS indicates they align with the SLJS Strategic Plan outcomes. However, it is difficult to think of any activity that sector agencies may want to fund which would be outside the outc</w:t>
      </w:r>
      <w:r w:rsidR="00F94311">
        <w:t xml:space="preserve">omes. Thus, the critical issues </w:t>
      </w:r>
      <w:r>
        <w:t>is whether these activities were the sectors priorities and cross-agency in nature.</w:t>
      </w:r>
    </w:p>
    <w:p w:rsidR="00ED448D" w:rsidRDefault="00ED448D" w:rsidP="00ED448D">
      <w:r>
        <w:t>As all projects were approved by the Steering Committee, it can be assumed that they were a Sector priority. However, while it is clear from the minutes that the Projects were supported, it is not always clear whether a specific project was considered a priority. This is a consequence of a lack of: (</w:t>
      </w:r>
      <w:proofErr w:type="spellStart"/>
      <w:r>
        <w:t>i</w:t>
      </w:r>
      <w:proofErr w:type="spellEnd"/>
      <w:r>
        <w:t xml:space="preserve">) criteria against which proposals were assessed and (ii) prioritisation of proposals. </w:t>
      </w:r>
      <w:proofErr w:type="gramStart"/>
      <w:r>
        <w:t xml:space="preserve">Now that funding is more constrained (due to the lack of donor and </w:t>
      </w:r>
      <w:r w:rsidR="00577CCB">
        <w:t>Samoan Government</w:t>
      </w:r>
      <w:r>
        <w:t xml:space="preserve"> funding), the need to prioritise project proposals will be more critical.</w:t>
      </w:r>
      <w:proofErr w:type="gramEnd"/>
      <w:r>
        <w:t xml:space="preserve"> The priorities will help ensure the Sector takes a strategic view and funds the most important proposals rather than those developed. This also provides a sound basis for discussion with donors. </w:t>
      </w:r>
    </w:p>
    <w:p w:rsidR="00B21B73" w:rsidRDefault="00B21B73" w:rsidP="00521F23">
      <w:pPr>
        <w:pStyle w:val="RecommendationName"/>
      </w:pPr>
      <w:r>
        <w:t xml:space="preserve">Recommendation: </w:t>
      </w:r>
    </w:p>
    <w:p w:rsidR="00B21B73" w:rsidRDefault="00B21B73" w:rsidP="00521F23">
      <w:pPr>
        <w:pStyle w:val="RecommendationEnd"/>
      </w:pPr>
      <w:r>
        <w:t xml:space="preserve">The Steering Committee develop clear criteria against which proposals are assessed. </w:t>
      </w:r>
    </w:p>
    <w:p w:rsidR="00B21B73" w:rsidRPr="00B13EC7" w:rsidRDefault="00B21B73" w:rsidP="00521F23">
      <w:pPr>
        <w:pStyle w:val="RecommendationEnd"/>
      </w:pPr>
      <w:r>
        <w:t xml:space="preserve">The Steering Committee prioritise proposals they wish to implement. </w:t>
      </w:r>
    </w:p>
    <w:p w:rsidR="00B21B73" w:rsidRDefault="00B21B73" w:rsidP="00E824A7">
      <w:pPr>
        <w:pStyle w:val="Heading2"/>
      </w:pPr>
      <w:bookmarkStart w:id="42" w:name="_Toc431828782"/>
      <w:r>
        <w:t>Monitoring and reporting</w:t>
      </w:r>
      <w:bookmarkEnd w:id="42"/>
      <w:r>
        <w:t xml:space="preserve"> </w:t>
      </w:r>
    </w:p>
    <w:p w:rsidR="00B21B73" w:rsidRDefault="00B21B73" w:rsidP="00165A73">
      <w:r>
        <w:t>Monitoring and reporting against project progress met the needs of the Steering Committee. It enabled the Steering Committee to identify areas that were not progressing as planned and take remedial action (for example, construction at prisons). However, there is no monitoring or reporting of progress towards outcomes, nor were KPI reported against. In particular, the</w:t>
      </w:r>
      <w:r w:rsidR="00BB0489">
        <w:t>re was no evidence that the</w:t>
      </w:r>
      <w:r>
        <w:t xml:space="preserve"> six-monthly meetings between the Steering Committee and </w:t>
      </w:r>
      <w:r w:rsidR="00577CCB">
        <w:t xml:space="preserve">the </w:t>
      </w:r>
      <w:r w:rsidR="00577CCB" w:rsidRPr="00577CCB">
        <w:rPr>
          <w:lang w:val="en-US" w:eastAsia="en-US"/>
        </w:rPr>
        <w:t>Australian Government</w:t>
      </w:r>
      <w:r>
        <w:t xml:space="preserve"> identified in the Agreement </w:t>
      </w:r>
      <w:r w:rsidR="00BB0489">
        <w:t>were</w:t>
      </w:r>
      <w:r>
        <w:t xml:space="preserve"> held</w:t>
      </w:r>
      <w:r w:rsidR="00BB0489">
        <w:t xml:space="preserve"> or </w:t>
      </w:r>
      <w:r w:rsidR="00186030">
        <w:t xml:space="preserve">Agreement’s </w:t>
      </w:r>
      <w:r w:rsidR="00BB0489">
        <w:t>requirements addressed</w:t>
      </w:r>
      <w:r>
        <w:t xml:space="preserve">. Consequently, neither the Steering Committee nor </w:t>
      </w:r>
      <w:r w:rsidR="00577CCB">
        <w:t xml:space="preserve">the </w:t>
      </w:r>
      <w:r w:rsidR="00577CCB" w:rsidRPr="00577CCB">
        <w:rPr>
          <w:lang w:val="en-US" w:eastAsia="en-US"/>
        </w:rPr>
        <w:t>Australian Government</w:t>
      </w:r>
      <w:r>
        <w:t xml:space="preserve"> had an understanding of progress towards planned outcomes. The reasons for this are discussed in Section </w:t>
      </w:r>
      <w:r w:rsidR="00BB0489">
        <w:t>6</w:t>
      </w:r>
      <w:r w:rsidR="009E65A1">
        <w:t>.5</w:t>
      </w:r>
      <w:r>
        <w:t>.</w:t>
      </w:r>
    </w:p>
    <w:p w:rsidR="00B21B73" w:rsidRDefault="00B21B73" w:rsidP="00F54EDD">
      <w:pPr>
        <w:pStyle w:val="Heading2"/>
      </w:pPr>
      <w:bookmarkStart w:id="43" w:name="_Toc431828783"/>
      <w:r>
        <w:t>Risk management</w:t>
      </w:r>
      <w:bookmarkEnd w:id="43"/>
    </w:p>
    <w:p w:rsidR="00B21B73" w:rsidRDefault="00B21B73" w:rsidP="00165A73">
      <w:r>
        <w:t xml:space="preserve">While the Steering Committee was also able to identify and address project level risk, this was not through a formal process involving effective application of the risk management plan or monitoring of risk. Risks at a sector or strategic level were not considered in reporting. </w:t>
      </w:r>
    </w:p>
    <w:p w:rsidR="00B21B73" w:rsidRDefault="00B21B73" w:rsidP="00165A73">
      <w:r>
        <w:t xml:space="preserve">The risks identified in Annex 4 of the Agreement </w:t>
      </w:r>
      <w:r w:rsidR="00B7349A">
        <w:t>were limited</w:t>
      </w:r>
      <w:r>
        <w:t xml:space="preserve">. </w:t>
      </w:r>
      <w:r w:rsidR="0048200C">
        <w:t xml:space="preserve">None of the documentation provided </w:t>
      </w:r>
      <w:r>
        <w:t>suggest</w:t>
      </w:r>
      <w:r w:rsidR="0048200C">
        <w:t>ed</w:t>
      </w:r>
      <w:r>
        <w:t xml:space="preserve"> that development of the risk management plan considered the unique characteristics of Samoa, the modality or the Agreement – the risks and the risk mitigation measure are virtually generic. The Plan does not include any risk related to strategic outcomes. Consequently, the risk management plan would do little to support risk management, in particular risks associ</w:t>
      </w:r>
      <w:r w:rsidR="006D6F74">
        <w:t xml:space="preserve">ated with strategic outcomes. </w:t>
      </w:r>
      <w:r>
        <w:t>In contrast, the risks identified in the SLJS Strategic Plan reflect risk</w:t>
      </w:r>
      <w:r w:rsidR="006D6F74">
        <w:t>s</w:t>
      </w:r>
      <w:r>
        <w:t xml:space="preserve"> specific to Samoa, the sector and the modality. Unfortunately, these do not appear to have been monitored or reported against, nor were they integrated into the </w:t>
      </w:r>
      <w:r w:rsidR="006D6F74">
        <w:t xml:space="preserve">Agreement’s </w:t>
      </w:r>
      <w:r>
        <w:t xml:space="preserve">Risk Management Plan. </w:t>
      </w:r>
    </w:p>
    <w:p w:rsidR="00B21B73" w:rsidRDefault="00B21B73" w:rsidP="00165A73">
      <w:r>
        <w:lastRenderedPageBreak/>
        <w:t>The Steering Committee reported in each six-monthly report that  “</w:t>
      </w:r>
      <w:r w:rsidRPr="00F54EDD">
        <w:t>the Risk Management Plan for the Sector continues to reflect, in the Sector’s opinion, the current state of affairs for the Sector with regard to risk; it needs no further revision after the past six (6) months</w:t>
      </w:r>
      <w:r>
        <w:t>”</w:t>
      </w:r>
      <w:r w:rsidRPr="00F54EDD">
        <w:t>.</w:t>
      </w:r>
      <w:r>
        <w:t xml:space="preserve"> Similarly, </w:t>
      </w:r>
      <w:r w:rsidR="00577CCB">
        <w:t xml:space="preserve">the </w:t>
      </w:r>
      <w:r w:rsidR="00577CCB" w:rsidRPr="00577CCB">
        <w:rPr>
          <w:lang w:val="en-US" w:eastAsia="en-US"/>
        </w:rPr>
        <w:t>Australian Government</w:t>
      </w:r>
      <w:r>
        <w:t xml:space="preserve"> </w:t>
      </w:r>
      <w:r w:rsidR="00C53D14">
        <w:t xml:space="preserve">did </w:t>
      </w:r>
      <w:r>
        <w:t>not identif</w:t>
      </w:r>
      <w:r w:rsidR="00C53D14">
        <w:t>y</w:t>
      </w:r>
      <w:r>
        <w:t xml:space="preserve"> any change in </w:t>
      </w:r>
      <w:r w:rsidR="00C53D14">
        <w:t xml:space="preserve">risk in </w:t>
      </w:r>
      <w:r>
        <w:t>QAI reports or at the six-monthly meetings</w:t>
      </w:r>
      <w:r w:rsidR="00C53D14">
        <w:rPr>
          <w:rStyle w:val="EndnoteReference"/>
        </w:rPr>
        <w:endnoteReference w:id="48"/>
      </w:r>
      <w:r w:rsidR="00786852">
        <w:t>.</w:t>
      </w:r>
      <w:r w:rsidR="00C53D14">
        <w:t xml:space="preserve"> </w:t>
      </w:r>
      <w:r>
        <w:t xml:space="preserve">This reflects a lack of risk analysis by both the Steering Committee and </w:t>
      </w:r>
      <w:r w:rsidR="00577CCB">
        <w:t xml:space="preserve">the </w:t>
      </w:r>
      <w:r w:rsidR="00577CCB" w:rsidRPr="00577CCB">
        <w:rPr>
          <w:lang w:val="en-US" w:eastAsia="en-US"/>
        </w:rPr>
        <w:t>Australian Government</w:t>
      </w:r>
      <w:r>
        <w:t xml:space="preserve"> as there were significant changes in risks between 2012 and 2014. </w:t>
      </w:r>
      <w:r w:rsidR="00E37D42">
        <w:t>This may be due to</w:t>
      </w:r>
      <w:r>
        <w:t xml:space="preserve"> </w:t>
      </w:r>
      <w:r w:rsidR="00E37D42">
        <w:t>lack of</w:t>
      </w:r>
      <w:r>
        <w:t xml:space="preserve"> </w:t>
      </w:r>
      <w:r w:rsidR="00E37D42">
        <w:t xml:space="preserve">understanding of </w:t>
      </w:r>
      <w:r>
        <w:t>risk management</w:t>
      </w:r>
      <w:r w:rsidR="007F4E95">
        <w:t xml:space="preserve">, its importance for effective management </w:t>
      </w:r>
      <w:r w:rsidR="00E37D42">
        <w:t>or</w:t>
      </w:r>
      <w:r w:rsidR="00786852">
        <w:t xml:space="preserve"> </w:t>
      </w:r>
      <w:r w:rsidR="007F4E95">
        <w:t xml:space="preserve">the need for partners to regularly consider risk management through joint discussion. </w:t>
      </w:r>
    </w:p>
    <w:p w:rsidR="00B21B73" w:rsidRDefault="001612B4" w:rsidP="001612B4">
      <w:pPr>
        <w:pStyle w:val="Heading2"/>
      </w:pPr>
      <w:bookmarkStart w:id="44" w:name="_Toc431828784"/>
      <w:r w:rsidRPr="001612B4">
        <w:t>Australian Government representative and Steering Committee capacity</w:t>
      </w:r>
      <w:bookmarkEnd w:id="44"/>
    </w:p>
    <w:p w:rsidR="00B21B73" w:rsidRDefault="00A45323" w:rsidP="00A45323">
      <w:r w:rsidRPr="00A45323">
        <w:t xml:space="preserve">There was no clear understanding on the difference between output and outcomes indicators for both the Steering Committee and </w:t>
      </w:r>
      <w:r w:rsidR="00577CCB">
        <w:t xml:space="preserve">the </w:t>
      </w:r>
      <w:r w:rsidR="00577CCB" w:rsidRPr="00577CCB">
        <w:rPr>
          <w:lang w:val="en-US" w:eastAsia="en-US"/>
        </w:rPr>
        <w:t>Australian Government</w:t>
      </w:r>
      <w:r w:rsidRPr="00A45323">
        <w:t xml:space="preserve"> in relation to monitoring, review, </w:t>
      </w:r>
      <w:proofErr w:type="gramStart"/>
      <w:r w:rsidRPr="00A45323">
        <w:t>reporting</w:t>
      </w:r>
      <w:proofErr w:type="gramEnd"/>
      <w:r w:rsidRPr="00A45323">
        <w:t xml:space="preserve"> and risk management. This was initially reflected in neither the SLJS Strategic Plan nor the Agreement explicitly identifying an expected </w:t>
      </w:r>
      <w:proofErr w:type="spellStart"/>
      <w:r w:rsidRPr="00A45323">
        <w:t>ToC</w:t>
      </w:r>
      <w:proofErr w:type="spellEnd"/>
      <w:r w:rsidRPr="00A45323">
        <w:t xml:space="preserve"> or strategic level monitoring, and the superficial attention to risk in the Agreement. After development of the Performance Management Framework, the Steering Committee advised that they did not apply it because it was too detailed and complicated. Neither the Steering Committee nor </w:t>
      </w:r>
      <w:r w:rsidR="00577CCB">
        <w:t xml:space="preserve">the </w:t>
      </w:r>
      <w:r w:rsidR="00577CCB" w:rsidRPr="00577CCB">
        <w:rPr>
          <w:lang w:val="en-US" w:eastAsia="en-US"/>
        </w:rPr>
        <w:t>Australian Government</w:t>
      </w:r>
      <w:r w:rsidRPr="00A45323">
        <w:t xml:space="preserve"> addressed the issue within their organisations.  </w:t>
      </w:r>
      <w:r w:rsidR="007F4E95">
        <w:t xml:space="preserve">.  </w:t>
      </w:r>
      <w:r w:rsidR="00B21B73">
        <w:t xml:space="preserve"> </w:t>
      </w:r>
    </w:p>
    <w:p w:rsidR="00B21B73" w:rsidRDefault="00A45323" w:rsidP="00D9492C">
      <w:r w:rsidRPr="00A45323">
        <w:t>The indicators included in the M&amp;E Framework for the second Strategic Plan were largely activity and output indicators, rather than outcome level indicators. However, it does not appear that reporting against these indicators occurred. A reduced number of indicators and inclusion of simple outcome level indicators may have improved the quality of monitoring.</w:t>
      </w:r>
      <w:r w:rsidR="00B21B73">
        <w:t xml:space="preserve">. </w:t>
      </w:r>
    </w:p>
    <w:p w:rsidR="00B21B73" w:rsidRPr="00A9383B" w:rsidRDefault="00577CCB" w:rsidP="00D9492C">
      <w:r>
        <w:t xml:space="preserve">The </w:t>
      </w:r>
      <w:r w:rsidRPr="00577CCB">
        <w:rPr>
          <w:lang w:val="en-US" w:eastAsia="en-US"/>
        </w:rPr>
        <w:t>Australian Government</w:t>
      </w:r>
      <w:r w:rsidR="00B21B73" w:rsidRPr="00A9383B">
        <w:t xml:space="preserve"> found the lack of reporting at an outcomes level frustrating</w:t>
      </w:r>
      <w:r w:rsidR="00F751CB">
        <w:rPr>
          <w:rStyle w:val="EndnoteReference"/>
        </w:rPr>
        <w:endnoteReference w:id="49"/>
      </w:r>
      <w:r w:rsidR="00B21B73" w:rsidRPr="00A9383B">
        <w:t xml:space="preserve">. </w:t>
      </w:r>
      <w:r w:rsidR="00A45323" w:rsidRPr="00A45323">
        <w:t xml:space="preserve">While this was communicated to the Steering Committee, they did not agree to </w:t>
      </w:r>
      <w:r>
        <w:t xml:space="preserve">the </w:t>
      </w:r>
      <w:r w:rsidRPr="00577CCB">
        <w:rPr>
          <w:lang w:val="en-US" w:eastAsia="en-US"/>
        </w:rPr>
        <w:t>Australian Government</w:t>
      </w:r>
      <w:r>
        <w:rPr>
          <w:lang w:val="en-US" w:eastAsia="en-US"/>
        </w:rPr>
        <w:t>’s</w:t>
      </w:r>
      <w:r w:rsidR="00A45323" w:rsidRPr="00A45323">
        <w:t xml:space="preserve"> concern because from their perspective, they had provided data and monitoring information to </w:t>
      </w:r>
      <w:r>
        <w:t>Australia</w:t>
      </w:r>
      <w:r w:rsidR="00A45323" w:rsidRPr="00A45323">
        <w:rPr>
          <w:rStyle w:val="EndnoteReference"/>
          <w:vertAlign w:val="baseline"/>
        </w:rPr>
        <w:t xml:space="preserve"> </w:t>
      </w:r>
      <w:r w:rsidR="009E65A1">
        <w:rPr>
          <w:rStyle w:val="EndnoteReference"/>
        </w:rPr>
        <w:endnoteReference w:id="50"/>
      </w:r>
      <w:r w:rsidR="00B21B73" w:rsidRPr="00A9383B">
        <w:t xml:space="preserve">. </w:t>
      </w:r>
      <w:r w:rsidR="00A45323" w:rsidRPr="00A45323">
        <w:t xml:space="preserve">Because the performance measures were more activity and output based than being outcomes based, the sector saw the requirement for six monthly reporting as impractical and it was not met. </w:t>
      </w:r>
      <w:r>
        <w:t xml:space="preserve">The </w:t>
      </w:r>
      <w:r w:rsidRPr="00577CCB">
        <w:rPr>
          <w:lang w:val="en-US" w:eastAsia="en-US"/>
        </w:rPr>
        <w:t>Australian Government</w:t>
      </w:r>
      <w:r w:rsidR="00A45323" w:rsidRPr="00A45323">
        <w:t xml:space="preserve"> concluded the lack of reporting on outcomes in six monthly reports reflected an insufficient focus on outcome level.</w:t>
      </w:r>
    </w:p>
    <w:p w:rsidR="00B21B73" w:rsidRDefault="00A45323" w:rsidP="00D9492C">
      <w:r w:rsidRPr="00A45323">
        <w:t xml:space="preserve">In short, the key performance indicators developed were too project focused, were too complex and did not reflect end of Sector Plan outcomes. The lack of a clear </w:t>
      </w:r>
      <w:proofErr w:type="spellStart"/>
      <w:r w:rsidRPr="00A45323">
        <w:t>ToC</w:t>
      </w:r>
      <w:proofErr w:type="spellEnd"/>
      <w:r w:rsidRPr="00A45323">
        <w:t xml:space="preserve"> and well defined KPI compounded this situation. </w:t>
      </w:r>
      <w:r w:rsidR="00577CCB">
        <w:t xml:space="preserve">The </w:t>
      </w:r>
      <w:r w:rsidR="00577CCB" w:rsidRPr="00577CCB">
        <w:rPr>
          <w:lang w:val="en-US" w:eastAsia="en-US"/>
        </w:rPr>
        <w:t>Australian Government</w:t>
      </w:r>
      <w:r w:rsidRPr="00A45323">
        <w:t xml:space="preserve"> claim to have identified the cause of the problem and to have worked to address it but there is no evidence to suggest they had sufficient influence within the steering committee to adequately address it. Consequently, effective outcome monitoring and reporting did not occur.</w:t>
      </w:r>
    </w:p>
    <w:p w:rsidR="001A3794" w:rsidRDefault="001A3794" w:rsidP="006D6F74">
      <w:pPr>
        <w:pStyle w:val="RecommendationName"/>
        <w:keepNext/>
      </w:pPr>
      <w:r>
        <w:t xml:space="preserve">Recommendation: </w:t>
      </w:r>
    </w:p>
    <w:p w:rsidR="006D6F74" w:rsidRDefault="006D6F74" w:rsidP="001A3794">
      <w:pPr>
        <w:pStyle w:val="RecommendationEnd"/>
      </w:pPr>
      <w:r>
        <w:t xml:space="preserve">The capacity of </w:t>
      </w:r>
      <w:r w:rsidR="00577CCB" w:rsidRPr="00577CCB">
        <w:rPr>
          <w:lang w:val="en-US" w:eastAsia="en-US"/>
        </w:rPr>
        <w:t xml:space="preserve">Australian Government </w:t>
      </w:r>
      <w:r>
        <w:t>officers</w:t>
      </w:r>
      <w:r w:rsidRPr="006D6F74">
        <w:t xml:space="preserve"> </w:t>
      </w:r>
      <w:r>
        <w:t xml:space="preserve">must be adequate </w:t>
      </w:r>
      <w:r w:rsidRPr="006D6F74">
        <w:t>to engage effectiv</w:t>
      </w:r>
      <w:r>
        <w:t xml:space="preserve">ely on a complex sector program. </w:t>
      </w:r>
      <w:r w:rsidRPr="006D6F74">
        <w:t xml:space="preserve"> </w:t>
      </w:r>
    </w:p>
    <w:p w:rsidR="001A3794" w:rsidRPr="00B13EC7" w:rsidRDefault="00CC393E" w:rsidP="001A3794">
      <w:pPr>
        <w:pStyle w:val="RecommendationEnd"/>
      </w:pPr>
      <w:r>
        <w:t xml:space="preserve">Capacity gaps </w:t>
      </w:r>
      <w:r w:rsidR="007F4E95">
        <w:t xml:space="preserve">for both </w:t>
      </w:r>
      <w:r w:rsidR="006D6F74">
        <w:t>the donor and partner</w:t>
      </w:r>
      <w:r w:rsidR="007F4E95">
        <w:t xml:space="preserve"> </w:t>
      </w:r>
      <w:r>
        <w:t>must be identified and addressed.</w:t>
      </w:r>
      <w:r w:rsidR="00186030">
        <w:t xml:space="preserve"> The strategies to achieve this must be selected to meet the needs of those involved</w:t>
      </w:r>
      <w:r w:rsidR="000D0D28">
        <w:t xml:space="preserve"> and will thus differ between programs and people</w:t>
      </w:r>
      <w:r w:rsidR="00186030">
        <w:t>. Examples are included as an end note</w:t>
      </w:r>
      <w:r w:rsidR="00186030">
        <w:rPr>
          <w:rStyle w:val="EndnoteReference"/>
        </w:rPr>
        <w:endnoteReference w:id="51"/>
      </w:r>
      <w:r w:rsidR="00186030">
        <w:t xml:space="preserve">. </w:t>
      </w:r>
      <w:r>
        <w:t xml:space="preserve"> </w:t>
      </w:r>
    </w:p>
    <w:bookmarkStart w:id="45" w:name="_Toc431828785"/>
    <w:p w:rsidR="00B21B73" w:rsidRPr="000F1027" w:rsidRDefault="00DF2B6A" w:rsidP="004902E0">
      <w:pPr>
        <w:pStyle w:val="Heading1"/>
      </w:pPr>
      <w:r>
        <w:rPr>
          <w:lang w:val="en-AU" w:eastAsia="en-AU"/>
        </w:rPr>
        <w:lastRenderedPageBreak/>
        <mc:AlternateContent>
          <mc:Choice Requires="wps">
            <w:drawing>
              <wp:anchor distT="0" distB="0" distL="114300" distR="114300" simplePos="0" relativeHeight="251655168" behindDoc="1" locked="0" layoutInCell="1" allowOverlap="1" wp14:anchorId="0F7FA606" wp14:editId="736A8AC9">
                <wp:simplePos x="0" y="0"/>
                <wp:positionH relativeFrom="page">
                  <wp:posOffset>-62865</wp:posOffset>
                </wp:positionH>
                <wp:positionV relativeFrom="paragraph">
                  <wp:posOffset>-595630</wp:posOffset>
                </wp:positionV>
                <wp:extent cx="7658100" cy="1468755"/>
                <wp:effectExtent l="0" t="0" r="0" b="0"/>
                <wp:wrapNone/>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58100" cy="1468755"/>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95pt;margin-top:-46.9pt;width:603pt;height:115.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" fillcolor="#124486" stroked="f" strokeweight="2pt">
                <v:path arrowok="t"/>
                <w10:wrap anchorx="page"/>
              </v:rect>
            </w:pict>
          </mc:Fallback>
        </mc:AlternateContent>
      </w:r>
      <w:r w:rsidR="00474287">
        <w:rPr>
          <w:lang w:val="en-AU" w:eastAsia="en-AU"/>
        </w:rPr>
        <w:t>The Future</w:t>
      </w:r>
      <w:bookmarkEnd w:id="45"/>
    </w:p>
    <w:p w:rsidR="00DF054E" w:rsidRDefault="00DF054E" w:rsidP="00DF054E">
      <w:pPr>
        <w:pStyle w:val="Heading2"/>
      </w:pPr>
      <w:bookmarkStart w:id="46" w:name="_Toc431828786"/>
      <w:r>
        <w:t>Lessons Learnt</w:t>
      </w:r>
      <w:bookmarkEnd w:id="46"/>
    </w:p>
    <w:p w:rsidR="00B21B73" w:rsidRDefault="00597592" w:rsidP="000268A5">
      <w:r>
        <w:t>T</w:t>
      </w:r>
      <w:r w:rsidR="00B21B73">
        <w:t>he SLJS</w:t>
      </w:r>
      <w:r>
        <w:t xml:space="preserve"> successfully established </w:t>
      </w:r>
      <w:r w:rsidR="00B21B73">
        <w:t xml:space="preserve">the Steering Committee and increased coordination across the sector. Given the more widespread lack of success of </w:t>
      </w:r>
      <w:r>
        <w:t xml:space="preserve">a sectoral </w:t>
      </w:r>
      <w:r w:rsidR="00B21B73">
        <w:t>approach</w:t>
      </w:r>
      <w:r>
        <w:t xml:space="preserve"> (Cox et. al., 2012)</w:t>
      </w:r>
      <w:r w:rsidR="00B21B73">
        <w:t>, the factors that have facilitated success in Samoa are important. There appear to be five critical factors that underpinned</w:t>
      </w:r>
      <w:r>
        <w:t xml:space="preserve"> </w:t>
      </w:r>
      <w:r w:rsidR="00B21B73">
        <w:t>the success of the sectoral</w:t>
      </w:r>
      <w:r>
        <w:t>-</w:t>
      </w:r>
      <w:r w:rsidR="00B21B73">
        <w:t>based approach in Samoa:</w:t>
      </w:r>
    </w:p>
    <w:p w:rsidR="00B21B73" w:rsidRDefault="00B21B73" w:rsidP="00482197">
      <w:pPr>
        <w:numPr>
          <w:ilvl w:val="0"/>
          <w:numId w:val="41"/>
        </w:numPr>
        <w:spacing w:before="120"/>
        <w:ind w:left="357" w:hanging="357"/>
      </w:pPr>
      <w:r>
        <w:t xml:space="preserve">Strong leadership from Chairman and other SLJS </w:t>
      </w:r>
      <w:r w:rsidR="00093724">
        <w:t>sector agency</w:t>
      </w:r>
      <w:r>
        <w:t xml:space="preserve"> CEO. This leadership has consistently emphasised that the focus is on the sector and that projects funded must benefit the sector as a whole rather than individual </w:t>
      </w:r>
      <w:r w:rsidR="00093724">
        <w:t>agencies</w:t>
      </w:r>
      <w:r>
        <w:t xml:space="preserve">. This strongly contrasts findings in countries where sectoral approaches </w:t>
      </w:r>
      <w:r w:rsidR="00093724">
        <w:t>were</w:t>
      </w:r>
      <w:r>
        <w:t xml:space="preserve"> </w:t>
      </w:r>
      <w:r w:rsidR="00093724">
        <w:t>in</w:t>
      </w:r>
      <w:r>
        <w:t>effective (</w:t>
      </w:r>
      <w:r w:rsidR="001468D8">
        <w:t>Cox et. al.</w:t>
      </w:r>
      <w:r>
        <w:t xml:space="preserve">, 2012). </w:t>
      </w:r>
    </w:p>
    <w:p w:rsidR="00B21B73" w:rsidRDefault="00B21B73" w:rsidP="00482197">
      <w:pPr>
        <w:numPr>
          <w:ilvl w:val="0"/>
          <w:numId w:val="41"/>
        </w:numPr>
        <w:spacing w:before="120"/>
        <w:ind w:left="357" w:hanging="357"/>
      </w:pPr>
      <w:r>
        <w:t xml:space="preserve">Samoan ownership. This is a result of the strong Samoan leadership and </w:t>
      </w:r>
      <w:r w:rsidR="00093724">
        <w:t>the donor</w:t>
      </w:r>
      <w:r>
        <w:t xml:space="preserve"> not taking a directive role during establishment.  </w:t>
      </w:r>
    </w:p>
    <w:p w:rsidR="00B21B73" w:rsidRPr="002857E4" w:rsidRDefault="00B21B73" w:rsidP="00482197">
      <w:pPr>
        <w:numPr>
          <w:ilvl w:val="0"/>
          <w:numId w:val="41"/>
        </w:numPr>
        <w:spacing w:before="120"/>
        <w:ind w:left="357" w:hanging="357"/>
      </w:pPr>
      <w:r>
        <w:t xml:space="preserve">Focussing on </w:t>
      </w:r>
      <w:r w:rsidR="001468D8">
        <w:t xml:space="preserve">a </w:t>
      </w:r>
      <w:r>
        <w:t>big activit</w:t>
      </w:r>
      <w:r w:rsidR="001468D8">
        <w:t>y</w:t>
      </w:r>
      <w:r>
        <w:t xml:space="preserve"> that needed all </w:t>
      </w:r>
      <w:r w:rsidR="00093724">
        <w:t>sector agencies</w:t>
      </w:r>
      <w:r w:rsidR="001468D8" w:rsidRPr="001468D8">
        <w:t xml:space="preserve"> </w:t>
      </w:r>
      <w:r w:rsidR="001468D8">
        <w:t>support</w:t>
      </w:r>
      <w:r>
        <w:t xml:space="preserve">, in particular the Village </w:t>
      </w:r>
      <w:proofErr w:type="spellStart"/>
      <w:r>
        <w:t>Fono</w:t>
      </w:r>
      <w:proofErr w:type="spellEnd"/>
      <w:r>
        <w:t xml:space="preserve"> Act. This reflects the suggestion of </w:t>
      </w:r>
      <w:r w:rsidR="00144E79">
        <w:t xml:space="preserve">the </w:t>
      </w:r>
      <w:r w:rsidR="00577CCB" w:rsidRPr="00577CCB">
        <w:rPr>
          <w:lang w:val="en-US" w:eastAsia="en-US"/>
        </w:rPr>
        <w:t xml:space="preserve">Australian Government </w:t>
      </w:r>
      <w:r>
        <w:t>review that sectoral based approaches may be most effective where</w:t>
      </w:r>
      <w:r w:rsidRPr="008E361D">
        <w:t xml:space="preserve"> law and justice agencies </w:t>
      </w:r>
      <w:r>
        <w:t>work together on a concrete, practical issue whose resolution requires the c</w:t>
      </w:r>
      <w:r w:rsidRPr="008E361D">
        <w:t xml:space="preserve">ooperation </w:t>
      </w:r>
      <w:r>
        <w:t>of all</w:t>
      </w:r>
      <w:r w:rsidRPr="008E361D">
        <w:t xml:space="preserve"> agencies. </w:t>
      </w:r>
      <w:r>
        <w:t xml:space="preserve">It also aligns with their finding that success was more likely where support focussed </w:t>
      </w:r>
      <w:r w:rsidRPr="002857E4">
        <w:t xml:space="preserve">on </w:t>
      </w:r>
      <w:r>
        <w:t>“</w:t>
      </w:r>
      <w:r w:rsidRPr="002857E4">
        <w:t>issues for which there were local constituencies for change, who could be mobilised and supported</w:t>
      </w:r>
      <w:r>
        <w:t>” (p. 9).</w:t>
      </w:r>
    </w:p>
    <w:p w:rsidR="00B21B73" w:rsidRPr="002857E4" w:rsidRDefault="00B21B73" w:rsidP="00482197">
      <w:pPr>
        <w:numPr>
          <w:ilvl w:val="0"/>
          <w:numId w:val="41"/>
        </w:numPr>
        <w:spacing w:before="120"/>
        <w:ind w:left="357" w:hanging="357"/>
      </w:pPr>
      <w:r>
        <w:t>Support focusing on improved</w:t>
      </w:r>
      <w:r w:rsidR="001468D8">
        <w:t>,</w:t>
      </w:r>
      <w:r>
        <w:t xml:space="preserve"> rather than best</w:t>
      </w:r>
      <w:r w:rsidR="001468D8">
        <w:t xml:space="preserve">, </w:t>
      </w:r>
      <w:r>
        <w:t xml:space="preserve">practice. This also aligns with the findings of the </w:t>
      </w:r>
      <w:r w:rsidR="00577CCB" w:rsidRPr="00577CCB">
        <w:rPr>
          <w:lang w:val="en-US" w:eastAsia="en-US"/>
        </w:rPr>
        <w:t xml:space="preserve">Australian Government </w:t>
      </w:r>
      <w:r>
        <w:t>review which concluded that implementing</w:t>
      </w:r>
      <w:r w:rsidRPr="002857E4">
        <w:t xml:space="preserve"> </w:t>
      </w:r>
      <w:r>
        <w:t>“</w:t>
      </w:r>
      <w:r w:rsidRPr="002857E4">
        <w:t>flexible, localised, 'good enough' solutions</w:t>
      </w:r>
      <w:r>
        <w:t>”</w:t>
      </w:r>
      <w:r w:rsidRPr="002857E4">
        <w:t xml:space="preserve"> rather </w:t>
      </w:r>
      <w:r>
        <w:t xml:space="preserve">international best practice was likely to be more effective </w:t>
      </w:r>
      <w:r w:rsidR="001468D8">
        <w:t>(</w:t>
      </w:r>
      <w:r>
        <w:t xml:space="preserve">p. 9). </w:t>
      </w:r>
      <w:r w:rsidRPr="002857E4">
        <w:t xml:space="preserve"> </w:t>
      </w:r>
    </w:p>
    <w:p w:rsidR="00B21B73" w:rsidRDefault="00B21B73" w:rsidP="00482197">
      <w:pPr>
        <w:numPr>
          <w:ilvl w:val="0"/>
          <w:numId w:val="41"/>
        </w:numPr>
        <w:spacing w:before="120"/>
        <w:ind w:left="357" w:hanging="357"/>
      </w:pPr>
      <w:r>
        <w:t xml:space="preserve">The commitment of money by </w:t>
      </w:r>
      <w:r w:rsidR="00151862">
        <w:t xml:space="preserve">the </w:t>
      </w:r>
      <w:r w:rsidR="00151862" w:rsidRPr="00577CCB">
        <w:rPr>
          <w:lang w:val="en-US" w:eastAsia="en-US"/>
        </w:rPr>
        <w:t>Australian Government</w:t>
      </w:r>
      <w:r>
        <w:t xml:space="preserve"> to support activities through the SLJS </w:t>
      </w:r>
      <w:r w:rsidR="00093724">
        <w:t xml:space="preserve">Strategic </w:t>
      </w:r>
      <w:r>
        <w:t xml:space="preserve">Plan.  </w:t>
      </w:r>
    </w:p>
    <w:p w:rsidR="00B21B73" w:rsidRDefault="00093724" w:rsidP="000268A5">
      <w:r>
        <w:t xml:space="preserve">At a project level, </w:t>
      </w:r>
      <w:r w:rsidR="00B21B73">
        <w:t xml:space="preserve">support provided by </w:t>
      </w:r>
      <w:r w:rsidR="00151862">
        <w:t xml:space="preserve">the </w:t>
      </w:r>
      <w:r w:rsidR="00151862" w:rsidRPr="00577CCB">
        <w:rPr>
          <w:lang w:val="en-US" w:eastAsia="en-US"/>
        </w:rPr>
        <w:t>Australian Government</w:t>
      </w:r>
      <w:r w:rsidR="00B21B73">
        <w:t xml:space="preserve"> through the SLJS generally made a significant difference where the project met one of three criteria. These were that the planned change: </w:t>
      </w:r>
    </w:p>
    <w:p w:rsidR="00B21B73" w:rsidRDefault="00B21B73" w:rsidP="00482197">
      <w:pPr>
        <w:numPr>
          <w:ilvl w:val="0"/>
          <w:numId w:val="42"/>
        </w:numPr>
        <w:spacing w:before="120"/>
        <w:ind w:left="357" w:hanging="357"/>
      </w:pPr>
      <w:r>
        <w:t xml:space="preserve">Was too hard to achieve without the support of all agencies in the sector. This was due to: the extreme range of perspectives on the change (the amendments to the Village </w:t>
      </w:r>
      <w:proofErr w:type="spellStart"/>
      <w:r>
        <w:t>Fono</w:t>
      </w:r>
      <w:proofErr w:type="spellEnd"/>
      <w:r>
        <w:t xml:space="preserve"> Act Box </w:t>
      </w:r>
      <w:r w:rsidR="00093724">
        <w:t>1</w:t>
      </w:r>
      <w:r w:rsidR="001468D8">
        <w:t xml:space="preserve">); </w:t>
      </w:r>
      <w:r>
        <w:t xml:space="preserve">potential conflict of interest (establishment of the </w:t>
      </w:r>
      <w:r w:rsidR="001468D8">
        <w:t xml:space="preserve">CLC); </w:t>
      </w:r>
      <w:r>
        <w:t>need for all agencies to address in a consistent manner for success (Crime Prevention Strategy)</w:t>
      </w:r>
      <w:r w:rsidR="001468D8">
        <w:t>;</w:t>
      </w:r>
      <w:r>
        <w:t xml:space="preserve"> or lack of willingness to allocate an agencies resources to something seen as a sector benefit (</w:t>
      </w:r>
      <w:r w:rsidR="001468D8">
        <w:t>HRI</w:t>
      </w:r>
      <w:r>
        <w:t xml:space="preserve">). </w:t>
      </w:r>
    </w:p>
    <w:p w:rsidR="00B21B73" w:rsidRDefault="00B21B73" w:rsidP="00482197">
      <w:pPr>
        <w:numPr>
          <w:ilvl w:val="0"/>
          <w:numId w:val="42"/>
        </w:numPr>
        <w:spacing w:before="120"/>
        <w:ind w:left="357" w:hanging="357"/>
      </w:pPr>
      <w:r>
        <w:t xml:space="preserve">Was a prioritised and well researched item, but the </w:t>
      </w:r>
      <w:r w:rsidR="007414C2">
        <w:t>sector agency</w:t>
      </w:r>
      <w:r>
        <w:t xml:space="preserve"> had insufficient funds to undertake the work. The digitisation of records at the LTC was an example of this (Box </w:t>
      </w:r>
      <w:r w:rsidR="007414C2">
        <w:t>3</w:t>
      </w:r>
      <w:r>
        <w:t xml:space="preserve">). </w:t>
      </w:r>
    </w:p>
    <w:p w:rsidR="00B21B73" w:rsidRDefault="00B21B73" w:rsidP="00482197">
      <w:pPr>
        <w:numPr>
          <w:ilvl w:val="0"/>
          <w:numId w:val="42"/>
        </w:numPr>
        <w:spacing w:before="120"/>
        <w:ind w:left="357" w:hanging="357"/>
      </w:pPr>
      <w:r>
        <w:t xml:space="preserve">Was critical but not publically popular. </w:t>
      </w:r>
      <w:r w:rsidR="00344930">
        <w:t>For example, t</w:t>
      </w:r>
      <w:r>
        <w:t xml:space="preserve">he support established for returnees (people deported from other countries back to Samoa for an offence) </w:t>
      </w:r>
      <w:r w:rsidR="00344930">
        <w:t xml:space="preserve">(Box </w:t>
      </w:r>
      <w:r w:rsidR="007414C2">
        <w:t>4</w:t>
      </w:r>
      <w:r w:rsidR="00344930">
        <w:t>).</w:t>
      </w:r>
    </w:p>
    <w:p w:rsidR="00B21B73" w:rsidRDefault="001468D8" w:rsidP="005C7C84">
      <w:r>
        <w:lastRenderedPageBreak/>
        <w:t>As</w:t>
      </w:r>
      <w:r w:rsidR="00B21B73">
        <w:t xml:space="preserve"> the SLJS spoke with one voice, change was possible. It is questionable whether </w:t>
      </w:r>
      <w:r>
        <w:t xml:space="preserve">most </w:t>
      </w:r>
      <w:r w:rsidR="00B21B73">
        <w:t xml:space="preserve">of these changes could have been achieved where there was disunity in the proposed position. </w:t>
      </w:r>
    </w:p>
    <w:p w:rsidR="00474287" w:rsidRDefault="00474287" w:rsidP="00474287">
      <w:r>
        <w:t xml:space="preserve">In addition, there were a number of other ‘lessons learnt’ from the support provided to the SLJS. Unfortunately, these were not new lessons – they have all been ‘learnt’ before. The concern is that having been learnt, they were lost. Those of particular significance are discussed in Appendix </w:t>
      </w:r>
      <w:r w:rsidR="008D7761">
        <w:t xml:space="preserve">J </w:t>
      </w:r>
      <w:r>
        <w:t>and comprise:</w:t>
      </w:r>
    </w:p>
    <w:p w:rsidR="00474287" w:rsidRDefault="00474287" w:rsidP="00474287">
      <w:pPr>
        <w:pStyle w:val="Bullet"/>
      </w:pPr>
      <w:r>
        <w:t xml:space="preserve">Relationships: Establishing and maintaining a relationship based on understanding and respect is critical. This requires a commitment of time and </w:t>
      </w:r>
      <w:r w:rsidRPr="00B12D43">
        <w:t xml:space="preserve">each partner </w:t>
      </w:r>
      <w:r>
        <w:t>to develop a</w:t>
      </w:r>
      <w:r w:rsidRPr="00B12D43">
        <w:t>n understanding of the other’s culture and needs</w:t>
      </w:r>
      <w:r>
        <w:t xml:space="preserve">. </w:t>
      </w:r>
    </w:p>
    <w:p w:rsidR="00474287" w:rsidRDefault="00474287" w:rsidP="00474287">
      <w:pPr>
        <w:pStyle w:val="Bullet"/>
      </w:pPr>
      <w:r>
        <w:t>Design: Shared understanding of needs and boundaries must be established, documented, regularly reviewed and updated through a process of respectful discussion.</w:t>
      </w:r>
    </w:p>
    <w:p w:rsidR="00474287" w:rsidRDefault="00474287" w:rsidP="00474287">
      <w:pPr>
        <w:pStyle w:val="Bullet"/>
      </w:pPr>
      <w:r>
        <w:t xml:space="preserve">Sector based approach: Sector based approaches should be funded by multiple agencies, including the partner government, to maximise sustainability. </w:t>
      </w:r>
    </w:p>
    <w:p w:rsidR="00344930" w:rsidRDefault="00474287" w:rsidP="00344930">
      <w:pPr>
        <w:pStyle w:val="Heading2"/>
      </w:pPr>
      <w:bookmarkStart w:id="47" w:name="_Toc431828787"/>
      <w:r>
        <w:t xml:space="preserve">Future </w:t>
      </w:r>
      <w:r w:rsidR="00344930">
        <w:t>Australian support</w:t>
      </w:r>
      <w:bookmarkEnd w:id="47"/>
    </w:p>
    <w:p w:rsidR="00B21B73" w:rsidRDefault="00151862" w:rsidP="001468D8">
      <w:r>
        <w:t xml:space="preserve">The </w:t>
      </w:r>
      <w:r w:rsidRPr="00577CCB">
        <w:rPr>
          <w:lang w:val="en-US" w:eastAsia="en-US"/>
        </w:rPr>
        <w:t>Australian Government</w:t>
      </w:r>
      <w:r w:rsidR="00D126E4">
        <w:t xml:space="preserve"> </w:t>
      </w:r>
      <w:r w:rsidR="00B21B73">
        <w:t xml:space="preserve">has </w:t>
      </w:r>
      <w:r w:rsidR="00B21B73" w:rsidRPr="00C85EB6">
        <w:t xml:space="preserve">identified that </w:t>
      </w:r>
      <w:r w:rsidR="00D126E4">
        <w:t xml:space="preserve">while Australia </w:t>
      </w:r>
      <w:r w:rsidR="00B21B73" w:rsidRPr="007067CB">
        <w:t>will</w:t>
      </w:r>
      <w:r w:rsidR="00B21B73">
        <w:t xml:space="preserve"> not be continuing sectoral-based support to the SLJS</w:t>
      </w:r>
      <w:r w:rsidR="00D126E4">
        <w:t xml:space="preserve"> they</w:t>
      </w:r>
      <w:r w:rsidR="00B21B73">
        <w:t xml:space="preserve"> remain supportive of the </w:t>
      </w:r>
      <w:r w:rsidR="00D126E4">
        <w:t>sector</w:t>
      </w:r>
      <w:r w:rsidR="00B21B73">
        <w:t xml:space="preserve">. </w:t>
      </w:r>
      <w:r w:rsidR="00D126E4">
        <w:t>Appendix G provides some principles that would improve the effectiveness</w:t>
      </w:r>
      <w:r w:rsidR="00B21B73">
        <w:t xml:space="preserve"> of the limited </w:t>
      </w:r>
      <w:r w:rsidR="00D126E4">
        <w:t xml:space="preserve">future </w:t>
      </w:r>
      <w:r w:rsidR="00B21B73">
        <w:t xml:space="preserve">support </w:t>
      </w:r>
      <w:r w:rsidR="00D126E4">
        <w:t xml:space="preserve">Australia </w:t>
      </w:r>
      <w:r w:rsidR="00B21B73">
        <w:t>may provide</w:t>
      </w:r>
      <w:r w:rsidR="00D126E4">
        <w:t xml:space="preserve"> to the sector</w:t>
      </w:r>
      <w:r w:rsidR="00B21B73">
        <w:t xml:space="preserve">. </w:t>
      </w:r>
    </w:p>
    <w:p w:rsidR="00303359" w:rsidRDefault="00344930" w:rsidP="00344930">
      <w:pPr>
        <w:pStyle w:val="Heading2"/>
      </w:pPr>
      <w:bookmarkStart w:id="48" w:name="_Toc431828794"/>
      <w:bookmarkStart w:id="49" w:name="_Toc431828795"/>
      <w:bookmarkEnd w:id="48"/>
      <w:r>
        <w:t>I</w:t>
      </w:r>
      <w:r w:rsidR="00303359">
        <w:t>mprov</w:t>
      </w:r>
      <w:r>
        <w:t xml:space="preserve">ing </w:t>
      </w:r>
      <w:r w:rsidR="00303359">
        <w:t>efficiency</w:t>
      </w:r>
      <w:r>
        <w:t xml:space="preserve"> of the SLJS</w:t>
      </w:r>
      <w:bookmarkEnd w:id="49"/>
    </w:p>
    <w:p w:rsidR="00344930" w:rsidRDefault="00344930" w:rsidP="00344930">
      <w:r>
        <w:t xml:space="preserve">The SLJS has proved effective and consequently, members of the Steering Committee are committed to sustaining the sector. Given the previously constrained level of resourcing and, with the cessation of </w:t>
      </w:r>
      <w:r w:rsidR="00151862" w:rsidRPr="00577CCB">
        <w:rPr>
          <w:lang w:val="en-US" w:eastAsia="en-US"/>
        </w:rPr>
        <w:t xml:space="preserve">Australian Government </w:t>
      </w:r>
      <w:r>
        <w:t xml:space="preserve">sectoral funding, yet more constrained future resourcing, improving efficiency is critical if the sector is to be sustained. </w:t>
      </w:r>
      <w:r w:rsidR="009C593A">
        <w:t>I</w:t>
      </w:r>
      <w:r w:rsidR="00BE5E48">
        <w:t>n</w:t>
      </w:r>
      <w:r w:rsidR="009C593A">
        <w:t xml:space="preserve"> light of this, the </w:t>
      </w:r>
      <w:r w:rsidR="00BE5E48">
        <w:t>following points are presented for the Steering Committee’s consideration in improving efficiency:</w:t>
      </w:r>
    </w:p>
    <w:p w:rsidR="006932EE" w:rsidRDefault="006932EE" w:rsidP="006932EE">
      <w:pPr>
        <w:pStyle w:val="Bullet"/>
      </w:pPr>
      <w:r>
        <w:t xml:space="preserve">Prioritise implementing </w:t>
      </w:r>
      <w:proofErr w:type="spellStart"/>
      <w:r w:rsidRPr="006932EE">
        <w:rPr>
          <w:b/>
        </w:rPr>
        <w:t>Au</w:t>
      </w:r>
      <w:r w:rsidR="009A0D7F">
        <w:rPr>
          <w:b/>
        </w:rPr>
        <w:t>a</w:t>
      </w:r>
      <w:r w:rsidRPr="006932EE">
        <w:rPr>
          <w:b/>
        </w:rPr>
        <w:t>fa</w:t>
      </w:r>
      <w:proofErr w:type="spellEnd"/>
      <w:r w:rsidRPr="006932EE">
        <w:rPr>
          <w:b/>
        </w:rPr>
        <w:t xml:space="preserve"> Ma</w:t>
      </w:r>
      <w:r w:rsidR="009A0D7F">
        <w:rPr>
          <w:b/>
        </w:rPr>
        <w:t>u</w:t>
      </w:r>
      <w:r>
        <w:t xml:space="preserve"> (the sectors database), populating it with quality data (start small) and analysing data at an outcomes rather than activity and output</w:t>
      </w:r>
      <w:r w:rsidRPr="006932EE">
        <w:t xml:space="preserve"> </w:t>
      </w:r>
      <w:r>
        <w:t>level.</w:t>
      </w:r>
    </w:p>
    <w:p w:rsidR="00BE5E48" w:rsidRDefault="00BE5E48" w:rsidP="00BE5E48">
      <w:pPr>
        <w:pStyle w:val="Bullet"/>
      </w:pPr>
      <w:r>
        <w:t xml:space="preserve">Clearly define and delimitate the </w:t>
      </w:r>
      <w:r w:rsidR="00230737">
        <w:rPr>
          <w:b/>
        </w:rPr>
        <w:t xml:space="preserve">roles, </w:t>
      </w:r>
      <w:r w:rsidRPr="006932EE">
        <w:rPr>
          <w:b/>
        </w:rPr>
        <w:t>responsibilities</w:t>
      </w:r>
      <w:r w:rsidR="00230737">
        <w:rPr>
          <w:b/>
        </w:rPr>
        <w:t xml:space="preserve"> and authority</w:t>
      </w:r>
      <w:r>
        <w:t xml:space="preserve"> for the Steering Committee and the Secretariat. In part, this may reflect the Steering Committee adopting a more strategic focus with responsibility for governance and the Secretariat increased responsibility for management and administration. </w:t>
      </w:r>
    </w:p>
    <w:p w:rsidR="00303359" w:rsidRDefault="00BE5E48" w:rsidP="00BE5E48">
      <w:pPr>
        <w:pStyle w:val="Bullet"/>
      </w:pPr>
      <w:r>
        <w:t xml:space="preserve">The Steering Committee adopt a more </w:t>
      </w:r>
      <w:r w:rsidRPr="006932EE">
        <w:rPr>
          <w:b/>
        </w:rPr>
        <w:t>strategic approach</w:t>
      </w:r>
      <w:r>
        <w:t xml:space="preserve">. </w:t>
      </w:r>
      <w:r w:rsidR="001468D8">
        <w:t>This may include</w:t>
      </w:r>
      <w:r>
        <w:t xml:space="preserve"> the</w:t>
      </w:r>
      <w:r w:rsidR="001468D8">
        <w:t>se</w:t>
      </w:r>
      <w:r>
        <w:t xml:space="preserve"> </w:t>
      </w:r>
      <w:r w:rsidR="00FB3947">
        <w:t>steps:</w:t>
      </w:r>
    </w:p>
    <w:p w:rsidR="00303359" w:rsidRPr="00FB3947" w:rsidRDefault="00303359" w:rsidP="00FB3947">
      <w:pPr>
        <w:pStyle w:val="Bulletindent"/>
      </w:pPr>
      <w:r w:rsidRPr="00FB3947">
        <w:t xml:space="preserve">Start the research for </w:t>
      </w:r>
      <w:r w:rsidR="006932EE">
        <w:t>the SLJS</w:t>
      </w:r>
      <w:r w:rsidRPr="00FB3947">
        <w:t xml:space="preserve"> 2016 - 2020 Strategic Plan now. </w:t>
      </w:r>
    </w:p>
    <w:p w:rsidR="00303359" w:rsidRPr="00FB3947" w:rsidRDefault="00303359" w:rsidP="00FB3947">
      <w:pPr>
        <w:pStyle w:val="Bulletindent"/>
      </w:pPr>
      <w:r w:rsidRPr="00FB3947">
        <w:t xml:space="preserve">Analyse the data. </w:t>
      </w:r>
    </w:p>
    <w:p w:rsidR="00303359" w:rsidRPr="00FB3947" w:rsidRDefault="00303359" w:rsidP="00FB3947">
      <w:pPr>
        <w:pStyle w:val="Bulletindent"/>
      </w:pPr>
      <w:r w:rsidRPr="00FB3947">
        <w:t xml:space="preserve">Develop </w:t>
      </w:r>
      <w:r w:rsidR="006932EE">
        <w:t>the</w:t>
      </w:r>
      <w:r w:rsidRPr="00FB3947">
        <w:t xml:space="preserve"> theory of change (including clear outcomes and measures). </w:t>
      </w:r>
    </w:p>
    <w:p w:rsidR="00303359" w:rsidRPr="00FB3947" w:rsidRDefault="00303359" w:rsidP="00FB3947">
      <w:pPr>
        <w:pStyle w:val="Bulletindent"/>
      </w:pPr>
      <w:r w:rsidRPr="00FB3947">
        <w:t xml:space="preserve">Prioritise </w:t>
      </w:r>
      <w:r w:rsidR="006932EE">
        <w:t>the SLJS</w:t>
      </w:r>
      <w:r w:rsidRPr="00FB3947">
        <w:t xml:space="preserve"> strategies. </w:t>
      </w:r>
    </w:p>
    <w:p w:rsidR="00303359" w:rsidRDefault="00303359" w:rsidP="00FB3947">
      <w:pPr>
        <w:pStyle w:val="Bullet"/>
      </w:pPr>
      <w:r>
        <w:t xml:space="preserve">Establish and promulgate clear </w:t>
      </w:r>
      <w:r w:rsidRPr="00786852">
        <w:rPr>
          <w:b/>
        </w:rPr>
        <w:t>activity selection criteria</w:t>
      </w:r>
      <w:r w:rsidR="006932EE">
        <w:t xml:space="preserve"> reflecting the SLJS strategies</w:t>
      </w:r>
      <w:r>
        <w:t xml:space="preserve">. </w:t>
      </w:r>
    </w:p>
    <w:p w:rsidR="00303359" w:rsidRDefault="00303359" w:rsidP="00FB3947">
      <w:pPr>
        <w:pStyle w:val="Bullet"/>
      </w:pPr>
      <w:r>
        <w:t xml:space="preserve">Improve reporting so that it meets </w:t>
      </w:r>
      <w:r w:rsidRPr="001468D8">
        <w:rPr>
          <w:b/>
        </w:rPr>
        <w:t>your information needs.</w:t>
      </w:r>
      <w:r>
        <w:t xml:space="preserve"> For example:</w:t>
      </w:r>
    </w:p>
    <w:tbl>
      <w:tblPr>
        <w:tblW w:w="0" w:type="auto"/>
        <w:jc w:val="cente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1431"/>
        <w:gridCol w:w="1956"/>
        <w:gridCol w:w="3049"/>
      </w:tblGrid>
      <w:tr w:rsidR="009059E9" w:rsidTr="009059E9">
        <w:trPr>
          <w:jc w:val="center"/>
        </w:trPr>
        <w:tc>
          <w:tcPr>
            <w:tcW w:w="1431" w:type="dxa"/>
            <w:tcBorders>
              <w:bottom w:val="single" w:sz="12" w:space="0" w:color="8EAADB"/>
            </w:tcBorders>
            <w:shd w:val="clear" w:color="auto" w:fill="DEEAF6"/>
          </w:tcPr>
          <w:p w:rsidR="006932EE" w:rsidRPr="009059E9" w:rsidRDefault="006932EE" w:rsidP="001468D8">
            <w:pPr>
              <w:pStyle w:val="Bullet"/>
              <w:numPr>
                <w:ilvl w:val="0"/>
                <w:numId w:val="0"/>
              </w:numPr>
              <w:spacing w:before="0"/>
              <w:jc w:val="center"/>
              <w:rPr>
                <w:b/>
                <w:bCs/>
                <w:sz w:val="22"/>
              </w:rPr>
            </w:pPr>
            <w:r w:rsidRPr="009059E9">
              <w:rPr>
                <w:b/>
                <w:bCs/>
                <w:sz w:val="22"/>
              </w:rPr>
              <w:t>Period</w:t>
            </w:r>
          </w:p>
        </w:tc>
        <w:tc>
          <w:tcPr>
            <w:tcW w:w="1956" w:type="dxa"/>
            <w:tcBorders>
              <w:bottom w:val="single" w:sz="12" w:space="0" w:color="8EAADB"/>
            </w:tcBorders>
            <w:shd w:val="clear" w:color="auto" w:fill="DEEAF6"/>
          </w:tcPr>
          <w:p w:rsidR="006932EE" w:rsidRPr="009059E9" w:rsidRDefault="006932EE" w:rsidP="001468D8">
            <w:pPr>
              <w:pStyle w:val="Bullet"/>
              <w:numPr>
                <w:ilvl w:val="0"/>
                <w:numId w:val="0"/>
              </w:numPr>
              <w:spacing w:before="0"/>
              <w:jc w:val="center"/>
              <w:rPr>
                <w:b/>
                <w:bCs/>
                <w:sz w:val="22"/>
              </w:rPr>
            </w:pPr>
            <w:r w:rsidRPr="009059E9">
              <w:rPr>
                <w:b/>
                <w:bCs/>
                <w:sz w:val="22"/>
              </w:rPr>
              <w:t>Level of reporting</w:t>
            </w:r>
          </w:p>
        </w:tc>
        <w:tc>
          <w:tcPr>
            <w:tcW w:w="3049" w:type="dxa"/>
            <w:tcBorders>
              <w:bottom w:val="single" w:sz="12" w:space="0" w:color="8EAADB"/>
            </w:tcBorders>
            <w:shd w:val="clear" w:color="auto" w:fill="DEEAF6"/>
          </w:tcPr>
          <w:p w:rsidR="006932EE" w:rsidRPr="009059E9" w:rsidRDefault="006932EE" w:rsidP="001468D8">
            <w:pPr>
              <w:pStyle w:val="Bullet"/>
              <w:numPr>
                <w:ilvl w:val="0"/>
                <w:numId w:val="0"/>
              </w:numPr>
              <w:spacing w:before="0"/>
              <w:jc w:val="center"/>
              <w:rPr>
                <w:b/>
                <w:bCs/>
                <w:sz w:val="22"/>
              </w:rPr>
            </w:pPr>
            <w:r w:rsidRPr="009059E9">
              <w:rPr>
                <w:b/>
                <w:bCs/>
                <w:sz w:val="22"/>
              </w:rPr>
              <w:t>KPI for</w:t>
            </w:r>
          </w:p>
        </w:tc>
      </w:tr>
      <w:tr w:rsidR="009059E9" w:rsidTr="009059E9">
        <w:trPr>
          <w:jc w:val="center"/>
        </w:trPr>
        <w:tc>
          <w:tcPr>
            <w:tcW w:w="1431" w:type="dxa"/>
            <w:shd w:val="clear" w:color="auto" w:fill="auto"/>
          </w:tcPr>
          <w:p w:rsidR="006932EE" w:rsidRPr="009059E9" w:rsidRDefault="006932EE" w:rsidP="001468D8">
            <w:pPr>
              <w:spacing w:before="0"/>
              <w:rPr>
                <w:b/>
                <w:bCs/>
                <w:sz w:val="22"/>
                <w:szCs w:val="22"/>
              </w:rPr>
            </w:pPr>
            <w:r w:rsidRPr="009059E9">
              <w:rPr>
                <w:b/>
                <w:bCs/>
                <w:sz w:val="22"/>
                <w:szCs w:val="22"/>
              </w:rPr>
              <w:t>Annual</w:t>
            </w:r>
          </w:p>
        </w:tc>
        <w:tc>
          <w:tcPr>
            <w:tcW w:w="1956" w:type="dxa"/>
            <w:shd w:val="clear" w:color="auto" w:fill="auto"/>
          </w:tcPr>
          <w:p w:rsidR="006932EE" w:rsidRPr="009059E9" w:rsidRDefault="006932EE" w:rsidP="001468D8">
            <w:pPr>
              <w:spacing w:before="0"/>
              <w:rPr>
                <w:sz w:val="22"/>
                <w:szCs w:val="22"/>
              </w:rPr>
            </w:pPr>
            <w:r w:rsidRPr="009059E9">
              <w:rPr>
                <w:sz w:val="22"/>
                <w:szCs w:val="22"/>
              </w:rPr>
              <w:t xml:space="preserve">Sector </w:t>
            </w:r>
          </w:p>
        </w:tc>
        <w:tc>
          <w:tcPr>
            <w:tcW w:w="3049" w:type="dxa"/>
            <w:shd w:val="clear" w:color="auto" w:fill="auto"/>
          </w:tcPr>
          <w:p w:rsidR="006932EE" w:rsidRPr="009059E9" w:rsidRDefault="006932EE" w:rsidP="001468D8">
            <w:pPr>
              <w:spacing w:before="0"/>
              <w:rPr>
                <w:sz w:val="22"/>
                <w:szCs w:val="22"/>
              </w:rPr>
            </w:pPr>
            <w:r w:rsidRPr="009059E9">
              <w:rPr>
                <w:sz w:val="22"/>
                <w:szCs w:val="22"/>
              </w:rPr>
              <w:t>Outcomes</w:t>
            </w:r>
          </w:p>
        </w:tc>
      </w:tr>
      <w:tr w:rsidR="009059E9" w:rsidTr="009059E9">
        <w:trPr>
          <w:jc w:val="center"/>
        </w:trPr>
        <w:tc>
          <w:tcPr>
            <w:tcW w:w="1431" w:type="dxa"/>
            <w:shd w:val="clear" w:color="auto" w:fill="auto"/>
          </w:tcPr>
          <w:p w:rsidR="006932EE" w:rsidRPr="009059E9" w:rsidRDefault="006932EE" w:rsidP="001468D8">
            <w:pPr>
              <w:spacing w:before="0"/>
              <w:rPr>
                <w:b/>
                <w:bCs/>
                <w:sz w:val="22"/>
                <w:szCs w:val="22"/>
              </w:rPr>
            </w:pPr>
            <w:r w:rsidRPr="009059E9">
              <w:rPr>
                <w:b/>
                <w:bCs/>
                <w:sz w:val="22"/>
                <w:szCs w:val="22"/>
              </w:rPr>
              <w:t>Six-monthly</w:t>
            </w:r>
          </w:p>
        </w:tc>
        <w:tc>
          <w:tcPr>
            <w:tcW w:w="1956" w:type="dxa"/>
            <w:shd w:val="clear" w:color="auto" w:fill="auto"/>
          </w:tcPr>
          <w:p w:rsidR="006932EE" w:rsidRPr="009059E9" w:rsidRDefault="006932EE" w:rsidP="001468D8">
            <w:pPr>
              <w:spacing w:before="0"/>
              <w:rPr>
                <w:sz w:val="22"/>
                <w:szCs w:val="22"/>
              </w:rPr>
            </w:pPr>
            <w:r w:rsidRPr="009059E9">
              <w:rPr>
                <w:sz w:val="22"/>
                <w:szCs w:val="22"/>
              </w:rPr>
              <w:t xml:space="preserve">Project </w:t>
            </w:r>
          </w:p>
        </w:tc>
        <w:tc>
          <w:tcPr>
            <w:tcW w:w="3049" w:type="dxa"/>
            <w:shd w:val="clear" w:color="auto" w:fill="auto"/>
          </w:tcPr>
          <w:p w:rsidR="006932EE" w:rsidRPr="009059E9" w:rsidRDefault="006932EE" w:rsidP="001468D8">
            <w:pPr>
              <w:spacing w:before="0"/>
              <w:rPr>
                <w:sz w:val="22"/>
                <w:szCs w:val="22"/>
              </w:rPr>
            </w:pPr>
            <w:r w:rsidRPr="009059E9">
              <w:rPr>
                <w:sz w:val="22"/>
                <w:szCs w:val="22"/>
              </w:rPr>
              <w:t>Outcomes and progress</w:t>
            </w:r>
          </w:p>
        </w:tc>
      </w:tr>
      <w:tr w:rsidR="009059E9" w:rsidTr="009059E9">
        <w:trPr>
          <w:jc w:val="center"/>
        </w:trPr>
        <w:tc>
          <w:tcPr>
            <w:tcW w:w="1431" w:type="dxa"/>
            <w:shd w:val="clear" w:color="auto" w:fill="auto"/>
          </w:tcPr>
          <w:p w:rsidR="006932EE" w:rsidRPr="009059E9" w:rsidRDefault="006932EE" w:rsidP="001468D8">
            <w:pPr>
              <w:spacing w:before="0"/>
              <w:rPr>
                <w:b/>
                <w:bCs/>
                <w:sz w:val="22"/>
                <w:szCs w:val="22"/>
              </w:rPr>
            </w:pPr>
            <w:r w:rsidRPr="009059E9">
              <w:rPr>
                <w:b/>
                <w:bCs/>
                <w:sz w:val="22"/>
                <w:szCs w:val="22"/>
              </w:rPr>
              <w:lastRenderedPageBreak/>
              <w:t>Monthly</w:t>
            </w:r>
          </w:p>
        </w:tc>
        <w:tc>
          <w:tcPr>
            <w:tcW w:w="1956" w:type="dxa"/>
            <w:shd w:val="clear" w:color="auto" w:fill="auto"/>
          </w:tcPr>
          <w:p w:rsidR="006932EE" w:rsidRPr="009059E9" w:rsidRDefault="006932EE" w:rsidP="001468D8">
            <w:pPr>
              <w:spacing w:before="0"/>
              <w:rPr>
                <w:sz w:val="22"/>
                <w:szCs w:val="22"/>
              </w:rPr>
            </w:pPr>
            <w:r w:rsidRPr="009059E9">
              <w:rPr>
                <w:sz w:val="22"/>
                <w:szCs w:val="22"/>
              </w:rPr>
              <w:t>Project</w:t>
            </w:r>
          </w:p>
        </w:tc>
        <w:tc>
          <w:tcPr>
            <w:tcW w:w="3049" w:type="dxa"/>
            <w:shd w:val="clear" w:color="auto" w:fill="auto"/>
          </w:tcPr>
          <w:p w:rsidR="006932EE" w:rsidRPr="009059E9" w:rsidRDefault="006932EE" w:rsidP="001468D8">
            <w:pPr>
              <w:spacing w:before="0"/>
              <w:rPr>
                <w:sz w:val="22"/>
                <w:szCs w:val="22"/>
              </w:rPr>
            </w:pPr>
            <w:r w:rsidRPr="009059E9">
              <w:rPr>
                <w:sz w:val="22"/>
                <w:szCs w:val="22"/>
              </w:rPr>
              <w:t>Progress</w:t>
            </w:r>
          </w:p>
        </w:tc>
      </w:tr>
    </w:tbl>
    <w:p w:rsidR="00303359" w:rsidRDefault="00303359" w:rsidP="006932EE">
      <w:pPr>
        <w:pStyle w:val="Bullet"/>
      </w:pPr>
      <w:r>
        <w:t xml:space="preserve">Where </w:t>
      </w:r>
      <w:r w:rsidR="00715C23">
        <w:t>technical assistance</w:t>
      </w:r>
      <w:r>
        <w:t xml:space="preserve"> is used, apply the </w:t>
      </w:r>
      <w:r w:rsidR="00715C23" w:rsidRPr="001468D8">
        <w:rPr>
          <w:b/>
        </w:rPr>
        <w:t>technical assistance</w:t>
      </w:r>
      <w:r w:rsidRPr="001468D8">
        <w:rPr>
          <w:b/>
        </w:rPr>
        <w:t xml:space="preserve"> as a facilitator</w:t>
      </w:r>
      <w:r>
        <w:t xml:space="preserve"> with multiple short trips to guide the SA to undertake the work rather than to undertake it themselves (legislative drafting is </w:t>
      </w:r>
      <w:r w:rsidR="006932EE">
        <w:t xml:space="preserve">probably </w:t>
      </w:r>
      <w:r>
        <w:t>an exception).</w:t>
      </w:r>
    </w:p>
    <w:p w:rsidR="00715C23" w:rsidRDefault="00D126E4" w:rsidP="00715C23">
      <w:r>
        <w:t xml:space="preserve">Broader issues are summarised in Appendix H. </w:t>
      </w:r>
    </w:p>
    <w:bookmarkStart w:id="50" w:name="_Toc431828796"/>
    <w:p w:rsidR="00802107" w:rsidRPr="000F1027" w:rsidRDefault="00DF2B6A" w:rsidP="00802107">
      <w:pPr>
        <w:pStyle w:val="Heading1"/>
      </w:pPr>
      <w:r>
        <w:rPr>
          <w:lang w:val="en-AU" w:eastAsia="en-AU"/>
        </w:rPr>
        <w:lastRenderedPageBreak/>
        <mc:AlternateContent>
          <mc:Choice Requires="wps">
            <w:drawing>
              <wp:anchor distT="0" distB="0" distL="114300" distR="114300" simplePos="0" relativeHeight="251663360" behindDoc="1" locked="0" layoutInCell="1" allowOverlap="1" wp14:anchorId="51E5D2E0" wp14:editId="2AFAD31E">
                <wp:simplePos x="0" y="0"/>
                <wp:positionH relativeFrom="page">
                  <wp:posOffset>-62865</wp:posOffset>
                </wp:positionH>
                <wp:positionV relativeFrom="paragraph">
                  <wp:posOffset>-586740</wp:posOffset>
                </wp:positionV>
                <wp:extent cx="7658100" cy="1468755"/>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58100" cy="1468755"/>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95pt;margin-top:-46.2pt;width:603pt;height:115.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" fillcolor="#124486" stroked="f" strokeweight="2pt">
                <v:path arrowok="t"/>
                <w10:wrap anchorx="page"/>
              </v:rect>
            </w:pict>
          </mc:Fallback>
        </mc:AlternateContent>
      </w:r>
      <w:r w:rsidR="00802107">
        <w:t>Conclusion</w:t>
      </w:r>
      <w:bookmarkEnd w:id="50"/>
    </w:p>
    <w:p w:rsidR="00802107" w:rsidRDefault="00802107" w:rsidP="00802107">
      <w:r>
        <w:t xml:space="preserve">Funding to support </w:t>
      </w:r>
      <w:r w:rsidR="00F53010">
        <w:t>Samoa establish</w:t>
      </w:r>
      <w:r>
        <w:t xml:space="preserve"> the SLJS </w:t>
      </w:r>
      <w:r w:rsidR="00F53010">
        <w:t>and implement</w:t>
      </w:r>
      <w:r>
        <w:t xml:space="preserve"> the SLJS Strategic Plans has been effective despite </w:t>
      </w:r>
      <w:r w:rsidR="00151862">
        <w:t xml:space="preserve">the </w:t>
      </w:r>
      <w:r w:rsidR="00151862" w:rsidRPr="00577CCB">
        <w:rPr>
          <w:lang w:val="en-US" w:eastAsia="en-US"/>
        </w:rPr>
        <w:t>Australian Government</w:t>
      </w:r>
      <w:r>
        <w:t xml:space="preserve"> not clearly defining expected outcomes</w:t>
      </w:r>
      <w:r w:rsidR="002B6C06">
        <w:t xml:space="preserve"> and </w:t>
      </w:r>
      <w:r w:rsidR="00F53010">
        <w:t>the Agreement specifying</w:t>
      </w:r>
      <w:r w:rsidR="002B6C06">
        <w:t xml:space="preserve"> inappropriate indicators</w:t>
      </w:r>
      <w:r>
        <w:t xml:space="preserve">. </w:t>
      </w:r>
      <w:r w:rsidR="00F53010">
        <w:t xml:space="preserve">With the Australian investment of $3.699m, Samoa achieved </w:t>
      </w:r>
      <w:r w:rsidR="008F6D59">
        <w:t>a number of</w:t>
      </w:r>
      <w:r w:rsidR="00F53010">
        <w:t xml:space="preserve"> </w:t>
      </w:r>
      <w:r w:rsidR="008F6D59">
        <w:t xml:space="preserve">significant </w:t>
      </w:r>
      <w:r w:rsidR="00F53010">
        <w:t>outcomes</w:t>
      </w:r>
      <w:r w:rsidR="002E4815">
        <w:t xml:space="preserve">: </w:t>
      </w:r>
    </w:p>
    <w:p w:rsidR="00802107" w:rsidRDefault="00F53010" w:rsidP="00C56F3C">
      <w:pPr>
        <w:pStyle w:val="Bullet"/>
      </w:pPr>
      <w:r>
        <w:t>Su</w:t>
      </w:r>
      <w:r w:rsidR="00802107">
        <w:t xml:space="preserve">stainably </w:t>
      </w:r>
      <w:r>
        <w:t>establish the SLJS</w:t>
      </w:r>
      <w:r w:rsidR="00802107">
        <w:t xml:space="preserve">. The </w:t>
      </w:r>
      <w:r>
        <w:t>SLJS</w:t>
      </w:r>
      <w:r w:rsidR="00802107">
        <w:t xml:space="preserve"> continued</w:t>
      </w:r>
      <w:r>
        <w:t xml:space="preserve"> to</w:t>
      </w:r>
      <w:r w:rsidR="00802107">
        <w:t xml:space="preserve"> function after </w:t>
      </w:r>
      <w:r w:rsidR="00151862" w:rsidRPr="00577CCB">
        <w:rPr>
          <w:lang w:val="en-US" w:eastAsia="en-US"/>
        </w:rPr>
        <w:t xml:space="preserve">Australian Government </w:t>
      </w:r>
      <w:r w:rsidR="00802107">
        <w:t xml:space="preserve">funding ceased. </w:t>
      </w:r>
    </w:p>
    <w:p w:rsidR="00802107" w:rsidRDefault="00C56F3C" w:rsidP="00C56F3C">
      <w:pPr>
        <w:pStyle w:val="Bullet"/>
      </w:pPr>
      <w:r>
        <w:t xml:space="preserve">Significantly increased harmonisation of the traditional and formal legal system. </w:t>
      </w:r>
    </w:p>
    <w:p w:rsidR="00C56F3C" w:rsidRDefault="00F53010" w:rsidP="00C56F3C">
      <w:pPr>
        <w:pStyle w:val="Bullet"/>
      </w:pPr>
      <w:r>
        <w:t>Established a</w:t>
      </w:r>
      <w:r w:rsidR="00C56F3C">
        <w:t xml:space="preserve"> Human Rights Institute </w:t>
      </w:r>
      <w:r>
        <w:t>increasing access to justice</w:t>
      </w:r>
      <w:r w:rsidR="00C56F3C">
        <w:t>.</w:t>
      </w:r>
    </w:p>
    <w:p w:rsidR="00C56F3C" w:rsidRDefault="00F53010" w:rsidP="00C56F3C">
      <w:pPr>
        <w:pStyle w:val="Bullet"/>
      </w:pPr>
      <w:r>
        <w:t>Established s</w:t>
      </w:r>
      <w:r w:rsidR="00C56F3C">
        <w:t xml:space="preserve">ecurity of critical </w:t>
      </w:r>
      <w:r>
        <w:t>L</w:t>
      </w:r>
      <w:r w:rsidR="009A0D7F">
        <w:t>TC</w:t>
      </w:r>
      <w:r>
        <w:t xml:space="preserve"> </w:t>
      </w:r>
      <w:r w:rsidR="00C56F3C">
        <w:t xml:space="preserve">records and </w:t>
      </w:r>
      <w:r>
        <w:t xml:space="preserve">improved public </w:t>
      </w:r>
      <w:r w:rsidR="00C56F3C">
        <w:t xml:space="preserve">access to these </w:t>
      </w:r>
      <w:r>
        <w:t>records</w:t>
      </w:r>
      <w:r w:rsidR="00C56F3C">
        <w:t xml:space="preserve">. </w:t>
      </w:r>
    </w:p>
    <w:p w:rsidR="00C56F3C" w:rsidRDefault="00C56F3C" w:rsidP="00C56F3C">
      <w:r>
        <w:t>In addition</w:t>
      </w:r>
      <w:r w:rsidR="00F53010">
        <w:t>, this support has enabled the SLJS to</w:t>
      </w:r>
      <w:r w:rsidR="003755FD">
        <w:t>:</w:t>
      </w:r>
    </w:p>
    <w:p w:rsidR="00C56F3C" w:rsidRDefault="003755FD" w:rsidP="00C56F3C">
      <w:pPr>
        <w:pStyle w:val="Bullet"/>
      </w:pPr>
      <w:r>
        <w:t>Obtain approval for a</w:t>
      </w:r>
      <w:r w:rsidR="00C56F3C">
        <w:t xml:space="preserve"> Community </w:t>
      </w:r>
      <w:r w:rsidR="009A0D7F">
        <w:t xml:space="preserve">Law </w:t>
      </w:r>
      <w:r w:rsidR="00E46172">
        <w:t>Centre</w:t>
      </w:r>
      <w:r w:rsidR="00C56F3C">
        <w:t xml:space="preserve"> </w:t>
      </w:r>
      <w:r>
        <w:t xml:space="preserve">that </w:t>
      </w:r>
      <w:r w:rsidR="00C56F3C">
        <w:t xml:space="preserve">will be established this year. </w:t>
      </w:r>
    </w:p>
    <w:p w:rsidR="00C56F3C" w:rsidRDefault="003755FD" w:rsidP="00C56F3C">
      <w:pPr>
        <w:pStyle w:val="Bullet"/>
      </w:pPr>
      <w:r>
        <w:t>Develop a</w:t>
      </w:r>
      <w:r w:rsidR="00C56F3C">
        <w:t xml:space="preserve"> sector wide crime prevention strategy. </w:t>
      </w:r>
    </w:p>
    <w:p w:rsidR="00F53010" w:rsidRDefault="003755FD" w:rsidP="00F53010">
      <w:pPr>
        <w:pStyle w:val="Bullet"/>
      </w:pPr>
      <w:r>
        <w:t>Progress</w:t>
      </w:r>
      <w:r w:rsidR="00F53010">
        <w:t xml:space="preserve"> SLJS goals, particularly community safety, access to justice and law, and the integration of customary justice into the formal justice system.  </w:t>
      </w:r>
    </w:p>
    <w:p w:rsidR="002B6C06" w:rsidRDefault="00C56F3C" w:rsidP="00C56F3C">
      <w:r>
        <w:t xml:space="preserve">All stakeholders agree that the support Australia provided was essential for achievement </w:t>
      </w:r>
      <w:r w:rsidR="008F6D59">
        <w:t xml:space="preserve">of these outcomes. </w:t>
      </w:r>
      <w:r w:rsidR="003755FD">
        <w:t>T</w:t>
      </w:r>
      <w:r w:rsidR="002B6C06">
        <w:t>he activities supported made significant contributions to addressing the needs of the marginalised</w:t>
      </w:r>
      <w:r w:rsidR="003755FD">
        <w:t xml:space="preserve"> despite no specific focus on gender or disability</w:t>
      </w:r>
      <w:r w:rsidR="002B6C06">
        <w:t xml:space="preserve">. </w:t>
      </w:r>
    </w:p>
    <w:p w:rsidR="003755FD" w:rsidRDefault="00175F85" w:rsidP="003755FD">
      <w:r>
        <w:t>The SLJS generally invested f</w:t>
      </w:r>
      <w:r w:rsidR="002B6C06">
        <w:t>unds efficiently</w:t>
      </w:r>
      <w:r>
        <w:t>.</w:t>
      </w:r>
      <w:r w:rsidR="002B6C06">
        <w:t xml:space="preserve"> As a result, the overall investment represented excellent value for money. </w:t>
      </w:r>
      <w:r w:rsidR="003755FD">
        <w:t>However,</w:t>
      </w:r>
      <w:r w:rsidR="002B6C06">
        <w:t xml:space="preserve"> efficiency was adversely affected by: a lack of clarity in agreements between </w:t>
      </w:r>
      <w:r w:rsidR="00151862">
        <w:t xml:space="preserve">the </w:t>
      </w:r>
      <w:r w:rsidR="002B6C06">
        <w:t>Go</w:t>
      </w:r>
      <w:r w:rsidR="00151862">
        <w:t xml:space="preserve">vernments of </w:t>
      </w:r>
      <w:r w:rsidR="002B6C06">
        <w:t>A</w:t>
      </w:r>
      <w:r w:rsidR="00151862">
        <w:t>ustralia</w:t>
      </w:r>
      <w:r w:rsidR="002B6C06">
        <w:t xml:space="preserve"> and S</w:t>
      </w:r>
      <w:r w:rsidR="00151862">
        <w:t>amoa</w:t>
      </w:r>
      <w:r w:rsidR="002B6C06">
        <w:t xml:space="preserve">; low </w:t>
      </w:r>
      <w:r w:rsidR="00151862" w:rsidRPr="00577CCB">
        <w:rPr>
          <w:lang w:val="en-US" w:eastAsia="en-US"/>
        </w:rPr>
        <w:t xml:space="preserve">Australian Government </w:t>
      </w:r>
      <w:r w:rsidR="002B6C06">
        <w:t>attendance at Steering Committee</w:t>
      </w:r>
      <w:r w:rsidR="003755FD">
        <w:t xml:space="preserve"> meetings</w:t>
      </w:r>
      <w:r w:rsidR="002B6C06">
        <w:t xml:space="preserve">; lack of SLJS ownership of activities initiated by </w:t>
      </w:r>
      <w:r w:rsidR="00151862">
        <w:t xml:space="preserve">the </w:t>
      </w:r>
      <w:r w:rsidR="00151862" w:rsidRPr="00577CCB">
        <w:rPr>
          <w:lang w:val="en-US" w:eastAsia="en-US"/>
        </w:rPr>
        <w:t>Australian Government</w:t>
      </w:r>
      <w:r w:rsidR="002B6C06">
        <w:t xml:space="preserve"> and undertaken (rather than facilitated) by consultants</w:t>
      </w:r>
      <w:r w:rsidR="003755FD">
        <w:t>,</w:t>
      </w:r>
      <w:r w:rsidR="002B6C06">
        <w:t xml:space="preserve"> </w:t>
      </w:r>
      <w:r w:rsidR="003755FD">
        <w:t xml:space="preserve">a </w:t>
      </w:r>
      <w:r w:rsidR="002B6C06">
        <w:t xml:space="preserve">lack of criteria </w:t>
      </w:r>
      <w:r w:rsidR="003755FD">
        <w:t>to select and prioritise</w:t>
      </w:r>
      <w:r w:rsidR="002B6C06">
        <w:t xml:space="preserve"> projects</w:t>
      </w:r>
      <w:r w:rsidR="008F6D59">
        <w:t>,</w:t>
      </w:r>
      <w:r w:rsidR="003755FD">
        <w:t xml:space="preserve"> and not contracting construction works</w:t>
      </w:r>
      <w:r w:rsidR="002B6C06">
        <w:t xml:space="preserve">. </w:t>
      </w:r>
      <w:r w:rsidR="003755FD">
        <w:t xml:space="preserve">Monitoring, </w:t>
      </w:r>
      <w:r>
        <w:t xml:space="preserve">reporting </w:t>
      </w:r>
      <w:r w:rsidR="003755FD">
        <w:t xml:space="preserve">and risk management </w:t>
      </w:r>
      <w:r w:rsidR="008F6D59">
        <w:t>was</w:t>
      </w:r>
      <w:r>
        <w:t xml:space="preserve"> weak</w:t>
      </w:r>
      <w:r w:rsidR="008F6D59">
        <w:t xml:space="preserve"> due to</w:t>
      </w:r>
      <w:r>
        <w:t xml:space="preserve"> </w:t>
      </w:r>
      <w:r w:rsidR="008F6D59">
        <w:t>a</w:t>
      </w:r>
      <w:r>
        <w:t xml:space="preserve"> lack of capacity within both the Steeri</w:t>
      </w:r>
      <w:r w:rsidR="003755FD">
        <w:t xml:space="preserve">ng Committee and </w:t>
      </w:r>
      <w:r w:rsidR="00151862" w:rsidRPr="00577CCB">
        <w:rPr>
          <w:lang w:val="en-US" w:eastAsia="en-US"/>
        </w:rPr>
        <w:t xml:space="preserve">Australian Government </w:t>
      </w:r>
      <w:r w:rsidR="003755FD">
        <w:t xml:space="preserve">Officers. Consequently, of </w:t>
      </w:r>
      <w:r w:rsidR="008F6D59">
        <w:t xml:space="preserve">the </w:t>
      </w:r>
      <w:r w:rsidR="003755FD">
        <w:t xml:space="preserve">ways </w:t>
      </w:r>
      <w:r w:rsidR="008F6D59">
        <w:t xml:space="preserve">this review identified that </w:t>
      </w:r>
      <w:r w:rsidR="003755FD">
        <w:t xml:space="preserve">the SLJS can be further strengthened, the most significant is an increased focus on strategic thinking, planning and monitoring. </w:t>
      </w:r>
    </w:p>
    <w:p w:rsidR="002B6C06" w:rsidRDefault="00D97F3C" w:rsidP="00C56F3C">
      <w:r>
        <w:t xml:space="preserve">The success of the support was a consequence of strong leadership from the Chairman and other SLJS sector agency CEO, Samoan ownership of the sector and activities, supporting improved rather than best practice, focussing on </w:t>
      </w:r>
      <w:r w:rsidR="008F6D59">
        <w:t>a big activity</w:t>
      </w:r>
      <w:r>
        <w:t xml:space="preserve"> that needed all sector agencies</w:t>
      </w:r>
      <w:r w:rsidR="008F6D59">
        <w:t xml:space="preserve"> support,</w:t>
      </w:r>
      <w:r>
        <w:t xml:space="preserve"> and funds to implement these activities. </w:t>
      </w:r>
      <w:r w:rsidR="00175F85">
        <w:t xml:space="preserve">The difficulties that emerged between </w:t>
      </w:r>
      <w:r w:rsidR="00151862">
        <w:t xml:space="preserve">the </w:t>
      </w:r>
      <w:r w:rsidR="00151862" w:rsidRPr="00577CCB">
        <w:rPr>
          <w:lang w:val="en-US" w:eastAsia="en-US"/>
        </w:rPr>
        <w:t>Australian Government</w:t>
      </w:r>
      <w:r w:rsidR="00175F85">
        <w:t xml:space="preserve"> and the Steering Committee could have been avoided had relationships based on </w:t>
      </w:r>
      <w:r w:rsidR="008F6D59">
        <w:t xml:space="preserve">respect and </w:t>
      </w:r>
      <w:r w:rsidR="00175F85">
        <w:t>understanding been established and maintained. This requires a commitment of time and understanding of the partner’s culture and needs. Boundaries must be established, documented, regularly reviewed and updated through a pr</w:t>
      </w:r>
      <w:r>
        <w:t xml:space="preserve">ocess of respectful </w:t>
      </w:r>
      <w:r>
        <w:lastRenderedPageBreak/>
        <w:t>discussion. In addition, sustainability of s</w:t>
      </w:r>
      <w:r w:rsidR="008F6D59">
        <w:t>ector-</w:t>
      </w:r>
      <w:r w:rsidR="00175F85">
        <w:t xml:space="preserve">based approaches </w:t>
      </w:r>
      <w:r>
        <w:t>will be enhanced where they are</w:t>
      </w:r>
      <w:r w:rsidR="00175F85">
        <w:t xml:space="preserve"> funded by multiple agencies, including the partner government, </w:t>
      </w:r>
      <w:r>
        <w:t>rather than a single donor</w:t>
      </w:r>
      <w:r w:rsidR="00175F85">
        <w:t>.</w:t>
      </w:r>
    </w:p>
    <w:p w:rsidR="002E6239" w:rsidRDefault="002E6239" w:rsidP="00786852">
      <w:pPr>
        <w:pStyle w:val="Heading2a"/>
        <w:pBdr>
          <w:top w:val="single" w:sz="4" w:space="1" w:color="auto"/>
          <w:left w:val="single" w:sz="4" w:space="4" w:color="auto"/>
          <w:bottom w:val="single" w:sz="4" w:space="1" w:color="auto"/>
          <w:right w:val="single" w:sz="4" w:space="4" w:color="auto"/>
        </w:pBdr>
      </w:pPr>
      <w:r>
        <w:t>Summary of recommendations</w:t>
      </w:r>
    </w:p>
    <w:p w:rsidR="002E6239" w:rsidRDefault="002E6239" w:rsidP="00786852">
      <w:pPr>
        <w:pStyle w:val="Heading3a"/>
        <w:pBdr>
          <w:top w:val="single" w:sz="4" w:space="1" w:color="auto"/>
          <w:left w:val="single" w:sz="4" w:space="4" w:color="auto"/>
          <w:bottom w:val="single" w:sz="4" w:space="1" w:color="auto"/>
          <w:right w:val="single" w:sz="4" w:space="4" w:color="auto"/>
        </w:pBdr>
      </w:pPr>
      <w:r>
        <w:t xml:space="preserve">For the Steering Committee. </w:t>
      </w:r>
    </w:p>
    <w:p w:rsidR="00602C7C" w:rsidRDefault="00602C7C" w:rsidP="00786852">
      <w:pPr>
        <w:pBdr>
          <w:top w:val="single" w:sz="4" w:space="1" w:color="auto"/>
          <w:left w:val="single" w:sz="4" w:space="4" w:color="auto"/>
          <w:bottom w:val="single" w:sz="4" w:space="1" w:color="auto"/>
          <w:right w:val="single" w:sz="4" w:space="4" w:color="auto"/>
        </w:pBdr>
      </w:pPr>
      <w:r>
        <w:t xml:space="preserve">Consider: </w:t>
      </w:r>
    </w:p>
    <w:p w:rsidR="00602C7C" w:rsidRDefault="00602C7C" w:rsidP="00786852">
      <w:pPr>
        <w:pStyle w:val="Bullet"/>
        <w:pBdr>
          <w:top w:val="single" w:sz="4" w:space="1" w:color="auto"/>
          <w:left w:val="single" w:sz="4" w:space="4" w:color="auto"/>
          <w:bottom w:val="single" w:sz="4" w:space="1" w:color="auto"/>
          <w:right w:val="single" w:sz="4" w:space="4" w:color="auto"/>
        </w:pBdr>
        <w:spacing w:before="40"/>
        <w:ind w:left="357" w:hanging="357"/>
      </w:pPr>
      <w:r>
        <w:rPr>
          <w:lang w:val="en-US"/>
        </w:rPr>
        <w:t xml:space="preserve">Establishing and communicating criteria for project selection (Section 5.3.1 and 6.2). </w:t>
      </w:r>
    </w:p>
    <w:p w:rsidR="00602C7C" w:rsidRDefault="00602C7C" w:rsidP="00786852">
      <w:pPr>
        <w:pStyle w:val="Bullet"/>
        <w:pBdr>
          <w:top w:val="single" w:sz="4" w:space="1" w:color="auto"/>
          <w:left w:val="single" w:sz="4" w:space="4" w:color="auto"/>
          <w:bottom w:val="single" w:sz="4" w:space="1" w:color="auto"/>
          <w:right w:val="single" w:sz="4" w:space="4" w:color="auto"/>
        </w:pBdr>
        <w:spacing w:before="40"/>
        <w:ind w:left="357" w:hanging="357"/>
      </w:pPr>
      <w:r>
        <w:t>Prioritise proposals to implement (refer Section 6.2).</w:t>
      </w:r>
    </w:p>
    <w:p w:rsidR="00602C7C" w:rsidRDefault="00602C7C" w:rsidP="00786852">
      <w:pPr>
        <w:pStyle w:val="Bullet"/>
        <w:pBdr>
          <w:top w:val="single" w:sz="4" w:space="1" w:color="auto"/>
          <w:left w:val="single" w:sz="4" w:space="4" w:color="auto"/>
          <w:bottom w:val="single" w:sz="4" w:space="1" w:color="auto"/>
          <w:right w:val="single" w:sz="4" w:space="4" w:color="auto"/>
        </w:pBdr>
        <w:spacing w:before="40"/>
        <w:ind w:left="357" w:hanging="357"/>
      </w:pPr>
      <w:r>
        <w:t>Resourcing t</w:t>
      </w:r>
      <w:r w:rsidRPr="00521F23">
        <w:t xml:space="preserve">he Secretariat </w:t>
      </w:r>
      <w:r>
        <w:t>to</w:t>
      </w:r>
      <w:r w:rsidRPr="00521F23">
        <w:t xml:space="preserve"> support adequately the Steering Committee. This may mean team members with specialist skills in planning and monitoring in addition to finance</w:t>
      </w:r>
      <w:r>
        <w:t>.</w:t>
      </w:r>
      <w:r w:rsidRPr="00521F23">
        <w:t xml:space="preserve"> Alternatively, it may require short-term technical assistance</w:t>
      </w:r>
      <w:r>
        <w:t xml:space="preserve"> </w:t>
      </w:r>
      <w:r w:rsidRPr="00521F23">
        <w:t xml:space="preserve">inputs </w:t>
      </w:r>
      <w:r>
        <w:t>(refer Section 5.2).</w:t>
      </w:r>
    </w:p>
    <w:p w:rsidR="00602C7C" w:rsidRDefault="00602C7C" w:rsidP="00786852">
      <w:pPr>
        <w:pStyle w:val="Bullet"/>
        <w:pBdr>
          <w:top w:val="single" w:sz="4" w:space="1" w:color="auto"/>
          <w:left w:val="single" w:sz="4" w:space="4" w:color="auto"/>
          <w:bottom w:val="single" w:sz="4" w:space="1" w:color="auto"/>
          <w:right w:val="single" w:sz="4" w:space="4" w:color="auto"/>
        </w:pBdr>
        <w:spacing w:before="40"/>
        <w:ind w:left="357" w:hanging="357"/>
      </w:pPr>
      <w:r w:rsidRPr="00521F23">
        <w:t>Where timely production of functional outputs is critical, establishing output based contracts with payments attached to specific milestones, and including maintenance periods may be more effective. Inclusion of liquidated damages for delayed completion may also be appropriate in some situations</w:t>
      </w:r>
      <w:r>
        <w:t xml:space="preserve"> (refer Section 5.2)</w:t>
      </w:r>
      <w:r w:rsidRPr="00521F23">
        <w:t>.</w:t>
      </w:r>
    </w:p>
    <w:p w:rsidR="00602C7C" w:rsidRDefault="00602C7C" w:rsidP="00786852">
      <w:pPr>
        <w:pStyle w:val="Bullet"/>
        <w:pBdr>
          <w:top w:val="single" w:sz="4" w:space="1" w:color="auto"/>
          <w:left w:val="single" w:sz="4" w:space="4" w:color="auto"/>
          <w:bottom w:val="single" w:sz="4" w:space="1" w:color="auto"/>
          <w:right w:val="single" w:sz="4" w:space="4" w:color="auto"/>
        </w:pBdr>
        <w:spacing w:before="40"/>
        <w:ind w:left="357" w:hanging="357"/>
      </w:pPr>
      <w:r>
        <w:t xml:space="preserve">Inclusion of a member of the National Youth Council to bring the voice of the youth to discussions (refer Section 3.3). </w:t>
      </w:r>
    </w:p>
    <w:p w:rsidR="002E6239" w:rsidRDefault="002E6239" w:rsidP="00786852">
      <w:pPr>
        <w:pStyle w:val="Heading3a"/>
        <w:pBdr>
          <w:top w:val="single" w:sz="4" w:space="1" w:color="auto"/>
          <w:left w:val="single" w:sz="4" w:space="4" w:color="auto"/>
          <w:bottom w:val="single" w:sz="4" w:space="1" w:color="auto"/>
          <w:right w:val="single" w:sz="4" w:space="4" w:color="auto"/>
        </w:pBdr>
      </w:pPr>
      <w:r>
        <w:t xml:space="preserve">For DFAT and other donors </w:t>
      </w:r>
    </w:p>
    <w:p w:rsidR="00602C7C" w:rsidRPr="00521F23" w:rsidRDefault="00602C7C" w:rsidP="00786852">
      <w:pPr>
        <w:pBdr>
          <w:top w:val="single" w:sz="4" w:space="1" w:color="auto"/>
          <w:left w:val="single" w:sz="4" w:space="4" w:color="auto"/>
          <w:bottom w:val="single" w:sz="4" w:space="1" w:color="auto"/>
          <w:right w:val="single" w:sz="4" w:space="4" w:color="auto"/>
        </w:pBdr>
      </w:pPr>
      <w:r w:rsidRPr="00521F23">
        <w:t>Wherever possible, efficiency should be maximized by</w:t>
      </w:r>
      <w:r>
        <w:t xml:space="preserve"> (refer Section 5.1.2)</w:t>
      </w:r>
      <w:r w:rsidRPr="00521F23">
        <w:t>:</w:t>
      </w:r>
    </w:p>
    <w:p w:rsidR="00602C7C" w:rsidRPr="00521F23" w:rsidRDefault="00602C7C" w:rsidP="00786852">
      <w:pPr>
        <w:pStyle w:val="Bullet"/>
        <w:pBdr>
          <w:top w:val="single" w:sz="4" w:space="1" w:color="auto"/>
          <w:left w:val="single" w:sz="4" w:space="4" w:color="auto"/>
          <w:bottom w:val="single" w:sz="4" w:space="1" w:color="auto"/>
          <w:right w:val="single" w:sz="4" w:space="4" w:color="auto"/>
        </w:pBdr>
        <w:spacing w:before="40"/>
        <w:ind w:left="357" w:hanging="357"/>
      </w:pPr>
      <w:r>
        <w:t>Ensuring that the timing o</w:t>
      </w:r>
      <w:r w:rsidRPr="00521F23">
        <w:t xml:space="preserve">f payments is predictable. </w:t>
      </w:r>
    </w:p>
    <w:p w:rsidR="00602C7C" w:rsidRPr="00521F23" w:rsidRDefault="00602C7C" w:rsidP="00786852">
      <w:pPr>
        <w:pStyle w:val="Bullet"/>
        <w:pBdr>
          <w:top w:val="single" w:sz="4" w:space="1" w:color="auto"/>
          <w:left w:val="single" w:sz="4" w:space="4" w:color="auto"/>
          <w:bottom w:val="single" w:sz="4" w:space="1" w:color="auto"/>
          <w:right w:val="single" w:sz="4" w:space="4" w:color="auto"/>
        </w:pBdr>
        <w:spacing w:before="40"/>
        <w:ind w:left="357" w:hanging="357"/>
      </w:pPr>
      <w:r w:rsidRPr="00521F23">
        <w:t xml:space="preserve">Avoiding providing funding for short periods. Committing funds over a longer period supports good planning practice. </w:t>
      </w:r>
    </w:p>
    <w:p w:rsidR="00602C7C" w:rsidRDefault="00602C7C" w:rsidP="00786852">
      <w:pPr>
        <w:pStyle w:val="Bullet"/>
        <w:pBdr>
          <w:top w:val="single" w:sz="4" w:space="1" w:color="auto"/>
          <w:left w:val="single" w:sz="4" w:space="4" w:color="auto"/>
          <w:bottom w:val="single" w:sz="4" w:space="1" w:color="auto"/>
          <w:right w:val="single" w:sz="4" w:space="4" w:color="auto"/>
        </w:pBdr>
        <w:spacing w:before="40"/>
        <w:ind w:left="357" w:hanging="357"/>
      </w:pPr>
      <w:r w:rsidRPr="00521F23">
        <w:t>Acting consistently with the verbal message communicated</w:t>
      </w:r>
      <w:r>
        <w:t xml:space="preserve">, particularly in regards funding.  </w:t>
      </w:r>
    </w:p>
    <w:p w:rsidR="002E6239" w:rsidRDefault="002E6239" w:rsidP="00786852">
      <w:pPr>
        <w:pStyle w:val="Heading3a"/>
        <w:pBdr>
          <w:top w:val="single" w:sz="4" w:space="1" w:color="auto"/>
          <w:left w:val="single" w:sz="4" w:space="4" w:color="auto"/>
          <w:bottom w:val="single" w:sz="4" w:space="1" w:color="auto"/>
          <w:right w:val="single" w:sz="4" w:space="4" w:color="auto"/>
        </w:pBdr>
      </w:pPr>
      <w:r>
        <w:t>For all partners:</w:t>
      </w:r>
    </w:p>
    <w:p w:rsidR="00602C7C" w:rsidRPr="008940FB" w:rsidRDefault="00602C7C" w:rsidP="00786852">
      <w:pPr>
        <w:pStyle w:val="Bullet"/>
        <w:pBdr>
          <w:top w:val="single" w:sz="4" w:space="1" w:color="auto"/>
          <w:left w:val="single" w:sz="4" w:space="4" w:color="auto"/>
          <w:bottom w:val="single" w:sz="4" w:space="1" w:color="auto"/>
          <w:right w:val="single" w:sz="4" w:space="4" w:color="auto"/>
        </w:pBdr>
        <w:spacing w:before="40"/>
        <w:ind w:left="357" w:hanging="357"/>
      </w:pPr>
      <w:r w:rsidRPr="008940FB">
        <w:t xml:space="preserve">In all communication, work from a basis of partnership and trust rather than adopting an adversarial tone and ensure open and direct communication (refer Section </w:t>
      </w:r>
      <w:r>
        <w:t>5</w:t>
      </w:r>
      <w:r w:rsidRPr="008940FB">
        <w:t xml:space="preserve">.2 and </w:t>
      </w:r>
      <w:r>
        <w:t>7</w:t>
      </w:r>
      <w:r w:rsidRPr="008940FB">
        <w:t xml:space="preserve">.1). </w:t>
      </w:r>
    </w:p>
    <w:p w:rsidR="00602C7C" w:rsidRPr="008940FB" w:rsidRDefault="00602C7C" w:rsidP="00786852">
      <w:pPr>
        <w:pStyle w:val="Bullet"/>
        <w:pBdr>
          <w:top w:val="single" w:sz="4" w:space="1" w:color="auto"/>
          <w:left w:val="single" w:sz="4" w:space="4" w:color="auto"/>
          <w:bottom w:val="single" w:sz="4" w:space="1" w:color="auto"/>
          <w:right w:val="single" w:sz="4" w:space="4" w:color="auto"/>
        </w:pBdr>
        <w:spacing w:before="40"/>
        <w:ind w:left="357" w:hanging="357"/>
      </w:pPr>
      <w:r w:rsidRPr="008940FB">
        <w:t xml:space="preserve">When sector funding commences, </w:t>
      </w:r>
      <w:r w:rsidR="00151862" w:rsidRPr="00577CCB">
        <w:rPr>
          <w:lang w:val="en-US" w:eastAsia="en-US"/>
        </w:rPr>
        <w:t xml:space="preserve">Australian Government </w:t>
      </w:r>
      <w:r w:rsidRPr="008940FB">
        <w:t xml:space="preserve">and partner agency/Secretariat work closely together to ensure that processes are understood by all parties (refer Section </w:t>
      </w:r>
      <w:r>
        <w:t>5</w:t>
      </w:r>
      <w:r w:rsidRPr="008940FB">
        <w:t xml:space="preserve">.2). </w:t>
      </w:r>
    </w:p>
    <w:p w:rsidR="00602C7C" w:rsidRPr="008940FB" w:rsidRDefault="00151862" w:rsidP="00786852">
      <w:pPr>
        <w:pStyle w:val="Bullet"/>
        <w:pBdr>
          <w:top w:val="single" w:sz="4" w:space="1" w:color="auto"/>
          <w:left w:val="single" w:sz="4" w:space="4" w:color="auto"/>
          <w:bottom w:val="single" w:sz="4" w:space="1" w:color="auto"/>
          <w:right w:val="single" w:sz="4" w:space="4" w:color="auto"/>
        </w:pBdr>
        <w:spacing w:before="40"/>
        <w:ind w:left="357" w:hanging="357"/>
      </w:pPr>
      <w:r>
        <w:t xml:space="preserve">The </w:t>
      </w:r>
      <w:r w:rsidRPr="00577CCB">
        <w:rPr>
          <w:lang w:val="en-US" w:eastAsia="en-US"/>
        </w:rPr>
        <w:t>Australian Government</w:t>
      </w:r>
      <w:r w:rsidR="00602C7C" w:rsidRPr="008940FB">
        <w:t xml:space="preserve"> monitor compliance more closely at the start of an initiative to ensure procedural compliance (refer Section </w:t>
      </w:r>
      <w:r w:rsidR="00602C7C">
        <w:t>5</w:t>
      </w:r>
      <w:r w:rsidR="00602C7C" w:rsidRPr="008940FB">
        <w:t xml:space="preserve">.2). </w:t>
      </w:r>
    </w:p>
    <w:p w:rsidR="00602C7C" w:rsidRPr="008940FB" w:rsidRDefault="00602C7C" w:rsidP="00786852">
      <w:pPr>
        <w:pStyle w:val="Bullet"/>
        <w:pBdr>
          <w:top w:val="single" w:sz="4" w:space="1" w:color="auto"/>
          <w:left w:val="single" w:sz="4" w:space="4" w:color="auto"/>
          <w:bottom w:val="single" w:sz="4" w:space="1" w:color="auto"/>
          <w:right w:val="single" w:sz="4" w:space="4" w:color="auto"/>
        </w:pBdr>
        <w:spacing w:before="40"/>
        <w:ind w:left="357" w:hanging="357"/>
      </w:pPr>
      <w:r w:rsidRPr="008940FB">
        <w:t xml:space="preserve">Wherever possible, activities supported should be those initiated by the sector to maximise efficiency and effectiveness (refer Section </w:t>
      </w:r>
      <w:r>
        <w:t>5</w:t>
      </w:r>
      <w:r w:rsidRPr="008940FB">
        <w:t>.</w:t>
      </w:r>
      <w:r>
        <w:t>3.</w:t>
      </w:r>
      <w:r w:rsidRPr="008940FB">
        <w:t xml:space="preserve">2).   </w:t>
      </w:r>
    </w:p>
    <w:p w:rsidR="00602C7C" w:rsidRPr="008940FB" w:rsidRDefault="00602C7C" w:rsidP="00786852">
      <w:pPr>
        <w:pStyle w:val="Bullet"/>
        <w:pBdr>
          <w:top w:val="single" w:sz="4" w:space="1" w:color="auto"/>
          <w:left w:val="single" w:sz="4" w:space="4" w:color="auto"/>
          <w:bottom w:val="single" w:sz="4" w:space="1" w:color="auto"/>
          <w:right w:val="single" w:sz="4" w:space="4" w:color="auto"/>
        </w:pBdr>
        <w:spacing w:before="40"/>
        <w:ind w:left="357" w:hanging="357"/>
      </w:pPr>
      <w:r w:rsidRPr="008940FB">
        <w:t xml:space="preserve">Where </w:t>
      </w:r>
      <w:r w:rsidR="00151862">
        <w:t xml:space="preserve">the </w:t>
      </w:r>
      <w:r w:rsidR="00151862" w:rsidRPr="00577CCB">
        <w:rPr>
          <w:lang w:val="en-US" w:eastAsia="en-US"/>
        </w:rPr>
        <w:t>Australian Government</w:t>
      </w:r>
      <w:r w:rsidRPr="008940FB">
        <w:t xml:space="preserve"> initiates (or is perceived to initiate) activities, the purpose must be clear, the output useable and, where necessary, support provided to facilitate application of the output (refer Section </w:t>
      </w:r>
      <w:r>
        <w:t>5</w:t>
      </w:r>
      <w:r w:rsidRPr="008940FB">
        <w:t>.</w:t>
      </w:r>
      <w:r>
        <w:t>3.</w:t>
      </w:r>
      <w:r w:rsidRPr="008940FB">
        <w:t xml:space="preserve">2). </w:t>
      </w:r>
    </w:p>
    <w:p w:rsidR="00602C7C" w:rsidRDefault="00602C7C" w:rsidP="00786852">
      <w:pPr>
        <w:pStyle w:val="Bullet"/>
        <w:pBdr>
          <w:top w:val="single" w:sz="4" w:space="1" w:color="auto"/>
          <w:left w:val="single" w:sz="4" w:space="4" w:color="auto"/>
          <w:bottom w:val="single" w:sz="4" w:space="1" w:color="auto"/>
          <w:right w:val="single" w:sz="4" w:space="4" w:color="auto"/>
        </w:pBdr>
        <w:spacing w:before="40"/>
        <w:ind w:left="357" w:hanging="357"/>
      </w:pPr>
      <w:r>
        <w:t>To enhance ownership, technical assistance (TA) should facilitate</w:t>
      </w:r>
      <w:r w:rsidRPr="00521F23">
        <w:t xml:space="preserve"> partners within the sector to produce the output rather than the TA producing the output</w:t>
      </w:r>
      <w:r>
        <w:t xml:space="preserve"> (refer Section 5.2)</w:t>
      </w:r>
      <w:r w:rsidRPr="00521F23">
        <w:t xml:space="preserve">. </w:t>
      </w:r>
    </w:p>
    <w:p w:rsidR="002E6239" w:rsidRDefault="00602C7C" w:rsidP="00786852">
      <w:pPr>
        <w:pStyle w:val="Bullet"/>
        <w:pBdr>
          <w:top w:val="single" w:sz="4" w:space="1" w:color="auto"/>
          <w:left w:val="single" w:sz="4" w:space="4" w:color="auto"/>
          <w:bottom w:val="single" w:sz="4" w:space="1" w:color="auto"/>
          <w:right w:val="single" w:sz="4" w:space="4" w:color="auto"/>
        </w:pBdr>
      </w:pPr>
      <w:r>
        <w:t>Capacity gaps in both the donor and partners must be identified and addressed (refer Section 6.5)</w:t>
      </w:r>
      <w:r w:rsidR="002E6239">
        <w:t>.</w:t>
      </w:r>
    </w:p>
    <w:p w:rsidR="00D814C0" w:rsidRDefault="00D814C0" w:rsidP="004902E0">
      <w:pPr>
        <w:pStyle w:val="AppendixHeading1"/>
      </w:pPr>
      <w:bookmarkStart w:id="51" w:name="_Toc431828797"/>
      <w:r>
        <w:lastRenderedPageBreak/>
        <w:t>Ter</w:t>
      </w:r>
      <w:r w:rsidR="009C14A3">
        <w:t>m</w:t>
      </w:r>
      <w:r>
        <w:t>s of Reference</w:t>
      </w:r>
      <w:bookmarkEnd w:id="51"/>
    </w:p>
    <w:p w:rsidR="00715C23" w:rsidRPr="00EC0EBF" w:rsidRDefault="00715C23" w:rsidP="002B319A">
      <w:pPr>
        <w:pStyle w:val="Heading2"/>
        <w:numPr>
          <w:ilvl w:val="0"/>
          <w:numId w:val="0"/>
        </w:numPr>
        <w:rPr>
          <w:u w:color="000000"/>
        </w:rPr>
      </w:pPr>
      <w:bookmarkStart w:id="52" w:name="_Toc427238939"/>
      <w:bookmarkStart w:id="53" w:name="_Toc431223168"/>
      <w:bookmarkStart w:id="54" w:name="_Toc431828798"/>
      <w:r>
        <w:rPr>
          <w:u w:color="000000"/>
        </w:rPr>
        <w:t>Extract from Services Order</w:t>
      </w:r>
      <w:bookmarkEnd w:id="52"/>
      <w:bookmarkEnd w:id="53"/>
      <w:bookmarkEnd w:id="54"/>
    </w:p>
    <w:p w:rsidR="00715C23" w:rsidRPr="00EC0EBF" w:rsidRDefault="00715C23" w:rsidP="00715C23">
      <w:pPr>
        <w:pStyle w:val="ClauseLevel2"/>
        <w:keepNext w:val="0"/>
        <w:widowControl w:val="0"/>
        <w:tabs>
          <w:tab w:val="clear" w:pos="1134"/>
          <w:tab w:val="num" w:pos="567"/>
        </w:tabs>
        <w:spacing w:before="120" w:after="100" w:afterAutospacing="1"/>
        <w:ind w:left="567" w:hanging="567"/>
        <w:rPr>
          <w:b w:val="0"/>
          <w:u w:color="000000"/>
        </w:rPr>
      </w:pPr>
      <w:bookmarkStart w:id="55" w:name="_Toc333329707"/>
      <w:bookmarkStart w:id="56" w:name="_Toc333833021"/>
      <w:bookmarkStart w:id="57" w:name="_Toc333843228"/>
      <w:bookmarkStart w:id="58" w:name="_Toc427238940"/>
      <w:bookmarkStart w:id="59" w:name="_Toc431223169"/>
      <w:bookmarkStart w:id="60" w:name="_Toc431828799"/>
      <w:r w:rsidRPr="00EC0EBF">
        <w:rPr>
          <w:b w:val="0"/>
          <w:u w:color="000000"/>
        </w:rPr>
        <w:t>The Contractor must provide the following Services:</w:t>
      </w:r>
      <w:bookmarkEnd w:id="55"/>
      <w:bookmarkEnd w:id="56"/>
      <w:bookmarkEnd w:id="57"/>
      <w:bookmarkEnd w:id="58"/>
      <w:bookmarkEnd w:id="59"/>
      <w:bookmarkEnd w:id="60"/>
    </w:p>
    <w:p w:rsidR="00715C23" w:rsidRPr="003C00E1" w:rsidRDefault="00715C23" w:rsidP="00715C23">
      <w:pPr>
        <w:pStyle w:val="ClauseLevel4"/>
        <w:widowControl w:val="0"/>
        <w:tabs>
          <w:tab w:val="clear" w:pos="1702"/>
          <w:tab w:val="num" w:pos="1134"/>
        </w:tabs>
        <w:spacing w:before="120" w:after="100" w:afterAutospacing="1" w:line="240" w:lineRule="auto"/>
        <w:ind w:left="1134" w:hanging="567"/>
        <w:rPr>
          <w:u w:color="000000"/>
        </w:rPr>
      </w:pPr>
      <w:r w:rsidRPr="003C00E1">
        <w:rPr>
          <w:u w:color="000000"/>
        </w:rPr>
        <w:t xml:space="preserve">Undertake an independent evaluation of </w:t>
      </w:r>
      <w:smartTag w:uri="urn:schemas-microsoft-com:office:smarttags" w:element="place">
        <w:smartTag w:uri="urn:schemas-microsoft-com:office:smarttags" w:element="country-region">
          <w:r w:rsidRPr="003C00E1">
            <w:rPr>
              <w:u w:color="000000"/>
            </w:rPr>
            <w:t>Australia</w:t>
          </w:r>
        </w:smartTag>
      </w:smartTag>
      <w:r w:rsidRPr="003C00E1">
        <w:rPr>
          <w:u w:color="000000"/>
        </w:rPr>
        <w:t xml:space="preserve">’s aid funding to the Samoa Law </w:t>
      </w:r>
      <w:smartTag w:uri="urn:schemas-microsoft-com:office:smarttags" w:element="PersonName">
        <w:r w:rsidRPr="003C00E1">
          <w:rPr>
            <w:u w:color="000000"/>
          </w:rPr>
          <w:t>and</w:t>
        </w:r>
      </w:smartTag>
      <w:r w:rsidRPr="003C00E1">
        <w:rPr>
          <w:u w:color="000000"/>
        </w:rPr>
        <w:t xml:space="preserve"> Justice Sector which measures the impact </w:t>
      </w:r>
      <w:smartTag w:uri="urn:schemas-microsoft-com:office:smarttags" w:element="PersonName">
        <w:r w:rsidRPr="003C00E1">
          <w:rPr>
            <w:u w:color="000000"/>
          </w:rPr>
          <w:t>and</w:t>
        </w:r>
      </w:smartTag>
      <w:r w:rsidRPr="003C00E1">
        <w:rPr>
          <w:u w:color="000000"/>
        </w:rPr>
        <w:t xml:space="preserve"> effectiveness of sector based funding to the law </w:t>
      </w:r>
      <w:smartTag w:uri="urn:schemas-microsoft-com:office:smarttags" w:element="PersonName">
        <w:r w:rsidRPr="003C00E1">
          <w:rPr>
            <w:u w:color="000000"/>
          </w:rPr>
          <w:t>and</w:t>
        </w:r>
      </w:smartTag>
      <w:r w:rsidRPr="003C00E1">
        <w:rPr>
          <w:u w:color="000000"/>
        </w:rPr>
        <w:t xml:space="preserve"> justice sector. </w:t>
      </w:r>
    </w:p>
    <w:p w:rsidR="00715C23" w:rsidRPr="003C00E1" w:rsidRDefault="00715C23" w:rsidP="00715C23">
      <w:pPr>
        <w:pStyle w:val="ClauseLevel4"/>
        <w:widowControl w:val="0"/>
        <w:tabs>
          <w:tab w:val="clear" w:pos="1702"/>
          <w:tab w:val="num" w:pos="1134"/>
        </w:tabs>
        <w:spacing w:before="120" w:after="100" w:afterAutospacing="1" w:line="240" w:lineRule="auto"/>
        <w:ind w:left="1134" w:hanging="567"/>
        <w:rPr>
          <w:u w:color="000000"/>
        </w:rPr>
      </w:pPr>
      <w:r w:rsidRPr="003C00E1">
        <w:rPr>
          <w:u w:color="000000"/>
        </w:rPr>
        <w:t xml:space="preserve">Consult with DFAT evaluation </w:t>
      </w:r>
      <w:smartTag w:uri="urn:schemas-microsoft-com:office:smarttags" w:element="PersonName">
        <w:r w:rsidRPr="003C00E1">
          <w:rPr>
            <w:u w:color="000000"/>
          </w:rPr>
          <w:t>and</w:t>
        </w:r>
      </w:smartTag>
      <w:r w:rsidRPr="003C00E1">
        <w:rPr>
          <w:u w:color="000000"/>
        </w:rPr>
        <w:t xml:space="preserve"> law </w:t>
      </w:r>
      <w:smartTag w:uri="urn:schemas-microsoft-com:office:smarttags" w:element="PersonName">
        <w:r w:rsidRPr="003C00E1">
          <w:rPr>
            <w:u w:color="000000"/>
          </w:rPr>
          <w:t>and</w:t>
        </w:r>
      </w:smartTag>
      <w:r w:rsidRPr="003C00E1">
        <w:rPr>
          <w:u w:color="000000"/>
        </w:rPr>
        <w:t xml:space="preserve"> justice specialists in Canberra as necessary; DFAT staff at Post </w:t>
      </w:r>
      <w:smartTag w:uri="urn:schemas-microsoft-com:office:smarttags" w:element="PersonName">
        <w:r w:rsidRPr="003C00E1">
          <w:rPr>
            <w:u w:color="000000"/>
          </w:rPr>
          <w:t>and</w:t>
        </w:r>
      </w:smartTag>
      <w:r w:rsidRPr="003C00E1">
        <w:rPr>
          <w:u w:color="000000"/>
        </w:rPr>
        <w:t xml:space="preserve"> Government of Samoa representatives (including Law </w:t>
      </w:r>
      <w:smartTag w:uri="urn:schemas-microsoft-com:office:smarttags" w:element="PersonName">
        <w:r w:rsidRPr="003C00E1">
          <w:rPr>
            <w:u w:color="000000"/>
          </w:rPr>
          <w:t>and</w:t>
        </w:r>
      </w:smartTag>
      <w:r w:rsidRPr="003C00E1">
        <w:rPr>
          <w:u w:color="000000"/>
        </w:rPr>
        <w:t xml:space="preserve"> Justice sector agencies, the Samoa Law </w:t>
      </w:r>
      <w:smartTag w:uri="urn:schemas-microsoft-com:office:smarttags" w:element="PersonName">
        <w:r w:rsidRPr="003C00E1">
          <w:rPr>
            <w:u w:color="000000"/>
          </w:rPr>
          <w:t>and</w:t>
        </w:r>
      </w:smartTag>
      <w:r w:rsidRPr="003C00E1">
        <w:rPr>
          <w:u w:color="000000"/>
        </w:rPr>
        <w:t xml:space="preserve"> Justice Secretariat, the Ministry of finance </w:t>
      </w:r>
      <w:smartTag w:uri="urn:schemas-microsoft-com:office:smarttags" w:element="PersonName">
        <w:r w:rsidRPr="003C00E1">
          <w:rPr>
            <w:u w:color="000000"/>
          </w:rPr>
          <w:t>and</w:t>
        </w:r>
      </w:smartTag>
      <w:r w:rsidRPr="003C00E1">
        <w:rPr>
          <w:u w:color="000000"/>
        </w:rPr>
        <w:t xml:space="preserve"> other relevant stakeholders) in-country. </w:t>
      </w:r>
    </w:p>
    <w:p w:rsidR="00715C23" w:rsidRPr="003C00E1" w:rsidRDefault="00715C23" w:rsidP="00715C23">
      <w:pPr>
        <w:pStyle w:val="ClauseLevel4"/>
        <w:widowControl w:val="0"/>
        <w:tabs>
          <w:tab w:val="clear" w:pos="1702"/>
          <w:tab w:val="num" w:pos="1134"/>
        </w:tabs>
        <w:spacing w:before="120" w:after="100" w:afterAutospacing="1" w:line="240" w:lineRule="auto"/>
        <w:ind w:left="1134" w:hanging="567"/>
        <w:rPr>
          <w:u w:color="000000"/>
        </w:rPr>
      </w:pPr>
      <w:r w:rsidRPr="003C00E1">
        <w:rPr>
          <w:u w:color="000000"/>
        </w:rPr>
        <w:t xml:space="preserve">The team leader: Fiona </w:t>
      </w:r>
      <w:proofErr w:type="spellStart"/>
      <w:r w:rsidRPr="003C00E1">
        <w:rPr>
          <w:u w:color="000000"/>
        </w:rPr>
        <w:t>Kotvojs</w:t>
      </w:r>
      <w:proofErr w:type="spellEnd"/>
      <w:r w:rsidRPr="003C00E1">
        <w:rPr>
          <w:u w:color="000000"/>
        </w:rPr>
        <w:t xml:space="preserve"> who will lead the evaluation process, including initial briefing, presenting preliminary findings in the aide Memoire, assigning tasks </w:t>
      </w:r>
      <w:smartTag w:uri="urn:schemas-microsoft-com:office:smarttags" w:element="PersonName">
        <w:r w:rsidRPr="003C00E1">
          <w:rPr>
            <w:u w:color="000000"/>
          </w:rPr>
          <w:t>and</w:t>
        </w:r>
      </w:smartTag>
      <w:r w:rsidRPr="003C00E1">
        <w:rPr>
          <w:u w:color="000000"/>
        </w:rPr>
        <w:t xml:space="preserve"> responsibilities to the Samoa </w:t>
      </w:r>
      <w:r>
        <w:rPr>
          <w:u w:color="000000"/>
        </w:rPr>
        <w:t xml:space="preserve">Local </w:t>
      </w:r>
      <w:r w:rsidRPr="003C00E1">
        <w:rPr>
          <w:u w:color="000000"/>
        </w:rPr>
        <w:t>Specialist</w:t>
      </w:r>
      <w:r>
        <w:rPr>
          <w:u w:color="000000"/>
        </w:rPr>
        <w:t xml:space="preserve">, organise </w:t>
      </w:r>
      <w:smartTag w:uri="urn:schemas-microsoft-com:office:smarttags" w:element="PersonName">
        <w:r>
          <w:rPr>
            <w:u w:color="000000"/>
          </w:rPr>
          <w:t>and</w:t>
        </w:r>
      </w:smartTag>
      <w:r>
        <w:rPr>
          <w:u w:color="000000"/>
        </w:rPr>
        <w:t xml:space="preserve"> coordinate all meetings </w:t>
      </w:r>
      <w:smartTag w:uri="urn:schemas-microsoft-com:office:smarttags" w:element="PersonName">
        <w:r>
          <w:rPr>
            <w:u w:color="000000"/>
          </w:rPr>
          <w:t>and</w:t>
        </w:r>
      </w:smartTag>
      <w:r>
        <w:rPr>
          <w:u w:color="000000"/>
        </w:rPr>
        <w:t xml:space="preserve"> consultations in </w:t>
      </w:r>
      <w:smartTag w:uri="urn:schemas-microsoft-com:office:smarttags" w:element="place">
        <w:r>
          <w:rPr>
            <w:u w:color="000000"/>
          </w:rPr>
          <w:t>Samoa</w:t>
        </w:r>
      </w:smartTag>
      <w:r>
        <w:rPr>
          <w:u w:color="000000"/>
        </w:rPr>
        <w:t xml:space="preserve"> independently</w:t>
      </w:r>
      <w:r w:rsidRPr="003C00E1">
        <w:rPr>
          <w:u w:color="000000"/>
        </w:rPr>
        <w:t xml:space="preserve">. </w:t>
      </w:r>
    </w:p>
    <w:p w:rsidR="00715C23" w:rsidRPr="003C00E1" w:rsidRDefault="00715C23" w:rsidP="00715C23">
      <w:pPr>
        <w:pStyle w:val="ClauseLevel4"/>
        <w:widowControl w:val="0"/>
        <w:tabs>
          <w:tab w:val="clear" w:pos="1702"/>
          <w:tab w:val="num" w:pos="1134"/>
        </w:tabs>
        <w:spacing w:before="120" w:after="100" w:afterAutospacing="1" w:line="240" w:lineRule="auto"/>
        <w:ind w:left="1134" w:hanging="567"/>
        <w:rPr>
          <w:u w:color="000000"/>
        </w:rPr>
      </w:pPr>
      <w:r w:rsidRPr="003C00E1">
        <w:rPr>
          <w:u w:color="000000"/>
        </w:rPr>
        <w:t xml:space="preserve">The team leader will bear primary responsibility for delivering the following outputs: </w:t>
      </w:r>
    </w:p>
    <w:p w:rsidR="00715C23" w:rsidRPr="003C00E1" w:rsidRDefault="00715C23" w:rsidP="00715C23">
      <w:pPr>
        <w:pStyle w:val="ClauseLevel5"/>
        <w:widowControl w:val="0"/>
        <w:spacing w:before="120" w:after="100" w:afterAutospacing="1"/>
        <w:rPr>
          <w:u w:color="000000"/>
        </w:rPr>
      </w:pPr>
      <w:r w:rsidRPr="003C00E1">
        <w:rPr>
          <w:u w:color="000000"/>
        </w:rPr>
        <w:t xml:space="preserve">Develop the overall approach </w:t>
      </w:r>
      <w:smartTag w:uri="urn:schemas-microsoft-com:office:smarttags" w:element="PersonName">
        <w:r w:rsidRPr="003C00E1">
          <w:rPr>
            <w:u w:color="000000"/>
          </w:rPr>
          <w:t>and</w:t>
        </w:r>
      </w:smartTag>
      <w:r w:rsidRPr="003C00E1">
        <w:rPr>
          <w:u w:color="000000"/>
        </w:rPr>
        <w:t xml:space="preserve"> methodology for the evaluation;</w:t>
      </w:r>
    </w:p>
    <w:p w:rsidR="00715C23" w:rsidRPr="003C00E1" w:rsidRDefault="00715C23" w:rsidP="00715C23">
      <w:pPr>
        <w:pStyle w:val="ClauseLevel5"/>
        <w:widowControl w:val="0"/>
        <w:spacing w:before="120" w:after="100" w:afterAutospacing="1"/>
        <w:rPr>
          <w:u w:color="000000"/>
        </w:rPr>
      </w:pPr>
      <w:r w:rsidRPr="003C00E1">
        <w:rPr>
          <w:u w:color="000000"/>
        </w:rPr>
        <w:t>Produce the Aid Memoire, based on inputs from the Samoa Specialist;</w:t>
      </w:r>
    </w:p>
    <w:p w:rsidR="00715C23" w:rsidRPr="003C00E1" w:rsidRDefault="00715C23" w:rsidP="00715C23">
      <w:pPr>
        <w:pStyle w:val="ClauseLevel5"/>
        <w:widowControl w:val="0"/>
        <w:spacing w:before="120" w:after="100" w:afterAutospacing="1"/>
        <w:rPr>
          <w:u w:color="000000"/>
        </w:rPr>
      </w:pPr>
      <w:r w:rsidRPr="003C00E1">
        <w:rPr>
          <w:u w:color="000000"/>
        </w:rPr>
        <w:t xml:space="preserve">Produce the draft Independent Evaluation Report </w:t>
      </w:r>
      <w:smartTag w:uri="urn:schemas-microsoft-com:office:smarttags" w:element="PersonName">
        <w:r w:rsidRPr="003C00E1">
          <w:rPr>
            <w:u w:color="000000"/>
          </w:rPr>
          <w:t>and</w:t>
        </w:r>
      </w:smartTag>
    </w:p>
    <w:p w:rsidR="00715C23" w:rsidRPr="003C00E1" w:rsidRDefault="00715C23" w:rsidP="00715C23">
      <w:pPr>
        <w:pStyle w:val="ClauseLevel5"/>
        <w:widowControl w:val="0"/>
        <w:spacing w:before="120" w:after="100" w:afterAutospacing="1"/>
        <w:rPr>
          <w:u w:color="000000"/>
        </w:rPr>
      </w:pPr>
      <w:r w:rsidRPr="003C00E1">
        <w:rPr>
          <w:u w:color="000000"/>
        </w:rPr>
        <w:t>Produce the final Independent Evaluation Report</w:t>
      </w:r>
      <w:r>
        <w:rPr>
          <w:u w:color="000000"/>
        </w:rPr>
        <w:t xml:space="preserve"> electronically in Microsoft word format</w:t>
      </w:r>
    </w:p>
    <w:p w:rsidR="00715C23" w:rsidRPr="003C00E1" w:rsidRDefault="00715C23" w:rsidP="00715C23">
      <w:pPr>
        <w:pStyle w:val="ClauseLevel4"/>
        <w:widowControl w:val="0"/>
        <w:tabs>
          <w:tab w:val="clear" w:pos="1702"/>
          <w:tab w:val="num" w:pos="1134"/>
        </w:tabs>
        <w:spacing w:before="120" w:after="100" w:afterAutospacing="1" w:line="240" w:lineRule="auto"/>
        <w:ind w:left="1134" w:hanging="567"/>
        <w:rPr>
          <w:u w:color="000000"/>
        </w:rPr>
      </w:pPr>
      <w:r w:rsidRPr="003C00E1">
        <w:rPr>
          <w:u w:color="000000"/>
        </w:rPr>
        <w:t xml:space="preserve">The final report will assess </w:t>
      </w:r>
      <w:smartTag w:uri="urn:schemas-microsoft-com:office:smarttags" w:element="PersonName">
        <w:r w:rsidRPr="003C00E1">
          <w:rPr>
            <w:u w:color="000000"/>
          </w:rPr>
          <w:t>and</w:t>
        </w:r>
      </w:smartTag>
      <w:r w:rsidRPr="003C00E1">
        <w:rPr>
          <w:u w:color="000000"/>
        </w:rPr>
        <w:t xml:space="preserve"> capture the achievements of the law </w:t>
      </w:r>
      <w:smartTag w:uri="urn:schemas-microsoft-com:office:smarttags" w:element="PersonName">
        <w:r w:rsidRPr="003C00E1">
          <w:rPr>
            <w:u w:color="000000"/>
          </w:rPr>
          <w:t>and</w:t>
        </w:r>
      </w:smartTag>
      <w:r w:rsidRPr="003C00E1">
        <w:rPr>
          <w:u w:color="000000"/>
        </w:rPr>
        <w:t xml:space="preserve"> justice sector to date </w:t>
      </w:r>
      <w:smartTag w:uri="urn:schemas-microsoft-com:office:smarttags" w:element="PersonName">
        <w:r w:rsidRPr="003C00E1">
          <w:rPr>
            <w:u w:color="000000"/>
          </w:rPr>
          <w:t>and</w:t>
        </w:r>
      </w:smartTag>
      <w:r w:rsidRPr="003C00E1">
        <w:rPr>
          <w:u w:color="000000"/>
        </w:rPr>
        <w:t xml:space="preserve"> identify the lessons for DFAT </w:t>
      </w:r>
      <w:smartTag w:uri="urn:schemas-microsoft-com:office:smarttags" w:element="PersonName">
        <w:r w:rsidRPr="003C00E1">
          <w:rPr>
            <w:u w:color="000000"/>
          </w:rPr>
          <w:t>and</w:t>
        </w:r>
      </w:smartTag>
      <w:r w:rsidRPr="003C00E1">
        <w:rPr>
          <w:u w:color="000000"/>
        </w:rPr>
        <w:t xml:space="preserve"> Government of Samoa on the effectiveness of the partnership</w:t>
      </w:r>
    </w:p>
    <w:p w:rsidR="00715C23" w:rsidRPr="00EC0EBF" w:rsidRDefault="00715C23" w:rsidP="00715C23">
      <w:pPr>
        <w:pStyle w:val="ClauseLevel1"/>
        <w:keepNext w:val="0"/>
        <w:widowControl w:val="0"/>
        <w:tabs>
          <w:tab w:val="clear" w:pos="1134"/>
          <w:tab w:val="num" w:pos="567"/>
        </w:tabs>
        <w:spacing w:before="120" w:after="100" w:afterAutospacing="1"/>
        <w:ind w:left="567" w:hanging="567"/>
        <w:rPr>
          <w:u w:color="000000"/>
        </w:rPr>
      </w:pPr>
      <w:bookmarkStart w:id="61" w:name="_Toc333843231"/>
      <w:bookmarkStart w:id="62" w:name="_Toc333845665"/>
      <w:bookmarkStart w:id="63" w:name="_Toc333846723"/>
      <w:bookmarkStart w:id="64" w:name="_Toc337110593"/>
      <w:bookmarkStart w:id="65" w:name="_Ref337114597"/>
      <w:bookmarkStart w:id="66" w:name="_Toc427238941"/>
      <w:bookmarkStart w:id="67" w:name="_Toc431223170"/>
      <w:bookmarkStart w:id="68" w:name="_Toc431828800"/>
      <w:r w:rsidRPr="00EC0EBF">
        <w:rPr>
          <w:u w:color="000000"/>
        </w:rPr>
        <w:t>REPORTING REQUIREMENTS</w:t>
      </w:r>
      <w:bookmarkEnd w:id="61"/>
      <w:bookmarkEnd w:id="62"/>
      <w:bookmarkEnd w:id="63"/>
      <w:bookmarkEnd w:id="64"/>
      <w:bookmarkEnd w:id="65"/>
      <w:bookmarkEnd w:id="66"/>
      <w:bookmarkEnd w:id="67"/>
      <w:bookmarkEnd w:id="68"/>
    </w:p>
    <w:p w:rsidR="00715C23" w:rsidRPr="00EC0EBF" w:rsidRDefault="00715C23" w:rsidP="00715C23">
      <w:pPr>
        <w:pStyle w:val="ClauseLevel2"/>
        <w:keepNext w:val="0"/>
        <w:widowControl w:val="0"/>
        <w:tabs>
          <w:tab w:val="clear" w:pos="1134"/>
          <w:tab w:val="num" w:pos="567"/>
        </w:tabs>
        <w:spacing w:before="120" w:after="100" w:afterAutospacing="1"/>
        <w:ind w:left="567" w:hanging="567"/>
        <w:rPr>
          <w:b w:val="0"/>
          <w:u w:color="000000"/>
        </w:rPr>
      </w:pPr>
      <w:bookmarkStart w:id="69" w:name="_Toc333329710"/>
      <w:bookmarkStart w:id="70" w:name="_Toc333833024"/>
      <w:bookmarkStart w:id="71" w:name="_Toc333843232"/>
      <w:bookmarkStart w:id="72" w:name="_Toc427238942"/>
      <w:bookmarkStart w:id="73" w:name="_Toc431223171"/>
      <w:bookmarkStart w:id="74" w:name="_Toc431828801"/>
      <w:r w:rsidRPr="00EC0EBF">
        <w:rPr>
          <w:b w:val="0"/>
          <w:u w:color="000000"/>
        </w:rPr>
        <w:t>The Contractor must provide the following reports by the date indicated</w:t>
      </w:r>
      <w:bookmarkEnd w:id="69"/>
      <w:bookmarkEnd w:id="70"/>
      <w:bookmarkEnd w:id="71"/>
      <w:r>
        <w:rPr>
          <w:b w:val="0"/>
          <w:u w:color="000000"/>
        </w:rPr>
        <w:t>:</w:t>
      </w:r>
      <w:bookmarkEnd w:id="72"/>
      <w:bookmarkEnd w:id="73"/>
      <w:bookmarkEnd w:id="74"/>
    </w:p>
    <w:p w:rsidR="00715C23" w:rsidRDefault="00715C23" w:rsidP="00715C23">
      <w:pPr>
        <w:pStyle w:val="ClauseLevel4"/>
        <w:widowControl w:val="0"/>
        <w:tabs>
          <w:tab w:val="clear" w:pos="1702"/>
          <w:tab w:val="num" w:pos="1134"/>
        </w:tabs>
        <w:spacing w:before="120" w:after="100" w:afterAutospacing="1" w:line="240" w:lineRule="auto"/>
        <w:ind w:left="1134" w:hanging="567"/>
      </w:pPr>
      <w:r w:rsidRPr="005D25DE">
        <w:rPr>
          <w:b/>
        </w:rPr>
        <w:t>Aide Memoire</w:t>
      </w:r>
      <w:r w:rsidRPr="00B11E7D">
        <w:rPr>
          <w:b/>
        </w:rPr>
        <w:t>:</w:t>
      </w:r>
      <w:r>
        <w:t xml:space="preserve"> submitted by </w:t>
      </w:r>
      <w:r>
        <w:rPr>
          <w:b/>
        </w:rPr>
        <w:t xml:space="preserve">27 July 2015 </w:t>
      </w:r>
      <w:r w:rsidRPr="00C638C4">
        <w:t>t</w:t>
      </w:r>
      <w:r>
        <w:t xml:space="preserve">o be presented on the last day of the in-country mission, the team leader </w:t>
      </w:r>
      <w:smartTag w:uri="urn:schemas-microsoft-com:office:smarttags" w:element="PersonName">
        <w:r>
          <w:t>and</w:t>
        </w:r>
      </w:smartTag>
      <w:r>
        <w:t xml:space="preserve"> Samoa Specialist will present an aide memoire of up to 5 pages with key findings. The aide memoire will be prepared in dot-points </w:t>
      </w:r>
      <w:smartTag w:uri="urn:schemas-microsoft-com:office:smarttags" w:element="PersonName">
        <w:r>
          <w:t>and</w:t>
        </w:r>
      </w:smartTag>
      <w:r>
        <w:t xml:space="preserve"> presented to DFAT </w:t>
      </w:r>
      <w:smartTag w:uri="urn:schemas-microsoft-com:office:smarttags" w:element="PersonName">
        <w:r>
          <w:t>and</w:t>
        </w:r>
      </w:smartTag>
      <w:r>
        <w:t xml:space="preserve"> Government of Samoa.</w:t>
      </w:r>
    </w:p>
    <w:p w:rsidR="00715C23" w:rsidRDefault="00715C23" w:rsidP="00715C23">
      <w:pPr>
        <w:pStyle w:val="ClauseLevel4"/>
        <w:widowControl w:val="0"/>
        <w:tabs>
          <w:tab w:val="clear" w:pos="1702"/>
          <w:tab w:val="num" w:pos="1134"/>
        </w:tabs>
        <w:spacing w:before="120" w:after="100" w:afterAutospacing="1"/>
        <w:ind w:left="1134" w:hanging="567"/>
        <w:rPr>
          <w:u w:color="000000"/>
        </w:rPr>
      </w:pPr>
      <w:r w:rsidRPr="003C00E1">
        <w:rPr>
          <w:b/>
          <w:u w:color="000000"/>
        </w:rPr>
        <w:t>Draft Evaluation Report</w:t>
      </w:r>
      <w:r>
        <w:rPr>
          <w:u w:color="000000"/>
        </w:rPr>
        <w:t xml:space="preserve">: submitted by </w:t>
      </w:r>
      <w:r>
        <w:rPr>
          <w:b/>
          <w:u w:color="000000"/>
        </w:rPr>
        <w:t>10 August</w:t>
      </w:r>
      <w:r w:rsidRPr="00051DA9">
        <w:rPr>
          <w:b/>
          <w:u w:color="000000"/>
        </w:rPr>
        <w:t xml:space="preserve"> 2015</w:t>
      </w:r>
      <w:r w:rsidRPr="003C00E1">
        <w:rPr>
          <w:u w:color="000000"/>
        </w:rPr>
        <w:t xml:space="preserve">. To be prepared </w:t>
      </w:r>
      <w:smartTag w:uri="urn:schemas-microsoft-com:office:smarttags" w:element="PersonName">
        <w:r w:rsidRPr="003C00E1">
          <w:rPr>
            <w:u w:color="000000"/>
          </w:rPr>
          <w:t>and</w:t>
        </w:r>
      </w:smartTag>
      <w:r w:rsidRPr="003C00E1">
        <w:rPr>
          <w:u w:color="000000"/>
        </w:rPr>
        <w:t xml:space="preserve"> submitted to Clyde Hamilton at Apia Post within two weeks of the aide memoire. The draft report should be written in plain English </w:t>
      </w:r>
      <w:smartTag w:uri="urn:schemas-microsoft-com:office:smarttags" w:element="PersonName">
        <w:r w:rsidRPr="003C00E1">
          <w:rPr>
            <w:u w:color="000000"/>
          </w:rPr>
          <w:t>and</w:t>
        </w:r>
      </w:smartTag>
      <w:r w:rsidRPr="003C00E1">
        <w:rPr>
          <w:u w:color="000000"/>
        </w:rPr>
        <w:t xml:space="preserve"> contain no more than 25 pages excluding annexes. </w:t>
      </w:r>
      <w:r>
        <w:rPr>
          <w:u w:color="000000"/>
        </w:rPr>
        <w:t xml:space="preserve">The report should answer the evaluation questions </w:t>
      </w:r>
      <w:smartTag w:uri="urn:schemas-microsoft-com:office:smarttags" w:element="PersonName">
        <w:r>
          <w:rPr>
            <w:u w:color="000000"/>
          </w:rPr>
          <w:t>and</w:t>
        </w:r>
      </w:smartTag>
      <w:r>
        <w:rPr>
          <w:u w:color="000000"/>
        </w:rPr>
        <w:t xml:space="preserve"> synthesise findings, implications </w:t>
      </w:r>
      <w:smartTag w:uri="urn:schemas-microsoft-com:office:smarttags" w:element="PersonName">
        <w:r>
          <w:rPr>
            <w:u w:color="000000"/>
          </w:rPr>
          <w:t>and</w:t>
        </w:r>
      </w:smartTag>
      <w:r>
        <w:rPr>
          <w:u w:color="000000"/>
        </w:rPr>
        <w:t xml:space="preserve"> recommendations, in particular:</w:t>
      </w:r>
    </w:p>
    <w:p w:rsidR="00715C23" w:rsidRDefault="00715C23" w:rsidP="00482197">
      <w:pPr>
        <w:pStyle w:val="ClauseLevel4"/>
        <w:widowControl w:val="0"/>
        <w:numPr>
          <w:ilvl w:val="0"/>
          <w:numId w:val="45"/>
        </w:numPr>
        <w:spacing w:before="120" w:after="100" w:afterAutospacing="1"/>
        <w:rPr>
          <w:u w:color="000000"/>
        </w:rPr>
      </w:pPr>
      <w:r>
        <w:rPr>
          <w:u w:color="000000"/>
        </w:rPr>
        <w:t xml:space="preserve">ways in which DFAT could consider providing small scale targeted support to the law </w:t>
      </w:r>
      <w:smartTag w:uri="urn:schemas-microsoft-com:office:smarttags" w:element="PersonName">
        <w:r>
          <w:rPr>
            <w:u w:color="000000"/>
          </w:rPr>
          <w:t>and</w:t>
        </w:r>
      </w:smartTag>
      <w:r>
        <w:rPr>
          <w:u w:color="000000"/>
        </w:rPr>
        <w:t xml:space="preserve"> justice sector in the future, </w:t>
      </w:r>
      <w:smartTag w:uri="urn:schemas-microsoft-com:office:smarttags" w:element="PersonName">
        <w:r>
          <w:rPr>
            <w:u w:color="000000"/>
          </w:rPr>
          <w:t>and</w:t>
        </w:r>
      </w:smartTag>
    </w:p>
    <w:p w:rsidR="00715C23" w:rsidRDefault="00715C23" w:rsidP="00482197">
      <w:pPr>
        <w:pStyle w:val="ClauseLevel4"/>
        <w:widowControl w:val="0"/>
        <w:numPr>
          <w:ilvl w:val="0"/>
          <w:numId w:val="45"/>
        </w:numPr>
        <w:spacing w:before="120" w:after="100" w:afterAutospacing="1"/>
        <w:rPr>
          <w:u w:color="000000"/>
        </w:rPr>
      </w:pPr>
      <w:r>
        <w:rPr>
          <w:u w:color="000000"/>
        </w:rPr>
        <w:t>approaches the Government of Samoa could take to most effectively engage in the future with international donors.</w:t>
      </w:r>
    </w:p>
    <w:p w:rsidR="00715C23" w:rsidRPr="00237B6B" w:rsidRDefault="00715C23" w:rsidP="00715C23">
      <w:pPr>
        <w:pStyle w:val="ClauseLevel4"/>
        <w:widowControl w:val="0"/>
        <w:tabs>
          <w:tab w:val="clear" w:pos="1702"/>
          <w:tab w:val="num" w:pos="1134"/>
        </w:tabs>
        <w:spacing w:before="120" w:after="100" w:afterAutospacing="1" w:line="240" w:lineRule="auto"/>
        <w:ind w:left="1134" w:hanging="567"/>
      </w:pPr>
      <w:r w:rsidRPr="00926F78">
        <w:rPr>
          <w:b/>
        </w:rPr>
        <w:t>Final evaluation Report</w:t>
      </w:r>
      <w:r>
        <w:t xml:space="preserve">: The final evaluation report should be submitted to DFAT within 14 days of receiving final comments from DFAT on the draft report. The evaluation report must be prepared in accordance with </w:t>
      </w:r>
      <w:r w:rsidRPr="00442C1B">
        <w:rPr>
          <w:i/>
        </w:rPr>
        <w:t xml:space="preserve">DFAT Monitoring </w:t>
      </w:r>
      <w:smartTag w:uri="urn:schemas-microsoft-com:office:smarttags" w:element="PersonName">
        <w:r w:rsidRPr="00442C1B">
          <w:rPr>
            <w:i/>
          </w:rPr>
          <w:t>and</w:t>
        </w:r>
      </w:smartTag>
      <w:r w:rsidRPr="00442C1B">
        <w:rPr>
          <w:i/>
        </w:rPr>
        <w:t xml:space="preserve"> </w:t>
      </w:r>
      <w:r w:rsidRPr="00442C1B">
        <w:rPr>
          <w:i/>
        </w:rPr>
        <w:lastRenderedPageBreak/>
        <w:t>Evaluation St</w:t>
      </w:r>
      <w:smartTag w:uri="urn:schemas-microsoft-com:office:smarttags" w:element="PersonName">
        <w:r w:rsidRPr="00442C1B">
          <w:rPr>
            <w:i/>
          </w:rPr>
          <w:t>and</w:t>
        </w:r>
      </w:smartTag>
      <w:r w:rsidRPr="00442C1B">
        <w:rPr>
          <w:i/>
        </w:rPr>
        <w:t xml:space="preserve">ard 6- Evaluation Reports </w:t>
      </w:r>
    </w:p>
    <w:p w:rsidR="002B319A" w:rsidRPr="00EC0EBF" w:rsidRDefault="002B319A" w:rsidP="002B319A">
      <w:pPr>
        <w:pStyle w:val="Heading2"/>
        <w:numPr>
          <w:ilvl w:val="0"/>
          <w:numId w:val="0"/>
        </w:numPr>
        <w:rPr>
          <w:u w:color="000000"/>
        </w:rPr>
      </w:pPr>
      <w:bookmarkStart w:id="75" w:name="_Toc427238943"/>
      <w:bookmarkStart w:id="76" w:name="_Toc431223172"/>
      <w:bookmarkStart w:id="77" w:name="_Toc431828802"/>
      <w:r>
        <w:rPr>
          <w:u w:color="000000"/>
        </w:rPr>
        <w:t>Extract from Terms of Reference</w:t>
      </w:r>
      <w:bookmarkEnd w:id="75"/>
      <w:bookmarkEnd w:id="76"/>
      <w:bookmarkEnd w:id="77"/>
    </w:p>
    <w:p w:rsidR="00237B6B" w:rsidRPr="002B319A" w:rsidRDefault="00237B6B" w:rsidP="00237B6B">
      <w:pPr>
        <w:rPr>
          <w:b/>
        </w:rPr>
      </w:pPr>
      <w:r w:rsidRPr="002B319A">
        <w:rPr>
          <w:b/>
        </w:rPr>
        <w:t>1. PURPOSE</w:t>
      </w:r>
    </w:p>
    <w:p w:rsidR="00237B6B" w:rsidRDefault="00237B6B" w:rsidP="002B319A">
      <w:r>
        <w:t>These Terms of Reference (</w:t>
      </w:r>
      <w:proofErr w:type="spellStart"/>
      <w:r>
        <w:t>ToR</w:t>
      </w:r>
      <w:proofErr w:type="spellEnd"/>
      <w:r>
        <w:t>) will guide the independent evaluation of Australia’s aid funding to the Samoa Law and Justice Sector. The evaluation is focused on assessing the impact and effectiveness of aid funding to the sector managed by the Department of Foreign Affairs and Trade (formerly AusAID).The evaluation will assess the extent to which Australian aid assisted the law and justice sector in Samoa to achieve sector objectives and the outcomes agreed in the Samoa Australia Partnership for Development. The evaluation will also provide necessary independent information to the law and justice sector on what they have achieved as a sector under their sector plan, what could be improved and will help them chart a way forward as a sector.</w:t>
      </w:r>
    </w:p>
    <w:p w:rsidR="00237B6B" w:rsidRDefault="00237B6B" w:rsidP="002B319A">
      <w:r>
        <w:t>The evaluation may consider the role of Australian-funded volunteers and Australian-funded technical advisors provided through mechanisms such as the Pacific Technical Assistance Mechanism (PACTAM) where relevant. The evaluation may make comment on aid delivered by other Australian Government agencies (e.g. Australian Federal Police, Attorney General’s Department) but only where relevant to this evaluation.</w:t>
      </w:r>
    </w:p>
    <w:p w:rsidR="00237B6B" w:rsidRPr="002B319A" w:rsidRDefault="00237B6B" w:rsidP="002B319A">
      <w:pPr>
        <w:rPr>
          <w:b/>
        </w:rPr>
      </w:pPr>
      <w:r w:rsidRPr="002B319A">
        <w:rPr>
          <w:b/>
        </w:rPr>
        <w:t>2. BACKGROUND</w:t>
      </w:r>
    </w:p>
    <w:p w:rsidR="00237B6B" w:rsidRDefault="00237B6B" w:rsidP="002B319A">
      <w:r>
        <w:t>Law and justice is formally recognised as a priority in Samoa’s national development strategy - Strategy for the Development of Samoa 2012-2016 (SDS). The SDS identifies the priorities of community safety through improved crime management and prevention; improving access to justice, law and legal services; recognising customary -based justice and harmonising with the formal justice system; promoting integrity and good governance in formal and customary processes and services; and building sector agency capacity and improved service coordination.</w:t>
      </w:r>
    </w:p>
    <w:p w:rsidR="00237B6B" w:rsidRDefault="00237B6B" w:rsidP="002B319A">
      <w:r>
        <w:t>Australia has been supporting the sector through aid funding administered by AusAID and then DFAT since 2008. The funding was provided with the aim of helping the law and justice sector in Samoa to achieve its targets in the SDS and as agreed in the Samoa-Australia Partnership for Development:</w:t>
      </w:r>
    </w:p>
    <w:p w:rsidR="00237B6B" w:rsidRDefault="00237B6B" w:rsidP="002B319A">
      <w:r>
        <w:t>1. Improve governance in law and justice through improving the operation of the rule of law (SDS: Goal 6) and;</w:t>
      </w:r>
    </w:p>
    <w:p w:rsidR="00237B6B" w:rsidRDefault="00237B6B" w:rsidP="002B319A">
      <w:r>
        <w:t>2. Reduce numbers of serious crime in Samoa (SDS Goal 6)</w:t>
      </w:r>
    </w:p>
    <w:p w:rsidR="002B319A" w:rsidRDefault="00237B6B" w:rsidP="002B319A">
      <w:r>
        <w:t>The partnership recognized the importance of an integrated approach to law and justice in the country. The establishment of the sector enabled linkages between law and justice service agencies towards achievement of national strategies and priorities and aimed to improve the</w:t>
      </w:r>
      <w:r w:rsidR="002B319A">
        <w:t xml:space="preserve"> coordination and delivery of services to the community. Australian aid funding assisted in the establishment of a coordination body (the Law and Justice Sector Secretariat). Following the establishment of the secretariat, core funding was provided in support of the law and justice sector’s key priorities as identified in its own sector plan.</w:t>
      </w:r>
    </w:p>
    <w:p w:rsidR="002B319A" w:rsidRDefault="002B319A" w:rsidP="002B319A">
      <w:r>
        <w:t xml:space="preserve">The law and justice sector plan’s objectives are: </w:t>
      </w:r>
    </w:p>
    <w:p w:rsidR="002B319A" w:rsidRDefault="002B319A" w:rsidP="002B319A">
      <w:r>
        <w:t>• Ensuring community safety through improved crime management prevention;</w:t>
      </w:r>
    </w:p>
    <w:p w:rsidR="002B319A" w:rsidRDefault="002B319A" w:rsidP="002B319A">
      <w:r>
        <w:lastRenderedPageBreak/>
        <w:t>• Improve access to justice, law and legal services;</w:t>
      </w:r>
    </w:p>
    <w:p w:rsidR="002B319A" w:rsidRDefault="002B319A" w:rsidP="002B319A">
      <w:r>
        <w:t>• Recognise customary based justice and incorporate into formal justice system;</w:t>
      </w:r>
    </w:p>
    <w:p w:rsidR="002B319A" w:rsidRDefault="002B319A" w:rsidP="002B319A">
      <w:r>
        <w:t>• Promote integrity and good governance in formal &amp; customary processes and services; and</w:t>
      </w:r>
    </w:p>
    <w:p w:rsidR="002B319A" w:rsidRDefault="002B319A" w:rsidP="002B319A">
      <w:r>
        <w:t>• Build sector agency capacity and improved service coordination.</w:t>
      </w:r>
    </w:p>
    <w:p w:rsidR="002B319A" w:rsidRDefault="002B319A" w:rsidP="002B319A">
      <w:r>
        <w:t>The Government of Australia has been the main donor in this sector since 2008 and the only donor to provide annual funding to the sector to implement its sector plan. Australian funds were provided through regular grants to the Government of Samoa’s Ministry of Finance who in turn oversaw disbursal of funds to the law and justice sector in support of agreed law and justice sector activities. Australian funds were used for the operational costs of the Law and Justice Steering Committee Secretariat which manages and monitors the sector’s development activities, and for high priority projects proposed by sector agencies and approved by a Law and Justice Steering Committee. The Committee has a wide ranging, active membership from the public sector, civil society and community groups. It is the first time that coordination of priorities and formal dialogue has occurred in the law and justice sector at a sectoral level in Samoa.</w:t>
      </w:r>
    </w:p>
    <w:p w:rsidR="002B319A" w:rsidRDefault="002B319A" w:rsidP="002B319A">
      <w:r>
        <w:t>In March 2013 DFAT (then AusAID) commenced a formal design process for a new phase of support to the sector. AusAID</w:t>
      </w:r>
      <w:r w:rsidR="00144E79">
        <w:t>/DFAT</w:t>
      </w:r>
      <w:r>
        <w:t xml:space="preserve"> and the sector were unable to reach agreement on the direction proposed by the design team and mutually agreed to cease the design process. At high level aid talks in December 2013 the Australian and Samoan governments agreed that further support for law and justice would be considered in the context of prioritizing the range of aid program priorities when setting a new country strategy for Samoa. Since then the Australian aid program globally is going through a period of change and in recognition of the need to consolidate Australian aid activities at the country level Australia is unable to commit to further broad-scale support to the law and justice sector. At high level aid talks in December 2014 both governments agreed to jointly commission an independent evaluation at the conclusion of the current funding agreement (December 2014) to assess the effectiveness of Australian assistance to the sector to date.</w:t>
      </w:r>
    </w:p>
    <w:p w:rsidR="002B319A" w:rsidRPr="002B319A" w:rsidRDefault="002B319A" w:rsidP="002B319A">
      <w:pPr>
        <w:rPr>
          <w:b/>
        </w:rPr>
      </w:pPr>
      <w:r w:rsidRPr="002B319A">
        <w:rPr>
          <w:b/>
        </w:rPr>
        <w:t>3. OBJECTIVES</w:t>
      </w:r>
    </w:p>
    <w:p w:rsidR="00237B6B" w:rsidRDefault="002B319A" w:rsidP="002B319A">
      <w:r>
        <w:t>The objective is to evaluate the impact and effectiveness of sector-based financing assistance provided by AusAID</w:t>
      </w:r>
      <w:r w:rsidR="00144E79">
        <w:t>/</w:t>
      </w:r>
      <w:r>
        <w:t>the Department of Foreign Affairs and Trade (DFAT) to the law and justice sector from 2008 to 2014, for the purpose of allowing both DFAT and the Government of Samoa to better understand the achievements of the law and justice sector to date, as well as identify lessons for DFAT and Government of Samoa on the effectiveness of the partnership. Therefore the evaluation will look back at the achievements of Australian aid whilst also providing learning for the Government of Samoa for its engagement with other development partners.</w:t>
      </w:r>
    </w:p>
    <w:p w:rsidR="002B319A" w:rsidRPr="002B319A" w:rsidRDefault="002B319A" w:rsidP="002B319A">
      <w:r w:rsidRPr="002B319A">
        <w:t xml:space="preserve">The following evaluation questions are to be considered in accordance with DFAT evaluation standards (a narrower set of priority questions for the evaluation to focus on will be developed in consultation with DFAT and the Law and Justice Sector Secretariat as part of preparing an evaluation plan): </w:t>
      </w:r>
    </w:p>
    <w:p w:rsidR="002B319A" w:rsidRPr="002B319A" w:rsidRDefault="002B319A" w:rsidP="002B319A">
      <w:r w:rsidRPr="002B319A">
        <w:t xml:space="preserve">1. Relevance – To what extent has AusAID/DFAT-managed Australian aid to the law and justice sector been aligned to Australian and Samoan Government priorities? </w:t>
      </w:r>
    </w:p>
    <w:p w:rsidR="002B319A" w:rsidRPr="002B319A" w:rsidRDefault="002B319A" w:rsidP="002B319A">
      <w:r w:rsidRPr="002B319A">
        <w:lastRenderedPageBreak/>
        <w:t xml:space="preserve">2. Effectiveness/Impact – To what extent did AusAID/DFAT-managed Australian aid to the law and justice sector achieve target outcomes of improved operation of the rule of law and reduced numbers of serious crimes in Samoa? Were outcomes expected from Australian funding appropriate given the scale and type of investment? What other positive and negative changes were produced, directly or indirectly, intended or unintended? </w:t>
      </w:r>
    </w:p>
    <w:p w:rsidR="002B319A" w:rsidRPr="002B319A" w:rsidRDefault="002B319A" w:rsidP="002B319A">
      <w:r w:rsidRPr="002B319A">
        <w:t xml:space="preserve">3. Efficiency – What role did the modality of aid have in supporting the achievement of outcomes in the most efficient way? Did Australia’s investment represent value for money in achieving the outcomes? </w:t>
      </w:r>
    </w:p>
    <w:p w:rsidR="002B319A" w:rsidRPr="002B319A" w:rsidRDefault="002B319A" w:rsidP="002B319A">
      <w:r w:rsidRPr="002B319A">
        <w:t xml:space="preserve">4. Sustainability – Will the benefits achieved from Australian funding continue beyond the period of Australian funding? If not, what other actions/approaches could Australia or Samoa have taken to improve the sustainability of outcomes? What are the immediate options (funding and otherwise) for Government of Samoa and its development partners to consider which will reinforce the sustainability of positive outcomes achieved to date? </w:t>
      </w:r>
    </w:p>
    <w:p w:rsidR="002B319A" w:rsidRPr="002B319A" w:rsidRDefault="002B319A" w:rsidP="002B319A">
      <w:r w:rsidRPr="002B319A">
        <w:t xml:space="preserve">5. Monitoring and Evaluation – Was the quality of monitoring, reporting and evaluation of sufficient quality to provide the necessary performance information both partners required to track progress and understand results? Is there evidence that performance information was actively used by AusAID/DFAT and the law and justice sector to guide effective decision making? </w:t>
      </w:r>
    </w:p>
    <w:p w:rsidR="00237B6B" w:rsidRPr="002B319A" w:rsidRDefault="002B319A" w:rsidP="002B319A">
      <w:r w:rsidRPr="002B319A">
        <w:t>6. Gender and Disability – To what extend did Australian aid funding to the sector adequately address the different needs of men, women, boys and girls, including those with disability, in accessing justice and interacting with the law and justice system?</w:t>
      </w:r>
    </w:p>
    <w:p w:rsidR="002B319A" w:rsidRDefault="002B319A" w:rsidP="002B319A">
      <w:pPr>
        <w:autoSpaceDE w:val="0"/>
        <w:autoSpaceDN w:val="0"/>
        <w:adjustRightInd w:val="0"/>
        <w:spacing w:before="0"/>
        <w:rPr>
          <w:rFonts w:ascii="Times New Roman" w:hAnsi="Times New Roman"/>
          <w:b/>
          <w:bCs/>
          <w:color w:val="000000"/>
          <w:sz w:val="23"/>
          <w:szCs w:val="23"/>
          <w:lang w:eastAsia="en-AU"/>
        </w:rPr>
      </w:pPr>
    </w:p>
    <w:p w:rsidR="002B319A" w:rsidRPr="002B319A" w:rsidRDefault="002B319A" w:rsidP="002B319A">
      <w:pPr>
        <w:autoSpaceDE w:val="0"/>
        <w:autoSpaceDN w:val="0"/>
        <w:adjustRightInd w:val="0"/>
        <w:spacing w:before="0"/>
        <w:rPr>
          <w:rFonts w:ascii="Times New Roman" w:hAnsi="Times New Roman"/>
          <w:color w:val="000000"/>
          <w:sz w:val="23"/>
          <w:szCs w:val="23"/>
          <w:lang w:eastAsia="en-AU"/>
        </w:rPr>
      </w:pPr>
      <w:r w:rsidRPr="002B319A">
        <w:rPr>
          <w:rFonts w:ascii="Times New Roman" w:hAnsi="Times New Roman"/>
          <w:b/>
          <w:bCs/>
          <w:color w:val="000000"/>
          <w:sz w:val="23"/>
          <w:szCs w:val="23"/>
          <w:lang w:eastAsia="en-AU"/>
        </w:rPr>
        <w:t xml:space="preserve">SCOPE OF SERVICES </w:t>
      </w:r>
    </w:p>
    <w:p w:rsidR="002B319A" w:rsidRPr="003C00E1" w:rsidRDefault="002B319A" w:rsidP="002B319A">
      <w:r w:rsidRPr="002B319A">
        <w:t xml:space="preserve">In addressing the objectives of this </w:t>
      </w:r>
      <w:proofErr w:type="spellStart"/>
      <w:r w:rsidRPr="002B319A">
        <w:t>ToR</w:t>
      </w:r>
      <w:proofErr w:type="spellEnd"/>
      <w:r w:rsidRPr="002B319A">
        <w:t xml:space="preserve"> one internationally recruited evaluator will undertake analysis of written documentation and reporting relevant to the law and justice sector in Samoa and Australian support to the sector in particular, consult with DFAT evaluation and law and justice specialists in Canberra as necessary, and travel to Samoa to consult with Australia’s Department of Foreign Affairs and Trade and Government of Samoa representatives (including Law and Justice sector agencies, the Samoa Law and Justice Secretariat, the Ministry of Finance and other relevant stakeholders). The internationally recruited evaluator will be assisted by a local consultant to provide local context and assistance in arranging in-country consultations. Prior to travel to Samoa the evaluator will be required to submit an evaluation plan which describes in detail the evaluation methods and approaches.</w:t>
      </w:r>
    </w:p>
    <w:p w:rsidR="00237B6B" w:rsidRDefault="009C14A3" w:rsidP="00237B6B">
      <w:pPr>
        <w:pStyle w:val="Heading2a"/>
      </w:pPr>
      <w:r w:rsidRPr="00237B6B">
        <w:rPr>
          <w:u w:val="single"/>
        </w:rPr>
        <w:br w:type="page"/>
      </w:r>
      <w:r w:rsidR="00237B6B">
        <w:lastRenderedPageBreak/>
        <w:t>Refined key evaluation questions</w:t>
      </w:r>
    </w:p>
    <w:p w:rsidR="009C14A3" w:rsidRDefault="009C14A3" w:rsidP="009C14A3">
      <w:r>
        <w:t>Following discussions with DFAT and representatives of the Steering Committee, the focus of each of the KEQ was agreed as follows:</w:t>
      </w:r>
    </w:p>
    <w:p w:rsidR="009C14A3" w:rsidRDefault="009C14A3" w:rsidP="009C14A3">
      <w:r>
        <w:t>1.</w:t>
      </w:r>
      <w:r>
        <w:tab/>
        <w:t>Relevance. As DFAT is able to identify the alignment between the support and Australian government priorities, this need not be considered as part of this review. Instead, the focus should be on whether Australia was the appropriate partner to provide this support to Samoa, and whether the support provided aligned with the Sector Strategic Plan.</w:t>
      </w:r>
    </w:p>
    <w:p w:rsidR="009C14A3" w:rsidRDefault="009C14A3" w:rsidP="009C14A3">
      <w:r>
        <w:t>2.</w:t>
      </w:r>
      <w:r>
        <w:tab/>
        <w:t>Effectiveness/impact. What outcomes were expected, was this expectation consistent across stakeholders and was it realistic? How did the activity level outcomes contribute to these high-level outcomes? What was achieved? Were expected outcomes realistic in light of the modality adopted and the level of aid provided?</w:t>
      </w:r>
    </w:p>
    <w:p w:rsidR="009C14A3" w:rsidRDefault="009C14A3" w:rsidP="009C14A3">
      <w:r>
        <w:t>3.</w:t>
      </w:r>
      <w:r>
        <w:tab/>
        <w:t xml:space="preserve">Efficiency. Did the lack of a design affect the efficiency of the support? What lessons can be learnt from the way implementation occurred (including modality, policy dialogue, DFAT approach and use of Samoan financial systems)? </w:t>
      </w:r>
    </w:p>
    <w:p w:rsidR="009C14A3" w:rsidRDefault="009C14A3" w:rsidP="009C14A3">
      <w:r>
        <w:t>4.</w:t>
      </w:r>
      <w:r>
        <w:tab/>
        <w:t>Sustainability. What Program benefits will/will not continue after Australian funding ceases? What are the immediate options (funding or otherwise) for the government of Samoa and its development partners to consider which will reinforce the sustainability of positive outcomes achieved to date? During design and implementation, how could sustainability have been enhanced?</w:t>
      </w:r>
    </w:p>
    <w:p w:rsidR="009C14A3" w:rsidRDefault="009C14A3" w:rsidP="009C14A3">
      <w:r>
        <w:t>5.</w:t>
      </w:r>
      <w:r>
        <w:tab/>
        <w:t>Monitoring and review. Were outcomes and the theory of change clear? Did projects supported reflect this theory of change? Did monitoring enable assessment of progress towards outcomes and manage risk? Did reporting to the Steering Committee meet their needs and was the information used to effectively support achievement of high level outcomes and manage risk? Was the Steering Committee adequately supported in use of M&amp;E information?</w:t>
      </w:r>
    </w:p>
    <w:p w:rsidR="009C14A3" w:rsidRDefault="009C14A3" w:rsidP="009C14A3">
      <w:r>
        <w:t>6.</w:t>
      </w:r>
      <w:r>
        <w:tab/>
        <w:t>Gender and disability. To what extent did Australian aid funding to the sector consider and adequately address the different needs of men, women, boys and girls (including those with disabilities) to access justice and interact with the law and justice system? Were there different outcomes for different gender or for people with disabilities?</w:t>
      </w:r>
    </w:p>
    <w:p w:rsidR="009C14A3" w:rsidRDefault="009C14A3" w:rsidP="009C14A3">
      <w:r>
        <w:t>7.</w:t>
      </w:r>
      <w:r>
        <w:tab/>
        <w:t>Innovation and private sector: did the program include any innovative approaches? If so, what lessons were learnt? How was the role of the private sector in the law and justice sector recognized? What lessons were learnt?</w:t>
      </w:r>
    </w:p>
    <w:p w:rsidR="009C14A3" w:rsidRDefault="009C14A3" w:rsidP="009C14A3">
      <w:r>
        <w:t>Questions 1 and 7 are considered low priority. Questions 2 (including 6), 4 and 5 are highest priority. Thus, the priority is:</w:t>
      </w:r>
    </w:p>
    <w:p w:rsidR="009C14A3" w:rsidRDefault="009C14A3" w:rsidP="009C14A3">
      <w:r>
        <w:t>1.</w:t>
      </w:r>
      <w:r>
        <w:tab/>
        <w:t xml:space="preserve">Question 2 (including 6), 4 and 5; </w:t>
      </w:r>
    </w:p>
    <w:p w:rsidR="009C14A3" w:rsidRDefault="009C14A3" w:rsidP="009C14A3">
      <w:r>
        <w:t>2.</w:t>
      </w:r>
      <w:r>
        <w:tab/>
        <w:t>Question 3; and</w:t>
      </w:r>
    </w:p>
    <w:p w:rsidR="009C14A3" w:rsidRDefault="009C14A3" w:rsidP="009C14A3">
      <w:r>
        <w:t>3.</w:t>
      </w:r>
      <w:r>
        <w:tab/>
        <w:t>Questions 1 and 7.</w:t>
      </w:r>
    </w:p>
    <w:p w:rsidR="001A7A59" w:rsidRDefault="001A7A59" w:rsidP="004902E0">
      <w:pPr>
        <w:pStyle w:val="AppendixHeading1"/>
      </w:pPr>
      <w:r>
        <w:lastRenderedPageBreak/>
        <w:t xml:space="preserve"> </w:t>
      </w:r>
      <w:bookmarkStart w:id="78" w:name="_Toc431828803"/>
      <w:r>
        <w:t>Sources of data</w:t>
      </w:r>
      <w:bookmarkEnd w:id="78"/>
    </w:p>
    <w:p w:rsidR="00B21B73" w:rsidRDefault="00B21B73" w:rsidP="001A7A59">
      <w:pPr>
        <w:pStyle w:val="Heading2a"/>
      </w:pPr>
      <w:r>
        <w:t>Documents Reviewed</w:t>
      </w:r>
    </w:p>
    <w:p w:rsidR="00B21B73" w:rsidRDefault="00B21B73" w:rsidP="004902E0">
      <w:pPr>
        <w:pStyle w:val="BodyText1"/>
      </w:pPr>
      <w:r>
        <w:t xml:space="preserve">The following documents have been </w:t>
      </w:r>
      <w:r w:rsidR="00D54144">
        <w:t>reviewed</w:t>
      </w:r>
      <w:r>
        <w:t>:</w:t>
      </w:r>
    </w:p>
    <w:p w:rsidR="00A66E7B" w:rsidRDefault="00A66E7B" w:rsidP="00C45E70">
      <w:pPr>
        <w:pStyle w:val="BodyText1"/>
        <w:ind w:left="426" w:hanging="426"/>
      </w:pPr>
      <w:r>
        <w:t xml:space="preserve">Audit Office, 2015. Independent Auditor’s report for the period 1 July 2012 – 30 Jun 2014. Dated 27 Jan 2015. </w:t>
      </w:r>
    </w:p>
    <w:p w:rsidR="00A66E7B" w:rsidRPr="00867FCA" w:rsidRDefault="00A66E7B" w:rsidP="00C45E70">
      <w:pPr>
        <w:pStyle w:val="BodyText1"/>
        <w:ind w:left="426" w:hanging="426"/>
      </w:pPr>
      <w:r w:rsidRPr="00867FCA">
        <w:t xml:space="preserve">AusAID 2013. Investment Concept for the SLJSP. </w:t>
      </w:r>
    </w:p>
    <w:p w:rsidR="00A66E7B" w:rsidRPr="00867FCA" w:rsidRDefault="00A66E7B" w:rsidP="00C45E70">
      <w:pPr>
        <w:pStyle w:val="BodyText1"/>
        <w:ind w:left="426" w:hanging="426"/>
      </w:pPr>
      <w:r w:rsidRPr="00867FCA">
        <w:t xml:space="preserve">AusAID, 2008. </w:t>
      </w:r>
      <w:smartTag w:uri="urn:schemas-microsoft-com:office:smarttags" w:element="place">
        <w:r w:rsidRPr="00867FCA">
          <w:t>Samoa</w:t>
        </w:r>
      </w:smartTag>
      <w:r w:rsidRPr="00867FCA">
        <w:t xml:space="preserve"> Police Project. Number INF723, Draft Independent Completion Report. Dated November 2008. </w:t>
      </w:r>
    </w:p>
    <w:p w:rsidR="00A66E7B" w:rsidRPr="00867FCA" w:rsidRDefault="00A66E7B" w:rsidP="00C45E70">
      <w:pPr>
        <w:pStyle w:val="BodyText1"/>
        <w:ind w:left="426" w:hanging="426"/>
      </w:pPr>
      <w:r w:rsidRPr="00867FCA">
        <w:t xml:space="preserve">AusAID, 2011. Concept Note 2011- 2012 Law </w:t>
      </w:r>
      <w:smartTag w:uri="urn:schemas-microsoft-com:office:smarttags" w:element="PersonName">
        <w:r w:rsidRPr="00867FCA">
          <w:t>and</w:t>
        </w:r>
      </w:smartTag>
      <w:r w:rsidRPr="00867FCA">
        <w:t xml:space="preserve"> Justice Sector in </w:t>
      </w:r>
      <w:smartTag w:uri="urn:schemas-microsoft-com:office:smarttags" w:element="place">
        <w:r w:rsidRPr="00867FCA">
          <w:t>Samoa</w:t>
        </w:r>
      </w:smartTag>
      <w:r w:rsidRPr="00867FCA">
        <w:t xml:space="preserve">. </w:t>
      </w:r>
    </w:p>
    <w:p w:rsidR="00A66E7B" w:rsidRDefault="00A66E7B" w:rsidP="00C45E70">
      <w:pPr>
        <w:pStyle w:val="BodyText1"/>
        <w:ind w:left="426" w:hanging="426"/>
      </w:pPr>
      <w:r w:rsidRPr="00867FCA">
        <w:t xml:space="preserve">AusAID, 2011. </w:t>
      </w:r>
      <w:r>
        <w:t xml:space="preserve">Minute to approve spending for current financial year. Dated 5 Dec 2011. </w:t>
      </w:r>
    </w:p>
    <w:p w:rsidR="00A66E7B" w:rsidRDefault="00A66E7B" w:rsidP="00C45E70">
      <w:pPr>
        <w:pStyle w:val="BodyText1"/>
        <w:ind w:left="426" w:hanging="426"/>
      </w:pPr>
      <w:r>
        <w:t xml:space="preserve">AusAID, 2011. QAI report for the law and justice sector development. Dated 11 Nov 2011. </w:t>
      </w:r>
    </w:p>
    <w:p w:rsidR="00A66E7B" w:rsidRPr="00867FCA" w:rsidRDefault="00A66E7B" w:rsidP="00C45E70">
      <w:pPr>
        <w:pStyle w:val="BodyText1"/>
        <w:ind w:left="426" w:hanging="426"/>
      </w:pPr>
      <w:r w:rsidRPr="00867FCA">
        <w:t xml:space="preserve">AusAID, 2012. Quality at Implementation for Law </w:t>
      </w:r>
      <w:smartTag w:uri="urn:schemas-microsoft-com:office:smarttags" w:element="PersonName">
        <w:r w:rsidRPr="00867FCA">
          <w:t>and</w:t>
        </w:r>
      </w:smartTag>
      <w:r w:rsidRPr="00867FCA">
        <w:t xml:space="preserve"> Justice Sector Development. </w:t>
      </w:r>
    </w:p>
    <w:p w:rsidR="00A66E7B" w:rsidRDefault="00151862" w:rsidP="00C45E70">
      <w:pPr>
        <w:pStyle w:val="BodyText1"/>
        <w:ind w:left="426" w:hanging="426"/>
      </w:pPr>
      <w:proofErr w:type="gramStart"/>
      <w:r>
        <w:t>DFAT</w:t>
      </w:r>
      <w:r w:rsidR="00A66E7B">
        <w:t>, 2013.</w:t>
      </w:r>
      <w:proofErr w:type="gramEnd"/>
      <w:r w:rsidR="00A66E7B">
        <w:t xml:space="preserve"> QAI report for the law and justice sector development. Dated 17 Dec 2013</w:t>
      </w:r>
    </w:p>
    <w:p w:rsidR="00A66E7B" w:rsidRPr="00867FCA" w:rsidRDefault="00A66E7B" w:rsidP="00C45E70">
      <w:pPr>
        <w:pStyle w:val="BodyText1"/>
        <w:ind w:left="426" w:hanging="426"/>
      </w:pPr>
      <w:r w:rsidRPr="00867FCA">
        <w:t xml:space="preserve">Barlow Schuster V. 2012. Review report. Review of the Law </w:t>
      </w:r>
      <w:smartTag w:uri="urn:schemas-microsoft-com:office:smarttags" w:element="PersonName">
        <w:r w:rsidRPr="00867FCA">
          <w:t>and</w:t>
        </w:r>
      </w:smartTag>
      <w:r w:rsidRPr="00867FCA">
        <w:t xml:space="preserve"> Justice Sector Plan. 2008 – 2012. Dated 2/7/2012. </w:t>
      </w:r>
    </w:p>
    <w:p w:rsidR="00A66E7B" w:rsidRDefault="00A66E7B" w:rsidP="00C45E70">
      <w:pPr>
        <w:pStyle w:val="BodyText1"/>
        <w:ind w:left="426" w:hanging="426"/>
      </w:pPr>
      <w:r>
        <w:t>Charles Kendall &amp; Partners, 2013. Assessment of the Independent State of Samoa. Law and justice sector procu</w:t>
      </w:r>
      <w:r w:rsidR="004C4615">
        <w:t>re</w:t>
      </w:r>
      <w:r>
        <w:t xml:space="preserve">ment systems. Final report. Dated Jan 2013.  </w:t>
      </w:r>
    </w:p>
    <w:p w:rsidR="00A66E7B" w:rsidRPr="00867FCA" w:rsidRDefault="00A66E7B" w:rsidP="00C45E70">
      <w:pPr>
        <w:pStyle w:val="BodyText1"/>
        <w:ind w:left="426" w:hanging="426"/>
      </w:pPr>
      <w:r w:rsidRPr="00867FCA">
        <w:t>Clear Horizon</w:t>
      </w:r>
      <w:r w:rsidR="003C64CF">
        <w:t>,</w:t>
      </w:r>
      <w:r w:rsidRPr="00867FCA">
        <w:t xml:space="preserve"> 2012. </w:t>
      </w:r>
      <w:smartTag w:uri="urn:schemas-microsoft-com:office:smarttags" w:element="place">
        <w:r w:rsidRPr="00867FCA">
          <w:t>Samoa</w:t>
        </w:r>
      </w:smartTag>
      <w:r w:rsidRPr="00867FCA">
        <w:t xml:space="preserve"> Law </w:t>
      </w:r>
      <w:smartTag w:uri="urn:schemas-microsoft-com:office:smarttags" w:element="PersonName">
        <w:r w:rsidRPr="00867FCA">
          <w:t>and</w:t>
        </w:r>
      </w:smartTag>
      <w:r w:rsidRPr="00867FCA">
        <w:t xml:space="preserve"> Justice Sector. Theory of Change Workshop Report. August 2012. </w:t>
      </w:r>
    </w:p>
    <w:p w:rsidR="00A66E7B" w:rsidRPr="00867FCA" w:rsidRDefault="00A66E7B" w:rsidP="00C45E70">
      <w:pPr>
        <w:pStyle w:val="BodyText1"/>
        <w:ind w:left="426" w:hanging="426"/>
      </w:pPr>
      <w:r w:rsidRPr="00867FCA">
        <w:t xml:space="preserve">Design Team, 2013. Aide Memoire Design Mission for the Samoa-Australia Law </w:t>
      </w:r>
      <w:smartTag w:uri="urn:schemas-microsoft-com:office:smarttags" w:element="PersonName">
        <w:r w:rsidRPr="00867FCA">
          <w:t>and</w:t>
        </w:r>
      </w:smartTag>
      <w:r w:rsidRPr="00867FCA">
        <w:t xml:space="preserve"> Justice Partnership 20 March, 2013</w:t>
      </w:r>
    </w:p>
    <w:p w:rsidR="00A66E7B" w:rsidRDefault="00151862" w:rsidP="00C45E70">
      <w:pPr>
        <w:pStyle w:val="BodyText1"/>
        <w:ind w:left="426" w:hanging="426"/>
      </w:pPr>
      <w:proofErr w:type="gramStart"/>
      <w:r>
        <w:t>AusAID</w:t>
      </w:r>
      <w:r w:rsidR="00A66E7B">
        <w:t>, 2012.</w:t>
      </w:r>
      <w:proofErr w:type="gramEnd"/>
      <w:r w:rsidR="00A66E7B">
        <w:t xml:space="preserve"> Assessment of the Law and Justice Secretariat Public Financial Management Systems. Samoa. Final Report. September 2012.</w:t>
      </w:r>
    </w:p>
    <w:p w:rsidR="00A66E7B" w:rsidRPr="00867FCA" w:rsidRDefault="00A66E7B" w:rsidP="00C45E70">
      <w:pPr>
        <w:pStyle w:val="BodyText1"/>
        <w:ind w:left="426" w:hanging="426"/>
      </w:pPr>
      <w:r w:rsidRPr="00867FCA">
        <w:t xml:space="preserve">DFAT, 2014. Deed of Amendment between Commonwealth of Australia represented by DFAT </w:t>
      </w:r>
      <w:smartTag w:uri="urn:schemas-microsoft-com:office:smarttags" w:element="PersonName">
        <w:r w:rsidRPr="00867FCA">
          <w:t>and</w:t>
        </w:r>
      </w:smartTag>
      <w:r w:rsidRPr="00867FCA">
        <w:t xml:space="preserve"> the Government of Samoa for Supporting the Law </w:t>
      </w:r>
      <w:smartTag w:uri="urn:schemas-microsoft-com:office:smarttags" w:element="PersonName">
        <w:r w:rsidRPr="00867FCA">
          <w:t>and</w:t>
        </w:r>
      </w:smartTag>
      <w:r w:rsidRPr="00867FCA">
        <w:t xml:space="preserve"> Justice Sector (</w:t>
      </w:r>
      <w:smartTag w:uri="urn:schemas-microsoft-com:office:smarttags" w:element="place">
        <w:r w:rsidRPr="00867FCA">
          <w:t>Samoa</w:t>
        </w:r>
      </w:smartTag>
      <w:r w:rsidRPr="00867FCA">
        <w:t xml:space="preserve">) Draft Agreement Number 60673. </w:t>
      </w:r>
    </w:p>
    <w:p w:rsidR="00A66E7B" w:rsidRDefault="00A66E7B" w:rsidP="00C45E70">
      <w:pPr>
        <w:pStyle w:val="BodyText1"/>
        <w:ind w:left="426" w:hanging="426"/>
      </w:pPr>
      <w:r>
        <w:t>DFAT, 2015. Aid quality check for INH405 SLJS Program. Dated 30 Apr 2015</w:t>
      </w:r>
    </w:p>
    <w:p w:rsidR="00A66E7B" w:rsidRDefault="00A66E7B" w:rsidP="00C45E70">
      <w:pPr>
        <w:pStyle w:val="BodyText1"/>
        <w:ind w:left="426" w:hanging="426"/>
      </w:pPr>
      <w:r>
        <w:t xml:space="preserve">DFAT, undated. Appendix A. Updated Program Risk Management Plan. </w:t>
      </w:r>
    </w:p>
    <w:p w:rsidR="00AA0AFC" w:rsidRPr="00867FCA" w:rsidRDefault="00151862" w:rsidP="00AA0AFC">
      <w:pPr>
        <w:pStyle w:val="BodyText1"/>
        <w:ind w:left="426" w:hanging="426"/>
      </w:pPr>
      <w:proofErr w:type="gramStart"/>
      <w:r>
        <w:t>Government</w:t>
      </w:r>
      <w:r w:rsidRPr="00867FCA">
        <w:t xml:space="preserve"> of Australia</w:t>
      </w:r>
      <w:r w:rsidR="00AA0AFC">
        <w:t>, 2010a</w:t>
      </w:r>
      <w:r w:rsidR="00AA0AFC" w:rsidRPr="00867FCA">
        <w:t>.</w:t>
      </w:r>
      <w:proofErr w:type="gramEnd"/>
      <w:r w:rsidR="00AA0AFC" w:rsidRPr="00867FCA">
        <w:t xml:space="preserve"> </w:t>
      </w:r>
      <w:r w:rsidR="00AA0AFC">
        <w:t>Arrangement between</w:t>
      </w:r>
      <w:r w:rsidR="00AA0AFC" w:rsidRPr="00867FCA">
        <w:t xml:space="preserve"> </w:t>
      </w:r>
      <w:r w:rsidR="00AA0AFC">
        <w:t>the Government</w:t>
      </w:r>
      <w:r w:rsidR="00AA0AFC" w:rsidRPr="00867FCA">
        <w:t xml:space="preserve"> of Australia </w:t>
      </w:r>
      <w:smartTag w:uri="urn:schemas-microsoft-com:office:smarttags" w:element="PersonName">
        <w:r w:rsidR="00AA0AFC" w:rsidRPr="00867FCA">
          <w:t>and</w:t>
        </w:r>
      </w:smartTag>
      <w:r w:rsidR="00AA0AFC" w:rsidRPr="00867FCA">
        <w:t xml:space="preserve"> the Government of Samoa </w:t>
      </w:r>
      <w:r w:rsidR="00AA0AFC">
        <w:t xml:space="preserve">relating to an Accountable Cash Grant for Provision of support to the Law </w:t>
      </w:r>
      <w:smartTag w:uri="urn:schemas-microsoft-com:office:smarttags" w:element="PersonName">
        <w:r w:rsidR="00AA0AFC">
          <w:t>and</w:t>
        </w:r>
      </w:smartTag>
      <w:r w:rsidR="00AA0AFC">
        <w:t xml:space="preserve"> Justice Secretariat in Samoa.. Arrangement. Number 53002.</w:t>
      </w:r>
      <w:r w:rsidR="00AA0AFC" w:rsidRPr="00867FCA">
        <w:t xml:space="preserve"> </w:t>
      </w:r>
    </w:p>
    <w:p w:rsidR="00AA0AFC" w:rsidRPr="00867FCA" w:rsidRDefault="00151862" w:rsidP="00AA0AFC">
      <w:pPr>
        <w:pStyle w:val="BodyText1"/>
        <w:ind w:left="426" w:hanging="426"/>
      </w:pPr>
      <w:proofErr w:type="gramStart"/>
      <w:r>
        <w:t>Government</w:t>
      </w:r>
      <w:r w:rsidRPr="00867FCA">
        <w:t xml:space="preserve"> of Australia</w:t>
      </w:r>
      <w:r w:rsidR="00AA0AFC">
        <w:t>, 2010b</w:t>
      </w:r>
      <w:r w:rsidR="00AA0AFC" w:rsidRPr="00867FCA">
        <w:t>.</w:t>
      </w:r>
      <w:proofErr w:type="gramEnd"/>
      <w:r w:rsidR="00AA0AFC" w:rsidRPr="00867FCA">
        <w:t xml:space="preserve"> </w:t>
      </w:r>
      <w:r w:rsidR="00AA0AFC">
        <w:t>Arrangement between</w:t>
      </w:r>
      <w:r w:rsidR="00AA0AFC" w:rsidRPr="00867FCA">
        <w:t xml:space="preserve"> </w:t>
      </w:r>
      <w:r w:rsidR="00AA0AFC">
        <w:t>the Government</w:t>
      </w:r>
      <w:r w:rsidR="00AA0AFC" w:rsidRPr="00867FCA">
        <w:t xml:space="preserve"> of Australia </w:t>
      </w:r>
      <w:smartTag w:uri="urn:schemas-microsoft-com:office:smarttags" w:element="PersonName">
        <w:r w:rsidR="00AA0AFC" w:rsidRPr="00867FCA">
          <w:t>and</w:t>
        </w:r>
      </w:smartTag>
      <w:r w:rsidR="00AA0AFC" w:rsidRPr="00867FCA">
        <w:t xml:space="preserve"> the Government of Samoa </w:t>
      </w:r>
      <w:r w:rsidR="00AA0AFC">
        <w:t xml:space="preserve">relating to an Accountable Cash Grant for Assistance Regarding the </w:t>
      </w:r>
      <w:r w:rsidR="00AA0AFC">
        <w:lastRenderedPageBreak/>
        <w:t xml:space="preserve">Provision of support Law </w:t>
      </w:r>
      <w:smartTag w:uri="urn:schemas-microsoft-com:office:smarttags" w:element="PersonName">
        <w:r w:rsidR="00AA0AFC">
          <w:t>and</w:t>
        </w:r>
      </w:smartTag>
      <w:r w:rsidR="00AA0AFC">
        <w:t xml:space="preserve"> Justice Sector Plan implementation 2010/2011. Arrangement. Number 57344</w:t>
      </w:r>
      <w:r w:rsidR="00AA0AFC" w:rsidRPr="00867FCA">
        <w:t xml:space="preserve"> </w:t>
      </w:r>
    </w:p>
    <w:p w:rsidR="00AA0AFC" w:rsidRPr="00867FCA" w:rsidRDefault="00151862" w:rsidP="00AA0AFC">
      <w:pPr>
        <w:pStyle w:val="BodyText1"/>
        <w:ind w:left="426" w:hanging="426"/>
      </w:pPr>
      <w:proofErr w:type="gramStart"/>
      <w:r>
        <w:t>Government</w:t>
      </w:r>
      <w:r w:rsidRPr="00867FCA">
        <w:t xml:space="preserve"> of Australia</w:t>
      </w:r>
      <w:r w:rsidR="00AA0AFC">
        <w:t>, 2011</w:t>
      </w:r>
      <w:r w:rsidR="00AA0AFC" w:rsidRPr="00867FCA">
        <w:t>.</w:t>
      </w:r>
      <w:proofErr w:type="gramEnd"/>
      <w:r w:rsidR="00AA0AFC" w:rsidRPr="00867FCA">
        <w:t xml:space="preserve"> </w:t>
      </w:r>
      <w:r w:rsidR="00AA0AFC">
        <w:t xml:space="preserve">Amendment 1 of the Support Law </w:t>
      </w:r>
      <w:smartTag w:uri="urn:schemas-microsoft-com:office:smarttags" w:element="PersonName">
        <w:r w:rsidR="00AA0AFC">
          <w:t>and</w:t>
        </w:r>
      </w:smartTag>
      <w:r w:rsidR="00AA0AFC">
        <w:t xml:space="preserve"> Justice Sector Plan implementation 2010/2011 in Samoa between</w:t>
      </w:r>
      <w:r w:rsidR="00AA0AFC" w:rsidRPr="00867FCA">
        <w:t xml:space="preserve"> </w:t>
      </w:r>
      <w:r w:rsidR="00AA0AFC">
        <w:t>the Government</w:t>
      </w:r>
      <w:r w:rsidR="00AA0AFC" w:rsidRPr="00867FCA">
        <w:t xml:space="preserve"> of Australia </w:t>
      </w:r>
      <w:smartTag w:uri="urn:schemas-microsoft-com:office:smarttags" w:element="PersonName">
        <w:r w:rsidR="00AA0AFC" w:rsidRPr="00867FCA">
          <w:t>and</w:t>
        </w:r>
      </w:smartTag>
      <w:r w:rsidR="00AA0AFC" w:rsidRPr="00867FCA">
        <w:t xml:space="preserve"> the Government of Samoa </w:t>
      </w:r>
      <w:r w:rsidR="00AA0AFC">
        <w:t>AusAID Agreement Number 57344</w:t>
      </w:r>
      <w:r w:rsidR="00AA0AFC" w:rsidRPr="00867FCA">
        <w:t xml:space="preserve"> </w:t>
      </w:r>
    </w:p>
    <w:p w:rsidR="00A66E7B" w:rsidRPr="00867FCA" w:rsidRDefault="00151862" w:rsidP="00C45E70">
      <w:pPr>
        <w:pStyle w:val="BodyText1"/>
        <w:ind w:left="426" w:hanging="426"/>
      </w:pPr>
      <w:proofErr w:type="gramStart"/>
      <w:r>
        <w:t>Government</w:t>
      </w:r>
      <w:r w:rsidRPr="00867FCA">
        <w:t xml:space="preserve"> of Australia </w:t>
      </w:r>
      <w:r w:rsidR="00AA0AFC">
        <w:t>and</w:t>
      </w:r>
      <w:r w:rsidR="00AA0AFC" w:rsidRPr="00867FCA">
        <w:t xml:space="preserve"> </w:t>
      </w:r>
      <w:r>
        <w:t>Government</w:t>
      </w:r>
      <w:r w:rsidRPr="00867FCA">
        <w:t xml:space="preserve"> of </w:t>
      </w:r>
      <w:r>
        <w:t>Samoa</w:t>
      </w:r>
      <w:r w:rsidR="00A66E7B" w:rsidRPr="00867FCA">
        <w:t>, undated.</w:t>
      </w:r>
      <w:proofErr w:type="gramEnd"/>
      <w:r w:rsidR="00A66E7B" w:rsidRPr="00867FCA">
        <w:t xml:space="preserve"> Partnership for Development between the </w:t>
      </w:r>
      <w:proofErr w:type="spellStart"/>
      <w:smartTag w:uri="urn:schemas-microsoft-com:office:smarttags" w:element="place">
        <w:r w:rsidR="00A66E7B" w:rsidRPr="00867FCA">
          <w:t>GoA</w:t>
        </w:r>
      </w:smartTag>
      <w:proofErr w:type="spellEnd"/>
      <w:r w:rsidR="00A66E7B" w:rsidRPr="00867FCA">
        <w:t xml:space="preserve"> </w:t>
      </w:r>
      <w:smartTag w:uri="urn:schemas-microsoft-com:office:smarttags" w:element="PersonName">
        <w:r w:rsidR="00A66E7B" w:rsidRPr="00867FCA">
          <w:t>and</w:t>
        </w:r>
      </w:smartTag>
      <w:r w:rsidR="00A66E7B" w:rsidRPr="00867FCA">
        <w:t xml:space="preserve"> the </w:t>
      </w:r>
      <w:proofErr w:type="spellStart"/>
      <w:r w:rsidR="00A66E7B" w:rsidRPr="00867FCA">
        <w:t>GoS</w:t>
      </w:r>
      <w:proofErr w:type="spellEnd"/>
      <w:r w:rsidR="00A66E7B" w:rsidRPr="00867FCA">
        <w:t xml:space="preserve">. </w:t>
      </w:r>
    </w:p>
    <w:p w:rsidR="00AA0AFC" w:rsidRDefault="00151862" w:rsidP="00AA0AFC">
      <w:pPr>
        <w:pStyle w:val="BodyText1"/>
        <w:ind w:left="426" w:hanging="426"/>
      </w:pPr>
      <w:proofErr w:type="gramStart"/>
      <w:r>
        <w:t>Government</w:t>
      </w:r>
      <w:r w:rsidRPr="00867FCA">
        <w:t xml:space="preserve"> of Australia </w:t>
      </w:r>
      <w:r w:rsidR="00AA0AFC">
        <w:t xml:space="preserve">and </w:t>
      </w:r>
      <w:r>
        <w:t>Government</w:t>
      </w:r>
      <w:r w:rsidRPr="00867FCA">
        <w:t xml:space="preserve"> of </w:t>
      </w:r>
      <w:r>
        <w:t>Samoa</w:t>
      </w:r>
      <w:r w:rsidR="00AA0AFC">
        <w:t>, 2012.</w:t>
      </w:r>
      <w:proofErr w:type="gramEnd"/>
      <w:r w:rsidR="00AA0AFC">
        <w:t xml:space="preserve"> Direct Funding Agreement between the Government of Australia as represented by AusAID and the </w:t>
      </w:r>
      <w:proofErr w:type="spellStart"/>
      <w:r w:rsidR="00AA0AFC">
        <w:t>GoS</w:t>
      </w:r>
      <w:proofErr w:type="spellEnd"/>
      <w:r w:rsidR="00AA0AFC">
        <w:t xml:space="preserve"> as represented by </w:t>
      </w:r>
      <w:proofErr w:type="spellStart"/>
      <w:r w:rsidR="00AA0AFC">
        <w:t>MoF</w:t>
      </w:r>
      <w:proofErr w:type="spellEnd"/>
      <w:r w:rsidR="00AA0AFC">
        <w:t xml:space="preserve"> in relation to the SLJS Program. AusAID Agreement Number 60673. Dated 15 March 2012. </w:t>
      </w:r>
    </w:p>
    <w:p w:rsidR="00A66E7B" w:rsidRDefault="00151862" w:rsidP="00C45E70">
      <w:pPr>
        <w:pStyle w:val="BodyText1"/>
        <w:ind w:left="426" w:hanging="426"/>
      </w:pPr>
      <w:proofErr w:type="gramStart"/>
      <w:r>
        <w:t>Government</w:t>
      </w:r>
      <w:r w:rsidRPr="00867FCA">
        <w:t xml:space="preserve"> of Australia </w:t>
      </w:r>
      <w:r w:rsidR="00A66E7B">
        <w:t xml:space="preserve">and </w:t>
      </w:r>
      <w:r>
        <w:t>Government</w:t>
      </w:r>
      <w:r w:rsidRPr="00867FCA">
        <w:t xml:space="preserve"> of </w:t>
      </w:r>
      <w:r>
        <w:t>Samoa</w:t>
      </w:r>
      <w:r w:rsidR="00A66E7B">
        <w:t>, 2012.</w:t>
      </w:r>
      <w:proofErr w:type="gramEnd"/>
      <w:r w:rsidR="00A66E7B">
        <w:t xml:space="preserve"> Samoa – Australia Partnership for Development. 2012 – 13 Implementation Schedule. Priority Outcome: Law and Justice. Dated 12 September 2012. </w:t>
      </w:r>
    </w:p>
    <w:p w:rsidR="00A66E7B" w:rsidRDefault="00151862" w:rsidP="00C45E70">
      <w:pPr>
        <w:pStyle w:val="BodyText1"/>
        <w:ind w:left="426" w:hanging="426"/>
      </w:pPr>
      <w:proofErr w:type="gramStart"/>
      <w:r>
        <w:t>Government</w:t>
      </w:r>
      <w:r w:rsidRPr="00867FCA">
        <w:t xml:space="preserve"> of Australia </w:t>
      </w:r>
      <w:r w:rsidR="00A66E7B">
        <w:t xml:space="preserve">and </w:t>
      </w:r>
      <w:r>
        <w:t>Government of Samoa</w:t>
      </w:r>
      <w:r w:rsidR="00A66E7B">
        <w:t>, 2013.</w:t>
      </w:r>
      <w:proofErr w:type="gramEnd"/>
      <w:r w:rsidR="00A66E7B">
        <w:t xml:space="preserve"> Samoa – Australia Partnership for Development. 2012 – 13 Implementation Schedule. Priority Outcome: Law and Justice. Dated 11 December 2013. </w:t>
      </w:r>
    </w:p>
    <w:p w:rsidR="00A66E7B" w:rsidRPr="00867FCA" w:rsidRDefault="00151862" w:rsidP="00C45E70">
      <w:pPr>
        <w:pStyle w:val="BodyText1"/>
        <w:ind w:left="426" w:hanging="426"/>
      </w:pPr>
      <w:proofErr w:type="gramStart"/>
      <w:r>
        <w:t>Government</w:t>
      </w:r>
      <w:r w:rsidRPr="00867FCA">
        <w:t xml:space="preserve"> of Australia</w:t>
      </w:r>
      <w:r w:rsidR="00A66E7B">
        <w:t>, 2009</w:t>
      </w:r>
      <w:r w:rsidR="00A66E7B" w:rsidRPr="00867FCA">
        <w:t>.</w:t>
      </w:r>
      <w:proofErr w:type="gramEnd"/>
      <w:r w:rsidR="00A66E7B" w:rsidRPr="00867FCA">
        <w:t xml:space="preserve"> </w:t>
      </w:r>
      <w:r w:rsidR="00A66E7B">
        <w:t>Arrangement between</w:t>
      </w:r>
      <w:r w:rsidR="00A66E7B" w:rsidRPr="00867FCA">
        <w:t xml:space="preserve"> </w:t>
      </w:r>
      <w:r w:rsidR="00A66E7B">
        <w:t>the Government</w:t>
      </w:r>
      <w:r w:rsidR="00A66E7B" w:rsidRPr="00867FCA">
        <w:t xml:space="preserve"> of Australia </w:t>
      </w:r>
      <w:smartTag w:uri="urn:schemas-microsoft-com:office:smarttags" w:element="PersonName">
        <w:r w:rsidR="00A66E7B" w:rsidRPr="00867FCA">
          <w:t>and</w:t>
        </w:r>
      </w:smartTag>
      <w:r w:rsidR="00A66E7B" w:rsidRPr="00867FCA">
        <w:t xml:space="preserve"> the Government of Samoa </w:t>
      </w:r>
      <w:r w:rsidR="00A66E7B">
        <w:t>relating to an Accountable Cash Grant for Assistance Regarding the Provision of Secretariat Establishment. Arrangement. Number 50699</w:t>
      </w:r>
      <w:r w:rsidR="00A66E7B" w:rsidRPr="00867FCA">
        <w:t xml:space="preserve"> </w:t>
      </w:r>
    </w:p>
    <w:p w:rsidR="00A66E7B" w:rsidRDefault="00151862" w:rsidP="00C45E70">
      <w:pPr>
        <w:pStyle w:val="BodyText1"/>
        <w:ind w:left="426" w:hanging="426"/>
      </w:pPr>
      <w:proofErr w:type="gramStart"/>
      <w:r>
        <w:t>Government</w:t>
      </w:r>
      <w:r w:rsidRPr="00867FCA">
        <w:t xml:space="preserve"> of </w:t>
      </w:r>
      <w:r>
        <w:t>Samoa,</w:t>
      </w:r>
      <w:r w:rsidRPr="00867FCA">
        <w:t xml:space="preserve"> </w:t>
      </w:r>
      <w:r w:rsidR="00A66E7B" w:rsidRPr="00867FCA">
        <w:t>2008.</w:t>
      </w:r>
      <w:proofErr w:type="gramEnd"/>
      <w:r w:rsidR="00A66E7B" w:rsidRPr="00867FCA">
        <w:t xml:space="preserve"> </w:t>
      </w:r>
      <w:smartTag w:uri="urn:schemas-microsoft-com:office:smarttags" w:element="place">
        <w:r w:rsidR="00A66E7B" w:rsidRPr="00867FCA">
          <w:t>Samoa</w:t>
        </w:r>
      </w:smartTag>
      <w:r w:rsidR="00A66E7B" w:rsidRPr="00867FCA">
        <w:t xml:space="preserve"> Law </w:t>
      </w:r>
      <w:smartTag w:uri="urn:schemas-microsoft-com:office:smarttags" w:element="PersonName">
        <w:r w:rsidR="00A66E7B" w:rsidRPr="00867FCA">
          <w:t>and</w:t>
        </w:r>
      </w:smartTag>
      <w:r w:rsidR="00A66E7B" w:rsidRPr="00867FCA">
        <w:t xml:space="preserve"> Justice Sector Plan 2008 – 2015. Justice for a safe </w:t>
      </w:r>
      <w:smartTag w:uri="urn:schemas-microsoft-com:office:smarttags" w:element="PersonName">
        <w:r w:rsidR="00A66E7B" w:rsidRPr="00867FCA">
          <w:t>and</w:t>
        </w:r>
      </w:smartTag>
      <w:r w:rsidR="00A66E7B" w:rsidRPr="00867FCA">
        <w:t xml:space="preserve"> stable </w:t>
      </w:r>
      <w:smartTag w:uri="urn:schemas-microsoft-com:office:smarttags" w:element="place">
        <w:r w:rsidR="00A66E7B" w:rsidRPr="00867FCA">
          <w:t>Samoa</w:t>
        </w:r>
      </w:smartTag>
      <w:r w:rsidR="00A66E7B" w:rsidRPr="00867FCA">
        <w:t>.</w:t>
      </w:r>
    </w:p>
    <w:p w:rsidR="00A66E7B" w:rsidRDefault="00151862" w:rsidP="00C45E70">
      <w:pPr>
        <w:pStyle w:val="BodyText1"/>
        <w:ind w:left="426" w:hanging="426"/>
      </w:pPr>
      <w:proofErr w:type="gramStart"/>
      <w:r>
        <w:t>Government</w:t>
      </w:r>
      <w:r w:rsidRPr="00867FCA">
        <w:t xml:space="preserve"> of </w:t>
      </w:r>
      <w:r>
        <w:t>Samoa</w:t>
      </w:r>
      <w:r w:rsidR="00A66E7B">
        <w:t>, 2012.</w:t>
      </w:r>
      <w:proofErr w:type="gramEnd"/>
      <w:r w:rsidR="00A66E7B">
        <w:t xml:space="preserve"> Strategy for the development of Samoa. 2012 – 2016. </w:t>
      </w:r>
    </w:p>
    <w:p w:rsidR="00A66E7B" w:rsidRDefault="00A66E7B" w:rsidP="00C45E70">
      <w:pPr>
        <w:pStyle w:val="BodyText1"/>
        <w:ind w:left="426" w:hanging="426"/>
      </w:pPr>
      <w:r w:rsidRPr="00867FCA">
        <w:t xml:space="preserve">MJCAISP, 2006. Letter </w:t>
      </w:r>
      <w:r>
        <w:t>on</w:t>
      </w:r>
      <w:r w:rsidR="00F40673">
        <w:t xml:space="preserve"> </w:t>
      </w:r>
      <w:r>
        <w:t xml:space="preserve">Establishing a LJS. Dated </w:t>
      </w:r>
      <w:r w:rsidRPr="00867FCA">
        <w:t>Dec 2006.</w:t>
      </w:r>
      <w:r>
        <w:t xml:space="preserve"> </w:t>
      </w:r>
    </w:p>
    <w:p w:rsidR="00A66E7B" w:rsidRPr="00867FCA" w:rsidRDefault="00A66E7B" w:rsidP="00C45E70">
      <w:pPr>
        <w:pStyle w:val="BodyText1"/>
        <w:ind w:left="426" w:hanging="426"/>
      </w:pPr>
      <w:proofErr w:type="spellStart"/>
      <w:r w:rsidRPr="00867FCA">
        <w:t>MoF</w:t>
      </w:r>
      <w:proofErr w:type="spellEnd"/>
      <w:r w:rsidRPr="00867FCA">
        <w:t xml:space="preserve">, 2003. Sectoral planning guidelines (referenced in </w:t>
      </w:r>
      <w:proofErr w:type="spellStart"/>
      <w:r w:rsidRPr="00867FCA">
        <w:t>GoS</w:t>
      </w:r>
      <w:proofErr w:type="spellEnd"/>
      <w:r w:rsidRPr="00867FCA">
        <w:t>, 2008)</w:t>
      </w:r>
    </w:p>
    <w:p w:rsidR="00A66E7B" w:rsidRDefault="00A66E7B" w:rsidP="00C45E70">
      <w:pPr>
        <w:pStyle w:val="BodyText1"/>
        <w:ind w:left="426" w:hanging="426"/>
      </w:pPr>
      <w:proofErr w:type="spellStart"/>
      <w:r w:rsidRPr="003E4A6D">
        <w:t>MoPP</w:t>
      </w:r>
      <w:proofErr w:type="spellEnd"/>
      <w:r w:rsidRPr="003E4A6D">
        <w:t xml:space="preserve"> 2011, R</w:t>
      </w:r>
      <w:r w:rsidR="003C64CF">
        <w:t xml:space="preserve">e progress report on Stage one of “The </w:t>
      </w:r>
      <w:proofErr w:type="spellStart"/>
      <w:r w:rsidR="003C64CF">
        <w:t>neighbourhood</w:t>
      </w:r>
      <w:proofErr w:type="spellEnd"/>
      <w:r w:rsidR="003C64CF">
        <w:t xml:space="preserve"> watch program” as from the launching date of </w:t>
      </w:r>
      <w:r w:rsidRPr="003E4A6D">
        <w:t>25:05:2011 UNTIL THE 30:06:2011.  Dated 13th July 2011.</w:t>
      </w:r>
    </w:p>
    <w:p w:rsidR="00A66E7B" w:rsidRPr="00867FCA" w:rsidRDefault="00A66E7B" w:rsidP="00C45E70">
      <w:pPr>
        <w:pStyle w:val="BodyText1"/>
        <w:ind w:left="426" w:hanging="426"/>
      </w:pPr>
      <w:r>
        <w:t>No author</w:t>
      </w:r>
      <w:r w:rsidRPr="00867FCA">
        <w:t>, 2008. Situation Assessment for the 2008 – 2012 LJS Strategic Plan</w:t>
      </w:r>
    </w:p>
    <w:p w:rsidR="00A66E7B" w:rsidRDefault="00A66E7B" w:rsidP="00C45E70">
      <w:pPr>
        <w:pStyle w:val="BodyText1"/>
        <w:ind w:left="426" w:hanging="426"/>
      </w:pPr>
      <w:r>
        <w:t>No author</w:t>
      </w:r>
      <w:r w:rsidRPr="00867FCA">
        <w:t>, 2011. Situation Assessment 2011 for the 2012 – 2016 LJS Strategic Plan</w:t>
      </w:r>
    </w:p>
    <w:p w:rsidR="00A66E7B" w:rsidRDefault="00A66E7B" w:rsidP="00C45E70">
      <w:pPr>
        <w:pStyle w:val="BodyText1"/>
        <w:ind w:left="426" w:hanging="426"/>
      </w:pPr>
      <w:r w:rsidRPr="00867FCA">
        <w:t xml:space="preserve">NZAID, 2006. </w:t>
      </w:r>
      <w:proofErr w:type="gramStart"/>
      <w:r w:rsidRPr="00867FCA">
        <w:t>Arrangement between the Go</w:t>
      </w:r>
      <w:r w:rsidR="00151862">
        <w:t xml:space="preserve">vernment of </w:t>
      </w:r>
      <w:r w:rsidRPr="00867FCA">
        <w:t>N</w:t>
      </w:r>
      <w:r w:rsidR="00151862">
        <w:t xml:space="preserve">ew </w:t>
      </w:r>
      <w:proofErr w:type="spellStart"/>
      <w:r w:rsidR="00151862">
        <w:t>Zeland</w:t>
      </w:r>
      <w:proofErr w:type="spellEnd"/>
      <w:r w:rsidRPr="00867FCA">
        <w:t xml:space="preserve"> and Go</w:t>
      </w:r>
      <w:r w:rsidR="00151862">
        <w:t xml:space="preserve">vernment of </w:t>
      </w:r>
      <w:r w:rsidRPr="00867FCA">
        <w:t>S</w:t>
      </w:r>
      <w:r w:rsidR="00151862">
        <w:t>amoa</w:t>
      </w:r>
      <w:r w:rsidRPr="00867FCA">
        <w:t xml:space="preserve"> on Development Cooperation.</w:t>
      </w:r>
      <w:proofErr w:type="gramEnd"/>
      <w:r w:rsidRPr="00867FCA">
        <w:t xml:space="preserve"> </w:t>
      </w:r>
      <w:r>
        <w:t>NZAID Reference: GRA/613/1  Dat</w:t>
      </w:r>
      <w:r w:rsidRPr="00867FCA">
        <w:t>ed 12 October 2006.</w:t>
      </w:r>
    </w:p>
    <w:p w:rsidR="00A66E7B" w:rsidRPr="00867FCA" w:rsidRDefault="00A66E7B" w:rsidP="00C45E70">
      <w:pPr>
        <w:pStyle w:val="BodyText1"/>
        <w:ind w:left="426" w:hanging="426"/>
      </w:pPr>
      <w:r w:rsidRPr="00867FCA">
        <w:t xml:space="preserve">SLJS 2015. </w:t>
      </w:r>
      <w:smartTag w:uri="urn:schemas-microsoft-com:office:smarttags" w:element="place">
        <w:r w:rsidRPr="00867FCA">
          <w:t>Samoa</w:t>
        </w:r>
      </w:smartTag>
      <w:r w:rsidRPr="00867FCA">
        <w:t xml:space="preserve"> Law </w:t>
      </w:r>
      <w:smartTag w:uri="urn:schemas-microsoft-com:office:smarttags" w:element="PersonName">
        <w:r w:rsidRPr="00867FCA">
          <w:t>and</w:t>
        </w:r>
      </w:smartTag>
      <w:r w:rsidRPr="00867FCA">
        <w:t xml:space="preserve"> Justice . Sector Plan 2012 – 2016. Mid Term Review Report. </w:t>
      </w:r>
    </w:p>
    <w:p w:rsidR="00A66E7B" w:rsidRPr="00867FCA" w:rsidRDefault="00A66E7B" w:rsidP="00C45E70">
      <w:pPr>
        <w:pStyle w:val="BodyText1"/>
        <w:ind w:left="426" w:hanging="426"/>
      </w:pPr>
      <w:r>
        <w:t>SLJS</w:t>
      </w:r>
      <w:r w:rsidRPr="00867FCA">
        <w:t xml:space="preserve"> Steering Committee</w:t>
      </w:r>
      <w:r>
        <w:t>, various (39).</w:t>
      </w:r>
      <w:r w:rsidRPr="00867FCA">
        <w:t xml:space="preserve"> </w:t>
      </w:r>
      <w:r>
        <w:t>Project update reports for 2011 – 2014.</w:t>
      </w:r>
    </w:p>
    <w:p w:rsidR="00A66E7B" w:rsidRPr="00867FCA" w:rsidRDefault="00A66E7B" w:rsidP="00C45E70">
      <w:pPr>
        <w:pStyle w:val="BodyText1"/>
        <w:ind w:left="426" w:hanging="426"/>
      </w:pPr>
      <w:r>
        <w:t>SLJS</w:t>
      </w:r>
      <w:r w:rsidRPr="00867FCA">
        <w:t xml:space="preserve"> Steering Committee</w:t>
      </w:r>
      <w:r>
        <w:t>, various (56).</w:t>
      </w:r>
      <w:r w:rsidRPr="00867FCA">
        <w:t xml:space="preserve"> </w:t>
      </w:r>
      <w:r>
        <w:t>Steering committee m</w:t>
      </w:r>
      <w:r w:rsidRPr="00867FCA">
        <w:t xml:space="preserve">eeting minutes </w:t>
      </w:r>
      <w:r>
        <w:t>2009 - 2014.</w:t>
      </w:r>
    </w:p>
    <w:p w:rsidR="00A66E7B" w:rsidRPr="00867FCA" w:rsidRDefault="00A66E7B" w:rsidP="00C45E70">
      <w:pPr>
        <w:pStyle w:val="BodyText1"/>
        <w:ind w:left="426" w:hanging="426"/>
      </w:pPr>
      <w:r>
        <w:t xml:space="preserve">SLJS </w:t>
      </w:r>
      <w:r w:rsidRPr="00867FCA">
        <w:t>Steering Committee</w:t>
      </w:r>
      <w:r>
        <w:t xml:space="preserve">, various (6). </w:t>
      </w:r>
      <w:r w:rsidRPr="00867FCA">
        <w:t xml:space="preserve">Six Monthly Reports </w:t>
      </w:r>
      <w:r>
        <w:t>covering the period Jan 2012 – Dec 2014</w:t>
      </w:r>
    </w:p>
    <w:p w:rsidR="00A66E7B" w:rsidRDefault="00A66E7B" w:rsidP="00C45E70">
      <w:pPr>
        <w:pStyle w:val="BodyText1"/>
        <w:ind w:left="426" w:hanging="426"/>
      </w:pPr>
      <w:r w:rsidRPr="00867FCA">
        <w:lastRenderedPageBreak/>
        <w:t>SLJS</w:t>
      </w:r>
      <w:r>
        <w:t>,</w:t>
      </w:r>
      <w:r w:rsidRPr="00867FCA">
        <w:t xml:space="preserve"> 2012. M&amp;E Framework. </w:t>
      </w:r>
      <w:smartTag w:uri="urn:schemas-microsoft-com:office:smarttags" w:element="place">
        <w:r w:rsidRPr="00867FCA">
          <w:t>Samoa</w:t>
        </w:r>
      </w:smartTag>
      <w:r w:rsidRPr="00867FCA">
        <w:t xml:space="preserve"> Law </w:t>
      </w:r>
      <w:smartTag w:uri="urn:schemas-microsoft-com:office:smarttags" w:element="PersonName">
        <w:r w:rsidRPr="00867FCA">
          <w:t>and</w:t>
        </w:r>
      </w:smartTag>
      <w:r w:rsidRPr="00867FCA">
        <w:t xml:space="preserve"> Justice Sector Plan 2012 – 2016. (Final draft)</w:t>
      </w:r>
    </w:p>
    <w:p w:rsidR="00A66E7B" w:rsidRDefault="00A66E7B" w:rsidP="00C45E70">
      <w:pPr>
        <w:pStyle w:val="BodyText1"/>
        <w:ind w:left="426" w:hanging="426"/>
      </w:pPr>
      <w:r>
        <w:t xml:space="preserve">SLJS, 2012. </w:t>
      </w:r>
      <w:r w:rsidRPr="00D54144">
        <w:t>Law &amp; Justice Sector Coordinator for the Secretariat LJS, ACEO level</w:t>
      </w:r>
      <w:r>
        <w:t xml:space="preserve"> (position description)</w:t>
      </w:r>
    </w:p>
    <w:p w:rsidR="00A66E7B" w:rsidRDefault="00A66E7B" w:rsidP="00C45E70">
      <w:pPr>
        <w:pStyle w:val="BodyText1"/>
        <w:ind w:left="426" w:hanging="426"/>
      </w:pPr>
      <w:r>
        <w:t xml:space="preserve">SLJS, 2012. </w:t>
      </w:r>
      <w:r w:rsidRPr="00D54144">
        <w:t>Objectives &amp; Roles of the Secretariat</w:t>
      </w:r>
    </w:p>
    <w:p w:rsidR="00A66E7B" w:rsidRPr="00867FCA" w:rsidRDefault="00A66E7B" w:rsidP="00C45E70">
      <w:pPr>
        <w:pStyle w:val="BodyText1"/>
        <w:ind w:left="426" w:hanging="426"/>
      </w:pPr>
      <w:r w:rsidRPr="00867FCA">
        <w:t>SLJS</w:t>
      </w:r>
      <w:r>
        <w:t>,</w:t>
      </w:r>
      <w:r w:rsidRPr="00867FCA">
        <w:t xml:space="preserve"> 2012. SLJSP 2012 – 2016. Goals – Strategies – Activities list. (Final activities plan 2012_2014 6 November 2012)</w:t>
      </w:r>
    </w:p>
    <w:p w:rsidR="00A66E7B" w:rsidRPr="00867FCA" w:rsidRDefault="00A66E7B" w:rsidP="00C45E70">
      <w:pPr>
        <w:pStyle w:val="BodyText1"/>
        <w:ind w:left="426" w:hanging="426"/>
      </w:pPr>
      <w:r w:rsidRPr="00867FCA">
        <w:t>SLJS</w:t>
      </w:r>
      <w:r>
        <w:t>,</w:t>
      </w:r>
      <w:r w:rsidRPr="00867FCA">
        <w:t xml:space="preserve"> 2012</w:t>
      </w:r>
      <w:r>
        <w:t>a</w:t>
      </w:r>
      <w:r w:rsidRPr="00867FCA">
        <w:t xml:space="preserve">. </w:t>
      </w:r>
      <w:smartTag w:uri="urn:schemas-microsoft-com:office:smarttags" w:element="place">
        <w:r w:rsidRPr="00867FCA">
          <w:t>Samoa</w:t>
        </w:r>
      </w:smartTag>
      <w:r w:rsidRPr="00867FCA">
        <w:t xml:space="preserve"> Law </w:t>
      </w:r>
      <w:smartTag w:uri="urn:schemas-microsoft-com:office:smarttags" w:element="PersonName">
        <w:r w:rsidRPr="00867FCA">
          <w:t>and</w:t>
        </w:r>
      </w:smartTag>
      <w:r w:rsidRPr="00867FCA">
        <w:t xml:space="preserve"> Justice Sector Plan 2012 – 2016. (Final draft)</w:t>
      </w:r>
    </w:p>
    <w:p w:rsidR="00A66E7B" w:rsidRPr="00867FCA" w:rsidRDefault="00A66E7B" w:rsidP="00C45E70">
      <w:pPr>
        <w:pStyle w:val="BodyText1"/>
        <w:ind w:left="426" w:hanging="426"/>
      </w:pPr>
      <w:r w:rsidRPr="00867FCA">
        <w:t xml:space="preserve">SLJS, 2013. </w:t>
      </w:r>
      <w:smartTag w:uri="urn:schemas-microsoft-com:office:smarttags" w:element="place">
        <w:r w:rsidRPr="00867FCA">
          <w:t>Samoa</w:t>
        </w:r>
      </w:smartTag>
      <w:r w:rsidRPr="00867FCA">
        <w:t xml:space="preserve"> Law </w:t>
      </w:r>
      <w:smartTag w:uri="urn:schemas-microsoft-com:office:smarttags" w:element="PersonName">
        <w:r w:rsidRPr="00867FCA">
          <w:t>and</w:t>
        </w:r>
      </w:smartTag>
      <w:r w:rsidRPr="00867FCA">
        <w:t xml:space="preserve"> Justice Sector Position Paper. AusAID design mission for the Law </w:t>
      </w:r>
      <w:smartTag w:uri="urn:schemas-microsoft-com:office:smarttags" w:element="PersonName">
        <w:r w:rsidRPr="00867FCA">
          <w:t>and</w:t>
        </w:r>
      </w:smartTag>
      <w:r w:rsidRPr="00867FCA">
        <w:t xml:space="preserve"> Justice </w:t>
      </w:r>
      <w:proofErr w:type="spellStart"/>
      <w:r w:rsidRPr="00867FCA">
        <w:t>Programme</w:t>
      </w:r>
      <w:proofErr w:type="spellEnd"/>
      <w:r w:rsidRPr="00867FCA">
        <w:t xml:space="preserve"> in Samoa 2012 – 2016. </w:t>
      </w:r>
    </w:p>
    <w:p w:rsidR="00A66E7B" w:rsidRDefault="00A66E7B" w:rsidP="00C45E70">
      <w:pPr>
        <w:pStyle w:val="BodyText1"/>
        <w:ind w:left="426" w:hanging="426"/>
      </w:pPr>
      <w:r>
        <w:t xml:space="preserve">SLJS, 2014. Law and justice sector plan 2014 – 2016. Implementation plan. </w:t>
      </w:r>
    </w:p>
    <w:p w:rsidR="00A66E7B" w:rsidRDefault="00A66E7B" w:rsidP="00C45E70">
      <w:pPr>
        <w:pStyle w:val="BodyText1"/>
        <w:ind w:left="426" w:hanging="426"/>
      </w:pPr>
      <w:r>
        <w:t xml:space="preserve">SLJS, 2014. SLJS Activity Completion Report.  Dated 19 Dec 2014 (report on completion of SLJS Program </w:t>
      </w:r>
    </w:p>
    <w:p w:rsidR="00A66E7B" w:rsidRDefault="00A66E7B" w:rsidP="00C45E70">
      <w:pPr>
        <w:pStyle w:val="BodyText1"/>
        <w:ind w:left="426" w:hanging="426"/>
      </w:pPr>
      <w:r>
        <w:t xml:space="preserve">SLJS, 2015. SLJS – presentation to donors. May 2015. </w:t>
      </w:r>
    </w:p>
    <w:p w:rsidR="00FE7D11" w:rsidRDefault="00FE7D11" w:rsidP="00C45E70">
      <w:pPr>
        <w:pStyle w:val="BodyText1"/>
        <w:ind w:left="426" w:hanging="426"/>
      </w:pPr>
      <w:r>
        <w:t xml:space="preserve">Corporate plans and Annual reports (17) for the period 2008 – present for AGO, MJCA, </w:t>
      </w:r>
      <w:proofErr w:type="spellStart"/>
      <w:r>
        <w:t>MoPP</w:t>
      </w:r>
      <w:proofErr w:type="spellEnd"/>
      <w:r>
        <w:t xml:space="preserve">, MWCSD. </w:t>
      </w:r>
    </w:p>
    <w:p w:rsidR="009F623A" w:rsidRDefault="009F623A" w:rsidP="009F623A">
      <w:pPr>
        <w:pStyle w:val="Heading2a"/>
      </w:pPr>
      <w:r>
        <w:t xml:space="preserve">Other documents </w:t>
      </w:r>
    </w:p>
    <w:p w:rsidR="00955B5C" w:rsidRDefault="00955B5C" w:rsidP="00C45E70">
      <w:pPr>
        <w:pStyle w:val="BodyText1"/>
        <w:ind w:left="426" w:hanging="426"/>
      </w:pPr>
      <w:r>
        <w:t xml:space="preserve">Cox M., </w:t>
      </w:r>
      <w:proofErr w:type="spellStart"/>
      <w:r>
        <w:t>Duituturaga</w:t>
      </w:r>
      <w:proofErr w:type="spellEnd"/>
      <w:r>
        <w:t xml:space="preserve"> E., and </w:t>
      </w:r>
      <w:proofErr w:type="spellStart"/>
      <w:r>
        <w:t>Scheye</w:t>
      </w:r>
      <w:proofErr w:type="spellEnd"/>
      <w:r>
        <w:t xml:space="preserve"> E. 2012. Building on local strengths. Evaluation of Law and Justice Assistance. Commonwealth of Australia.</w:t>
      </w:r>
    </w:p>
    <w:p w:rsidR="00C45E70" w:rsidRPr="00867FCA" w:rsidRDefault="00C45E70" w:rsidP="00C45E70">
      <w:pPr>
        <w:pStyle w:val="BodyText1"/>
        <w:ind w:left="426" w:hanging="426"/>
      </w:pPr>
      <w:r>
        <w:t>Smith, R., 2009. "“</w:t>
      </w:r>
      <w:proofErr w:type="spellStart"/>
      <w:r>
        <w:t>Samoanizing</w:t>
      </w:r>
      <w:proofErr w:type="spellEnd"/>
      <w:r>
        <w:t>” Human Rights: A Generational Comparative of Views on Human Rights in Contemporary Samoa" . Independent Study Project (ISP) Collection. Paper 635. http://digitalcollections.sit.edu/isp_collection/635</w:t>
      </w:r>
    </w:p>
    <w:p w:rsidR="009F623A" w:rsidRDefault="009F623A" w:rsidP="00C45E70">
      <w:pPr>
        <w:pStyle w:val="BodyText1"/>
        <w:ind w:left="426" w:hanging="426"/>
      </w:pPr>
      <w:r>
        <w:t xml:space="preserve">USDS, 2013. </w:t>
      </w:r>
      <w:r w:rsidR="00235C08">
        <w:t>Samoa</w:t>
      </w:r>
      <w:r>
        <w:t xml:space="preserve"> 2013 </w:t>
      </w:r>
      <w:r w:rsidR="00235C08">
        <w:t>Human Rights Report.</w:t>
      </w:r>
      <w:r>
        <w:t xml:space="preserve"> Country Reports on Human Rights Practices for 2013, United States Department of State, Bureau of Democracy, Human Rights and Labor. http://www.state.gov/documents/organization/220438.pdf</w:t>
      </w:r>
    </w:p>
    <w:p w:rsidR="0060353D" w:rsidRPr="0060353D" w:rsidRDefault="0060353D" w:rsidP="00C45E70">
      <w:pPr>
        <w:pStyle w:val="BodyText1"/>
        <w:ind w:left="426" w:hanging="426"/>
      </w:pPr>
      <w:r>
        <w:t xml:space="preserve">World Bank, 2014. World Bank Governance Indicators. </w:t>
      </w:r>
      <w:hyperlink r:id="rId27" w:anchor="doc" w:history="1">
        <w:r w:rsidRPr="0060353D">
          <w:t>http://info.worldbank.org/governance/wgi/index.aspx#doc</w:t>
        </w:r>
      </w:hyperlink>
    </w:p>
    <w:p w:rsidR="00A764EA" w:rsidRDefault="00A764EA" w:rsidP="004902E0">
      <w:pPr>
        <w:pStyle w:val="BodyText1"/>
      </w:pPr>
    </w:p>
    <w:p w:rsidR="00135C58" w:rsidRDefault="00A764EA" w:rsidP="002B319A">
      <w:pPr>
        <w:pStyle w:val="Heading2a"/>
      </w:pPr>
      <w:r>
        <w:br w:type="page"/>
      </w:r>
      <w:r w:rsidR="00135C58">
        <w:lastRenderedPageBreak/>
        <w:t>Semi-structured Interview questions</w:t>
      </w:r>
    </w:p>
    <w:tbl>
      <w:tblPr>
        <w:tblW w:w="9811" w:type="dxa"/>
        <w:tblLayout w:type="fixed"/>
        <w:tblCellMar>
          <w:left w:w="30" w:type="dxa"/>
          <w:right w:w="30" w:type="dxa"/>
        </w:tblCellMar>
        <w:tblLook w:val="0000" w:firstRow="0" w:lastRow="0" w:firstColumn="0" w:lastColumn="0" w:noHBand="0" w:noVBand="0"/>
      </w:tblPr>
      <w:tblGrid>
        <w:gridCol w:w="2582"/>
        <w:gridCol w:w="7229"/>
      </w:tblGrid>
      <w:tr w:rsidR="00135C58" w:rsidRPr="00DB7E1B" w:rsidTr="00BF0FE1">
        <w:trPr>
          <w:trHeight w:val="319"/>
          <w:tblHeader/>
        </w:trPr>
        <w:tc>
          <w:tcPr>
            <w:tcW w:w="2582" w:type="dxa"/>
            <w:tcBorders>
              <w:top w:val="single" w:sz="12" w:space="0" w:color="auto"/>
              <w:left w:val="single" w:sz="12" w:space="0" w:color="auto"/>
              <w:bottom w:val="single" w:sz="12" w:space="0" w:color="auto"/>
              <w:right w:val="single" w:sz="4" w:space="0" w:color="auto"/>
            </w:tcBorders>
            <w:vAlign w:val="center"/>
          </w:tcPr>
          <w:p w:rsidR="00135C58" w:rsidRPr="00135C58" w:rsidRDefault="00135C58" w:rsidP="00BF0FE1">
            <w:pPr>
              <w:jc w:val="center"/>
              <w:rPr>
                <w:b/>
                <w:sz w:val="20"/>
                <w:szCs w:val="20"/>
                <w:lang w:eastAsia="en-AU"/>
              </w:rPr>
            </w:pPr>
            <w:r w:rsidRPr="00135C58">
              <w:rPr>
                <w:b/>
                <w:sz w:val="20"/>
                <w:szCs w:val="20"/>
                <w:lang w:eastAsia="en-AU"/>
              </w:rPr>
              <w:t>Key evaluation question</w:t>
            </w:r>
          </w:p>
        </w:tc>
        <w:tc>
          <w:tcPr>
            <w:tcW w:w="7229" w:type="dxa"/>
            <w:tcBorders>
              <w:top w:val="single" w:sz="12" w:space="0" w:color="auto"/>
              <w:left w:val="single" w:sz="4" w:space="0" w:color="auto"/>
              <w:bottom w:val="single" w:sz="12" w:space="0" w:color="auto"/>
              <w:right w:val="single" w:sz="12" w:space="0" w:color="auto"/>
            </w:tcBorders>
            <w:vAlign w:val="center"/>
          </w:tcPr>
          <w:p w:rsidR="00135C58" w:rsidRPr="00135C58" w:rsidRDefault="00135C58" w:rsidP="00BF0FE1">
            <w:pPr>
              <w:jc w:val="center"/>
              <w:rPr>
                <w:b/>
                <w:sz w:val="20"/>
                <w:szCs w:val="20"/>
                <w:lang w:eastAsia="en-AU"/>
              </w:rPr>
            </w:pPr>
            <w:r w:rsidRPr="00135C58">
              <w:rPr>
                <w:b/>
                <w:sz w:val="20"/>
                <w:szCs w:val="20"/>
                <w:lang w:eastAsia="en-AU"/>
              </w:rPr>
              <w:t>Questions</w:t>
            </w:r>
          </w:p>
        </w:tc>
      </w:tr>
      <w:tr w:rsidR="00135C58" w:rsidTr="00BF0FE1">
        <w:trPr>
          <w:trHeight w:val="610"/>
        </w:trPr>
        <w:tc>
          <w:tcPr>
            <w:tcW w:w="2582" w:type="dxa"/>
            <w:tcBorders>
              <w:top w:val="nil"/>
              <w:left w:val="single" w:sz="12" w:space="0" w:color="auto"/>
              <w:bottom w:val="nil"/>
              <w:right w:val="single" w:sz="4" w:space="0" w:color="auto"/>
            </w:tcBorders>
          </w:tcPr>
          <w:p w:rsidR="00135C58" w:rsidRPr="00135C58" w:rsidRDefault="00135C58" w:rsidP="00BF0FE1">
            <w:pPr>
              <w:rPr>
                <w:sz w:val="20"/>
                <w:szCs w:val="20"/>
                <w:lang w:eastAsia="en-AU"/>
              </w:rPr>
            </w:pPr>
            <w:r w:rsidRPr="00135C58">
              <w:rPr>
                <w:sz w:val="20"/>
                <w:szCs w:val="20"/>
                <w:lang w:eastAsia="en-AU"/>
              </w:rPr>
              <w:t>2.        Effectiveness/impact. What outcomes were expected, was this expectation consistent across stakeholders and was it realistic? How did the activity level outcomes contribute to these high-level outcomes? What was achieved? Were expected outcomes realistic in light of the modality adopted and the level of aid provided?</w:t>
            </w:r>
          </w:p>
        </w:tc>
        <w:tc>
          <w:tcPr>
            <w:tcW w:w="7229" w:type="dxa"/>
            <w:tcBorders>
              <w:top w:val="nil"/>
              <w:left w:val="single" w:sz="4" w:space="0" w:color="auto"/>
              <w:bottom w:val="nil"/>
              <w:right w:val="single" w:sz="12" w:space="0" w:color="auto"/>
            </w:tcBorders>
          </w:tcPr>
          <w:p w:rsidR="00135C58" w:rsidRPr="00135C58" w:rsidRDefault="00135C58" w:rsidP="00BF0FE1">
            <w:pPr>
              <w:rPr>
                <w:sz w:val="20"/>
                <w:szCs w:val="20"/>
                <w:lang w:eastAsia="en-AU"/>
              </w:rPr>
            </w:pPr>
            <w:r w:rsidRPr="00135C58">
              <w:rPr>
                <w:sz w:val="20"/>
                <w:szCs w:val="20"/>
                <w:lang w:eastAsia="en-AU"/>
              </w:rPr>
              <w:t>For those involved in the sector in 2010:</w:t>
            </w:r>
          </w:p>
          <w:p w:rsidR="00135C58" w:rsidRPr="00135C58" w:rsidRDefault="00135C58" w:rsidP="00BF0FE1">
            <w:pPr>
              <w:rPr>
                <w:sz w:val="20"/>
                <w:szCs w:val="20"/>
                <w:lang w:eastAsia="en-AU"/>
              </w:rPr>
            </w:pPr>
            <w:r w:rsidRPr="00135C58">
              <w:rPr>
                <w:sz w:val="20"/>
                <w:szCs w:val="20"/>
                <w:lang w:eastAsia="en-AU"/>
              </w:rPr>
              <w:t>When the support commenced, what changes did you expect to see?</w:t>
            </w:r>
          </w:p>
        </w:tc>
      </w:tr>
      <w:tr w:rsidR="00135C58" w:rsidTr="00BF0FE1">
        <w:trPr>
          <w:trHeight w:val="1222"/>
        </w:trPr>
        <w:tc>
          <w:tcPr>
            <w:tcW w:w="2582" w:type="dxa"/>
            <w:tcBorders>
              <w:top w:val="nil"/>
              <w:left w:val="single" w:sz="12" w:space="0" w:color="auto"/>
              <w:bottom w:val="nil"/>
              <w:right w:val="single" w:sz="4" w:space="0" w:color="auto"/>
            </w:tcBorders>
          </w:tcPr>
          <w:p w:rsidR="00135C58" w:rsidRPr="00135C58" w:rsidRDefault="00135C58" w:rsidP="00BF0FE1">
            <w:pPr>
              <w:rPr>
                <w:sz w:val="20"/>
                <w:szCs w:val="20"/>
                <w:lang w:eastAsia="en-AU"/>
              </w:rPr>
            </w:pPr>
          </w:p>
        </w:tc>
        <w:tc>
          <w:tcPr>
            <w:tcW w:w="7229" w:type="dxa"/>
            <w:tcBorders>
              <w:top w:val="nil"/>
              <w:left w:val="single" w:sz="4" w:space="0" w:color="auto"/>
              <w:bottom w:val="nil"/>
              <w:right w:val="single" w:sz="12" w:space="0" w:color="auto"/>
            </w:tcBorders>
          </w:tcPr>
          <w:p w:rsidR="00135C58" w:rsidRPr="00135C58" w:rsidRDefault="00135C58" w:rsidP="00BF0FE1">
            <w:pPr>
              <w:rPr>
                <w:sz w:val="20"/>
                <w:szCs w:val="20"/>
                <w:lang w:eastAsia="en-AU"/>
              </w:rPr>
            </w:pPr>
            <w:r w:rsidRPr="00135C58">
              <w:rPr>
                <w:sz w:val="20"/>
                <w:szCs w:val="20"/>
                <w:lang w:eastAsia="en-AU"/>
              </w:rPr>
              <w:t>What positive or negative changes have you seen in the L&amp;J sector since 2010?</w:t>
            </w:r>
          </w:p>
          <w:p w:rsidR="00135C58" w:rsidRPr="00135C58" w:rsidRDefault="00135C58" w:rsidP="00BF0FE1">
            <w:pPr>
              <w:rPr>
                <w:sz w:val="20"/>
                <w:szCs w:val="20"/>
                <w:lang w:eastAsia="en-AU"/>
              </w:rPr>
            </w:pPr>
            <w:r w:rsidRPr="00135C58">
              <w:rPr>
                <w:sz w:val="20"/>
                <w:szCs w:val="20"/>
                <w:lang w:eastAsia="en-AU"/>
              </w:rPr>
              <w:t xml:space="preserve">(for each of these): what caused this change? (determine if linked to sector and map for </w:t>
            </w:r>
            <w:proofErr w:type="spellStart"/>
            <w:r w:rsidRPr="00135C58">
              <w:rPr>
                <w:sz w:val="20"/>
                <w:szCs w:val="20"/>
                <w:lang w:eastAsia="en-AU"/>
              </w:rPr>
              <w:t>ToC</w:t>
            </w:r>
            <w:proofErr w:type="spellEnd"/>
            <w:r w:rsidRPr="00135C58">
              <w:rPr>
                <w:sz w:val="20"/>
                <w:szCs w:val="20"/>
                <w:lang w:eastAsia="en-AU"/>
              </w:rPr>
              <w:t xml:space="preserve">). </w:t>
            </w:r>
          </w:p>
          <w:p w:rsidR="00135C58" w:rsidRPr="00135C58" w:rsidRDefault="00135C58" w:rsidP="00BF0FE1">
            <w:pPr>
              <w:rPr>
                <w:sz w:val="20"/>
                <w:szCs w:val="20"/>
                <w:lang w:eastAsia="en-AU"/>
              </w:rPr>
            </w:pPr>
            <w:r w:rsidRPr="00135C58">
              <w:rPr>
                <w:sz w:val="20"/>
                <w:szCs w:val="20"/>
                <w:lang w:eastAsia="en-AU"/>
              </w:rPr>
              <w:t>Which of these changes (list those related to Australian support) do you believe was the most significant?</w:t>
            </w:r>
          </w:p>
          <w:p w:rsidR="00135C58" w:rsidRPr="00135C58" w:rsidRDefault="00135C58" w:rsidP="00BF0FE1">
            <w:pPr>
              <w:rPr>
                <w:sz w:val="20"/>
                <w:szCs w:val="20"/>
                <w:lang w:eastAsia="en-AU"/>
              </w:rPr>
            </w:pPr>
            <w:r w:rsidRPr="00135C58">
              <w:rPr>
                <w:sz w:val="20"/>
                <w:szCs w:val="20"/>
                <w:lang w:eastAsia="en-AU"/>
              </w:rPr>
              <w:t>For this change, what was it like before &amp; after? Why was it significant?</w:t>
            </w:r>
          </w:p>
        </w:tc>
      </w:tr>
      <w:tr w:rsidR="00135C58" w:rsidTr="00BF0FE1">
        <w:trPr>
          <w:trHeight w:val="1794"/>
        </w:trPr>
        <w:tc>
          <w:tcPr>
            <w:tcW w:w="2582" w:type="dxa"/>
            <w:tcBorders>
              <w:top w:val="nil"/>
              <w:left w:val="single" w:sz="12" w:space="0" w:color="auto"/>
              <w:bottom w:val="nil"/>
              <w:right w:val="single" w:sz="4" w:space="0" w:color="auto"/>
            </w:tcBorders>
          </w:tcPr>
          <w:p w:rsidR="00135C58" w:rsidRPr="00135C58" w:rsidRDefault="00135C58" w:rsidP="00BF0FE1">
            <w:pPr>
              <w:rPr>
                <w:sz w:val="20"/>
                <w:szCs w:val="20"/>
                <w:lang w:eastAsia="en-AU"/>
              </w:rPr>
            </w:pPr>
          </w:p>
        </w:tc>
        <w:tc>
          <w:tcPr>
            <w:tcW w:w="7229" w:type="dxa"/>
            <w:tcBorders>
              <w:top w:val="nil"/>
              <w:left w:val="single" w:sz="4" w:space="0" w:color="auto"/>
              <w:bottom w:val="nil"/>
              <w:right w:val="single" w:sz="12" w:space="0" w:color="auto"/>
            </w:tcBorders>
          </w:tcPr>
          <w:p w:rsidR="00135C58" w:rsidRPr="00135C58" w:rsidRDefault="00135C58" w:rsidP="00BF0FE1">
            <w:pPr>
              <w:rPr>
                <w:sz w:val="20"/>
                <w:szCs w:val="20"/>
                <w:lang w:eastAsia="en-AU"/>
              </w:rPr>
            </w:pPr>
            <w:r w:rsidRPr="00135C58">
              <w:rPr>
                <w:sz w:val="20"/>
                <w:szCs w:val="20"/>
                <w:lang w:eastAsia="en-AU"/>
              </w:rPr>
              <w:t>What linkages are there between SA? How has this changed in the last 5 years?</w:t>
            </w:r>
          </w:p>
          <w:p w:rsidR="00135C58" w:rsidRPr="00135C58" w:rsidRDefault="00135C58" w:rsidP="00BF0FE1">
            <w:pPr>
              <w:rPr>
                <w:sz w:val="20"/>
                <w:szCs w:val="20"/>
                <w:lang w:eastAsia="en-AU"/>
              </w:rPr>
            </w:pPr>
            <w:r w:rsidRPr="00135C58">
              <w:rPr>
                <w:sz w:val="20"/>
                <w:szCs w:val="20"/>
                <w:lang w:eastAsia="en-AU"/>
              </w:rPr>
              <w:t xml:space="preserve">Does your agency work with other agencies in the sector? What are some </w:t>
            </w:r>
            <w:proofErr w:type="spellStart"/>
            <w:r w:rsidRPr="00135C58">
              <w:rPr>
                <w:sz w:val="20"/>
                <w:szCs w:val="20"/>
                <w:lang w:eastAsia="en-AU"/>
              </w:rPr>
              <w:t>eg</w:t>
            </w:r>
            <w:proofErr w:type="spellEnd"/>
            <w:r w:rsidRPr="00135C58">
              <w:rPr>
                <w:sz w:val="20"/>
                <w:szCs w:val="20"/>
                <w:lang w:eastAsia="en-AU"/>
              </w:rPr>
              <w:t xml:space="preserve">? How has this changed in the last 5 years? (also check planning, </w:t>
            </w:r>
            <w:proofErr w:type="spellStart"/>
            <w:r w:rsidRPr="00135C58">
              <w:rPr>
                <w:sz w:val="20"/>
                <w:szCs w:val="20"/>
                <w:lang w:eastAsia="en-AU"/>
              </w:rPr>
              <w:t>mgt</w:t>
            </w:r>
            <w:proofErr w:type="spellEnd"/>
            <w:r w:rsidRPr="00135C58">
              <w:rPr>
                <w:sz w:val="20"/>
                <w:szCs w:val="20"/>
                <w:lang w:eastAsia="en-AU"/>
              </w:rPr>
              <w:t xml:space="preserve">, </w:t>
            </w:r>
            <w:proofErr w:type="spellStart"/>
            <w:r w:rsidRPr="00135C58">
              <w:rPr>
                <w:sz w:val="20"/>
                <w:szCs w:val="20"/>
                <w:lang w:eastAsia="en-AU"/>
              </w:rPr>
              <w:t>coord</w:t>
            </w:r>
            <w:proofErr w:type="spellEnd"/>
            <w:r w:rsidRPr="00135C58">
              <w:rPr>
                <w:sz w:val="20"/>
                <w:szCs w:val="20"/>
                <w:lang w:eastAsia="en-AU"/>
              </w:rPr>
              <w:t xml:space="preserve"> &amp; monitoring)</w:t>
            </w:r>
          </w:p>
          <w:p w:rsidR="00135C58" w:rsidRPr="00135C58" w:rsidRDefault="00135C58" w:rsidP="00BF0FE1">
            <w:pPr>
              <w:rPr>
                <w:sz w:val="20"/>
                <w:szCs w:val="20"/>
                <w:lang w:eastAsia="en-AU"/>
              </w:rPr>
            </w:pPr>
            <w:r w:rsidRPr="00135C58">
              <w:rPr>
                <w:sz w:val="20"/>
                <w:szCs w:val="20"/>
                <w:lang w:eastAsia="en-AU"/>
              </w:rPr>
              <w:t xml:space="preserve">Does your agency work with other SA to seek </w:t>
            </w:r>
            <w:proofErr w:type="spellStart"/>
            <w:r w:rsidRPr="00135C58">
              <w:rPr>
                <w:sz w:val="20"/>
                <w:szCs w:val="20"/>
                <w:lang w:eastAsia="en-AU"/>
              </w:rPr>
              <w:t>additionalfunding</w:t>
            </w:r>
            <w:proofErr w:type="spellEnd"/>
            <w:r w:rsidRPr="00135C58">
              <w:rPr>
                <w:sz w:val="20"/>
                <w:szCs w:val="20"/>
                <w:lang w:eastAsia="en-AU"/>
              </w:rPr>
              <w:t>? How?</w:t>
            </w:r>
          </w:p>
          <w:p w:rsidR="00135C58" w:rsidRPr="00135C58" w:rsidRDefault="00135C58" w:rsidP="00BF0FE1">
            <w:pPr>
              <w:rPr>
                <w:sz w:val="20"/>
                <w:szCs w:val="20"/>
                <w:lang w:eastAsia="en-AU"/>
              </w:rPr>
            </w:pPr>
            <w:r w:rsidRPr="00135C58">
              <w:rPr>
                <w:sz w:val="20"/>
                <w:szCs w:val="20"/>
                <w:lang w:eastAsia="en-AU"/>
              </w:rPr>
              <w:t xml:space="preserve">Has </w:t>
            </w:r>
            <w:proofErr w:type="spellStart"/>
            <w:r w:rsidRPr="00135C58">
              <w:rPr>
                <w:sz w:val="20"/>
                <w:szCs w:val="20"/>
                <w:lang w:eastAsia="en-AU"/>
              </w:rPr>
              <w:t>GoS</w:t>
            </w:r>
            <w:proofErr w:type="spellEnd"/>
            <w:r w:rsidRPr="00135C58">
              <w:rPr>
                <w:sz w:val="20"/>
                <w:szCs w:val="20"/>
                <w:lang w:eastAsia="en-AU"/>
              </w:rPr>
              <w:t xml:space="preserve"> funding to your agency/sector increased in the last 5 </w:t>
            </w:r>
            <w:proofErr w:type="spellStart"/>
            <w:r w:rsidRPr="00135C58">
              <w:rPr>
                <w:sz w:val="20"/>
                <w:szCs w:val="20"/>
                <w:lang w:eastAsia="en-AU"/>
              </w:rPr>
              <w:t>yrs</w:t>
            </w:r>
            <w:proofErr w:type="spellEnd"/>
            <w:r w:rsidRPr="00135C58">
              <w:rPr>
                <w:sz w:val="20"/>
                <w:szCs w:val="20"/>
                <w:lang w:eastAsia="en-AU"/>
              </w:rPr>
              <w:t>? Why? (advocacy together)</w:t>
            </w:r>
          </w:p>
          <w:p w:rsidR="00135C58" w:rsidRPr="00135C58" w:rsidRDefault="00135C58" w:rsidP="00BF0FE1">
            <w:pPr>
              <w:rPr>
                <w:sz w:val="20"/>
                <w:szCs w:val="20"/>
                <w:lang w:eastAsia="en-AU"/>
              </w:rPr>
            </w:pPr>
            <w:r w:rsidRPr="00135C58">
              <w:rPr>
                <w:sz w:val="20"/>
                <w:szCs w:val="20"/>
                <w:lang w:eastAsia="en-AU"/>
              </w:rPr>
              <w:t>What changes have occurred in your agencies capacity &amp; resources since 2012?</w:t>
            </w:r>
          </w:p>
          <w:p w:rsidR="00135C58" w:rsidRPr="00135C58" w:rsidRDefault="00135C58" w:rsidP="00BF0FE1">
            <w:pPr>
              <w:rPr>
                <w:sz w:val="20"/>
                <w:szCs w:val="20"/>
                <w:lang w:eastAsia="en-AU"/>
              </w:rPr>
            </w:pPr>
            <w:r w:rsidRPr="00135C58">
              <w:rPr>
                <w:sz w:val="20"/>
                <w:szCs w:val="20"/>
                <w:lang w:eastAsia="en-AU"/>
              </w:rPr>
              <w:t>What are the drivers of crime in Samoa? What is being done to address these since 2012?</w:t>
            </w:r>
          </w:p>
          <w:p w:rsidR="00135C58" w:rsidRPr="00135C58" w:rsidRDefault="00135C58" w:rsidP="00BF0FE1">
            <w:pPr>
              <w:rPr>
                <w:sz w:val="20"/>
                <w:szCs w:val="20"/>
                <w:lang w:eastAsia="en-AU"/>
              </w:rPr>
            </w:pPr>
            <w:r w:rsidRPr="00135C58">
              <w:rPr>
                <w:sz w:val="20"/>
                <w:szCs w:val="20"/>
                <w:lang w:eastAsia="en-AU"/>
              </w:rPr>
              <w:t>How are conflicts resolved in Samoa? How has this changed since 2012?</w:t>
            </w:r>
          </w:p>
          <w:p w:rsidR="00135C58" w:rsidRPr="00135C58" w:rsidRDefault="00135C58" w:rsidP="00BF0FE1">
            <w:pPr>
              <w:rPr>
                <w:sz w:val="20"/>
                <w:szCs w:val="20"/>
                <w:lang w:eastAsia="en-AU"/>
              </w:rPr>
            </w:pPr>
            <w:r w:rsidRPr="00135C58">
              <w:rPr>
                <w:sz w:val="20"/>
                <w:szCs w:val="20"/>
                <w:lang w:eastAsia="en-AU"/>
              </w:rPr>
              <w:t>Do you think that there have been any groups in Samoa did not receive good service from your agency in the past? (check gender, disability, location, chiefly status). How has this changed since 2012?</w:t>
            </w:r>
          </w:p>
          <w:p w:rsidR="00135C58" w:rsidRPr="00135C58" w:rsidRDefault="00135C58" w:rsidP="00BF0FE1">
            <w:pPr>
              <w:rPr>
                <w:sz w:val="20"/>
                <w:szCs w:val="20"/>
                <w:lang w:eastAsia="en-AU"/>
              </w:rPr>
            </w:pPr>
            <w:r w:rsidRPr="00135C58">
              <w:rPr>
                <w:sz w:val="20"/>
                <w:szCs w:val="20"/>
                <w:lang w:eastAsia="en-AU"/>
              </w:rPr>
              <w:t>Do you think the support had any negative outcomes for anyone in Samoa? (check gender, disability, location, chiefly status)? Why/why not?</w:t>
            </w:r>
          </w:p>
          <w:p w:rsidR="00135C58" w:rsidRPr="00135C58" w:rsidRDefault="00135C58" w:rsidP="00BF0FE1">
            <w:pPr>
              <w:rPr>
                <w:sz w:val="20"/>
                <w:szCs w:val="20"/>
                <w:lang w:eastAsia="en-AU"/>
              </w:rPr>
            </w:pPr>
            <w:r w:rsidRPr="00135C58">
              <w:rPr>
                <w:sz w:val="20"/>
                <w:szCs w:val="20"/>
                <w:lang w:eastAsia="en-AU"/>
              </w:rPr>
              <w:t>Do you think all people face the same L&amp;J issues in Samoa (check  gender, disability, location, chiefly status)? Why/why not?</w:t>
            </w:r>
          </w:p>
          <w:p w:rsidR="00135C58" w:rsidRPr="00135C58" w:rsidRDefault="00135C58" w:rsidP="00BF0FE1">
            <w:pPr>
              <w:rPr>
                <w:sz w:val="20"/>
                <w:szCs w:val="20"/>
                <w:lang w:eastAsia="en-AU"/>
              </w:rPr>
            </w:pPr>
            <w:r w:rsidRPr="00135C58">
              <w:rPr>
                <w:sz w:val="20"/>
                <w:szCs w:val="20"/>
                <w:lang w:eastAsia="en-AU"/>
              </w:rPr>
              <w:t>Do you think all people have equal access to justice in Samoa (check  gender, disability, location, chiefly status)? Why/why not?</w:t>
            </w:r>
          </w:p>
          <w:p w:rsidR="00135C58" w:rsidRPr="00135C58" w:rsidRDefault="00135C58" w:rsidP="00BF0FE1">
            <w:pPr>
              <w:rPr>
                <w:sz w:val="20"/>
                <w:szCs w:val="20"/>
                <w:lang w:eastAsia="en-AU"/>
              </w:rPr>
            </w:pPr>
            <w:r w:rsidRPr="00135C58">
              <w:rPr>
                <w:sz w:val="20"/>
                <w:szCs w:val="20"/>
                <w:lang w:eastAsia="en-AU"/>
              </w:rPr>
              <w:t>Do you think all people benefitted equally from the changes in the Samoan justice sector (check  gender, disability, location, chiefly status)? Why/why not?</w:t>
            </w:r>
          </w:p>
          <w:p w:rsidR="00135C58" w:rsidRPr="00135C58" w:rsidRDefault="00135C58" w:rsidP="00BF0FE1">
            <w:pPr>
              <w:rPr>
                <w:sz w:val="20"/>
                <w:szCs w:val="20"/>
                <w:lang w:eastAsia="en-AU"/>
              </w:rPr>
            </w:pPr>
            <w:r w:rsidRPr="00135C58">
              <w:rPr>
                <w:sz w:val="20"/>
                <w:szCs w:val="20"/>
                <w:lang w:eastAsia="en-AU"/>
              </w:rPr>
              <w:lastRenderedPageBreak/>
              <w:t xml:space="preserve">What changes in the support would have addressed these </w:t>
            </w:r>
            <w:proofErr w:type="spellStart"/>
            <w:r w:rsidRPr="00135C58">
              <w:rPr>
                <w:sz w:val="20"/>
                <w:szCs w:val="20"/>
                <w:lang w:eastAsia="en-AU"/>
              </w:rPr>
              <w:t>issues?Specific</w:t>
            </w:r>
            <w:proofErr w:type="spellEnd"/>
            <w:r w:rsidRPr="00135C58">
              <w:rPr>
                <w:sz w:val="20"/>
                <w:szCs w:val="20"/>
                <w:lang w:eastAsia="en-AU"/>
              </w:rPr>
              <w:t xml:space="preserve"> questions off goal</w:t>
            </w:r>
          </w:p>
          <w:p w:rsidR="00135C58" w:rsidRPr="00135C58" w:rsidRDefault="00135C58" w:rsidP="00BF0FE1">
            <w:pPr>
              <w:rPr>
                <w:sz w:val="20"/>
                <w:szCs w:val="20"/>
                <w:lang w:eastAsia="en-AU"/>
              </w:rPr>
            </w:pPr>
          </w:p>
          <w:p w:rsidR="00135C58" w:rsidRPr="00135C58" w:rsidRDefault="00135C58" w:rsidP="00BF0FE1">
            <w:pPr>
              <w:rPr>
                <w:sz w:val="20"/>
                <w:szCs w:val="20"/>
                <w:lang w:eastAsia="en-AU"/>
              </w:rPr>
            </w:pPr>
            <w:r w:rsidRPr="00135C58">
              <w:rPr>
                <w:sz w:val="20"/>
                <w:szCs w:val="20"/>
                <w:lang w:eastAsia="en-AU"/>
              </w:rPr>
              <w:t>If yes: What caused this change? Then do sustainability questions</w:t>
            </w:r>
          </w:p>
          <w:p w:rsidR="00135C58" w:rsidRPr="00135C58" w:rsidRDefault="00135C58" w:rsidP="00BF0FE1">
            <w:pPr>
              <w:rPr>
                <w:sz w:val="20"/>
                <w:szCs w:val="20"/>
                <w:lang w:eastAsia="en-AU"/>
              </w:rPr>
            </w:pPr>
            <w:r w:rsidRPr="00135C58">
              <w:rPr>
                <w:sz w:val="20"/>
                <w:szCs w:val="20"/>
                <w:lang w:eastAsia="en-AU"/>
              </w:rPr>
              <w:t>If no: Why not? What would have been needed to be done to achieve this change?</w:t>
            </w:r>
          </w:p>
        </w:tc>
      </w:tr>
      <w:tr w:rsidR="00135C58" w:rsidTr="00BF0FE1">
        <w:trPr>
          <w:trHeight w:val="3647"/>
        </w:trPr>
        <w:tc>
          <w:tcPr>
            <w:tcW w:w="2582" w:type="dxa"/>
            <w:tcBorders>
              <w:top w:val="nil"/>
              <w:left w:val="single" w:sz="12" w:space="0" w:color="auto"/>
              <w:bottom w:val="nil"/>
              <w:right w:val="single" w:sz="4" w:space="0" w:color="auto"/>
            </w:tcBorders>
          </w:tcPr>
          <w:p w:rsidR="00135C58" w:rsidRPr="00135C58" w:rsidRDefault="00135C58" w:rsidP="00151862">
            <w:pPr>
              <w:rPr>
                <w:sz w:val="20"/>
                <w:szCs w:val="20"/>
                <w:lang w:eastAsia="en-AU"/>
              </w:rPr>
            </w:pPr>
            <w:r w:rsidRPr="00135C58">
              <w:rPr>
                <w:sz w:val="20"/>
                <w:szCs w:val="20"/>
                <w:lang w:eastAsia="en-AU"/>
              </w:rPr>
              <w:lastRenderedPageBreak/>
              <w:t xml:space="preserve">4.        Sustainability. What Program benefits will/will not continue after Australian funding ceases? What are the immediate options (funding or otherwise) for the </w:t>
            </w:r>
            <w:r w:rsidR="00151862">
              <w:rPr>
                <w:sz w:val="20"/>
                <w:szCs w:val="20"/>
                <w:lang w:eastAsia="en-AU"/>
              </w:rPr>
              <w:t>G</w:t>
            </w:r>
            <w:r w:rsidRPr="00135C58">
              <w:rPr>
                <w:sz w:val="20"/>
                <w:szCs w:val="20"/>
                <w:lang w:eastAsia="en-AU"/>
              </w:rPr>
              <w:t>overnment of Samoa and its development partners to consider which will reinforce the sustainability of positive outcomes achieved to date? During design and implementation, how could sustainability have been enhanced?</w:t>
            </w:r>
          </w:p>
        </w:tc>
        <w:tc>
          <w:tcPr>
            <w:tcW w:w="7229" w:type="dxa"/>
            <w:tcBorders>
              <w:top w:val="nil"/>
              <w:left w:val="single" w:sz="4" w:space="0" w:color="auto"/>
              <w:bottom w:val="nil"/>
              <w:right w:val="single" w:sz="12" w:space="0" w:color="auto"/>
            </w:tcBorders>
          </w:tcPr>
          <w:p w:rsidR="00135C58" w:rsidRPr="00135C58" w:rsidRDefault="00135C58" w:rsidP="00BF0FE1">
            <w:pPr>
              <w:rPr>
                <w:sz w:val="20"/>
                <w:szCs w:val="20"/>
                <w:lang w:eastAsia="en-AU"/>
              </w:rPr>
            </w:pPr>
            <w:r w:rsidRPr="00135C58">
              <w:rPr>
                <w:sz w:val="20"/>
                <w:szCs w:val="20"/>
                <w:lang w:eastAsia="en-AU"/>
              </w:rPr>
              <w:t>(from effectiveness) For each of the positive &amp; negative changes identified:</w:t>
            </w:r>
          </w:p>
          <w:p w:rsidR="00135C58" w:rsidRPr="00135C58" w:rsidRDefault="00135C58" w:rsidP="00BF0FE1">
            <w:pPr>
              <w:rPr>
                <w:sz w:val="20"/>
                <w:szCs w:val="20"/>
                <w:lang w:eastAsia="en-AU"/>
              </w:rPr>
            </w:pPr>
            <w:r w:rsidRPr="00135C58">
              <w:rPr>
                <w:sz w:val="20"/>
                <w:szCs w:val="20"/>
                <w:lang w:eastAsia="en-AU"/>
              </w:rPr>
              <w:t>Who will benefit from this change (XXX)?</w:t>
            </w:r>
          </w:p>
          <w:p w:rsidR="00135C58" w:rsidRPr="00135C58" w:rsidRDefault="00135C58" w:rsidP="00BF0FE1">
            <w:pPr>
              <w:rPr>
                <w:sz w:val="20"/>
                <w:szCs w:val="20"/>
                <w:lang w:eastAsia="en-AU"/>
              </w:rPr>
            </w:pPr>
            <w:r w:rsidRPr="00135C58">
              <w:rPr>
                <w:sz w:val="20"/>
                <w:szCs w:val="20"/>
                <w:lang w:eastAsia="en-AU"/>
              </w:rPr>
              <w:t>Do you think XXX will still be continuing in 5 years? Why/why not?</w:t>
            </w:r>
          </w:p>
          <w:p w:rsidR="00135C58" w:rsidRPr="00135C58" w:rsidRDefault="00135C58" w:rsidP="00BF0FE1">
            <w:pPr>
              <w:rPr>
                <w:sz w:val="20"/>
                <w:szCs w:val="20"/>
                <w:lang w:eastAsia="en-AU"/>
              </w:rPr>
            </w:pPr>
            <w:r w:rsidRPr="00135C58">
              <w:rPr>
                <w:sz w:val="20"/>
                <w:szCs w:val="20"/>
                <w:lang w:eastAsia="en-AU"/>
              </w:rPr>
              <w:t>If not continuing:</w:t>
            </w:r>
          </w:p>
          <w:p w:rsidR="00135C58" w:rsidRPr="00135C58" w:rsidRDefault="00135C58" w:rsidP="00BF0FE1">
            <w:pPr>
              <w:rPr>
                <w:sz w:val="20"/>
                <w:szCs w:val="20"/>
                <w:lang w:eastAsia="en-AU"/>
              </w:rPr>
            </w:pPr>
            <w:r w:rsidRPr="00135C58">
              <w:rPr>
                <w:sz w:val="20"/>
                <w:szCs w:val="20"/>
                <w:lang w:eastAsia="en-AU"/>
              </w:rPr>
              <w:t>How will it not contin</w:t>
            </w:r>
            <w:r w:rsidR="00151862">
              <w:rPr>
                <w:sz w:val="20"/>
                <w:szCs w:val="20"/>
                <w:lang w:eastAsia="en-AU"/>
              </w:rPr>
              <w:t>u</w:t>
            </w:r>
            <w:r w:rsidRPr="00135C58">
              <w:rPr>
                <w:sz w:val="20"/>
                <w:szCs w:val="20"/>
                <w:lang w:eastAsia="en-AU"/>
              </w:rPr>
              <w:t>ing change L&amp;J in Samoa?</w:t>
            </w:r>
          </w:p>
          <w:p w:rsidR="00135C58" w:rsidRPr="00135C58" w:rsidRDefault="00135C58" w:rsidP="00BF0FE1">
            <w:pPr>
              <w:rPr>
                <w:sz w:val="20"/>
                <w:szCs w:val="20"/>
                <w:lang w:eastAsia="en-AU"/>
              </w:rPr>
            </w:pPr>
            <w:r w:rsidRPr="00135C58">
              <w:rPr>
                <w:sz w:val="20"/>
                <w:szCs w:val="20"/>
                <w:lang w:eastAsia="en-AU"/>
              </w:rPr>
              <w:t>Is this something you think should be sustained?</w:t>
            </w:r>
          </w:p>
          <w:p w:rsidR="00135C58" w:rsidRPr="00135C58" w:rsidRDefault="00135C58" w:rsidP="00BF0FE1">
            <w:pPr>
              <w:rPr>
                <w:sz w:val="20"/>
                <w:szCs w:val="20"/>
                <w:lang w:eastAsia="en-AU"/>
              </w:rPr>
            </w:pPr>
            <w:r w:rsidRPr="00135C58">
              <w:rPr>
                <w:sz w:val="20"/>
                <w:szCs w:val="20"/>
                <w:lang w:eastAsia="en-AU"/>
              </w:rPr>
              <w:t>What would need to be done now to make it sustainable?</w:t>
            </w:r>
          </w:p>
          <w:p w:rsidR="00135C58" w:rsidRPr="00135C58" w:rsidRDefault="00135C58" w:rsidP="00BF0FE1">
            <w:pPr>
              <w:rPr>
                <w:sz w:val="20"/>
                <w:szCs w:val="20"/>
                <w:lang w:eastAsia="en-AU"/>
              </w:rPr>
            </w:pPr>
            <w:r w:rsidRPr="00135C58">
              <w:rPr>
                <w:sz w:val="20"/>
                <w:szCs w:val="20"/>
                <w:lang w:eastAsia="en-AU"/>
              </w:rPr>
              <w:t>With hindsight, what could have been done in the last 5 years to make it sustainable?</w:t>
            </w:r>
          </w:p>
        </w:tc>
      </w:tr>
      <w:tr w:rsidR="00135C58" w:rsidTr="00BF0FE1">
        <w:trPr>
          <w:trHeight w:val="3053"/>
        </w:trPr>
        <w:tc>
          <w:tcPr>
            <w:tcW w:w="2582" w:type="dxa"/>
            <w:tcBorders>
              <w:top w:val="nil"/>
              <w:left w:val="single" w:sz="12" w:space="0" w:color="auto"/>
              <w:bottom w:val="nil"/>
              <w:right w:val="single" w:sz="4" w:space="0" w:color="auto"/>
            </w:tcBorders>
          </w:tcPr>
          <w:p w:rsidR="00135C58" w:rsidRPr="00135C58" w:rsidRDefault="00135C58" w:rsidP="00151862">
            <w:pPr>
              <w:rPr>
                <w:sz w:val="20"/>
                <w:szCs w:val="20"/>
                <w:lang w:eastAsia="en-AU"/>
              </w:rPr>
            </w:pPr>
            <w:r w:rsidRPr="00135C58">
              <w:rPr>
                <w:sz w:val="20"/>
                <w:szCs w:val="20"/>
                <w:lang w:eastAsia="en-AU"/>
              </w:rPr>
              <w:t xml:space="preserve">3.        Efficiency. What lessons can be learnt from the design process and when should the design process have been stopped? What lessons can be learnt from the way implementation occurred (including modality, policy dialogue, </w:t>
            </w:r>
            <w:r w:rsidR="00151862">
              <w:rPr>
                <w:sz w:val="20"/>
                <w:szCs w:val="20"/>
                <w:lang w:eastAsia="en-AU"/>
              </w:rPr>
              <w:t>Australian Government</w:t>
            </w:r>
            <w:r w:rsidRPr="00135C58">
              <w:rPr>
                <w:sz w:val="20"/>
                <w:szCs w:val="20"/>
                <w:lang w:eastAsia="en-AU"/>
              </w:rPr>
              <w:t xml:space="preserve"> approach and use of Samoan financial systems)?</w:t>
            </w:r>
          </w:p>
        </w:tc>
        <w:tc>
          <w:tcPr>
            <w:tcW w:w="7229" w:type="dxa"/>
            <w:tcBorders>
              <w:top w:val="nil"/>
              <w:left w:val="single" w:sz="4" w:space="0" w:color="auto"/>
              <w:bottom w:val="nil"/>
              <w:right w:val="single" w:sz="12" w:space="0" w:color="auto"/>
            </w:tcBorders>
          </w:tcPr>
          <w:p w:rsidR="00135C58" w:rsidRPr="00135C58" w:rsidRDefault="00135C58" w:rsidP="00BF0FE1">
            <w:pPr>
              <w:rPr>
                <w:sz w:val="20"/>
                <w:szCs w:val="20"/>
                <w:lang w:eastAsia="en-AU"/>
              </w:rPr>
            </w:pPr>
            <w:r w:rsidRPr="00135C58">
              <w:rPr>
                <w:sz w:val="20"/>
                <w:szCs w:val="20"/>
                <w:lang w:eastAsia="en-AU"/>
              </w:rPr>
              <w:t xml:space="preserve">Design process:  </w:t>
            </w:r>
          </w:p>
          <w:p w:rsidR="00135C58" w:rsidRPr="00135C58" w:rsidRDefault="00135C58" w:rsidP="00BF0FE1">
            <w:pPr>
              <w:rPr>
                <w:sz w:val="20"/>
                <w:szCs w:val="20"/>
                <w:lang w:eastAsia="en-AU"/>
              </w:rPr>
            </w:pPr>
            <w:r w:rsidRPr="00135C58">
              <w:rPr>
                <w:sz w:val="20"/>
                <w:szCs w:val="20"/>
                <w:lang w:eastAsia="en-AU"/>
              </w:rPr>
              <w:t xml:space="preserve">Is there a design document for the Program? </w:t>
            </w:r>
          </w:p>
          <w:p w:rsidR="00135C58" w:rsidRPr="00135C58" w:rsidRDefault="00135C58" w:rsidP="00BF0FE1">
            <w:pPr>
              <w:rPr>
                <w:sz w:val="20"/>
                <w:szCs w:val="20"/>
                <w:lang w:eastAsia="en-AU"/>
              </w:rPr>
            </w:pPr>
            <w:r w:rsidRPr="00135C58">
              <w:rPr>
                <w:sz w:val="20"/>
                <w:szCs w:val="20"/>
                <w:lang w:eastAsia="en-AU"/>
              </w:rPr>
              <w:t xml:space="preserve">(If so) How is it used? </w:t>
            </w:r>
          </w:p>
          <w:p w:rsidR="00135C58" w:rsidRPr="00135C58" w:rsidRDefault="00135C58" w:rsidP="00BF0FE1">
            <w:pPr>
              <w:rPr>
                <w:sz w:val="20"/>
                <w:szCs w:val="20"/>
                <w:lang w:eastAsia="en-AU"/>
              </w:rPr>
            </w:pPr>
            <w:r w:rsidRPr="00135C58">
              <w:rPr>
                <w:sz w:val="20"/>
                <w:szCs w:val="20"/>
                <w:lang w:eastAsia="en-AU"/>
              </w:rPr>
              <w:t xml:space="preserve">Who was involved in the design process? (check for all agencies, gender, disability, matai/non, </w:t>
            </w:r>
            <w:proofErr w:type="spellStart"/>
            <w:r w:rsidRPr="00135C58">
              <w:rPr>
                <w:sz w:val="20"/>
                <w:szCs w:val="20"/>
                <w:lang w:eastAsia="en-AU"/>
              </w:rPr>
              <w:t>Sava'ii</w:t>
            </w:r>
            <w:proofErr w:type="spellEnd"/>
            <w:r w:rsidRPr="00135C58">
              <w:rPr>
                <w:sz w:val="20"/>
                <w:szCs w:val="20"/>
                <w:lang w:eastAsia="en-AU"/>
              </w:rPr>
              <w:t>/</w:t>
            </w:r>
            <w:proofErr w:type="spellStart"/>
            <w:r w:rsidRPr="00135C58">
              <w:rPr>
                <w:sz w:val="20"/>
                <w:szCs w:val="20"/>
                <w:lang w:eastAsia="en-AU"/>
              </w:rPr>
              <w:t>Upolo</w:t>
            </w:r>
            <w:proofErr w:type="spellEnd"/>
            <w:r w:rsidRPr="00135C58">
              <w:rPr>
                <w:sz w:val="20"/>
                <w:szCs w:val="20"/>
                <w:lang w:eastAsia="en-AU"/>
              </w:rPr>
              <w:t>)</w:t>
            </w:r>
          </w:p>
          <w:p w:rsidR="00135C58" w:rsidRPr="00135C58" w:rsidRDefault="00135C58" w:rsidP="00BF0FE1">
            <w:pPr>
              <w:rPr>
                <w:sz w:val="20"/>
                <w:szCs w:val="20"/>
                <w:lang w:eastAsia="en-AU"/>
              </w:rPr>
            </w:pPr>
            <w:r w:rsidRPr="00135C58">
              <w:rPr>
                <w:sz w:val="20"/>
                <w:szCs w:val="20"/>
                <w:lang w:eastAsia="en-AU"/>
              </w:rPr>
              <w:t xml:space="preserve">What was the process used to develop a design for the Program? </w:t>
            </w:r>
          </w:p>
          <w:p w:rsidR="00135C58" w:rsidRPr="00135C58" w:rsidRDefault="00135C58" w:rsidP="00BF0FE1">
            <w:pPr>
              <w:rPr>
                <w:sz w:val="20"/>
                <w:szCs w:val="20"/>
                <w:lang w:eastAsia="en-AU"/>
              </w:rPr>
            </w:pPr>
            <w:r w:rsidRPr="00135C58">
              <w:rPr>
                <w:sz w:val="20"/>
                <w:szCs w:val="20"/>
                <w:lang w:eastAsia="en-AU"/>
              </w:rPr>
              <w:t xml:space="preserve">What was good/challenging about this process? </w:t>
            </w:r>
          </w:p>
          <w:p w:rsidR="00135C58" w:rsidRPr="00135C58" w:rsidRDefault="00135C58" w:rsidP="00BF0FE1">
            <w:pPr>
              <w:rPr>
                <w:sz w:val="20"/>
                <w:szCs w:val="20"/>
                <w:lang w:eastAsia="en-AU"/>
              </w:rPr>
            </w:pPr>
            <w:r w:rsidRPr="00135C58">
              <w:rPr>
                <w:sz w:val="20"/>
                <w:szCs w:val="20"/>
                <w:lang w:eastAsia="en-AU"/>
              </w:rPr>
              <w:t xml:space="preserve">(If they were involved in the sector pre 2010) What differences are there in developing a design for an agency vs a sector? </w:t>
            </w:r>
          </w:p>
          <w:p w:rsidR="00135C58" w:rsidRPr="00135C58" w:rsidRDefault="00135C58" w:rsidP="00BF0FE1">
            <w:pPr>
              <w:rPr>
                <w:sz w:val="20"/>
                <w:szCs w:val="20"/>
                <w:lang w:eastAsia="en-AU"/>
              </w:rPr>
            </w:pPr>
            <w:r w:rsidRPr="00135C58">
              <w:rPr>
                <w:sz w:val="20"/>
                <w:szCs w:val="20"/>
                <w:lang w:eastAsia="en-AU"/>
              </w:rPr>
              <w:t>How would you recommend designs for support be developed in future?</w:t>
            </w:r>
          </w:p>
        </w:tc>
      </w:tr>
      <w:tr w:rsidR="00135C58" w:rsidTr="00BF0FE1">
        <w:trPr>
          <w:trHeight w:val="305"/>
        </w:trPr>
        <w:tc>
          <w:tcPr>
            <w:tcW w:w="2582" w:type="dxa"/>
            <w:tcBorders>
              <w:top w:val="nil"/>
              <w:left w:val="single" w:sz="12" w:space="0" w:color="auto"/>
              <w:bottom w:val="nil"/>
              <w:right w:val="single" w:sz="4" w:space="0" w:color="auto"/>
            </w:tcBorders>
          </w:tcPr>
          <w:p w:rsidR="00135C58" w:rsidRPr="00135C58" w:rsidRDefault="00135C58" w:rsidP="00BF0FE1">
            <w:pPr>
              <w:rPr>
                <w:sz w:val="20"/>
                <w:szCs w:val="20"/>
                <w:lang w:eastAsia="en-AU"/>
              </w:rPr>
            </w:pPr>
          </w:p>
        </w:tc>
        <w:tc>
          <w:tcPr>
            <w:tcW w:w="7229" w:type="dxa"/>
            <w:tcBorders>
              <w:top w:val="nil"/>
              <w:left w:val="single" w:sz="4" w:space="0" w:color="auto"/>
              <w:bottom w:val="nil"/>
              <w:right w:val="single" w:sz="12" w:space="0" w:color="auto"/>
            </w:tcBorders>
          </w:tcPr>
          <w:p w:rsidR="00135C58" w:rsidRPr="00135C58" w:rsidRDefault="00135C58" w:rsidP="00BF0FE1">
            <w:pPr>
              <w:rPr>
                <w:sz w:val="20"/>
                <w:szCs w:val="20"/>
                <w:lang w:eastAsia="en-AU"/>
              </w:rPr>
            </w:pPr>
            <w:r w:rsidRPr="00135C58">
              <w:rPr>
                <w:sz w:val="20"/>
                <w:szCs w:val="20"/>
                <w:lang w:eastAsia="en-AU"/>
              </w:rPr>
              <w:t>What other support did you receive/provide?</w:t>
            </w:r>
          </w:p>
        </w:tc>
      </w:tr>
      <w:tr w:rsidR="00135C58" w:rsidTr="00BF0FE1">
        <w:trPr>
          <w:trHeight w:val="914"/>
        </w:trPr>
        <w:tc>
          <w:tcPr>
            <w:tcW w:w="2582" w:type="dxa"/>
            <w:tcBorders>
              <w:top w:val="nil"/>
              <w:left w:val="single" w:sz="12" w:space="0" w:color="auto"/>
              <w:bottom w:val="nil"/>
              <w:right w:val="single" w:sz="4" w:space="0" w:color="auto"/>
            </w:tcBorders>
          </w:tcPr>
          <w:p w:rsidR="00135C58" w:rsidRPr="00135C58" w:rsidRDefault="00135C58" w:rsidP="00BF0FE1">
            <w:pPr>
              <w:rPr>
                <w:sz w:val="20"/>
                <w:szCs w:val="20"/>
                <w:lang w:eastAsia="en-AU"/>
              </w:rPr>
            </w:pPr>
          </w:p>
        </w:tc>
        <w:tc>
          <w:tcPr>
            <w:tcW w:w="7229" w:type="dxa"/>
            <w:tcBorders>
              <w:top w:val="nil"/>
              <w:left w:val="single" w:sz="4" w:space="0" w:color="auto"/>
              <w:bottom w:val="nil"/>
              <w:right w:val="single" w:sz="12" w:space="0" w:color="auto"/>
            </w:tcBorders>
          </w:tcPr>
          <w:p w:rsidR="00135C58" w:rsidRPr="00135C58" w:rsidRDefault="00135C58" w:rsidP="00BF0FE1">
            <w:pPr>
              <w:rPr>
                <w:sz w:val="20"/>
                <w:szCs w:val="20"/>
                <w:lang w:eastAsia="en-AU"/>
              </w:rPr>
            </w:pPr>
            <w:r w:rsidRPr="00135C58">
              <w:rPr>
                <w:sz w:val="20"/>
                <w:szCs w:val="20"/>
                <w:lang w:eastAsia="en-AU"/>
              </w:rPr>
              <w:t>Modality: can you describe to me how (</w:t>
            </w:r>
            <w:proofErr w:type="spellStart"/>
            <w:r w:rsidRPr="00135C58">
              <w:rPr>
                <w:sz w:val="20"/>
                <w:szCs w:val="20"/>
                <w:lang w:eastAsia="en-AU"/>
              </w:rPr>
              <w:t>inc.</w:t>
            </w:r>
            <w:proofErr w:type="spellEnd"/>
            <w:r w:rsidRPr="00135C58">
              <w:rPr>
                <w:sz w:val="20"/>
                <w:szCs w:val="20"/>
                <w:lang w:eastAsia="en-AU"/>
              </w:rPr>
              <w:t xml:space="preserve"> who involved): </w:t>
            </w:r>
          </w:p>
          <w:p w:rsidR="00135C58" w:rsidRPr="00135C58" w:rsidRDefault="00135C58" w:rsidP="00BF0FE1">
            <w:pPr>
              <w:rPr>
                <w:sz w:val="20"/>
                <w:szCs w:val="20"/>
                <w:lang w:eastAsia="en-AU"/>
              </w:rPr>
            </w:pPr>
            <w:r w:rsidRPr="00135C58">
              <w:rPr>
                <w:sz w:val="20"/>
                <w:szCs w:val="20"/>
                <w:lang w:eastAsia="en-AU"/>
              </w:rPr>
              <w:t>The sectors strategic direction was determined?</w:t>
            </w:r>
          </w:p>
          <w:p w:rsidR="00135C58" w:rsidRPr="00135C58" w:rsidRDefault="00135C58" w:rsidP="00BF0FE1">
            <w:pPr>
              <w:rPr>
                <w:sz w:val="20"/>
                <w:szCs w:val="20"/>
                <w:lang w:eastAsia="en-AU"/>
              </w:rPr>
            </w:pPr>
            <w:r w:rsidRPr="00135C58">
              <w:rPr>
                <w:sz w:val="20"/>
                <w:szCs w:val="20"/>
                <w:lang w:eastAsia="en-AU"/>
              </w:rPr>
              <w:t>The Projects to support was determined?</w:t>
            </w:r>
          </w:p>
        </w:tc>
      </w:tr>
      <w:tr w:rsidR="00135C58" w:rsidTr="00BF0FE1">
        <w:trPr>
          <w:trHeight w:val="1222"/>
        </w:trPr>
        <w:tc>
          <w:tcPr>
            <w:tcW w:w="2582" w:type="dxa"/>
            <w:tcBorders>
              <w:top w:val="nil"/>
              <w:left w:val="single" w:sz="12" w:space="0" w:color="auto"/>
              <w:bottom w:val="nil"/>
              <w:right w:val="single" w:sz="4" w:space="0" w:color="auto"/>
            </w:tcBorders>
          </w:tcPr>
          <w:p w:rsidR="00135C58" w:rsidRPr="00135C58" w:rsidRDefault="00135C58" w:rsidP="00BF0FE1">
            <w:pPr>
              <w:rPr>
                <w:sz w:val="20"/>
                <w:szCs w:val="20"/>
                <w:lang w:eastAsia="en-AU"/>
              </w:rPr>
            </w:pPr>
          </w:p>
        </w:tc>
        <w:tc>
          <w:tcPr>
            <w:tcW w:w="7229" w:type="dxa"/>
            <w:tcBorders>
              <w:top w:val="nil"/>
              <w:left w:val="single" w:sz="4" w:space="0" w:color="auto"/>
              <w:bottom w:val="nil"/>
              <w:right w:val="single" w:sz="12" w:space="0" w:color="auto"/>
            </w:tcBorders>
          </w:tcPr>
          <w:p w:rsidR="00135C58" w:rsidRPr="00135C58" w:rsidRDefault="00135C58" w:rsidP="00BF0FE1">
            <w:pPr>
              <w:rPr>
                <w:sz w:val="20"/>
                <w:szCs w:val="20"/>
                <w:lang w:eastAsia="en-AU"/>
              </w:rPr>
            </w:pPr>
            <w:r w:rsidRPr="00135C58">
              <w:rPr>
                <w:sz w:val="20"/>
                <w:szCs w:val="20"/>
                <w:lang w:eastAsia="en-AU"/>
              </w:rPr>
              <w:t>Policy: What policy were determined in the L&amp;J sector since 2010? (check if any relate/consider gender, disability, status, location)</w:t>
            </w:r>
          </w:p>
          <w:p w:rsidR="00135C58" w:rsidRPr="00135C58" w:rsidRDefault="00135C58" w:rsidP="00BF0FE1">
            <w:pPr>
              <w:rPr>
                <w:sz w:val="20"/>
                <w:szCs w:val="20"/>
                <w:lang w:eastAsia="en-AU"/>
              </w:rPr>
            </w:pPr>
            <w:r w:rsidRPr="00135C58">
              <w:rPr>
                <w:sz w:val="20"/>
                <w:szCs w:val="20"/>
                <w:lang w:eastAsia="en-AU"/>
              </w:rPr>
              <w:t>How are policy developed?</w:t>
            </w:r>
          </w:p>
          <w:p w:rsidR="00135C58" w:rsidRPr="00135C58" w:rsidRDefault="00135C58" w:rsidP="00BF0FE1">
            <w:pPr>
              <w:rPr>
                <w:sz w:val="20"/>
                <w:szCs w:val="20"/>
                <w:lang w:eastAsia="en-AU"/>
              </w:rPr>
            </w:pPr>
            <w:r w:rsidRPr="00135C58">
              <w:rPr>
                <w:sz w:val="20"/>
                <w:szCs w:val="20"/>
                <w:lang w:eastAsia="en-AU"/>
              </w:rPr>
              <w:t>Who influences policy decisions in Samoa?</w:t>
            </w:r>
          </w:p>
        </w:tc>
      </w:tr>
      <w:tr w:rsidR="00135C58" w:rsidTr="00BF0FE1">
        <w:trPr>
          <w:trHeight w:val="1222"/>
        </w:trPr>
        <w:tc>
          <w:tcPr>
            <w:tcW w:w="2582" w:type="dxa"/>
            <w:tcBorders>
              <w:top w:val="nil"/>
              <w:left w:val="single" w:sz="12" w:space="0" w:color="auto"/>
              <w:bottom w:val="nil"/>
              <w:right w:val="single" w:sz="4" w:space="0" w:color="auto"/>
            </w:tcBorders>
          </w:tcPr>
          <w:p w:rsidR="00135C58" w:rsidRPr="00135C58" w:rsidRDefault="00135C58" w:rsidP="00BF0FE1">
            <w:pPr>
              <w:rPr>
                <w:sz w:val="20"/>
                <w:szCs w:val="20"/>
                <w:lang w:eastAsia="en-AU"/>
              </w:rPr>
            </w:pPr>
          </w:p>
        </w:tc>
        <w:tc>
          <w:tcPr>
            <w:tcW w:w="7229" w:type="dxa"/>
            <w:tcBorders>
              <w:top w:val="nil"/>
              <w:left w:val="single" w:sz="4" w:space="0" w:color="auto"/>
              <w:bottom w:val="nil"/>
              <w:right w:val="single" w:sz="12" w:space="0" w:color="auto"/>
            </w:tcBorders>
          </w:tcPr>
          <w:p w:rsidR="00135C58" w:rsidRPr="00135C58" w:rsidRDefault="00135C58" w:rsidP="00BF0FE1">
            <w:pPr>
              <w:rPr>
                <w:sz w:val="20"/>
                <w:szCs w:val="20"/>
                <w:lang w:eastAsia="en-AU"/>
              </w:rPr>
            </w:pPr>
            <w:r w:rsidRPr="00135C58">
              <w:rPr>
                <w:sz w:val="20"/>
                <w:szCs w:val="20"/>
                <w:lang w:eastAsia="en-AU"/>
              </w:rPr>
              <w:t>Use of systems: Can you describe the process used for procur</w:t>
            </w:r>
            <w:r w:rsidR="00151862">
              <w:rPr>
                <w:sz w:val="20"/>
                <w:szCs w:val="20"/>
                <w:lang w:eastAsia="en-AU"/>
              </w:rPr>
              <w:t>e</w:t>
            </w:r>
            <w:r w:rsidRPr="00135C58">
              <w:rPr>
                <w:sz w:val="20"/>
                <w:szCs w:val="20"/>
                <w:lang w:eastAsia="en-AU"/>
              </w:rPr>
              <w:t>ment?</w:t>
            </w:r>
          </w:p>
          <w:p w:rsidR="00135C58" w:rsidRPr="00135C58" w:rsidRDefault="00135C58" w:rsidP="00BF0FE1">
            <w:pPr>
              <w:rPr>
                <w:sz w:val="20"/>
                <w:szCs w:val="20"/>
                <w:lang w:eastAsia="en-AU"/>
              </w:rPr>
            </w:pPr>
            <w:r w:rsidRPr="00135C58">
              <w:rPr>
                <w:sz w:val="20"/>
                <w:szCs w:val="20"/>
                <w:lang w:eastAsia="en-AU"/>
              </w:rPr>
              <w:t>What was good about this process? What difficulties did it cause?</w:t>
            </w:r>
          </w:p>
          <w:p w:rsidR="00135C58" w:rsidRPr="00135C58" w:rsidRDefault="00135C58" w:rsidP="00BF0FE1">
            <w:pPr>
              <w:rPr>
                <w:sz w:val="20"/>
                <w:szCs w:val="20"/>
                <w:lang w:eastAsia="en-AU"/>
              </w:rPr>
            </w:pPr>
            <w:r w:rsidRPr="00135C58">
              <w:rPr>
                <w:sz w:val="20"/>
                <w:szCs w:val="20"/>
                <w:lang w:eastAsia="en-AU"/>
              </w:rPr>
              <w:t>Can you describe the process used for developing budgets, payments and financial management</w:t>
            </w:r>
          </w:p>
          <w:p w:rsidR="00135C58" w:rsidRPr="00135C58" w:rsidRDefault="00135C58" w:rsidP="00BF0FE1">
            <w:pPr>
              <w:rPr>
                <w:sz w:val="20"/>
                <w:szCs w:val="20"/>
                <w:lang w:eastAsia="en-AU"/>
              </w:rPr>
            </w:pPr>
            <w:r w:rsidRPr="00135C58">
              <w:rPr>
                <w:sz w:val="20"/>
                <w:szCs w:val="20"/>
                <w:lang w:eastAsia="en-AU"/>
              </w:rPr>
              <w:t>What was good about this process? What difficulties did it cause?</w:t>
            </w:r>
          </w:p>
        </w:tc>
      </w:tr>
      <w:tr w:rsidR="00135C58" w:rsidTr="00BF0FE1">
        <w:trPr>
          <w:trHeight w:val="4579"/>
        </w:trPr>
        <w:tc>
          <w:tcPr>
            <w:tcW w:w="2582" w:type="dxa"/>
            <w:tcBorders>
              <w:top w:val="nil"/>
              <w:left w:val="single" w:sz="12" w:space="0" w:color="auto"/>
              <w:bottom w:val="nil"/>
              <w:right w:val="single" w:sz="4" w:space="0" w:color="auto"/>
            </w:tcBorders>
          </w:tcPr>
          <w:p w:rsidR="00135C58" w:rsidRPr="00135C58" w:rsidRDefault="00135C58" w:rsidP="00BF0FE1">
            <w:pPr>
              <w:rPr>
                <w:sz w:val="20"/>
                <w:szCs w:val="20"/>
                <w:lang w:eastAsia="en-AU"/>
              </w:rPr>
            </w:pPr>
            <w:r w:rsidRPr="00135C58">
              <w:rPr>
                <w:sz w:val="20"/>
                <w:szCs w:val="20"/>
                <w:lang w:eastAsia="en-AU"/>
              </w:rPr>
              <w:t>5.        Monitoring and evaluation. Were outcomes and the theory of change clear? Did projects supported reflect this theory of change? Did monitoring enable assessment of progress towards outcomes and manage risk? Did reporting to the Steering Committee meet their needs and was the information used to effectively support achievement of high level outcomes and manage risk? Was the Steering Committee adequately supported in use of M&amp;E information?</w:t>
            </w:r>
          </w:p>
        </w:tc>
        <w:tc>
          <w:tcPr>
            <w:tcW w:w="7229" w:type="dxa"/>
            <w:tcBorders>
              <w:top w:val="nil"/>
              <w:left w:val="single" w:sz="4" w:space="0" w:color="auto"/>
              <w:bottom w:val="nil"/>
              <w:right w:val="single" w:sz="12" w:space="0" w:color="auto"/>
            </w:tcBorders>
          </w:tcPr>
          <w:p w:rsidR="00135C58" w:rsidRPr="00135C58" w:rsidRDefault="00135C58" w:rsidP="00BF0FE1">
            <w:pPr>
              <w:rPr>
                <w:sz w:val="20"/>
                <w:szCs w:val="20"/>
                <w:lang w:eastAsia="en-AU"/>
              </w:rPr>
            </w:pPr>
            <w:r w:rsidRPr="00135C58">
              <w:rPr>
                <w:sz w:val="20"/>
                <w:szCs w:val="20"/>
                <w:lang w:eastAsia="en-AU"/>
              </w:rPr>
              <w:t xml:space="preserve">Does (present draft </w:t>
            </w:r>
            <w:proofErr w:type="spellStart"/>
            <w:r w:rsidRPr="00135C58">
              <w:rPr>
                <w:sz w:val="20"/>
                <w:szCs w:val="20"/>
                <w:lang w:eastAsia="en-AU"/>
              </w:rPr>
              <w:t>ToC</w:t>
            </w:r>
            <w:proofErr w:type="spellEnd"/>
            <w:r w:rsidRPr="00135C58">
              <w:rPr>
                <w:sz w:val="20"/>
                <w:szCs w:val="20"/>
                <w:lang w:eastAsia="en-AU"/>
              </w:rPr>
              <w:t>) reflect what you thought the support would do?</w:t>
            </w:r>
          </w:p>
          <w:p w:rsidR="00135C58" w:rsidRPr="00135C58" w:rsidRDefault="00135C58" w:rsidP="00BF0FE1">
            <w:pPr>
              <w:rPr>
                <w:sz w:val="20"/>
                <w:szCs w:val="20"/>
                <w:lang w:eastAsia="en-AU"/>
              </w:rPr>
            </w:pPr>
            <w:r w:rsidRPr="00135C58">
              <w:rPr>
                <w:sz w:val="20"/>
                <w:szCs w:val="20"/>
                <w:lang w:eastAsia="en-AU"/>
              </w:rPr>
              <w:t>What did you need to be able to monitor progress: against schedule/budget/towards outcomes?</w:t>
            </w:r>
          </w:p>
          <w:p w:rsidR="00135C58" w:rsidRPr="00135C58" w:rsidRDefault="00135C58" w:rsidP="00BF0FE1">
            <w:pPr>
              <w:rPr>
                <w:sz w:val="20"/>
                <w:szCs w:val="20"/>
                <w:lang w:eastAsia="en-AU"/>
              </w:rPr>
            </w:pPr>
            <w:r w:rsidRPr="00135C58">
              <w:rPr>
                <w:sz w:val="20"/>
                <w:szCs w:val="20"/>
                <w:lang w:eastAsia="en-AU"/>
              </w:rPr>
              <w:t>Did you receive this information? If so, when and in what format?</w:t>
            </w:r>
          </w:p>
          <w:p w:rsidR="00135C58" w:rsidRPr="00135C58" w:rsidRDefault="00135C58" w:rsidP="00BF0FE1">
            <w:pPr>
              <w:rPr>
                <w:sz w:val="20"/>
                <w:szCs w:val="20"/>
                <w:lang w:eastAsia="en-AU"/>
              </w:rPr>
            </w:pPr>
            <w:r w:rsidRPr="00135C58">
              <w:rPr>
                <w:sz w:val="20"/>
                <w:szCs w:val="20"/>
                <w:lang w:eastAsia="en-AU"/>
              </w:rPr>
              <w:t>How was this information used to change the way the Program was implemented?</w:t>
            </w:r>
          </w:p>
          <w:p w:rsidR="00135C58" w:rsidRPr="00135C58" w:rsidRDefault="00135C58" w:rsidP="00BF0FE1">
            <w:pPr>
              <w:rPr>
                <w:sz w:val="20"/>
                <w:szCs w:val="20"/>
                <w:lang w:eastAsia="en-AU"/>
              </w:rPr>
            </w:pPr>
            <w:r w:rsidRPr="00135C58">
              <w:rPr>
                <w:sz w:val="20"/>
                <w:szCs w:val="20"/>
                <w:lang w:eastAsia="en-AU"/>
              </w:rPr>
              <w:t xml:space="preserve">Who analysed this information and made recommendations about how it should be applied? </w:t>
            </w:r>
          </w:p>
          <w:p w:rsidR="00135C58" w:rsidRPr="00135C58" w:rsidRDefault="00135C58" w:rsidP="00BF0FE1">
            <w:pPr>
              <w:rPr>
                <w:sz w:val="20"/>
                <w:szCs w:val="20"/>
                <w:lang w:eastAsia="en-AU"/>
              </w:rPr>
            </w:pPr>
            <w:r w:rsidRPr="00135C58">
              <w:rPr>
                <w:sz w:val="20"/>
                <w:szCs w:val="20"/>
                <w:lang w:eastAsia="en-AU"/>
              </w:rPr>
              <w:t>Do you think that members of the PSC needed more support to use the information well? If so, what additional support was required?</w:t>
            </w:r>
          </w:p>
        </w:tc>
      </w:tr>
      <w:tr w:rsidR="00135C58" w:rsidTr="00BF0FE1">
        <w:trPr>
          <w:trHeight w:val="1831"/>
        </w:trPr>
        <w:tc>
          <w:tcPr>
            <w:tcW w:w="2582" w:type="dxa"/>
            <w:tcBorders>
              <w:top w:val="nil"/>
              <w:left w:val="single" w:sz="12" w:space="0" w:color="auto"/>
              <w:bottom w:val="nil"/>
              <w:right w:val="single" w:sz="4" w:space="0" w:color="auto"/>
            </w:tcBorders>
          </w:tcPr>
          <w:p w:rsidR="00135C58" w:rsidRPr="00135C58" w:rsidRDefault="00135C58" w:rsidP="00BF0FE1">
            <w:pPr>
              <w:rPr>
                <w:sz w:val="20"/>
                <w:szCs w:val="20"/>
                <w:lang w:eastAsia="en-AU"/>
              </w:rPr>
            </w:pPr>
            <w:r w:rsidRPr="00135C58">
              <w:rPr>
                <w:sz w:val="20"/>
                <w:szCs w:val="20"/>
                <w:lang w:eastAsia="en-AU"/>
              </w:rPr>
              <w:t>1.        Relevance. Was Australia the appropriate partner to provide this support to Samoa, and whether the support provided aligned with the Sector Strategic Plan?</w:t>
            </w:r>
          </w:p>
        </w:tc>
        <w:tc>
          <w:tcPr>
            <w:tcW w:w="7229" w:type="dxa"/>
            <w:tcBorders>
              <w:top w:val="nil"/>
              <w:left w:val="single" w:sz="4" w:space="0" w:color="auto"/>
              <w:bottom w:val="nil"/>
              <w:right w:val="single" w:sz="12" w:space="0" w:color="auto"/>
            </w:tcBorders>
          </w:tcPr>
          <w:p w:rsidR="00135C58" w:rsidRPr="00135C58" w:rsidRDefault="00135C58" w:rsidP="00BF0FE1">
            <w:pPr>
              <w:rPr>
                <w:sz w:val="20"/>
                <w:szCs w:val="20"/>
                <w:lang w:eastAsia="en-AU"/>
              </w:rPr>
            </w:pPr>
            <w:r w:rsidRPr="00135C58">
              <w:rPr>
                <w:sz w:val="20"/>
                <w:szCs w:val="20"/>
                <w:lang w:eastAsia="en-AU"/>
              </w:rPr>
              <w:t>What are the similarities/differences between the L&amp;J sector in Australia and Samoa?</w:t>
            </w:r>
          </w:p>
          <w:p w:rsidR="00135C58" w:rsidRPr="00135C58" w:rsidRDefault="00135C58" w:rsidP="00BF0FE1">
            <w:pPr>
              <w:rPr>
                <w:sz w:val="20"/>
                <w:szCs w:val="20"/>
                <w:lang w:eastAsia="en-AU"/>
              </w:rPr>
            </w:pPr>
            <w:r w:rsidRPr="00135C58">
              <w:rPr>
                <w:sz w:val="20"/>
                <w:szCs w:val="20"/>
                <w:lang w:eastAsia="en-AU"/>
              </w:rPr>
              <w:t>What other countries have similar L&amp;J systems to Samoa?</w:t>
            </w:r>
          </w:p>
          <w:p w:rsidR="00135C58" w:rsidRPr="00135C58" w:rsidRDefault="00135C58" w:rsidP="00BF0FE1">
            <w:pPr>
              <w:rPr>
                <w:sz w:val="20"/>
                <w:szCs w:val="20"/>
                <w:lang w:eastAsia="en-AU"/>
              </w:rPr>
            </w:pPr>
            <w:r w:rsidRPr="00135C58">
              <w:rPr>
                <w:sz w:val="20"/>
                <w:szCs w:val="20"/>
                <w:lang w:eastAsia="en-AU"/>
              </w:rPr>
              <w:t>How is the way Australia works with the L&amp;J sector different to the way New Zealand works?</w:t>
            </w:r>
          </w:p>
          <w:p w:rsidR="00135C58" w:rsidRPr="00135C58" w:rsidRDefault="00135C58" w:rsidP="00BF0FE1">
            <w:pPr>
              <w:rPr>
                <w:sz w:val="20"/>
                <w:szCs w:val="20"/>
                <w:lang w:eastAsia="en-AU"/>
              </w:rPr>
            </w:pPr>
            <w:r w:rsidRPr="00135C58">
              <w:rPr>
                <w:sz w:val="20"/>
                <w:szCs w:val="20"/>
                <w:lang w:eastAsia="en-AU"/>
              </w:rPr>
              <w:t>Did the support align with Samoa's L&amp;J Sector Plan? Why/why not?</w:t>
            </w:r>
          </w:p>
        </w:tc>
      </w:tr>
      <w:tr w:rsidR="00135C58" w:rsidTr="00BF0FE1">
        <w:trPr>
          <w:trHeight w:val="2150"/>
        </w:trPr>
        <w:tc>
          <w:tcPr>
            <w:tcW w:w="2582" w:type="dxa"/>
            <w:tcBorders>
              <w:top w:val="nil"/>
              <w:left w:val="single" w:sz="12" w:space="0" w:color="auto"/>
              <w:bottom w:val="single" w:sz="12" w:space="0" w:color="auto"/>
              <w:right w:val="single" w:sz="4" w:space="0" w:color="auto"/>
            </w:tcBorders>
          </w:tcPr>
          <w:p w:rsidR="00135C58" w:rsidRPr="00135C58" w:rsidRDefault="00135C58" w:rsidP="00BF0FE1">
            <w:pPr>
              <w:rPr>
                <w:sz w:val="20"/>
                <w:szCs w:val="20"/>
                <w:lang w:eastAsia="en-AU"/>
              </w:rPr>
            </w:pPr>
            <w:r w:rsidRPr="00135C58">
              <w:rPr>
                <w:sz w:val="20"/>
                <w:szCs w:val="20"/>
                <w:lang w:eastAsia="en-AU"/>
              </w:rPr>
              <w:t>7.        Innovation and private sector: did the program include any innovative approaches? If so, what lessons were learnt? How was the role of the private sector in the law and justice sector recognized? What lessons were learnt?</w:t>
            </w:r>
          </w:p>
        </w:tc>
        <w:tc>
          <w:tcPr>
            <w:tcW w:w="7229" w:type="dxa"/>
            <w:tcBorders>
              <w:top w:val="nil"/>
              <w:left w:val="single" w:sz="4" w:space="0" w:color="auto"/>
              <w:bottom w:val="single" w:sz="12" w:space="0" w:color="auto"/>
              <w:right w:val="single" w:sz="12" w:space="0" w:color="auto"/>
            </w:tcBorders>
          </w:tcPr>
          <w:p w:rsidR="00135C58" w:rsidRPr="00135C58" w:rsidRDefault="00135C58" w:rsidP="00BF0FE1">
            <w:pPr>
              <w:rPr>
                <w:sz w:val="20"/>
                <w:szCs w:val="20"/>
                <w:lang w:eastAsia="en-AU"/>
              </w:rPr>
            </w:pPr>
            <w:r w:rsidRPr="00135C58">
              <w:rPr>
                <w:sz w:val="20"/>
                <w:szCs w:val="20"/>
                <w:lang w:eastAsia="en-AU"/>
              </w:rPr>
              <w:t xml:space="preserve">Drawn from previous answers - nothing additional </w:t>
            </w:r>
          </w:p>
        </w:tc>
      </w:tr>
    </w:tbl>
    <w:p w:rsidR="00B76F85" w:rsidRDefault="00B76F85" w:rsidP="003B0CFC">
      <w:pPr>
        <w:pStyle w:val="Heading2a"/>
      </w:pPr>
    </w:p>
    <w:p w:rsidR="003B0CFC" w:rsidRDefault="00B76F85" w:rsidP="003B0CFC">
      <w:pPr>
        <w:pStyle w:val="Heading2a"/>
      </w:pPr>
      <w:r>
        <w:br w:type="page"/>
      </w:r>
      <w:r w:rsidR="00AC3268">
        <w:lastRenderedPageBreak/>
        <w:t>Interviewees</w:t>
      </w:r>
    </w:p>
    <w:tbl>
      <w:tblPr>
        <w:tblW w:w="0" w:type="auto"/>
        <w:jc w:val="center"/>
        <w:tblBorders>
          <w:top w:val="single" w:sz="4" w:space="0" w:color="007FAD"/>
          <w:bottom w:val="single" w:sz="4" w:space="0" w:color="007FAD"/>
          <w:insideH w:val="single" w:sz="4" w:space="0" w:color="007FAD"/>
        </w:tblBorders>
        <w:tblLayout w:type="fixed"/>
        <w:tblCellMar>
          <w:top w:w="85" w:type="dxa"/>
          <w:bottom w:w="85" w:type="dxa"/>
        </w:tblCellMar>
        <w:tblLook w:val="04A0" w:firstRow="1" w:lastRow="0" w:firstColumn="1" w:lastColumn="0" w:noHBand="0" w:noVBand="1"/>
      </w:tblPr>
      <w:tblGrid>
        <w:gridCol w:w="1418"/>
        <w:gridCol w:w="1984"/>
        <w:gridCol w:w="2552"/>
        <w:gridCol w:w="1701"/>
        <w:gridCol w:w="1276"/>
      </w:tblGrid>
      <w:tr w:rsidR="00B76F85" w:rsidRPr="00C17510" w:rsidTr="00C17510">
        <w:trPr>
          <w:cantSplit/>
          <w:tblHeader/>
          <w:jc w:val="center"/>
        </w:trPr>
        <w:tc>
          <w:tcPr>
            <w:tcW w:w="1418" w:type="dxa"/>
            <w:shd w:val="clear" w:color="auto" w:fill="007FAD"/>
          </w:tcPr>
          <w:p w:rsidR="00B76F85" w:rsidRPr="00C17510" w:rsidRDefault="00B76F85" w:rsidP="00C17510">
            <w:pPr>
              <w:spacing w:before="0"/>
              <w:rPr>
                <w:b/>
                <w:color w:val="FFFFFF"/>
                <w:sz w:val="18"/>
              </w:rPr>
            </w:pPr>
            <w:r w:rsidRPr="00C17510">
              <w:rPr>
                <w:b/>
                <w:color w:val="FFFFFF"/>
                <w:sz w:val="18"/>
              </w:rPr>
              <w:t>Names</w:t>
            </w:r>
          </w:p>
        </w:tc>
        <w:tc>
          <w:tcPr>
            <w:tcW w:w="1984" w:type="dxa"/>
            <w:shd w:val="clear" w:color="auto" w:fill="007FAD"/>
          </w:tcPr>
          <w:p w:rsidR="00B76F85" w:rsidRPr="00C17510" w:rsidRDefault="00B76F85" w:rsidP="00C17510">
            <w:pPr>
              <w:spacing w:before="0"/>
              <w:rPr>
                <w:b/>
                <w:color w:val="FFFFFF"/>
                <w:sz w:val="18"/>
              </w:rPr>
            </w:pPr>
            <w:r w:rsidRPr="00C17510">
              <w:rPr>
                <w:b/>
                <w:color w:val="FFFFFF"/>
                <w:sz w:val="18"/>
              </w:rPr>
              <w:t>Organisation</w:t>
            </w:r>
          </w:p>
        </w:tc>
        <w:tc>
          <w:tcPr>
            <w:tcW w:w="2552" w:type="dxa"/>
            <w:shd w:val="clear" w:color="auto" w:fill="007FAD"/>
          </w:tcPr>
          <w:p w:rsidR="00B76F85" w:rsidRPr="00C17510" w:rsidRDefault="00B76F85" w:rsidP="00C17510">
            <w:pPr>
              <w:spacing w:before="0"/>
              <w:rPr>
                <w:b/>
                <w:color w:val="FFFFFF"/>
                <w:sz w:val="18"/>
              </w:rPr>
            </w:pPr>
            <w:r w:rsidRPr="00C17510">
              <w:rPr>
                <w:b/>
                <w:color w:val="FFFFFF"/>
                <w:sz w:val="18"/>
              </w:rPr>
              <w:t>Position</w:t>
            </w:r>
          </w:p>
        </w:tc>
        <w:tc>
          <w:tcPr>
            <w:tcW w:w="1701" w:type="dxa"/>
            <w:shd w:val="clear" w:color="auto" w:fill="007FAD"/>
          </w:tcPr>
          <w:p w:rsidR="00B76F85" w:rsidRPr="00C17510" w:rsidRDefault="00B76F85" w:rsidP="00C17510">
            <w:pPr>
              <w:spacing w:before="0"/>
              <w:rPr>
                <w:b/>
                <w:color w:val="FFFFFF"/>
                <w:sz w:val="18"/>
              </w:rPr>
            </w:pPr>
            <w:r w:rsidRPr="00C17510">
              <w:rPr>
                <w:b/>
                <w:color w:val="FFFFFF"/>
                <w:sz w:val="18"/>
              </w:rPr>
              <w:t>Email</w:t>
            </w:r>
          </w:p>
        </w:tc>
        <w:tc>
          <w:tcPr>
            <w:tcW w:w="1276" w:type="dxa"/>
            <w:shd w:val="clear" w:color="auto" w:fill="007FAD"/>
          </w:tcPr>
          <w:p w:rsidR="00B76F85" w:rsidRPr="00C17510" w:rsidRDefault="00B76F85" w:rsidP="00C17510">
            <w:pPr>
              <w:spacing w:before="0"/>
              <w:rPr>
                <w:b/>
                <w:color w:val="FFFFFF"/>
                <w:sz w:val="18"/>
              </w:rPr>
            </w:pPr>
            <w:r w:rsidRPr="00C17510">
              <w:rPr>
                <w:b/>
                <w:color w:val="FFFFFF"/>
                <w:sz w:val="18"/>
              </w:rPr>
              <w:t>Mobile/Phone</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Tuatagaloa</w:t>
            </w:r>
            <w:proofErr w:type="spellEnd"/>
            <w:r w:rsidRPr="00C17510">
              <w:rPr>
                <w:sz w:val="18"/>
              </w:rPr>
              <w:t xml:space="preserve"> </w:t>
            </w:r>
            <w:proofErr w:type="spellStart"/>
            <w:r w:rsidRPr="00C17510">
              <w:rPr>
                <w:sz w:val="18"/>
              </w:rPr>
              <w:t>Aumua</w:t>
            </w:r>
            <w:proofErr w:type="spellEnd"/>
            <w:r w:rsidRPr="00C17510">
              <w:rPr>
                <w:sz w:val="18"/>
              </w:rPr>
              <w:t xml:space="preserve"> Ming C. Leung Wai</w:t>
            </w:r>
          </w:p>
        </w:tc>
        <w:tc>
          <w:tcPr>
            <w:tcW w:w="1984" w:type="dxa"/>
            <w:shd w:val="clear" w:color="auto" w:fill="FFFFFF"/>
          </w:tcPr>
          <w:p w:rsidR="00B76F85" w:rsidRPr="00C17510" w:rsidRDefault="00B76F85" w:rsidP="00C17510">
            <w:pPr>
              <w:spacing w:before="0"/>
              <w:rPr>
                <w:sz w:val="18"/>
              </w:rPr>
            </w:pPr>
            <w:r w:rsidRPr="00C17510">
              <w:rPr>
                <w:sz w:val="18"/>
              </w:rPr>
              <w:t>Attorney General’s Office (AGO)</w:t>
            </w:r>
          </w:p>
        </w:tc>
        <w:tc>
          <w:tcPr>
            <w:tcW w:w="2552" w:type="dxa"/>
            <w:shd w:val="clear" w:color="auto" w:fill="FFFFFF"/>
          </w:tcPr>
          <w:p w:rsidR="00B76F85" w:rsidRPr="00C17510" w:rsidRDefault="00B76F85" w:rsidP="00C17510">
            <w:pPr>
              <w:spacing w:before="0"/>
              <w:rPr>
                <w:sz w:val="18"/>
              </w:rPr>
            </w:pPr>
            <w:r w:rsidRPr="00C17510">
              <w:rPr>
                <w:sz w:val="18"/>
              </w:rPr>
              <w:t>Attorney General &amp; Chairman, SLJS Steering Committee</w:t>
            </w:r>
          </w:p>
        </w:tc>
        <w:tc>
          <w:tcPr>
            <w:tcW w:w="1701" w:type="dxa"/>
            <w:shd w:val="clear" w:color="auto" w:fill="FFFFFF"/>
          </w:tcPr>
          <w:p w:rsidR="00B76F85" w:rsidRPr="00C17510" w:rsidRDefault="00B76F85" w:rsidP="00C17510">
            <w:pPr>
              <w:spacing w:before="0"/>
              <w:rPr>
                <w:sz w:val="18"/>
              </w:rPr>
            </w:pPr>
            <w:proofErr w:type="spellStart"/>
            <w:r w:rsidRPr="00C17510">
              <w:rPr>
                <w:sz w:val="18"/>
              </w:rPr>
              <w:t>mingleungwai@ag.gov.ws;attorney.general@ag.gov.ws</w:t>
            </w:r>
            <w:proofErr w:type="spellEnd"/>
          </w:p>
        </w:tc>
        <w:tc>
          <w:tcPr>
            <w:tcW w:w="1276" w:type="dxa"/>
            <w:shd w:val="clear" w:color="auto" w:fill="FFFFFF"/>
          </w:tcPr>
          <w:p w:rsidR="00B76F85" w:rsidRPr="00C17510" w:rsidRDefault="00B76F85" w:rsidP="00C17510">
            <w:pPr>
              <w:spacing w:before="0"/>
              <w:rPr>
                <w:sz w:val="18"/>
              </w:rPr>
            </w:pPr>
            <w:r w:rsidRPr="00C17510">
              <w:rPr>
                <w:sz w:val="18"/>
              </w:rPr>
              <w:t>Ph:20295</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Precious Chang</w:t>
            </w:r>
          </w:p>
        </w:tc>
        <w:tc>
          <w:tcPr>
            <w:tcW w:w="1984" w:type="dxa"/>
            <w:shd w:val="clear" w:color="auto" w:fill="FFFFFF"/>
          </w:tcPr>
          <w:p w:rsidR="00B76F85" w:rsidRPr="00C17510" w:rsidRDefault="00B76F85" w:rsidP="00C17510">
            <w:pPr>
              <w:spacing w:before="0"/>
              <w:rPr>
                <w:sz w:val="18"/>
              </w:rPr>
            </w:pPr>
            <w:r w:rsidRPr="00C17510">
              <w:rPr>
                <w:sz w:val="18"/>
              </w:rPr>
              <w:t>AGO</w:t>
            </w:r>
          </w:p>
        </w:tc>
        <w:tc>
          <w:tcPr>
            <w:tcW w:w="2552" w:type="dxa"/>
            <w:shd w:val="clear" w:color="auto" w:fill="FFFFFF"/>
          </w:tcPr>
          <w:p w:rsidR="00B76F85" w:rsidRPr="00C17510" w:rsidRDefault="00B76F85" w:rsidP="00C17510">
            <w:pPr>
              <w:spacing w:before="0"/>
              <w:rPr>
                <w:sz w:val="18"/>
              </w:rPr>
            </w:pPr>
            <w:r w:rsidRPr="00C17510">
              <w:rPr>
                <w:sz w:val="18"/>
              </w:rPr>
              <w:t>AAG, Prosecution</w:t>
            </w:r>
          </w:p>
        </w:tc>
        <w:tc>
          <w:tcPr>
            <w:tcW w:w="1701" w:type="dxa"/>
            <w:shd w:val="clear" w:color="auto" w:fill="FFFFFF"/>
          </w:tcPr>
          <w:p w:rsidR="00B76F85" w:rsidRPr="00C17510" w:rsidRDefault="00B76F85" w:rsidP="00C17510">
            <w:pPr>
              <w:spacing w:before="0"/>
              <w:rPr>
                <w:sz w:val="18"/>
              </w:rPr>
            </w:pPr>
            <w:r w:rsidRPr="00C17510">
              <w:rPr>
                <w:sz w:val="18"/>
              </w:rPr>
              <w:t>precious.chang@ag.gov.ws</w:t>
            </w:r>
          </w:p>
        </w:tc>
        <w:tc>
          <w:tcPr>
            <w:tcW w:w="1276" w:type="dxa"/>
            <w:shd w:val="clear" w:color="auto" w:fill="FFFFFF"/>
          </w:tcPr>
          <w:p w:rsidR="00B76F85" w:rsidRPr="00C17510" w:rsidRDefault="00B76F85" w:rsidP="00C17510">
            <w:pPr>
              <w:spacing w:before="0"/>
              <w:rPr>
                <w:sz w:val="18"/>
              </w:rPr>
            </w:pPr>
            <w:r w:rsidRPr="00C17510">
              <w:rPr>
                <w:sz w:val="18"/>
              </w:rPr>
              <w:t>Ph:20295</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Manusamoa</w:t>
            </w:r>
            <w:proofErr w:type="spellEnd"/>
            <w:r w:rsidRPr="00C17510">
              <w:rPr>
                <w:sz w:val="18"/>
              </w:rPr>
              <w:t xml:space="preserve"> Christine </w:t>
            </w:r>
            <w:proofErr w:type="spellStart"/>
            <w:r w:rsidRPr="00C17510">
              <w:rPr>
                <w:sz w:val="18"/>
              </w:rPr>
              <w:t>Saaga</w:t>
            </w:r>
            <w:proofErr w:type="spellEnd"/>
          </w:p>
        </w:tc>
        <w:tc>
          <w:tcPr>
            <w:tcW w:w="1984" w:type="dxa"/>
            <w:shd w:val="clear" w:color="auto" w:fill="FFFFFF"/>
          </w:tcPr>
          <w:p w:rsidR="00B76F85" w:rsidRPr="00C17510" w:rsidRDefault="00B76F85" w:rsidP="00C17510">
            <w:pPr>
              <w:spacing w:before="0"/>
              <w:rPr>
                <w:sz w:val="18"/>
              </w:rPr>
            </w:pPr>
            <w:r w:rsidRPr="00C17510">
              <w:rPr>
                <w:sz w:val="18"/>
              </w:rPr>
              <w:t>AGO</w:t>
            </w:r>
          </w:p>
        </w:tc>
        <w:tc>
          <w:tcPr>
            <w:tcW w:w="2552" w:type="dxa"/>
            <w:shd w:val="clear" w:color="auto" w:fill="FFFFFF"/>
          </w:tcPr>
          <w:p w:rsidR="00B76F85" w:rsidRPr="00C17510" w:rsidRDefault="00B76F85" w:rsidP="00C17510">
            <w:pPr>
              <w:spacing w:before="0"/>
              <w:rPr>
                <w:sz w:val="18"/>
              </w:rPr>
            </w:pPr>
            <w:r w:rsidRPr="00C17510">
              <w:rPr>
                <w:sz w:val="18"/>
              </w:rPr>
              <w:t>ACEO Corporate Services</w:t>
            </w:r>
          </w:p>
        </w:tc>
        <w:tc>
          <w:tcPr>
            <w:tcW w:w="1701" w:type="dxa"/>
            <w:shd w:val="clear" w:color="auto" w:fill="FFFFFF"/>
          </w:tcPr>
          <w:p w:rsidR="00B76F85" w:rsidRPr="00C17510" w:rsidRDefault="00B76F85" w:rsidP="00C17510">
            <w:pPr>
              <w:spacing w:before="0"/>
              <w:rPr>
                <w:sz w:val="18"/>
              </w:rPr>
            </w:pPr>
            <w:r w:rsidRPr="00C17510">
              <w:rPr>
                <w:sz w:val="18"/>
              </w:rPr>
              <w:t>christine.saaga@ag.gov.ws</w:t>
            </w:r>
          </w:p>
        </w:tc>
        <w:tc>
          <w:tcPr>
            <w:tcW w:w="1276" w:type="dxa"/>
            <w:shd w:val="clear" w:color="auto" w:fill="FFFFFF"/>
          </w:tcPr>
          <w:p w:rsidR="00B76F85" w:rsidRPr="00C17510" w:rsidRDefault="00B76F85" w:rsidP="00C17510">
            <w:pPr>
              <w:spacing w:before="0"/>
              <w:rPr>
                <w:sz w:val="18"/>
              </w:rPr>
            </w:pPr>
            <w:r w:rsidRPr="00C17510">
              <w:rPr>
                <w:sz w:val="18"/>
              </w:rPr>
              <w:t>Ph:20295 Mob:7784253</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 xml:space="preserve">Muriel </w:t>
            </w:r>
            <w:proofErr w:type="spellStart"/>
            <w:r w:rsidRPr="00C17510">
              <w:rPr>
                <w:sz w:val="18"/>
              </w:rPr>
              <w:t>Lui</w:t>
            </w:r>
            <w:proofErr w:type="spellEnd"/>
          </w:p>
        </w:tc>
        <w:tc>
          <w:tcPr>
            <w:tcW w:w="1984" w:type="dxa"/>
            <w:shd w:val="clear" w:color="auto" w:fill="FFFFFF"/>
          </w:tcPr>
          <w:p w:rsidR="00B76F85" w:rsidRPr="00C17510" w:rsidRDefault="00B76F85" w:rsidP="00C17510">
            <w:pPr>
              <w:spacing w:before="0"/>
              <w:rPr>
                <w:sz w:val="18"/>
              </w:rPr>
            </w:pPr>
            <w:r w:rsidRPr="00C17510">
              <w:rPr>
                <w:sz w:val="18"/>
              </w:rPr>
              <w:t>AGO</w:t>
            </w:r>
          </w:p>
        </w:tc>
        <w:tc>
          <w:tcPr>
            <w:tcW w:w="2552" w:type="dxa"/>
            <w:shd w:val="clear" w:color="auto" w:fill="FFFFFF"/>
          </w:tcPr>
          <w:p w:rsidR="00B76F85" w:rsidRPr="00C17510" w:rsidRDefault="00B76F85" w:rsidP="00C17510">
            <w:pPr>
              <w:spacing w:before="0"/>
              <w:rPr>
                <w:sz w:val="18"/>
              </w:rPr>
            </w:pPr>
            <w:r w:rsidRPr="00C17510">
              <w:rPr>
                <w:sz w:val="18"/>
              </w:rPr>
              <w:t>Assistant Attorney General (AAG)</w:t>
            </w:r>
          </w:p>
        </w:tc>
        <w:tc>
          <w:tcPr>
            <w:tcW w:w="1701" w:type="dxa"/>
            <w:shd w:val="clear" w:color="auto" w:fill="FFFFFF"/>
          </w:tcPr>
          <w:p w:rsidR="00B76F85" w:rsidRPr="00C17510" w:rsidRDefault="00B76F85" w:rsidP="00C17510">
            <w:pPr>
              <w:spacing w:before="0"/>
              <w:rPr>
                <w:sz w:val="18"/>
              </w:rPr>
            </w:pPr>
            <w:r w:rsidRPr="00C17510">
              <w:rPr>
                <w:sz w:val="18"/>
              </w:rPr>
              <w:t>muriel.lui@ag.gov.ws</w:t>
            </w:r>
          </w:p>
        </w:tc>
        <w:tc>
          <w:tcPr>
            <w:tcW w:w="1276" w:type="dxa"/>
            <w:shd w:val="clear" w:color="auto" w:fill="FFFFFF"/>
          </w:tcPr>
          <w:p w:rsidR="00B76F85" w:rsidRPr="00C17510" w:rsidRDefault="00B76F85" w:rsidP="00C17510">
            <w:pPr>
              <w:spacing w:before="0"/>
              <w:rPr>
                <w:sz w:val="18"/>
              </w:rPr>
            </w:pPr>
            <w:r w:rsidRPr="00C17510">
              <w:rPr>
                <w:sz w:val="18"/>
              </w:rPr>
              <w:t>Ph:20295</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 xml:space="preserve">Loretta </w:t>
            </w:r>
            <w:proofErr w:type="spellStart"/>
            <w:r w:rsidRPr="00C17510">
              <w:rPr>
                <w:sz w:val="18"/>
              </w:rPr>
              <w:t>Afamasaga</w:t>
            </w:r>
            <w:proofErr w:type="spellEnd"/>
          </w:p>
        </w:tc>
        <w:tc>
          <w:tcPr>
            <w:tcW w:w="1984" w:type="dxa"/>
            <w:shd w:val="clear" w:color="auto" w:fill="FFFFFF"/>
          </w:tcPr>
          <w:p w:rsidR="00B76F85" w:rsidRPr="00C17510" w:rsidRDefault="00B76F85" w:rsidP="00C17510">
            <w:pPr>
              <w:spacing w:before="0"/>
              <w:rPr>
                <w:sz w:val="18"/>
              </w:rPr>
            </w:pPr>
            <w:r w:rsidRPr="00C17510">
              <w:rPr>
                <w:sz w:val="18"/>
              </w:rPr>
              <w:t xml:space="preserve">AGO </w:t>
            </w:r>
          </w:p>
        </w:tc>
        <w:tc>
          <w:tcPr>
            <w:tcW w:w="2552" w:type="dxa"/>
            <w:shd w:val="clear" w:color="auto" w:fill="FFFFFF"/>
          </w:tcPr>
          <w:p w:rsidR="00B76F85" w:rsidRPr="00C17510" w:rsidRDefault="00B76F85" w:rsidP="00C17510">
            <w:pPr>
              <w:spacing w:before="0"/>
              <w:rPr>
                <w:sz w:val="18"/>
              </w:rPr>
            </w:pPr>
            <w:r w:rsidRPr="00C17510">
              <w:rPr>
                <w:sz w:val="18"/>
              </w:rPr>
              <w:t>Parliamentary Counsel</w:t>
            </w:r>
          </w:p>
        </w:tc>
        <w:tc>
          <w:tcPr>
            <w:tcW w:w="1701" w:type="dxa"/>
            <w:shd w:val="clear" w:color="auto" w:fill="FFFFFF"/>
          </w:tcPr>
          <w:p w:rsidR="00B76F85" w:rsidRPr="00C17510" w:rsidRDefault="00B76F85" w:rsidP="00C17510">
            <w:pPr>
              <w:spacing w:before="0"/>
              <w:rPr>
                <w:sz w:val="18"/>
              </w:rPr>
            </w:pPr>
            <w:r w:rsidRPr="00C17510">
              <w:rPr>
                <w:sz w:val="18"/>
              </w:rPr>
              <w:t>loretta.afamasaga@ag.gov.ws</w:t>
            </w:r>
          </w:p>
        </w:tc>
        <w:tc>
          <w:tcPr>
            <w:tcW w:w="1276" w:type="dxa"/>
            <w:shd w:val="clear" w:color="auto" w:fill="FFFFFF"/>
          </w:tcPr>
          <w:p w:rsidR="00B76F85" w:rsidRPr="00C17510" w:rsidRDefault="00B76F85" w:rsidP="00C17510">
            <w:pPr>
              <w:spacing w:before="0"/>
              <w:rPr>
                <w:sz w:val="18"/>
              </w:rPr>
            </w:pPr>
            <w:r w:rsidRPr="00C17510">
              <w:rPr>
                <w:sz w:val="18"/>
              </w:rPr>
              <w:t>Ph:20295</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 xml:space="preserve">Pastor Sale </w:t>
            </w:r>
            <w:proofErr w:type="spellStart"/>
            <w:r w:rsidRPr="00C17510">
              <w:rPr>
                <w:sz w:val="18"/>
              </w:rPr>
              <w:t>Uelese</w:t>
            </w:r>
            <w:proofErr w:type="spellEnd"/>
          </w:p>
        </w:tc>
        <w:tc>
          <w:tcPr>
            <w:tcW w:w="1984" w:type="dxa"/>
            <w:shd w:val="clear" w:color="auto" w:fill="FFFFFF"/>
          </w:tcPr>
          <w:p w:rsidR="00B76F85" w:rsidRPr="00C17510" w:rsidRDefault="00B76F85" w:rsidP="00C17510">
            <w:pPr>
              <w:spacing w:before="0"/>
              <w:rPr>
                <w:sz w:val="18"/>
              </w:rPr>
            </w:pPr>
            <w:r w:rsidRPr="00C17510">
              <w:rPr>
                <w:sz w:val="18"/>
              </w:rPr>
              <w:t xml:space="preserve">Assembly of God, </w:t>
            </w:r>
            <w:proofErr w:type="spellStart"/>
            <w:r w:rsidRPr="00C17510">
              <w:rPr>
                <w:sz w:val="18"/>
              </w:rPr>
              <w:t>Satapuala</w:t>
            </w:r>
            <w:proofErr w:type="spellEnd"/>
          </w:p>
        </w:tc>
        <w:tc>
          <w:tcPr>
            <w:tcW w:w="2552" w:type="dxa"/>
            <w:shd w:val="clear" w:color="auto" w:fill="FFFFFF"/>
          </w:tcPr>
          <w:p w:rsidR="00B76F85" w:rsidRPr="00C17510" w:rsidRDefault="00B76F85" w:rsidP="00C17510">
            <w:pPr>
              <w:spacing w:before="0"/>
              <w:rPr>
                <w:sz w:val="18"/>
              </w:rPr>
            </w:pPr>
            <w:r w:rsidRPr="00C17510">
              <w:rPr>
                <w:sz w:val="18"/>
              </w:rPr>
              <w:t>Pastor and Probation Supervisor</w:t>
            </w:r>
          </w:p>
        </w:tc>
        <w:tc>
          <w:tcPr>
            <w:tcW w:w="1701" w:type="dxa"/>
            <w:shd w:val="clear" w:color="auto" w:fill="FFFFFF"/>
          </w:tcPr>
          <w:p w:rsidR="00B76F85" w:rsidRPr="00C17510" w:rsidRDefault="00B76F85" w:rsidP="00C17510">
            <w:pPr>
              <w:spacing w:before="0"/>
              <w:rPr>
                <w:sz w:val="18"/>
              </w:rPr>
            </w:pPr>
          </w:p>
        </w:tc>
        <w:tc>
          <w:tcPr>
            <w:tcW w:w="1276" w:type="dxa"/>
            <w:shd w:val="clear" w:color="auto" w:fill="FFFFFF"/>
          </w:tcPr>
          <w:p w:rsidR="00B76F85" w:rsidRPr="00C17510" w:rsidRDefault="00B76F85" w:rsidP="00C17510">
            <w:pPr>
              <w:spacing w:before="0"/>
              <w:rPr>
                <w:sz w:val="18"/>
              </w:rPr>
            </w:pPr>
            <w:r w:rsidRPr="00C17510">
              <w:rPr>
                <w:sz w:val="18"/>
              </w:rPr>
              <w:t>Mob:7244122</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Sue Langford</w:t>
            </w:r>
          </w:p>
        </w:tc>
        <w:tc>
          <w:tcPr>
            <w:tcW w:w="1984" w:type="dxa"/>
            <w:shd w:val="clear" w:color="auto" w:fill="FFFFFF"/>
          </w:tcPr>
          <w:p w:rsidR="00B76F85" w:rsidRPr="00C17510" w:rsidRDefault="00B76F85" w:rsidP="00C17510">
            <w:pPr>
              <w:spacing w:before="0"/>
              <w:rPr>
                <w:sz w:val="18"/>
              </w:rPr>
            </w:pPr>
            <w:r w:rsidRPr="00C17510">
              <w:rPr>
                <w:sz w:val="18"/>
              </w:rPr>
              <w:t>Australia Department of Foreign Affairs and Trade (DFAT)</w:t>
            </w:r>
          </w:p>
        </w:tc>
        <w:tc>
          <w:tcPr>
            <w:tcW w:w="2552" w:type="dxa"/>
            <w:shd w:val="clear" w:color="auto" w:fill="FFFFFF"/>
          </w:tcPr>
          <w:p w:rsidR="00B76F85" w:rsidRPr="00C17510" w:rsidRDefault="00B76F85" w:rsidP="00C17510">
            <w:pPr>
              <w:spacing w:before="0"/>
              <w:rPr>
                <w:sz w:val="18"/>
              </w:rPr>
            </w:pPr>
            <w:r w:rsidRPr="00C17510">
              <w:rPr>
                <w:sz w:val="18"/>
              </w:rPr>
              <w:t>High Commissioner</w:t>
            </w:r>
          </w:p>
        </w:tc>
        <w:tc>
          <w:tcPr>
            <w:tcW w:w="1701" w:type="dxa"/>
            <w:shd w:val="clear" w:color="auto" w:fill="FFFFFF"/>
          </w:tcPr>
          <w:p w:rsidR="00B76F85" w:rsidRPr="00C17510" w:rsidRDefault="00B76F85" w:rsidP="00C17510">
            <w:pPr>
              <w:spacing w:before="0"/>
              <w:rPr>
                <w:sz w:val="18"/>
              </w:rPr>
            </w:pPr>
            <w:r w:rsidRPr="00C17510">
              <w:rPr>
                <w:sz w:val="18"/>
              </w:rPr>
              <w:t>Sue.Langford@dfat.gov.ws</w:t>
            </w:r>
          </w:p>
        </w:tc>
        <w:tc>
          <w:tcPr>
            <w:tcW w:w="1276" w:type="dxa"/>
            <w:shd w:val="clear" w:color="auto" w:fill="FFFFFF"/>
          </w:tcPr>
          <w:p w:rsidR="00B76F85" w:rsidRPr="00C17510" w:rsidRDefault="00B76F85" w:rsidP="00C17510">
            <w:pPr>
              <w:spacing w:before="0"/>
              <w:rPr>
                <w:sz w:val="18"/>
              </w:rPr>
            </w:pPr>
            <w:r w:rsidRPr="00C17510">
              <w:rPr>
                <w:sz w:val="18"/>
              </w:rPr>
              <w:t>Ph.23411</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Rosemary McKay</w:t>
            </w:r>
          </w:p>
        </w:tc>
        <w:tc>
          <w:tcPr>
            <w:tcW w:w="1984" w:type="dxa"/>
            <w:shd w:val="clear" w:color="auto" w:fill="FFFFFF"/>
          </w:tcPr>
          <w:p w:rsidR="00B76F85" w:rsidRPr="00C17510" w:rsidRDefault="00B76F85" w:rsidP="00C17510">
            <w:pPr>
              <w:spacing w:before="0"/>
              <w:rPr>
                <w:sz w:val="18"/>
              </w:rPr>
            </w:pPr>
            <w:r w:rsidRPr="00C17510">
              <w:rPr>
                <w:sz w:val="18"/>
              </w:rPr>
              <w:t>DFAT</w:t>
            </w:r>
          </w:p>
        </w:tc>
        <w:tc>
          <w:tcPr>
            <w:tcW w:w="2552" w:type="dxa"/>
            <w:shd w:val="clear" w:color="auto" w:fill="FFFFFF"/>
          </w:tcPr>
          <w:p w:rsidR="00B76F85" w:rsidRPr="00C17510" w:rsidRDefault="00B76F85" w:rsidP="00C17510">
            <w:pPr>
              <w:spacing w:before="0"/>
              <w:rPr>
                <w:sz w:val="18"/>
              </w:rPr>
            </w:pPr>
            <w:r w:rsidRPr="00C17510">
              <w:rPr>
                <w:sz w:val="18"/>
              </w:rPr>
              <w:t>Deputy High Commissioner</w:t>
            </w:r>
          </w:p>
        </w:tc>
        <w:tc>
          <w:tcPr>
            <w:tcW w:w="1701" w:type="dxa"/>
            <w:shd w:val="clear" w:color="auto" w:fill="FFFFFF"/>
          </w:tcPr>
          <w:p w:rsidR="00B76F85" w:rsidRPr="00C17510" w:rsidRDefault="00B76F85" w:rsidP="00C17510">
            <w:pPr>
              <w:spacing w:before="0"/>
              <w:rPr>
                <w:sz w:val="18"/>
              </w:rPr>
            </w:pPr>
            <w:r w:rsidRPr="00C17510">
              <w:rPr>
                <w:sz w:val="18"/>
              </w:rPr>
              <w:t>Rosemary.McKay@dfat.gov.au</w:t>
            </w:r>
          </w:p>
        </w:tc>
        <w:tc>
          <w:tcPr>
            <w:tcW w:w="1276" w:type="dxa"/>
            <w:shd w:val="clear" w:color="auto" w:fill="FFFFFF"/>
          </w:tcPr>
          <w:p w:rsidR="00B76F85" w:rsidRPr="00C17510" w:rsidRDefault="00B76F85" w:rsidP="00C17510">
            <w:pPr>
              <w:spacing w:before="0"/>
              <w:rPr>
                <w:sz w:val="18"/>
              </w:rPr>
            </w:pPr>
            <w:r w:rsidRPr="00C17510">
              <w:rPr>
                <w:sz w:val="18"/>
              </w:rPr>
              <w:t>Ph:23411</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Clyde Hamilton</w:t>
            </w:r>
          </w:p>
        </w:tc>
        <w:tc>
          <w:tcPr>
            <w:tcW w:w="1984" w:type="dxa"/>
            <w:shd w:val="clear" w:color="auto" w:fill="FFFFFF"/>
          </w:tcPr>
          <w:p w:rsidR="00B76F85" w:rsidRPr="00C17510" w:rsidRDefault="00B76F85" w:rsidP="00C17510">
            <w:pPr>
              <w:spacing w:before="0"/>
              <w:rPr>
                <w:sz w:val="18"/>
              </w:rPr>
            </w:pPr>
            <w:r w:rsidRPr="00C17510">
              <w:rPr>
                <w:sz w:val="18"/>
              </w:rPr>
              <w:t>DFAT</w:t>
            </w:r>
          </w:p>
        </w:tc>
        <w:tc>
          <w:tcPr>
            <w:tcW w:w="2552" w:type="dxa"/>
            <w:shd w:val="clear" w:color="auto" w:fill="FFFFFF"/>
          </w:tcPr>
          <w:p w:rsidR="00B76F85" w:rsidRPr="00C17510" w:rsidRDefault="00B76F85" w:rsidP="00C17510">
            <w:pPr>
              <w:spacing w:before="0"/>
              <w:rPr>
                <w:sz w:val="18"/>
              </w:rPr>
            </w:pPr>
            <w:r w:rsidRPr="00C17510">
              <w:rPr>
                <w:sz w:val="18"/>
              </w:rPr>
              <w:t>First Secretary Development</w:t>
            </w:r>
          </w:p>
        </w:tc>
        <w:tc>
          <w:tcPr>
            <w:tcW w:w="1701" w:type="dxa"/>
            <w:shd w:val="clear" w:color="auto" w:fill="FFFFFF"/>
          </w:tcPr>
          <w:p w:rsidR="00B76F85" w:rsidRPr="00C17510" w:rsidRDefault="00B76F85" w:rsidP="00C17510">
            <w:pPr>
              <w:spacing w:before="0"/>
              <w:rPr>
                <w:sz w:val="18"/>
              </w:rPr>
            </w:pPr>
            <w:r w:rsidRPr="00C17510">
              <w:rPr>
                <w:sz w:val="18"/>
              </w:rPr>
              <w:t>clyde.hamilton@dfat.gov.au</w:t>
            </w:r>
          </w:p>
        </w:tc>
        <w:tc>
          <w:tcPr>
            <w:tcW w:w="1276" w:type="dxa"/>
            <w:shd w:val="clear" w:color="auto" w:fill="FFFFFF"/>
          </w:tcPr>
          <w:p w:rsidR="00B76F85" w:rsidRPr="00C17510" w:rsidRDefault="00B76F85" w:rsidP="00C17510">
            <w:pPr>
              <w:spacing w:before="0"/>
              <w:rPr>
                <w:sz w:val="18"/>
              </w:rPr>
            </w:pPr>
            <w:r w:rsidRPr="00C17510">
              <w:rPr>
                <w:sz w:val="18"/>
              </w:rPr>
              <w:t xml:space="preserve">Ph:23411 </w:t>
            </w:r>
            <w:proofErr w:type="spellStart"/>
            <w:r w:rsidRPr="00C17510">
              <w:rPr>
                <w:sz w:val="18"/>
              </w:rPr>
              <w:t>ext</w:t>
            </w:r>
            <w:proofErr w:type="spellEnd"/>
            <w:r w:rsidRPr="00C17510">
              <w:rPr>
                <w:sz w:val="18"/>
              </w:rPr>
              <w:t xml:space="preserve"> 712 Mob:7701348</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 xml:space="preserve">Ronicera Fuimaono, </w:t>
            </w:r>
          </w:p>
        </w:tc>
        <w:tc>
          <w:tcPr>
            <w:tcW w:w="1984" w:type="dxa"/>
            <w:shd w:val="clear" w:color="auto" w:fill="FFFFFF"/>
          </w:tcPr>
          <w:p w:rsidR="00B76F85" w:rsidRPr="00C17510" w:rsidRDefault="00B76F85" w:rsidP="00C17510">
            <w:pPr>
              <w:spacing w:before="0"/>
              <w:rPr>
                <w:sz w:val="18"/>
              </w:rPr>
            </w:pPr>
            <w:r w:rsidRPr="00C17510">
              <w:rPr>
                <w:sz w:val="18"/>
              </w:rPr>
              <w:t>DFAT</w:t>
            </w:r>
          </w:p>
        </w:tc>
        <w:tc>
          <w:tcPr>
            <w:tcW w:w="2552" w:type="dxa"/>
            <w:shd w:val="clear" w:color="auto" w:fill="FFFFFF"/>
          </w:tcPr>
          <w:p w:rsidR="00B76F85" w:rsidRPr="00C17510" w:rsidRDefault="00B76F85" w:rsidP="00C17510">
            <w:pPr>
              <w:spacing w:before="0"/>
              <w:rPr>
                <w:sz w:val="18"/>
              </w:rPr>
            </w:pPr>
            <w:r w:rsidRPr="00C17510">
              <w:rPr>
                <w:sz w:val="18"/>
              </w:rPr>
              <w:t>Program Manager Gender, Civil Society</w:t>
            </w:r>
          </w:p>
        </w:tc>
        <w:tc>
          <w:tcPr>
            <w:tcW w:w="1701" w:type="dxa"/>
            <w:shd w:val="clear" w:color="auto" w:fill="FFFFFF"/>
          </w:tcPr>
          <w:p w:rsidR="00B76F85" w:rsidRPr="00C17510" w:rsidRDefault="00B76F85" w:rsidP="00C17510">
            <w:pPr>
              <w:spacing w:before="0"/>
              <w:rPr>
                <w:sz w:val="18"/>
              </w:rPr>
            </w:pPr>
            <w:r w:rsidRPr="00C17510">
              <w:rPr>
                <w:sz w:val="18"/>
              </w:rPr>
              <w:t>ronicera.fuimaono@dfat.gov.au</w:t>
            </w:r>
          </w:p>
        </w:tc>
        <w:tc>
          <w:tcPr>
            <w:tcW w:w="1276" w:type="dxa"/>
            <w:shd w:val="clear" w:color="auto" w:fill="FFFFFF"/>
          </w:tcPr>
          <w:p w:rsidR="00B76F85" w:rsidRPr="00C17510" w:rsidRDefault="00B76F85" w:rsidP="00C17510">
            <w:pPr>
              <w:spacing w:before="0"/>
              <w:rPr>
                <w:sz w:val="18"/>
              </w:rPr>
            </w:pPr>
            <w:r w:rsidRPr="00C17510">
              <w:rPr>
                <w:sz w:val="18"/>
              </w:rPr>
              <w:t xml:space="preserve">Ph:23411 </w:t>
            </w:r>
            <w:proofErr w:type="spellStart"/>
            <w:r w:rsidRPr="00C17510">
              <w:rPr>
                <w:sz w:val="18"/>
              </w:rPr>
              <w:t>ext</w:t>
            </w:r>
            <w:proofErr w:type="spellEnd"/>
            <w:r w:rsidRPr="00C17510">
              <w:rPr>
                <w:sz w:val="18"/>
              </w:rPr>
              <w:t xml:space="preserve"> 714  Mob:7283123</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Daniel Woods</w:t>
            </w:r>
          </w:p>
        </w:tc>
        <w:tc>
          <w:tcPr>
            <w:tcW w:w="1984" w:type="dxa"/>
            <w:shd w:val="clear" w:color="auto" w:fill="FFFFFF"/>
          </w:tcPr>
          <w:p w:rsidR="00B76F85" w:rsidRPr="00C17510" w:rsidRDefault="00B76F85" w:rsidP="00C17510">
            <w:pPr>
              <w:spacing w:before="0"/>
              <w:rPr>
                <w:sz w:val="18"/>
              </w:rPr>
            </w:pPr>
            <w:r w:rsidRPr="00C17510">
              <w:rPr>
                <w:sz w:val="18"/>
              </w:rPr>
              <w:t>DFAT</w:t>
            </w:r>
          </w:p>
        </w:tc>
        <w:tc>
          <w:tcPr>
            <w:tcW w:w="2552" w:type="dxa"/>
            <w:shd w:val="clear" w:color="auto" w:fill="FFFFFF"/>
          </w:tcPr>
          <w:p w:rsidR="00B76F85" w:rsidRPr="00C17510" w:rsidRDefault="00B76F85" w:rsidP="00C17510">
            <w:pPr>
              <w:spacing w:before="0"/>
              <w:rPr>
                <w:sz w:val="18"/>
              </w:rPr>
            </w:pPr>
            <w:r w:rsidRPr="00C17510">
              <w:rPr>
                <w:sz w:val="18"/>
              </w:rPr>
              <w:t>Director, Law and Justice</w:t>
            </w:r>
          </w:p>
        </w:tc>
        <w:tc>
          <w:tcPr>
            <w:tcW w:w="1701" w:type="dxa"/>
            <w:shd w:val="clear" w:color="auto" w:fill="FFFFFF"/>
          </w:tcPr>
          <w:p w:rsidR="00B76F85" w:rsidRPr="00C17510" w:rsidRDefault="00B76F85" w:rsidP="00C17510">
            <w:pPr>
              <w:spacing w:before="0"/>
              <w:rPr>
                <w:sz w:val="18"/>
              </w:rPr>
            </w:pPr>
            <w:r w:rsidRPr="00C17510">
              <w:rPr>
                <w:sz w:val="18"/>
              </w:rPr>
              <w:t>Daniel.Woods@dfat.gov.au</w:t>
            </w:r>
          </w:p>
        </w:tc>
        <w:tc>
          <w:tcPr>
            <w:tcW w:w="1276" w:type="dxa"/>
            <w:shd w:val="clear" w:color="auto" w:fill="FFFFFF"/>
          </w:tcPr>
          <w:p w:rsidR="00B76F85" w:rsidRPr="00C17510" w:rsidRDefault="00B76F85" w:rsidP="00C17510">
            <w:pPr>
              <w:spacing w:before="0"/>
              <w:rPr>
                <w:sz w:val="18"/>
              </w:rPr>
            </w:pPr>
            <w:proofErr w:type="spellStart"/>
            <w:r w:rsidRPr="00C17510">
              <w:rPr>
                <w:sz w:val="18"/>
              </w:rPr>
              <w:t>Ph</w:t>
            </w:r>
            <w:proofErr w:type="spellEnd"/>
            <w:r w:rsidRPr="00C17510">
              <w:rPr>
                <w:sz w:val="18"/>
              </w:rPr>
              <w:t>: + 61 2 6178 5800</w:t>
            </w:r>
          </w:p>
        </w:tc>
      </w:tr>
      <w:tr w:rsidR="001A7A59" w:rsidRPr="00F53775" w:rsidTr="00C17510">
        <w:trPr>
          <w:jc w:val="center"/>
        </w:trPr>
        <w:tc>
          <w:tcPr>
            <w:tcW w:w="1418" w:type="dxa"/>
            <w:shd w:val="clear" w:color="auto" w:fill="FFFFFF"/>
          </w:tcPr>
          <w:p w:rsidR="001A7A59" w:rsidRPr="00C17510" w:rsidRDefault="001A7A59" w:rsidP="00C17510">
            <w:pPr>
              <w:spacing w:before="0"/>
              <w:rPr>
                <w:sz w:val="18"/>
              </w:rPr>
            </w:pPr>
            <w:r>
              <w:rPr>
                <w:sz w:val="18"/>
              </w:rPr>
              <w:t>Anthony Stannard</w:t>
            </w:r>
          </w:p>
        </w:tc>
        <w:tc>
          <w:tcPr>
            <w:tcW w:w="1984" w:type="dxa"/>
            <w:shd w:val="clear" w:color="auto" w:fill="FFFFFF"/>
          </w:tcPr>
          <w:p w:rsidR="001A7A59" w:rsidRPr="00C17510" w:rsidRDefault="00F8788E" w:rsidP="00C17510">
            <w:pPr>
              <w:spacing w:before="0"/>
              <w:rPr>
                <w:sz w:val="18"/>
              </w:rPr>
            </w:pPr>
            <w:r>
              <w:rPr>
                <w:sz w:val="18"/>
              </w:rPr>
              <w:t>DFAT</w:t>
            </w:r>
          </w:p>
        </w:tc>
        <w:tc>
          <w:tcPr>
            <w:tcW w:w="2552" w:type="dxa"/>
            <w:shd w:val="clear" w:color="auto" w:fill="FFFFFF"/>
          </w:tcPr>
          <w:p w:rsidR="001A7A59" w:rsidRPr="00C17510" w:rsidRDefault="00F8788E" w:rsidP="00C17510">
            <w:pPr>
              <w:spacing w:before="0"/>
              <w:rPr>
                <w:sz w:val="18"/>
              </w:rPr>
            </w:pPr>
            <w:r w:rsidRPr="00F8788E">
              <w:rPr>
                <w:sz w:val="18"/>
              </w:rPr>
              <w:t>Director</w:t>
            </w:r>
          </w:p>
        </w:tc>
        <w:tc>
          <w:tcPr>
            <w:tcW w:w="1701" w:type="dxa"/>
            <w:shd w:val="clear" w:color="auto" w:fill="FFFFFF"/>
          </w:tcPr>
          <w:p w:rsidR="001A7A59" w:rsidRPr="00C17510" w:rsidRDefault="001A7A59" w:rsidP="00C17510">
            <w:pPr>
              <w:spacing w:before="0"/>
              <w:rPr>
                <w:sz w:val="18"/>
              </w:rPr>
            </w:pPr>
            <w:r w:rsidRPr="001A7A59">
              <w:rPr>
                <w:sz w:val="18"/>
              </w:rPr>
              <w:t>Anthony.Stannard@dfat.gov.au</w:t>
            </w:r>
          </w:p>
        </w:tc>
        <w:tc>
          <w:tcPr>
            <w:tcW w:w="1276" w:type="dxa"/>
            <w:shd w:val="clear" w:color="auto" w:fill="FFFFFF"/>
          </w:tcPr>
          <w:p w:rsidR="001A7A59" w:rsidRPr="00C17510" w:rsidRDefault="001A7A59" w:rsidP="00C17510">
            <w:pPr>
              <w:spacing w:before="0"/>
              <w:rPr>
                <w:sz w:val="18"/>
              </w:rPr>
            </w:pP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Frank Clair</w:t>
            </w:r>
          </w:p>
        </w:tc>
        <w:tc>
          <w:tcPr>
            <w:tcW w:w="1984" w:type="dxa"/>
            <w:shd w:val="clear" w:color="auto" w:fill="FFFFFF"/>
          </w:tcPr>
          <w:p w:rsidR="00B76F85" w:rsidRPr="00C17510" w:rsidRDefault="00B76F85" w:rsidP="00C17510">
            <w:pPr>
              <w:spacing w:before="0"/>
              <w:rPr>
                <w:sz w:val="18"/>
              </w:rPr>
            </w:pPr>
            <w:r w:rsidRPr="00C17510">
              <w:rPr>
                <w:sz w:val="18"/>
              </w:rPr>
              <w:t>Australia Federal Police, Samoa</w:t>
            </w:r>
          </w:p>
        </w:tc>
        <w:tc>
          <w:tcPr>
            <w:tcW w:w="2552" w:type="dxa"/>
            <w:shd w:val="clear" w:color="auto" w:fill="FFFFFF"/>
          </w:tcPr>
          <w:p w:rsidR="00B76F85" w:rsidRPr="00C17510" w:rsidRDefault="00B76F85" w:rsidP="00C17510">
            <w:pPr>
              <w:spacing w:before="0"/>
              <w:rPr>
                <w:sz w:val="18"/>
              </w:rPr>
            </w:pPr>
            <w:r w:rsidRPr="00C17510">
              <w:rPr>
                <w:sz w:val="18"/>
              </w:rPr>
              <w:t>Former Superintendent</w:t>
            </w:r>
          </w:p>
        </w:tc>
        <w:tc>
          <w:tcPr>
            <w:tcW w:w="1701" w:type="dxa"/>
            <w:shd w:val="clear" w:color="auto" w:fill="FFFFFF"/>
          </w:tcPr>
          <w:p w:rsidR="00B76F85" w:rsidRPr="00C17510" w:rsidRDefault="00B76F85" w:rsidP="00C17510">
            <w:pPr>
              <w:spacing w:before="0"/>
              <w:rPr>
                <w:sz w:val="18"/>
              </w:rPr>
            </w:pPr>
            <w:r w:rsidRPr="00C17510">
              <w:rPr>
                <w:sz w:val="18"/>
              </w:rPr>
              <w:t>Frank.clair@sapp.ws</w:t>
            </w:r>
          </w:p>
        </w:tc>
        <w:tc>
          <w:tcPr>
            <w:tcW w:w="1276" w:type="dxa"/>
            <w:shd w:val="clear" w:color="auto" w:fill="FFFFFF"/>
          </w:tcPr>
          <w:p w:rsidR="00B76F85" w:rsidRPr="00C17510" w:rsidRDefault="00B76F85" w:rsidP="00C17510">
            <w:pPr>
              <w:spacing w:before="0"/>
              <w:rPr>
                <w:sz w:val="18"/>
              </w:rPr>
            </w:pPr>
            <w:r w:rsidRPr="00C17510">
              <w:rPr>
                <w:sz w:val="18"/>
              </w:rPr>
              <w:t>Australia</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 xml:space="preserve">Peter </w:t>
            </w:r>
            <w:proofErr w:type="spellStart"/>
            <w:r w:rsidRPr="00C17510">
              <w:rPr>
                <w:sz w:val="18"/>
              </w:rPr>
              <w:t>Timson</w:t>
            </w:r>
            <w:proofErr w:type="spellEnd"/>
          </w:p>
        </w:tc>
        <w:tc>
          <w:tcPr>
            <w:tcW w:w="1984" w:type="dxa"/>
            <w:shd w:val="clear" w:color="auto" w:fill="FFFFFF"/>
          </w:tcPr>
          <w:p w:rsidR="00B76F85" w:rsidRPr="00C17510" w:rsidRDefault="00B76F85" w:rsidP="00C17510">
            <w:pPr>
              <w:spacing w:before="0"/>
              <w:rPr>
                <w:sz w:val="18"/>
              </w:rPr>
            </w:pPr>
            <w:r w:rsidRPr="00C17510">
              <w:rPr>
                <w:sz w:val="18"/>
              </w:rPr>
              <w:t>Australia Federal Police (AFP)/SAPP</w:t>
            </w:r>
          </w:p>
        </w:tc>
        <w:tc>
          <w:tcPr>
            <w:tcW w:w="2552" w:type="dxa"/>
            <w:shd w:val="clear" w:color="auto" w:fill="FFFFFF"/>
          </w:tcPr>
          <w:p w:rsidR="00B76F85" w:rsidRPr="00C17510" w:rsidRDefault="00B76F85" w:rsidP="00C17510">
            <w:pPr>
              <w:spacing w:before="0"/>
              <w:rPr>
                <w:sz w:val="18"/>
              </w:rPr>
            </w:pPr>
            <w:r w:rsidRPr="00C17510">
              <w:rPr>
                <w:sz w:val="18"/>
              </w:rPr>
              <w:t>Mission Commander</w:t>
            </w:r>
          </w:p>
        </w:tc>
        <w:tc>
          <w:tcPr>
            <w:tcW w:w="1701" w:type="dxa"/>
            <w:shd w:val="clear" w:color="auto" w:fill="FFFFFF"/>
          </w:tcPr>
          <w:p w:rsidR="00B76F85" w:rsidRPr="00C17510" w:rsidRDefault="00B76F85" w:rsidP="00C17510">
            <w:pPr>
              <w:spacing w:before="0"/>
              <w:rPr>
                <w:sz w:val="18"/>
              </w:rPr>
            </w:pPr>
            <w:r w:rsidRPr="00C17510">
              <w:rPr>
                <w:sz w:val="18"/>
              </w:rPr>
              <w:t>peter.timson@sapp.ws</w:t>
            </w:r>
          </w:p>
        </w:tc>
        <w:tc>
          <w:tcPr>
            <w:tcW w:w="1276" w:type="dxa"/>
            <w:shd w:val="clear" w:color="auto" w:fill="FFFFFF"/>
          </w:tcPr>
          <w:p w:rsidR="00B76F85" w:rsidRPr="00C17510" w:rsidRDefault="00B76F85" w:rsidP="00C17510">
            <w:pPr>
              <w:spacing w:before="0"/>
              <w:rPr>
                <w:sz w:val="18"/>
              </w:rPr>
            </w:pPr>
            <w:r w:rsidRPr="00C17510">
              <w:rPr>
                <w:sz w:val="18"/>
              </w:rPr>
              <w:t>Ph:28858 Mob:7708213</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 xml:space="preserve">Rev. </w:t>
            </w:r>
            <w:proofErr w:type="spellStart"/>
            <w:r w:rsidRPr="00C17510">
              <w:rPr>
                <w:sz w:val="18"/>
              </w:rPr>
              <w:t>Tuanai</w:t>
            </w:r>
            <w:proofErr w:type="spellEnd"/>
            <w:r w:rsidRPr="00C17510">
              <w:rPr>
                <w:sz w:val="18"/>
              </w:rPr>
              <w:t xml:space="preserve"> </w:t>
            </w:r>
            <w:proofErr w:type="spellStart"/>
            <w:r w:rsidRPr="00C17510">
              <w:rPr>
                <w:sz w:val="18"/>
              </w:rPr>
              <w:t>Uesile</w:t>
            </w:r>
            <w:proofErr w:type="spellEnd"/>
          </w:p>
        </w:tc>
        <w:tc>
          <w:tcPr>
            <w:tcW w:w="1984" w:type="dxa"/>
            <w:shd w:val="clear" w:color="auto" w:fill="FFFFFF"/>
          </w:tcPr>
          <w:p w:rsidR="00B76F85" w:rsidRPr="00C17510" w:rsidRDefault="00B76F85" w:rsidP="00C17510">
            <w:pPr>
              <w:spacing w:before="0"/>
              <w:rPr>
                <w:sz w:val="18"/>
              </w:rPr>
            </w:pPr>
            <w:r w:rsidRPr="00C17510">
              <w:rPr>
                <w:sz w:val="18"/>
              </w:rPr>
              <w:t xml:space="preserve">CCCS </w:t>
            </w:r>
            <w:proofErr w:type="spellStart"/>
            <w:r w:rsidRPr="00C17510">
              <w:rPr>
                <w:sz w:val="18"/>
              </w:rPr>
              <w:t>Magiagi</w:t>
            </w:r>
            <w:proofErr w:type="spellEnd"/>
          </w:p>
        </w:tc>
        <w:tc>
          <w:tcPr>
            <w:tcW w:w="2552" w:type="dxa"/>
            <w:shd w:val="clear" w:color="auto" w:fill="FFFFFF"/>
          </w:tcPr>
          <w:p w:rsidR="00B76F85" w:rsidRPr="00C17510" w:rsidRDefault="00B76F85" w:rsidP="00C17510">
            <w:pPr>
              <w:spacing w:before="0"/>
              <w:rPr>
                <w:sz w:val="18"/>
              </w:rPr>
            </w:pPr>
            <w:r w:rsidRPr="00C17510">
              <w:rPr>
                <w:sz w:val="18"/>
              </w:rPr>
              <w:t>Pastor and Probation Supervisor</w:t>
            </w:r>
          </w:p>
        </w:tc>
        <w:tc>
          <w:tcPr>
            <w:tcW w:w="1701" w:type="dxa"/>
            <w:shd w:val="clear" w:color="auto" w:fill="FFFFFF"/>
          </w:tcPr>
          <w:p w:rsidR="00B76F85" w:rsidRPr="00C17510" w:rsidRDefault="00B76F85" w:rsidP="00C17510">
            <w:pPr>
              <w:spacing w:before="0"/>
              <w:rPr>
                <w:sz w:val="18"/>
              </w:rPr>
            </w:pPr>
          </w:p>
        </w:tc>
        <w:tc>
          <w:tcPr>
            <w:tcW w:w="1276" w:type="dxa"/>
            <w:shd w:val="clear" w:color="auto" w:fill="FFFFFF"/>
          </w:tcPr>
          <w:p w:rsidR="00B76F85" w:rsidRPr="00C17510" w:rsidRDefault="00B76F85" w:rsidP="00C17510">
            <w:pPr>
              <w:spacing w:before="0"/>
              <w:rPr>
                <w:sz w:val="18"/>
              </w:rPr>
            </w:pPr>
            <w:r w:rsidRPr="00C17510">
              <w:rPr>
                <w:sz w:val="18"/>
              </w:rPr>
              <w:t>Mob:7723610</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 xml:space="preserve"> Professor </w:t>
            </w:r>
            <w:proofErr w:type="spellStart"/>
            <w:r w:rsidRPr="00C17510">
              <w:rPr>
                <w:sz w:val="18"/>
              </w:rPr>
              <w:t>Fui</w:t>
            </w:r>
            <w:proofErr w:type="spellEnd"/>
            <w:r w:rsidRPr="00C17510">
              <w:rPr>
                <w:sz w:val="18"/>
              </w:rPr>
              <w:t xml:space="preserve"> </w:t>
            </w:r>
            <w:proofErr w:type="spellStart"/>
            <w:r w:rsidRPr="00C17510">
              <w:rPr>
                <w:sz w:val="18"/>
              </w:rPr>
              <w:t>Asofou</w:t>
            </w:r>
            <w:proofErr w:type="spellEnd"/>
            <w:r w:rsidRPr="00C17510">
              <w:rPr>
                <w:sz w:val="18"/>
              </w:rPr>
              <w:t xml:space="preserve"> Soo, </w:t>
            </w:r>
          </w:p>
        </w:tc>
        <w:tc>
          <w:tcPr>
            <w:tcW w:w="1984" w:type="dxa"/>
            <w:shd w:val="clear" w:color="auto" w:fill="FFFFFF"/>
          </w:tcPr>
          <w:p w:rsidR="00B76F85" w:rsidRPr="00C17510" w:rsidRDefault="00B76F85" w:rsidP="00C17510">
            <w:pPr>
              <w:spacing w:before="0"/>
              <w:rPr>
                <w:sz w:val="18"/>
              </w:rPr>
            </w:pPr>
            <w:r w:rsidRPr="00C17510">
              <w:rPr>
                <w:sz w:val="18"/>
              </w:rPr>
              <w:t>Community Leader</w:t>
            </w:r>
          </w:p>
        </w:tc>
        <w:tc>
          <w:tcPr>
            <w:tcW w:w="2552" w:type="dxa"/>
            <w:shd w:val="clear" w:color="auto" w:fill="FFFFFF"/>
          </w:tcPr>
          <w:p w:rsidR="00B76F85" w:rsidRPr="00C17510" w:rsidRDefault="00B76F85" w:rsidP="00C17510">
            <w:pPr>
              <w:spacing w:before="0"/>
              <w:rPr>
                <w:sz w:val="18"/>
              </w:rPr>
            </w:pPr>
            <w:r w:rsidRPr="00C17510">
              <w:rPr>
                <w:sz w:val="18"/>
              </w:rPr>
              <w:t xml:space="preserve">Matai Representative </w:t>
            </w:r>
          </w:p>
        </w:tc>
        <w:tc>
          <w:tcPr>
            <w:tcW w:w="1701" w:type="dxa"/>
            <w:shd w:val="clear" w:color="auto" w:fill="FFFFFF"/>
          </w:tcPr>
          <w:p w:rsidR="00B76F85" w:rsidRPr="00C17510" w:rsidRDefault="00B76F85" w:rsidP="00C17510">
            <w:pPr>
              <w:spacing w:before="0"/>
              <w:rPr>
                <w:sz w:val="18"/>
              </w:rPr>
            </w:pPr>
            <w:r w:rsidRPr="00C17510">
              <w:rPr>
                <w:sz w:val="18"/>
              </w:rPr>
              <w:t>a.soo@nus.edu.ws</w:t>
            </w:r>
          </w:p>
        </w:tc>
        <w:tc>
          <w:tcPr>
            <w:tcW w:w="1276" w:type="dxa"/>
            <w:shd w:val="clear" w:color="auto" w:fill="FFFFFF"/>
          </w:tcPr>
          <w:p w:rsidR="00B76F85" w:rsidRPr="00C17510" w:rsidRDefault="00B76F85" w:rsidP="00C17510">
            <w:pPr>
              <w:spacing w:before="0"/>
              <w:rPr>
                <w:sz w:val="18"/>
              </w:rPr>
            </w:pPr>
            <w:r w:rsidRPr="00C17510">
              <w:rPr>
                <w:sz w:val="18"/>
              </w:rPr>
              <w:t>Ph:20072</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5 young men and women (living in Apia, from rural areas)</w:t>
            </w:r>
          </w:p>
        </w:tc>
        <w:tc>
          <w:tcPr>
            <w:tcW w:w="1984" w:type="dxa"/>
            <w:shd w:val="clear" w:color="auto" w:fill="FFFFFF"/>
          </w:tcPr>
          <w:p w:rsidR="00B76F85" w:rsidRPr="00C17510" w:rsidRDefault="00B76F85" w:rsidP="00C17510">
            <w:pPr>
              <w:spacing w:before="0"/>
              <w:rPr>
                <w:sz w:val="18"/>
              </w:rPr>
            </w:pPr>
            <w:r w:rsidRPr="00C17510">
              <w:rPr>
                <w:sz w:val="18"/>
              </w:rPr>
              <w:t>Community members</w:t>
            </w:r>
          </w:p>
        </w:tc>
        <w:tc>
          <w:tcPr>
            <w:tcW w:w="2552" w:type="dxa"/>
            <w:shd w:val="clear" w:color="auto" w:fill="FFFFFF"/>
          </w:tcPr>
          <w:p w:rsidR="00B76F85" w:rsidRPr="00C17510" w:rsidRDefault="00B76F85" w:rsidP="00C17510">
            <w:pPr>
              <w:spacing w:before="0"/>
              <w:rPr>
                <w:sz w:val="18"/>
              </w:rPr>
            </w:pPr>
            <w:r w:rsidRPr="00C17510">
              <w:rPr>
                <w:sz w:val="18"/>
              </w:rPr>
              <w:t>General public</w:t>
            </w:r>
          </w:p>
        </w:tc>
        <w:tc>
          <w:tcPr>
            <w:tcW w:w="1701" w:type="dxa"/>
            <w:shd w:val="clear" w:color="auto" w:fill="FFFFFF"/>
          </w:tcPr>
          <w:p w:rsidR="00B76F85" w:rsidRPr="00C17510" w:rsidRDefault="00B76F85" w:rsidP="00C17510">
            <w:pPr>
              <w:spacing w:before="0"/>
              <w:rPr>
                <w:sz w:val="18"/>
              </w:rPr>
            </w:pPr>
          </w:p>
        </w:tc>
        <w:tc>
          <w:tcPr>
            <w:tcW w:w="1276" w:type="dxa"/>
            <w:shd w:val="clear" w:color="auto" w:fill="FFFFFF"/>
          </w:tcPr>
          <w:p w:rsidR="00B76F85" w:rsidRPr="00C17510" w:rsidRDefault="00B76F85" w:rsidP="00C17510">
            <w:pPr>
              <w:spacing w:before="0"/>
              <w:rPr>
                <w:sz w:val="18"/>
              </w:rPr>
            </w:pP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Tutogi</w:t>
            </w:r>
            <w:proofErr w:type="spellEnd"/>
            <w:r w:rsidRPr="00C17510">
              <w:rPr>
                <w:sz w:val="18"/>
              </w:rPr>
              <w:t xml:space="preserve"> Too-Arundel</w:t>
            </w:r>
          </w:p>
        </w:tc>
        <w:tc>
          <w:tcPr>
            <w:tcW w:w="1984" w:type="dxa"/>
            <w:shd w:val="clear" w:color="auto" w:fill="FFFFFF"/>
          </w:tcPr>
          <w:p w:rsidR="00B76F85" w:rsidRPr="00C17510" w:rsidRDefault="00B76F85" w:rsidP="00C17510">
            <w:pPr>
              <w:spacing w:before="0"/>
              <w:rPr>
                <w:sz w:val="18"/>
              </w:rPr>
            </w:pPr>
            <w:r w:rsidRPr="00C17510">
              <w:rPr>
                <w:sz w:val="18"/>
              </w:rPr>
              <w:t>Goshen Trust Mental Health Services</w:t>
            </w:r>
          </w:p>
        </w:tc>
        <w:tc>
          <w:tcPr>
            <w:tcW w:w="2552" w:type="dxa"/>
            <w:shd w:val="clear" w:color="auto" w:fill="FFFFFF"/>
          </w:tcPr>
          <w:p w:rsidR="00B76F85" w:rsidRPr="00C17510" w:rsidRDefault="00B76F85" w:rsidP="00C17510">
            <w:pPr>
              <w:spacing w:before="0"/>
              <w:rPr>
                <w:sz w:val="18"/>
              </w:rPr>
            </w:pPr>
            <w:r w:rsidRPr="00C17510">
              <w:rPr>
                <w:sz w:val="18"/>
              </w:rPr>
              <w:t>Chief Executive Officer</w:t>
            </w:r>
          </w:p>
        </w:tc>
        <w:tc>
          <w:tcPr>
            <w:tcW w:w="1701" w:type="dxa"/>
            <w:shd w:val="clear" w:color="auto" w:fill="FFFFFF"/>
          </w:tcPr>
          <w:p w:rsidR="00B76F85" w:rsidRPr="00C17510" w:rsidRDefault="00B76F85" w:rsidP="00C17510">
            <w:pPr>
              <w:spacing w:before="0"/>
              <w:rPr>
                <w:sz w:val="18"/>
              </w:rPr>
            </w:pPr>
            <w:r w:rsidRPr="00C17510">
              <w:rPr>
                <w:sz w:val="18"/>
              </w:rPr>
              <w:t>saveatoo@samoaonline.ws; goshentrust@samo</w:t>
            </w:r>
            <w:r w:rsidRPr="00C17510">
              <w:rPr>
                <w:sz w:val="18"/>
              </w:rPr>
              <w:lastRenderedPageBreak/>
              <w:t>aonline.ws</w:t>
            </w:r>
          </w:p>
        </w:tc>
        <w:tc>
          <w:tcPr>
            <w:tcW w:w="1276" w:type="dxa"/>
            <w:shd w:val="clear" w:color="auto" w:fill="FFFFFF"/>
          </w:tcPr>
          <w:p w:rsidR="00B76F85" w:rsidRPr="00C17510" w:rsidRDefault="00B76F85" w:rsidP="00C17510">
            <w:pPr>
              <w:spacing w:before="0"/>
              <w:rPr>
                <w:sz w:val="18"/>
              </w:rPr>
            </w:pPr>
            <w:r w:rsidRPr="00C17510">
              <w:rPr>
                <w:sz w:val="18"/>
              </w:rPr>
              <w:lastRenderedPageBreak/>
              <w:t>Ph:27487  Mob:7207362</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lastRenderedPageBreak/>
              <w:t>Isitolo</w:t>
            </w:r>
            <w:proofErr w:type="spellEnd"/>
            <w:r w:rsidRPr="00C17510">
              <w:rPr>
                <w:sz w:val="18"/>
              </w:rPr>
              <w:t xml:space="preserve"> </w:t>
            </w:r>
            <w:proofErr w:type="spellStart"/>
            <w:r w:rsidRPr="00C17510">
              <w:rPr>
                <w:sz w:val="18"/>
              </w:rPr>
              <w:t>Lemisio</w:t>
            </w:r>
            <w:proofErr w:type="spellEnd"/>
          </w:p>
        </w:tc>
        <w:tc>
          <w:tcPr>
            <w:tcW w:w="1984" w:type="dxa"/>
            <w:shd w:val="clear" w:color="auto" w:fill="FFFFFF"/>
          </w:tcPr>
          <w:p w:rsidR="00B76F85" w:rsidRPr="00C17510" w:rsidRDefault="00B76F85" w:rsidP="00C17510">
            <w:pPr>
              <w:spacing w:before="0"/>
              <w:rPr>
                <w:sz w:val="18"/>
              </w:rPr>
            </w:pPr>
            <w:r w:rsidRPr="00C17510">
              <w:rPr>
                <w:sz w:val="18"/>
              </w:rPr>
              <w:t xml:space="preserve">Holy Family </w:t>
            </w:r>
            <w:proofErr w:type="spellStart"/>
            <w:r w:rsidRPr="00C17510">
              <w:rPr>
                <w:sz w:val="18"/>
              </w:rPr>
              <w:t>Taufusi</w:t>
            </w:r>
            <w:proofErr w:type="spellEnd"/>
          </w:p>
        </w:tc>
        <w:tc>
          <w:tcPr>
            <w:tcW w:w="2552" w:type="dxa"/>
            <w:shd w:val="clear" w:color="auto" w:fill="FFFFFF"/>
          </w:tcPr>
          <w:p w:rsidR="00B76F85" w:rsidRPr="00C17510" w:rsidRDefault="00B76F85" w:rsidP="00C17510">
            <w:pPr>
              <w:spacing w:before="0"/>
              <w:rPr>
                <w:sz w:val="18"/>
              </w:rPr>
            </w:pPr>
            <w:r w:rsidRPr="00C17510">
              <w:rPr>
                <w:sz w:val="18"/>
              </w:rPr>
              <w:t>Deacon</w:t>
            </w:r>
          </w:p>
        </w:tc>
        <w:tc>
          <w:tcPr>
            <w:tcW w:w="1701" w:type="dxa"/>
            <w:shd w:val="clear" w:color="auto" w:fill="FFFFFF"/>
          </w:tcPr>
          <w:p w:rsidR="00B76F85" w:rsidRPr="00C17510" w:rsidRDefault="00B76F85" w:rsidP="00C17510">
            <w:pPr>
              <w:spacing w:before="0"/>
              <w:rPr>
                <w:sz w:val="18"/>
              </w:rPr>
            </w:pPr>
          </w:p>
        </w:tc>
        <w:tc>
          <w:tcPr>
            <w:tcW w:w="1276" w:type="dxa"/>
            <w:shd w:val="clear" w:color="auto" w:fill="FFFFFF"/>
          </w:tcPr>
          <w:p w:rsidR="00B76F85" w:rsidRPr="00C17510" w:rsidRDefault="00B76F85" w:rsidP="00C17510">
            <w:pPr>
              <w:spacing w:before="0"/>
              <w:rPr>
                <w:sz w:val="18"/>
              </w:rPr>
            </w:pPr>
            <w:r w:rsidRPr="00C17510">
              <w:rPr>
                <w:sz w:val="18"/>
              </w:rPr>
              <w:t>Mob:7652811</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Aiono</w:t>
            </w:r>
            <w:proofErr w:type="spellEnd"/>
            <w:r w:rsidRPr="00C17510">
              <w:rPr>
                <w:sz w:val="18"/>
              </w:rPr>
              <w:t xml:space="preserve"> </w:t>
            </w:r>
            <w:proofErr w:type="spellStart"/>
            <w:r w:rsidRPr="00C17510">
              <w:rPr>
                <w:sz w:val="18"/>
              </w:rPr>
              <w:t>Mose</w:t>
            </w:r>
            <w:proofErr w:type="spellEnd"/>
            <w:r w:rsidRPr="00C17510">
              <w:rPr>
                <w:sz w:val="18"/>
              </w:rPr>
              <w:t xml:space="preserve"> </w:t>
            </w:r>
            <w:proofErr w:type="spellStart"/>
            <w:r w:rsidRPr="00C17510">
              <w:rPr>
                <w:sz w:val="18"/>
              </w:rPr>
              <w:t>Sua</w:t>
            </w:r>
            <w:proofErr w:type="spellEnd"/>
            <w:r w:rsidRPr="00C17510">
              <w:rPr>
                <w:sz w:val="18"/>
              </w:rPr>
              <w:t xml:space="preserve">, </w:t>
            </w:r>
          </w:p>
        </w:tc>
        <w:tc>
          <w:tcPr>
            <w:tcW w:w="1984" w:type="dxa"/>
            <w:shd w:val="clear" w:color="auto" w:fill="FFFFFF"/>
          </w:tcPr>
          <w:p w:rsidR="00B76F85" w:rsidRPr="00C17510" w:rsidRDefault="00B76F85" w:rsidP="00C17510">
            <w:pPr>
              <w:spacing w:before="0"/>
              <w:rPr>
                <w:sz w:val="18"/>
              </w:rPr>
            </w:pPr>
            <w:r w:rsidRPr="00C17510">
              <w:rPr>
                <w:sz w:val="18"/>
              </w:rPr>
              <w:t>Ministry of Foreign Affairs and Trade (MFAT)</w:t>
            </w:r>
          </w:p>
        </w:tc>
        <w:tc>
          <w:tcPr>
            <w:tcW w:w="2552" w:type="dxa"/>
            <w:shd w:val="clear" w:color="auto" w:fill="FFFFFF"/>
          </w:tcPr>
          <w:p w:rsidR="00B76F85" w:rsidRPr="00C17510" w:rsidRDefault="00B76F85" w:rsidP="00C17510">
            <w:pPr>
              <w:spacing w:before="0"/>
              <w:rPr>
                <w:sz w:val="18"/>
              </w:rPr>
            </w:pPr>
            <w:r w:rsidRPr="00C17510">
              <w:rPr>
                <w:sz w:val="18"/>
              </w:rPr>
              <w:t>Chief Executive Officer</w:t>
            </w:r>
          </w:p>
        </w:tc>
        <w:tc>
          <w:tcPr>
            <w:tcW w:w="1701" w:type="dxa"/>
            <w:shd w:val="clear" w:color="auto" w:fill="FFFFFF"/>
          </w:tcPr>
          <w:p w:rsidR="00B76F85" w:rsidRPr="00C17510" w:rsidRDefault="00B76F85" w:rsidP="00C17510">
            <w:pPr>
              <w:spacing w:before="0"/>
              <w:rPr>
                <w:sz w:val="18"/>
              </w:rPr>
            </w:pPr>
            <w:r w:rsidRPr="00C17510">
              <w:rPr>
                <w:sz w:val="18"/>
              </w:rPr>
              <w:t>mose@mfat.gov.ws; aiono@mfat.gov.ws;</w:t>
            </w:r>
          </w:p>
        </w:tc>
        <w:tc>
          <w:tcPr>
            <w:tcW w:w="1276" w:type="dxa"/>
            <w:shd w:val="clear" w:color="auto" w:fill="FFFFFF"/>
          </w:tcPr>
          <w:p w:rsidR="00B76F85" w:rsidRPr="00C17510" w:rsidRDefault="00B76F85" w:rsidP="00C17510">
            <w:pPr>
              <w:spacing w:before="0"/>
              <w:rPr>
                <w:sz w:val="18"/>
              </w:rPr>
            </w:pPr>
            <w:r w:rsidRPr="00C17510">
              <w:rPr>
                <w:sz w:val="18"/>
              </w:rPr>
              <w:t>Ph:21171</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Amorette</w:t>
            </w:r>
            <w:proofErr w:type="spellEnd"/>
            <w:r w:rsidRPr="00C17510">
              <w:rPr>
                <w:sz w:val="18"/>
              </w:rPr>
              <w:t xml:space="preserve"> </w:t>
            </w:r>
            <w:proofErr w:type="spellStart"/>
            <w:r w:rsidRPr="00C17510">
              <w:rPr>
                <w:sz w:val="18"/>
              </w:rPr>
              <w:t>Posini</w:t>
            </w:r>
            <w:proofErr w:type="spellEnd"/>
          </w:p>
        </w:tc>
        <w:tc>
          <w:tcPr>
            <w:tcW w:w="1984" w:type="dxa"/>
            <w:shd w:val="clear" w:color="auto" w:fill="FFFFFF"/>
          </w:tcPr>
          <w:p w:rsidR="00B76F85" w:rsidRPr="00C17510" w:rsidRDefault="00B76F85" w:rsidP="00C17510">
            <w:pPr>
              <w:spacing w:before="0"/>
              <w:rPr>
                <w:sz w:val="18"/>
              </w:rPr>
            </w:pPr>
            <w:r w:rsidRPr="00C17510">
              <w:rPr>
                <w:sz w:val="18"/>
              </w:rPr>
              <w:t>MFAT, Scholarships Division</w:t>
            </w:r>
          </w:p>
        </w:tc>
        <w:tc>
          <w:tcPr>
            <w:tcW w:w="2552" w:type="dxa"/>
            <w:shd w:val="clear" w:color="auto" w:fill="FFFFFF"/>
          </w:tcPr>
          <w:p w:rsidR="00B76F85" w:rsidRPr="00C17510" w:rsidRDefault="00B76F85" w:rsidP="00C17510">
            <w:pPr>
              <w:spacing w:before="0"/>
              <w:rPr>
                <w:sz w:val="18"/>
              </w:rPr>
            </w:pPr>
            <w:r w:rsidRPr="00C17510">
              <w:rPr>
                <w:sz w:val="18"/>
              </w:rPr>
              <w:t>Acting ACEO</w:t>
            </w:r>
          </w:p>
        </w:tc>
        <w:tc>
          <w:tcPr>
            <w:tcW w:w="1701" w:type="dxa"/>
            <w:shd w:val="clear" w:color="auto" w:fill="FFFFFF"/>
          </w:tcPr>
          <w:p w:rsidR="00B76F85" w:rsidRPr="00C17510" w:rsidRDefault="00B76F85" w:rsidP="00C17510">
            <w:pPr>
              <w:spacing w:before="0"/>
              <w:rPr>
                <w:sz w:val="18"/>
              </w:rPr>
            </w:pPr>
            <w:r w:rsidRPr="00C17510">
              <w:rPr>
                <w:sz w:val="18"/>
              </w:rPr>
              <w:t>amorette@mfat.gov.ws</w:t>
            </w:r>
          </w:p>
        </w:tc>
        <w:tc>
          <w:tcPr>
            <w:tcW w:w="1276" w:type="dxa"/>
            <w:shd w:val="clear" w:color="auto" w:fill="FFFFFF"/>
          </w:tcPr>
          <w:p w:rsidR="00B76F85" w:rsidRPr="00C17510" w:rsidRDefault="00B76F85" w:rsidP="00C17510">
            <w:pPr>
              <w:spacing w:before="0"/>
              <w:rPr>
                <w:sz w:val="18"/>
              </w:rPr>
            </w:pPr>
            <w:r w:rsidRPr="00C17510">
              <w:rPr>
                <w:sz w:val="18"/>
              </w:rPr>
              <w:t>Ph:34333</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 xml:space="preserve">Dominic </w:t>
            </w:r>
            <w:proofErr w:type="spellStart"/>
            <w:r w:rsidRPr="00C17510">
              <w:rPr>
                <w:sz w:val="18"/>
              </w:rPr>
              <w:t>Misiolo</w:t>
            </w:r>
            <w:proofErr w:type="spellEnd"/>
            <w:r w:rsidRPr="00C17510">
              <w:rPr>
                <w:sz w:val="18"/>
              </w:rPr>
              <w:t xml:space="preserve"> </w:t>
            </w:r>
            <w:proofErr w:type="spellStart"/>
            <w:r w:rsidRPr="00C17510">
              <w:rPr>
                <w:sz w:val="18"/>
              </w:rPr>
              <w:t>Sofe</w:t>
            </w:r>
            <w:proofErr w:type="spellEnd"/>
          </w:p>
        </w:tc>
        <w:tc>
          <w:tcPr>
            <w:tcW w:w="1984" w:type="dxa"/>
            <w:shd w:val="clear" w:color="auto" w:fill="FFFFFF"/>
          </w:tcPr>
          <w:p w:rsidR="00B76F85" w:rsidRPr="00C17510" w:rsidRDefault="00B76F85" w:rsidP="00C17510">
            <w:pPr>
              <w:spacing w:before="0"/>
              <w:rPr>
                <w:sz w:val="18"/>
              </w:rPr>
            </w:pPr>
            <w:r w:rsidRPr="00C17510">
              <w:rPr>
                <w:sz w:val="18"/>
              </w:rPr>
              <w:t xml:space="preserve">MFAT </w:t>
            </w:r>
          </w:p>
        </w:tc>
        <w:tc>
          <w:tcPr>
            <w:tcW w:w="2552" w:type="dxa"/>
            <w:shd w:val="clear" w:color="auto" w:fill="FFFFFF"/>
          </w:tcPr>
          <w:p w:rsidR="00B76F85" w:rsidRPr="00C17510" w:rsidRDefault="00B76F85" w:rsidP="00C17510">
            <w:pPr>
              <w:spacing w:before="0"/>
              <w:rPr>
                <w:sz w:val="18"/>
              </w:rPr>
            </w:pPr>
            <w:r w:rsidRPr="00C17510">
              <w:rPr>
                <w:sz w:val="18"/>
              </w:rPr>
              <w:t>Senior Foreign Service Officer</w:t>
            </w:r>
          </w:p>
        </w:tc>
        <w:tc>
          <w:tcPr>
            <w:tcW w:w="1701" w:type="dxa"/>
            <w:shd w:val="clear" w:color="auto" w:fill="FFFFFF"/>
          </w:tcPr>
          <w:p w:rsidR="00B76F85" w:rsidRPr="00C17510" w:rsidRDefault="00B76F85" w:rsidP="00C17510">
            <w:pPr>
              <w:spacing w:before="0"/>
              <w:rPr>
                <w:sz w:val="18"/>
              </w:rPr>
            </w:pPr>
            <w:r w:rsidRPr="00C17510">
              <w:rPr>
                <w:sz w:val="18"/>
              </w:rPr>
              <w:t>dominic@mfat.gov.ws</w:t>
            </w:r>
          </w:p>
        </w:tc>
        <w:tc>
          <w:tcPr>
            <w:tcW w:w="1276" w:type="dxa"/>
            <w:shd w:val="clear" w:color="auto" w:fill="FFFFFF"/>
          </w:tcPr>
          <w:p w:rsidR="00B76F85" w:rsidRPr="00C17510" w:rsidRDefault="00B76F85" w:rsidP="00C17510">
            <w:pPr>
              <w:spacing w:before="0"/>
              <w:rPr>
                <w:sz w:val="18"/>
              </w:rPr>
            </w:pPr>
            <w:r w:rsidRPr="00C17510">
              <w:rPr>
                <w:sz w:val="18"/>
              </w:rPr>
              <w:t>Ph:34333</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Soteria</w:t>
            </w:r>
            <w:proofErr w:type="spellEnd"/>
            <w:r w:rsidRPr="00C17510">
              <w:rPr>
                <w:sz w:val="18"/>
              </w:rPr>
              <w:t xml:space="preserve"> </w:t>
            </w:r>
            <w:proofErr w:type="spellStart"/>
            <w:r w:rsidRPr="00C17510">
              <w:rPr>
                <w:sz w:val="18"/>
              </w:rPr>
              <w:t>Noaese</w:t>
            </w:r>
            <w:proofErr w:type="spellEnd"/>
            <w:r w:rsidRPr="00C17510">
              <w:rPr>
                <w:sz w:val="18"/>
              </w:rPr>
              <w:t xml:space="preserve"> </w:t>
            </w:r>
          </w:p>
        </w:tc>
        <w:tc>
          <w:tcPr>
            <w:tcW w:w="1984" w:type="dxa"/>
            <w:shd w:val="clear" w:color="auto" w:fill="FFFFFF"/>
          </w:tcPr>
          <w:p w:rsidR="00B76F85" w:rsidRPr="00C17510" w:rsidRDefault="00B76F85" w:rsidP="00C17510">
            <w:pPr>
              <w:spacing w:before="0"/>
              <w:rPr>
                <w:sz w:val="18"/>
              </w:rPr>
            </w:pPr>
            <w:r w:rsidRPr="00C17510">
              <w:rPr>
                <w:sz w:val="18"/>
              </w:rPr>
              <w:t>Ministry of Finance (</w:t>
            </w:r>
            <w:proofErr w:type="spellStart"/>
            <w:r w:rsidRPr="00C17510">
              <w:rPr>
                <w:sz w:val="18"/>
              </w:rPr>
              <w:t>MoF</w:t>
            </w:r>
            <w:proofErr w:type="spellEnd"/>
            <w:r w:rsidRPr="00C17510">
              <w:rPr>
                <w:sz w:val="18"/>
              </w:rPr>
              <w:t>)</w:t>
            </w:r>
          </w:p>
        </w:tc>
        <w:tc>
          <w:tcPr>
            <w:tcW w:w="2552" w:type="dxa"/>
            <w:shd w:val="clear" w:color="auto" w:fill="FFFFFF"/>
          </w:tcPr>
          <w:p w:rsidR="00B76F85" w:rsidRPr="00C17510" w:rsidRDefault="00B76F85" w:rsidP="00C17510">
            <w:pPr>
              <w:spacing w:before="0"/>
              <w:rPr>
                <w:sz w:val="18"/>
              </w:rPr>
            </w:pPr>
            <w:r w:rsidRPr="00C17510">
              <w:rPr>
                <w:sz w:val="18"/>
              </w:rPr>
              <w:t>Acting Chief Executive Officer &amp; ACEO Procurement</w:t>
            </w:r>
          </w:p>
        </w:tc>
        <w:tc>
          <w:tcPr>
            <w:tcW w:w="1701" w:type="dxa"/>
            <w:shd w:val="clear" w:color="auto" w:fill="FFFFFF"/>
          </w:tcPr>
          <w:p w:rsidR="00B76F85" w:rsidRPr="00C17510" w:rsidRDefault="00B76F85" w:rsidP="00C17510">
            <w:pPr>
              <w:spacing w:before="0"/>
              <w:rPr>
                <w:sz w:val="18"/>
              </w:rPr>
            </w:pPr>
            <w:r w:rsidRPr="00C17510">
              <w:rPr>
                <w:sz w:val="18"/>
              </w:rPr>
              <w:t>soteria.noaese@mof.gov.ws</w:t>
            </w:r>
          </w:p>
        </w:tc>
        <w:tc>
          <w:tcPr>
            <w:tcW w:w="1276" w:type="dxa"/>
            <w:shd w:val="clear" w:color="auto" w:fill="FFFFFF"/>
          </w:tcPr>
          <w:p w:rsidR="00B76F85" w:rsidRPr="00C17510" w:rsidRDefault="00B76F85" w:rsidP="00C17510">
            <w:pPr>
              <w:spacing w:before="0"/>
              <w:rPr>
                <w:sz w:val="18"/>
              </w:rPr>
            </w:pPr>
            <w:r w:rsidRPr="00C17510">
              <w:rPr>
                <w:sz w:val="18"/>
              </w:rPr>
              <w:t>Ph:34333</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Peseta Noumea Simi</w:t>
            </w:r>
          </w:p>
        </w:tc>
        <w:tc>
          <w:tcPr>
            <w:tcW w:w="1984" w:type="dxa"/>
            <w:shd w:val="clear" w:color="auto" w:fill="FFFFFF"/>
          </w:tcPr>
          <w:p w:rsidR="00B76F85" w:rsidRPr="00C17510" w:rsidRDefault="00B76F85" w:rsidP="00C17510">
            <w:pPr>
              <w:spacing w:before="0"/>
              <w:rPr>
                <w:sz w:val="18"/>
              </w:rPr>
            </w:pPr>
            <w:proofErr w:type="spellStart"/>
            <w:r w:rsidRPr="00C17510">
              <w:rPr>
                <w:sz w:val="18"/>
              </w:rPr>
              <w:t>MoF</w:t>
            </w:r>
            <w:proofErr w:type="spellEnd"/>
          </w:p>
        </w:tc>
        <w:tc>
          <w:tcPr>
            <w:tcW w:w="2552" w:type="dxa"/>
            <w:shd w:val="clear" w:color="auto" w:fill="FFFFFF"/>
          </w:tcPr>
          <w:p w:rsidR="00B76F85" w:rsidRPr="00C17510" w:rsidRDefault="00B76F85" w:rsidP="00C17510">
            <w:pPr>
              <w:spacing w:before="0"/>
              <w:rPr>
                <w:sz w:val="18"/>
              </w:rPr>
            </w:pPr>
            <w:r w:rsidRPr="00C17510">
              <w:rPr>
                <w:sz w:val="18"/>
              </w:rPr>
              <w:t>ACEO Aid Coordination</w:t>
            </w:r>
          </w:p>
        </w:tc>
        <w:tc>
          <w:tcPr>
            <w:tcW w:w="1701" w:type="dxa"/>
            <w:shd w:val="clear" w:color="auto" w:fill="FFFFFF"/>
          </w:tcPr>
          <w:p w:rsidR="00B76F85" w:rsidRPr="00C17510" w:rsidRDefault="00B76F85" w:rsidP="00C17510">
            <w:pPr>
              <w:spacing w:before="0"/>
              <w:rPr>
                <w:sz w:val="18"/>
              </w:rPr>
            </w:pPr>
            <w:r w:rsidRPr="00C17510">
              <w:rPr>
                <w:sz w:val="18"/>
              </w:rPr>
              <w:t>Noumea.simi@mof.gov.ws</w:t>
            </w:r>
          </w:p>
        </w:tc>
        <w:tc>
          <w:tcPr>
            <w:tcW w:w="1276" w:type="dxa"/>
            <w:shd w:val="clear" w:color="auto" w:fill="FFFFFF"/>
          </w:tcPr>
          <w:p w:rsidR="00B76F85" w:rsidRPr="00C17510" w:rsidRDefault="00B76F85" w:rsidP="00C17510">
            <w:pPr>
              <w:spacing w:before="0"/>
              <w:rPr>
                <w:sz w:val="18"/>
              </w:rPr>
            </w:pPr>
            <w:r w:rsidRPr="00C17510">
              <w:rPr>
                <w:sz w:val="18"/>
              </w:rPr>
              <w:t>Ph:34333</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Leiataua</w:t>
            </w:r>
            <w:proofErr w:type="spellEnd"/>
            <w:r w:rsidRPr="00C17510">
              <w:rPr>
                <w:sz w:val="18"/>
              </w:rPr>
              <w:t xml:space="preserve"> Henry Ah Ching</w:t>
            </w:r>
          </w:p>
        </w:tc>
        <w:tc>
          <w:tcPr>
            <w:tcW w:w="1984" w:type="dxa"/>
            <w:shd w:val="clear" w:color="auto" w:fill="FFFFFF"/>
          </w:tcPr>
          <w:p w:rsidR="00B76F85" w:rsidRPr="00C17510" w:rsidRDefault="00B76F85" w:rsidP="00C17510">
            <w:pPr>
              <w:spacing w:before="0"/>
              <w:rPr>
                <w:sz w:val="18"/>
              </w:rPr>
            </w:pPr>
            <w:proofErr w:type="spellStart"/>
            <w:r w:rsidRPr="00C17510">
              <w:rPr>
                <w:sz w:val="18"/>
              </w:rPr>
              <w:t>MoF</w:t>
            </w:r>
            <w:proofErr w:type="spellEnd"/>
            <w:r w:rsidRPr="00C17510">
              <w:rPr>
                <w:sz w:val="18"/>
              </w:rPr>
              <w:t xml:space="preserve"> -Economic Policy and Planning (EPPD)  </w:t>
            </w:r>
          </w:p>
        </w:tc>
        <w:tc>
          <w:tcPr>
            <w:tcW w:w="2552" w:type="dxa"/>
            <w:shd w:val="clear" w:color="auto" w:fill="FFFFFF"/>
          </w:tcPr>
          <w:p w:rsidR="00B76F85" w:rsidRPr="00C17510" w:rsidRDefault="00B76F85" w:rsidP="00C17510">
            <w:pPr>
              <w:spacing w:before="0"/>
              <w:rPr>
                <w:sz w:val="18"/>
              </w:rPr>
            </w:pPr>
            <w:r w:rsidRPr="00C17510">
              <w:rPr>
                <w:sz w:val="18"/>
              </w:rPr>
              <w:t>ACEO</w:t>
            </w:r>
          </w:p>
        </w:tc>
        <w:tc>
          <w:tcPr>
            <w:tcW w:w="1701" w:type="dxa"/>
            <w:shd w:val="clear" w:color="auto" w:fill="FFFFFF"/>
          </w:tcPr>
          <w:p w:rsidR="00B76F85" w:rsidRPr="00C17510" w:rsidRDefault="00B76F85" w:rsidP="00C17510">
            <w:pPr>
              <w:spacing w:before="0"/>
              <w:rPr>
                <w:sz w:val="18"/>
              </w:rPr>
            </w:pPr>
            <w:r w:rsidRPr="00C17510">
              <w:rPr>
                <w:sz w:val="18"/>
              </w:rPr>
              <w:t>henry.ahching@mof.gov.ws</w:t>
            </w:r>
          </w:p>
        </w:tc>
        <w:tc>
          <w:tcPr>
            <w:tcW w:w="1276" w:type="dxa"/>
            <w:shd w:val="clear" w:color="auto" w:fill="FFFFFF"/>
          </w:tcPr>
          <w:p w:rsidR="00B76F85" w:rsidRPr="00C17510" w:rsidRDefault="00B76F85" w:rsidP="00C17510">
            <w:pPr>
              <w:spacing w:before="0"/>
              <w:rPr>
                <w:sz w:val="18"/>
              </w:rPr>
            </w:pPr>
            <w:r w:rsidRPr="00C17510">
              <w:rPr>
                <w:sz w:val="18"/>
              </w:rPr>
              <w:t>Ph:34333</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Mauuga</w:t>
            </w:r>
            <w:proofErr w:type="spellEnd"/>
            <w:r w:rsidRPr="00C17510">
              <w:rPr>
                <w:sz w:val="18"/>
              </w:rPr>
              <w:t xml:space="preserve"> </w:t>
            </w:r>
            <w:proofErr w:type="spellStart"/>
            <w:r w:rsidRPr="00C17510">
              <w:rPr>
                <w:sz w:val="18"/>
              </w:rPr>
              <w:t>Sefululua</w:t>
            </w:r>
            <w:proofErr w:type="spellEnd"/>
            <w:r w:rsidRPr="00C17510">
              <w:rPr>
                <w:sz w:val="18"/>
              </w:rPr>
              <w:t xml:space="preserve"> Vasa</w:t>
            </w:r>
          </w:p>
        </w:tc>
        <w:tc>
          <w:tcPr>
            <w:tcW w:w="1984" w:type="dxa"/>
            <w:shd w:val="clear" w:color="auto" w:fill="FFFFFF"/>
          </w:tcPr>
          <w:p w:rsidR="00B76F85" w:rsidRPr="00C17510" w:rsidRDefault="00B76F85" w:rsidP="00C17510">
            <w:pPr>
              <w:spacing w:before="0"/>
              <w:rPr>
                <w:sz w:val="18"/>
              </w:rPr>
            </w:pPr>
            <w:proofErr w:type="spellStart"/>
            <w:r w:rsidRPr="00C17510">
              <w:rPr>
                <w:sz w:val="18"/>
              </w:rPr>
              <w:t>MoF</w:t>
            </w:r>
            <w:proofErr w:type="spellEnd"/>
            <w:r w:rsidRPr="00C17510">
              <w:rPr>
                <w:sz w:val="18"/>
              </w:rPr>
              <w:t xml:space="preserve"> -EPPD </w:t>
            </w:r>
          </w:p>
        </w:tc>
        <w:tc>
          <w:tcPr>
            <w:tcW w:w="2552" w:type="dxa"/>
            <w:shd w:val="clear" w:color="auto" w:fill="FFFFFF"/>
          </w:tcPr>
          <w:p w:rsidR="00B76F85" w:rsidRPr="00C17510" w:rsidRDefault="00B76F85" w:rsidP="00C17510">
            <w:pPr>
              <w:spacing w:before="0"/>
              <w:rPr>
                <w:sz w:val="18"/>
              </w:rPr>
            </w:pPr>
            <w:r w:rsidRPr="00C17510">
              <w:rPr>
                <w:sz w:val="18"/>
              </w:rPr>
              <w:t>Principal Sector Planning Officer</w:t>
            </w:r>
          </w:p>
        </w:tc>
        <w:tc>
          <w:tcPr>
            <w:tcW w:w="1701" w:type="dxa"/>
            <w:shd w:val="clear" w:color="auto" w:fill="FFFFFF"/>
          </w:tcPr>
          <w:p w:rsidR="00B76F85" w:rsidRPr="00C17510" w:rsidRDefault="00B76F85" w:rsidP="00C17510">
            <w:pPr>
              <w:spacing w:before="0"/>
              <w:rPr>
                <w:sz w:val="18"/>
              </w:rPr>
            </w:pPr>
            <w:r w:rsidRPr="00C17510">
              <w:rPr>
                <w:sz w:val="18"/>
              </w:rPr>
              <w:t>mauuga.peseta@mof.gov.ws</w:t>
            </w:r>
          </w:p>
        </w:tc>
        <w:tc>
          <w:tcPr>
            <w:tcW w:w="1276" w:type="dxa"/>
            <w:shd w:val="clear" w:color="auto" w:fill="FFFFFF"/>
          </w:tcPr>
          <w:p w:rsidR="00B76F85" w:rsidRPr="00C17510" w:rsidRDefault="00B76F85" w:rsidP="00C17510">
            <w:pPr>
              <w:spacing w:before="0"/>
              <w:rPr>
                <w:sz w:val="18"/>
              </w:rPr>
            </w:pPr>
            <w:r w:rsidRPr="00C17510">
              <w:rPr>
                <w:sz w:val="18"/>
              </w:rPr>
              <w:t>Ph:34333</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Hesed</w:t>
            </w:r>
            <w:proofErr w:type="spellEnd"/>
            <w:r w:rsidRPr="00C17510">
              <w:rPr>
                <w:sz w:val="18"/>
              </w:rPr>
              <w:t xml:space="preserve"> </w:t>
            </w:r>
            <w:proofErr w:type="spellStart"/>
            <w:r w:rsidRPr="00C17510">
              <w:rPr>
                <w:sz w:val="18"/>
              </w:rPr>
              <w:t>Lauano</w:t>
            </w:r>
            <w:proofErr w:type="spellEnd"/>
          </w:p>
        </w:tc>
        <w:tc>
          <w:tcPr>
            <w:tcW w:w="1984" w:type="dxa"/>
            <w:shd w:val="clear" w:color="auto" w:fill="FFFFFF"/>
          </w:tcPr>
          <w:p w:rsidR="00B76F85" w:rsidRPr="00C17510" w:rsidRDefault="00B76F85" w:rsidP="00C17510">
            <w:pPr>
              <w:spacing w:before="0"/>
              <w:rPr>
                <w:sz w:val="18"/>
              </w:rPr>
            </w:pPr>
            <w:proofErr w:type="spellStart"/>
            <w:r w:rsidRPr="00C17510">
              <w:rPr>
                <w:sz w:val="18"/>
              </w:rPr>
              <w:t>MoF</w:t>
            </w:r>
            <w:proofErr w:type="spellEnd"/>
            <w:r w:rsidRPr="00C17510">
              <w:rPr>
                <w:sz w:val="18"/>
              </w:rPr>
              <w:t xml:space="preserve"> -EPPD</w:t>
            </w:r>
          </w:p>
        </w:tc>
        <w:tc>
          <w:tcPr>
            <w:tcW w:w="2552" w:type="dxa"/>
            <w:shd w:val="clear" w:color="auto" w:fill="FFFFFF"/>
          </w:tcPr>
          <w:p w:rsidR="00B76F85" w:rsidRPr="00C17510" w:rsidRDefault="00B76F85" w:rsidP="00C17510">
            <w:pPr>
              <w:spacing w:before="0"/>
              <w:rPr>
                <w:sz w:val="18"/>
              </w:rPr>
            </w:pPr>
            <w:r w:rsidRPr="00C17510">
              <w:rPr>
                <w:sz w:val="18"/>
              </w:rPr>
              <w:t>Senior Sector Planning Officer</w:t>
            </w:r>
          </w:p>
        </w:tc>
        <w:tc>
          <w:tcPr>
            <w:tcW w:w="1701" w:type="dxa"/>
            <w:shd w:val="clear" w:color="auto" w:fill="FFFFFF"/>
          </w:tcPr>
          <w:p w:rsidR="00B76F85" w:rsidRPr="00C17510" w:rsidRDefault="00B76F85" w:rsidP="00C17510">
            <w:pPr>
              <w:spacing w:before="0"/>
              <w:rPr>
                <w:sz w:val="18"/>
              </w:rPr>
            </w:pPr>
            <w:r w:rsidRPr="00C17510">
              <w:rPr>
                <w:sz w:val="18"/>
              </w:rPr>
              <w:t>hesed.lauano@mof.gov.ws</w:t>
            </w:r>
          </w:p>
        </w:tc>
        <w:tc>
          <w:tcPr>
            <w:tcW w:w="1276" w:type="dxa"/>
            <w:shd w:val="clear" w:color="auto" w:fill="FFFFFF"/>
          </w:tcPr>
          <w:p w:rsidR="00B76F85" w:rsidRPr="00C17510" w:rsidRDefault="00B76F85" w:rsidP="00C17510">
            <w:pPr>
              <w:spacing w:before="0"/>
              <w:rPr>
                <w:sz w:val="18"/>
              </w:rPr>
            </w:pPr>
            <w:r w:rsidRPr="00C17510">
              <w:rPr>
                <w:sz w:val="18"/>
              </w:rPr>
              <w:t>Ph:34333</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Peresetene</w:t>
            </w:r>
            <w:proofErr w:type="spellEnd"/>
            <w:r w:rsidRPr="00C17510">
              <w:rPr>
                <w:sz w:val="18"/>
              </w:rPr>
              <w:t xml:space="preserve"> </w:t>
            </w:r>
            <w:proofErr w:type="spellStart"/>
            <w:r w:rsidRPr="00C17510">
              <w:rPr>
                <w:sz w:val="18"/>
              </w:rPr>
              <w:t>Kirifi</w:t>
            </w:r>
            <w:proofErr w:type="spellEnd"/>
          </w:p>
        </w:tc>
        <w:tc>
          <w:tcPr>
            <w:tcW w:w="1984" w:type="dxa"/>
            <w:shd w:val="clear" w:color="auto" w:fill="FFFFFF"/>
          </w:tcPr>
          <w:p w:rsidR="00B76F85" w:rsidRPr="00C17510" w:rsidRDefault="00B76F85" w:rsidP="00C17510">
            <w:pPr>
              <w:spacing w:before="0"/>
              <w:rPr>
                <w:sz w:val="18"/>
              </w:rPr>
            </w:pPr>
            <w:proofErr w:type="spellStart"/>
            <w:r w:rsidRPr="00C17510">
              <w:rPr>
                <w:sz w:val="18"/>
              </w:rPr>
              <w:t>MoF</w:t>
            </w:r>
            <w:proofErr w:type="spellEnd"/>
            <w:r w:rsidRPr="00C17510">
              <w:rPr>
                <w:sz w:val="18"/>
              </w:rPr>
              <w:t>, Aid Coordination &amp; Debt Management Division (ACDMD)</w:t>
            </w:r>
          </w:p>
        </w:tc>
        <w:tc>
          <w:tcPr>
            <w:tcW w:w="2552" w:type="dxa"/>
            <w:shd w:val="clear" w:color="auto" w:fill="FFFFFF"/>
          </w:tcPr>
          <w:p w:rsidR="00B76F85" w:rsidRPr="00C17510" w:rsidRDefault="00B76F85" w:rsidP="00C17510">
            <w:pPr>
              <w:spacing w:before="0"/>
              <w:rPr>
                <w:sz w:val="18"/>
              </w:rPr>
            </w:pPr>
            <w:r w:rsidRPr="00C17510">
              <w:rPr>
                <w:sz w:val="18"/>
              </w:rPr>
              <w:t>Principal Debt Management Officer</w:t>
            </w:r>
          </w:p>
        </w:tc>
        <w:tc>
          <w:tcPr>
            <w:tcW w:w="1701" w:type="dxa"/>
            <w:shd w:val="clear" w:color="auto" w:fill="FFFFFF"/>
          </w:tcPr>
          <w:p w:rsidR="00B76F85" w:rsidRPr="00C17510" w:rsidRDefault="00B76F85" w:rsidP="00C17510">
            <w:pPr>
              <w:spacing w:before="0"/>
              <w:rPr>
                <w:sz w:val="18"/>
              </w:rPr>
            </w:pPr>
            <w:r w:rsidRPr="00C17510">
              <w:rPr>
                <w:sz w:val="18"/>
              </w:rPr>
              <w:t>Peresetene.kirifi@mof.gov.ws</w:t>
            </w:r>
          </w:p>
        </w:tc>
        <w:tc>
          <w:tcPr>
            <w:tcW w:w="1276" w:type="dxa"/>
            <w:shd w:val="clear" w:color="auto" w:fill="FFFFFF"/>
          </w:tcPr>
          <w:p w:rsidR="00B76F85" w:rsidRPr="00C17510" w:rsidRDefault="00B76F85" w:rsidP="00C17510">
            <w:pPr>
              <w:spacing w:before="0"/>
              <w:rPr>
                <w:sz w:val="18"/>
              </w:rPr>
            </w:pPr>
            <w:r w:rsidRPr="00C17510">
              <w:rPr>
                <w:sz w:val="18"/>
              </w:rPr>
              <w:t>Ph:34333</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 xml:space="preserve">Hon. Patu </w:t>
            </w:r>
            <w:proofErr w:type="spellStart"/>
            <w:r w:rsidRPr="00C17510">
              <w:rPr>
                <w:sz w:val="18"/>
              </w:rPr>
              <w:t>Tiavaasue</w:t>
            </w:r>
            <w:proofErr w:type="spellEnd"/>
            <w:r w:rsidRPr="00C17510">
              <w:rPr>
                <w:sz w:val="18"/>
              </w:rPr>
              <w:t xml:space="preserve"> </w:t>
            </w:r>
            <w:proofErr w:type="spellStart"/>
            <w:r w:rsidRPr="00C17510">
              <w:rPr>
                <w:sz w:val="18"/>
              </w:rPr>
              <w:t>Falefatu</w:t>
            </w:r>
            <w:proofErr w:type="spellEnd"/>
            <w:r w:rsidRPr="00C17510">
              <w:rPr>
                <w:sz w:val="18"/>
              </w:rPr>
              <w:t xml:space="preserve"> </w:t>
            </w:r>
            <w:proofErr w:type="spellStart"/>
            <w:r w:rsidRPr="00C17510">
              <w:rPr>
                <w:sz w:val="18"/>
              </w:rPr>
              <w:t>Sapolu</w:t>
            </w:r>
            <w:proofErr w:type="spellEnd"/>
          </w:p>
        </w:tc>
        <w:tc>
          <w:tcPr>
            <w:tcW w:w="1984" w:type="dxa"/>
            <w:shd w:val="clear" w:color="auto" w:fill="FFFFFF"/>
          </w:tcPr>
          <w:p w:rsidR="00B76F85" w:rsidRPr="00C17510" w:rsidRDefault="00B76F85" w:rsidP="00C17510">
            <w:pPr>
              <w:spacing w:before="0"/>
              <w:rPr>
                <w:sz w:val="18"/>
              </w:rPr>
            </w:pPr>
            <w:r w:rsidRPr="00C17510">
              <w:rPr>
                <w:sz w:val="18"/>
              </w:rPr>
              <w:t>Ministry of Justice Courts Administration (MJCA)</w:t>
            </w:r>
          </w:p>
        </w:tc>
        <w:tc>
          <w:tcPr>
            <w:tcW w:w="2552" w:type="dxa"/>
            <w:shd w:val="clear" w:color="auto" w:fill="FFFFFF"/>
          </w:tcPr>
          <w:p w:rsidR="00B76F85" w:rsidRPr="00C17510" w:rsidRDefault="00B76F85" w:rsidP="00C17510">
            <w:pPr>
              <w:spacing w:before="0"/>
              <w:rPr>
                <w:sz w:val="18"/>
              </w:rPr>
            </w:pPr>
            <w:r w:rsidRPr="00C17510">
              <w:rPr>
                <w:sz w:val="18"/>
              </w:rPr>
              <w:t>Chief Justice; and Head of Judiciary</w:t>
            </w:r>
          </w:p>
        </w:tc>
        <w:tc>
          <w:tcPr>
            <w:tcW w:w="1701" w:type="dxa"/>
            <w:shd w:val="clear" w:color="auto" w:fill="FFFFFF"/>
          </w:tcPr>
          <w:p w:rsidR="00B76F85" w:rsidRPr="00C17510" w:rsidRDefault="00B76F85" w:rsidP="00C17510">
            <w:pPr>
              <w:spacing w:before="0"/>
              <w:rPr>
                <w:sz w:val="18"/>
              </w:rPr>
            </w:pPr>
          </w:p>
        </w:tc>
        <w:tc>
          <w:tcPr>
            <w:tcW w:w="1276" w:type="dxa"/>
            <w:shd w:val="clear" w:color="auto" w:fill="FFFFFF"/>
          </w:tcPr>
          <w:p w:rsidR="00B76F85" w:rsidRPr="00C17510" w:rsidRDefault="00B76F85" w:rsidP="00C17510">
            <w:pPr>
              <w:spacing w:before="0"/>
              <w:rPr>
                <w:sz w:val="18"/>
              </w:rPr>
            </w:pPr>
            <w:r w:rsidRPr="00C17510">
              <w:rPr>
                <w:sz w:val="18"/>
              </w:rPr>
              <w:t>Ph:22671</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Masinalupe</w:t>
            </w:r>
            <w:proofErr w:type="spellEnd"/>
            <w:r w:rsidRPr="00C17510">
              <w:rPr>
                <w:sz w:val="18"/>
              </w:rPr>
              <w:t xml:space="preserve"> </w:t>
            </w:r>
            <w:proofErr w:type="spellStart"/>
            <w:r w:rsidRPr="00C17510">
              <w:rPr>
                <w:sz w:val="18"/>
              </w:rPr>
              <w:t>Tusipa</w:t>
            </w:r>
            <w:proofErr w:type="spellEnd"/>
            <w:r w:rsidRPr="00C17510">
              <w:rPr>
                <w:sz w:val="18"/>
              </w:rPr>
              <w:t xml:space="preserve"> </w:t>
            </w:r>
            <w:proofErr w:type="spellStart"/>
            <w:r w:rsidRPr="00C17510">
              <w:rPr>
                <w:sz w:val="18"/>
              </w:rPr>
              <w:t>Masinalupe</w:t>
            </w:r>
            <w:proofErr w:type="spellEnd"/>
            <w:r w:rsidRPr="00C17510">
              <w:rPr>
                <w:sz w:val="18"/>
              </w:rPr>
              <w:t xml:space="preserve"> </w:t>
            </w:r>
          </w:p>
        </w:tc>
        <w:tc>
          <w:tcPr>
            <w:tcW w:w="1984" w:type="dxa"/>
            <w:shd w:val="clear" w:color="auto" w:fill="FFFFFF"/>
          </w:tcPr>
          <w:p w:rsidR="00B76F85" w:rsidRPr="00C17510" w:rsidRDefault="00B76F85" w:rsidP="00C17510">
            <w:pPr>
              <w:spacing w:before="0"/>
              <w:rPr>
                <w:sz w:val="18"/>
              </w:rPr>
            </w:pPr>
            <w:r w:rsidRPr="00C17510">
              <w:rPr>
                <w:sz w:val="18"/>
              </w:rPr>
              <w:t>MJCA</w:t>
            </w:r>
          </w:p>
        </w:tc>
        <w:tc>
          <w:tcPr>
            <w:tcW w:w="2552" w:type="dxa"/>
            <w:shd w:val="clear" w:color="auto" w:fill="FFFFFF"/>
          </w:tcPr>
          <w:p w:rsidR="00B76F85" w:rsidRPr="00C17510" w:rsidRDefault="00B76F85" w:rsidP="00C17510">
            <w:pPr>
              <w:spacing w:before="0"/>
              <w:rPr>
                <w:sz w:val="18"/>
              </w:rPr>
            </w:pPr>
            <w:r w:rsidRPr="00C17510">
              <w:rPr>
                <w:sz w:val="18"/>
              </w:rPr>
              <w:t xml:space="preserve">Chief Executive Officer </w:t>
            </w:r>
          </w:p>
        </w:tc>
        <w:tc>
          <w:tcPr>
            <w:tcW w:w="1701" w:type="dxa"/>
            <w:shd w:val="clear" w:color="auto" w:fill="FFFFFF"/>
          </w:tcPr>
          <w:p w:rsidR="00B76F85" w:rsidRPr="00C17510" w:rsidRDefault="00B76F85" w:rsidP="00C17510">
            <w:pPr>
              <w:spacing w:before="0"/>
              <w:rPr>
                <w:sz w:val="18"/>
              </w:rPr>
            </w:pPr>
            <w:r w:rsidRPr="00C17510">
              <w:rPr>
                <w:sz w:val="18"/>
              </w:rPr>
              <w:t>masinalupe@mjca.gov.ws</w:t>
            </w:r>
          </w:p>
        </w:tc>
        <w:tc>
          <w:tcPr>
            <w:tcW w:w="1276" w:type="dxa"/>
            <w:shd w:val="clear" w:color="auto" w:fill="FFFFFF"/>
          </w:tcPr>
          <w:p w:rsidR="00B76F85" w:rsidRPr="00C17510" w:rsidRDefault="00B76F85" w:rsidP="00C17510">
            <w:pPr>
              <w:spacing w:before="0"/>
              <w:rPr>
                <w:sz w:val="18"/>
              </w:rPr>
            </w:pPr>
            <w:r w:rsidRPr="00C17510">
              <w:rPr>
                <w:sz w:val="18"/>
              </w:rPr>
              <w:t>Ph:22671</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Rosita Nickel</w:t>
            </w:r>
          </w:p>
        </w:tc>
        <w:tc>
          <w:tcPr>
            <w:tcW w:w="1984" w:type="dxa"/>
            <w:shd w:val="clear" w:color="auto" w:fill="FFFFFF"/>
          </w:tcPr>
          <w:p w:rsidR="00B76F85" w:rsidRPr="00C17510" w:rsidRDefault="00B76F85" w:rsidP="00C17510">
            <w:pPr>
              <w:spacing w:before="0"/>
              <w:rPr>
                <w:sz w:val="18"/>
              </w:rPr>
            </w:pPr>
            <w:r w:rsidRPr="00C17510">
              <w:rPr>
                <w:sz w:val="18"/>
              </w:rPr>
              <w:t>MJCA</w:t>
            </w:r>
          </w:p>
        </w:tc>
        <w:tc>
          <w:tcPr>
            <w:tcW w:w="2552" w:type="dxa"/>
            <w:shd w:val="clear" w:color="auto" w:fill="FFFFFF"/>
          </w:tcPr>
          <w:p w:rsidR="00B76F85" w:rsidRPr="00C17510" w:rsidRDefault="00B76F85" w:rsidP="00C17510">
            <w:pPr>
              <w:spacing w:before="0"/>
              <w:rPr>
                <w:sz w:val="18"/>
              </w:rPr>
            </w:pPr>
            <w:r w:rsidRPr="00C17510">
              <w:rPr>
                <w:sz w:val="18"/>
              </w:rPr>
              <w:t>ACEO Censorship</w:t>
            </w:r>
          </w:p>
        </w:tc>
        <w:tc>
          <w:tcPr>
            <w:tcW w:w="1701" w:type="dxa"/>
            <w:shd w:val="clear" w:color="auto" w:fill="FFFFFF"/>
          </w:tcPr>
          <w:p w:rsidR="00B76F85" w:rsidRPr="00C17510" w:rsidRDefault="00B76F85" w:rsidP="00C17510">
            <w:pPr>
              <w:spacing w:before="0"/>
              <w:rPr>
                <w:sz w:val="18"/>
              </w:rPr>
            </w:pPr>
            <w:r w:rsidRPr="00C17510">
              <w:rPr>
                <w:sz w:val="18"/>
              </w:rPr>
              <w:t>r.nickel@mjca.gov.ws</w:t>
            </w:r>
          </w:p>
        </w:tc>
        <w:tc>
          <w:tcPr>
            <w:tcW w:w="1276" w:type="dxa"/>
            <w:shd w:val="clear" w:color="auto" w:fill="FFFFFF"/>
          </w:tcPr>
          <w:p w:rsidR="00B76F85" w:rsidRPr="00C17510" w:rsidRDefault="00B76F85" w:rsidP="00C17510">
            <w:pPr>
              <w:spacing w:before="0"/>
              <w:rPr>
                <w:sz w:val="18"/>
              </w:rPr>
            </w:pPr>
            <w:r w:rsidRPr="00C17510">
              <w:rPr>
                <w:sz w:val="18"/>
              </w:rPr>
              <w:t>Ph:22671</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Serah</w:t>
            </w:r>
            <w:proofErr w:type="spellEnd"/>
            <w:r w:rsidRPr="00C17510">
              <w:rPr>
                <w:sz w:val="18"/>
              </w:rPr>
              <w:t xml:space="preserve"> Skelton-</w:t>
            </w:r>
            <w:proofErr w:type="spellStart"/>
            <w:r w:rsidRPr="00C17510">
              <w:rPr>
                <w:sz w:val="18"/>
              </w:rPr>
              <w:t>Sokimi</w:t>
            </w:r>
            <w:proofErr w:type="spellEnd"/>
          </w:p>
        </w:tc>
        <w:tc>
          <w:tcPr>
            <w:tcW w:w="1984" w:type="dxa"/>
            <w:shd w:val="clear" w:color="auto" w:fill="FFFFFF"/>
          </w:tcPr>
          <w:p w:rsidR="00B76F85" w:rsidRPr="00C17510" w:rsidRDefault="00B76F85" w:rsidP="00C17510">
            <w:pPr>
              <w:spacing w:before="0"/>
              <w:rPr>
                <w:sz w:val="18"/>
              </w:rPr>
            </w:pPr>
            <w:r w:rsidRPr="00C17510">
              <w:rPr>
                <w:sz w:val="18"/>
              </w:rPr>
              <w:t>MJCA</w:t>
            </w:r>
          </w:p>
        </w:tc>
        <w:tc>
          <w:tcPr>
            <w:tcW w:w="2552" w:type="dxa"/>
            <w:shd w:val="clear" w:color="auto" w:fill="FFFFFF"/>
          </w:tcPr>
          <w:p w:rsidR="00B76F85" w:rsidRPr="00C17510" w:rsidRDefault="00B76F85" w:rsidP="00C17510">
            <w:pPr>
              <w:spacing w:before="0"/>
              <w:rPr>
                <w:sz w:val="18"/>
              </w:rPr>
            </w:pPr>
            <w:r w:rsidRPr="00C17510">
              <w:rPr>
                <w:sz w:val="18"/>
              </w:rPr>
              <w:t>ACEO Corporate Services</w:t>
            </w:r>
          </w:p>
        </w:tc>
        <w:tc>
          <w:tcPr>
            <w:tcW w:w="1701" w:type="dxa"/>
            <w:shd w:val="clear" w:color="auto" w:fill="FFFFFF"/>
          </w:tcPr>
          <w:p w:rsidR="00B76F85" w:rsidRPr="00C17510" w:rsidRDefault="00B76F85" w:rsidP="00C17510">
            <w:pPr>
              <w:spacing w:before="0"/>
              <w:rPr>
                <w:sz w:val="18"/>
              </w:rPr>
            </w:pPr>
            <w:r w:rsidRPr="00C17510">
              <w:rPr>
                <w:sz w:val="18"/>
              </w:rPr>
              <w:t>serahskelton@mjca.gov.ws</w:t>
            </w:r>
          </w:p>
        </w:tc>
        <w:tc>
          <w:tcPr>
            <w:tcW w:w="1276" w:type="dxa"/>
            <w:shd w:val="clear" w:color="auto" w:fill="FFFFFF"/>
          </w:tcPr>
          <w:p w:rsidR="00B76F85" w:rsidRPr="00C17510" w:rsidRDefault="00B76F85" w:rsidP="00C17510">
            <w:pPr>
              <w:spacing w:before="0"/>
              <w:rPr>
                <w:sz w:val="18"/>
              </w:rPr>
            </w:pPr>
            <w:r w:rsidRPr="00C17510">
              <w:rPr>
                <w:sz w:val="18"/>
              </w:rPr>
              <w:t>Ph:22671</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Faagutu</w:t>
            </w:r>
            <w:proofErr w:type="spellEnd"/>
            <w:r w:rsidRPr="00C17510">
              <w:rPr>
                <w:sz w:val="18"/>
              </w:rPr>
              <w:t xml:space="preserve"> </w:t>
            </w:r>
            <w:proofErr w:type="spellStart"/>
            <w:r w:rsidRPr="00C17510">
              <w:rPr>
                <w:sz w:val="18"/>
              </w:rPr>
              <w:t>Vaalotu</w:t>
            </w:r>
            <w:proofErr w:type="spellEnd"/>
          </w:p>
        </w:tc>
        <w:tc>
          <w:tcPr>
            <w:tcW w:w="1984" w:type="dxa"/>
            <w:shd w:val="clear" w:color="auto" w:fill="FFFFFF"/>
          </w:tcPr>
          <w:p w:rsidR="00B76F85" w:rsidRPr="00C17510" w:rsidRDefault="00B76F85" w:rsidP="00C17510">
            <w:pPr>
              <w:spacing w:before="0"/>
              <w:rPr>
                <w:sz w:val="18"/>
              </w:rPr>
            </w:pPr>
            <w:r w:rsidRPr="00C17510">
              <w:rPr>
                <w:sz w:val="18"/>
              </w:rPr>
              <w:t>MJCA</w:t>
            </w:r>
          </w:p>
        </w:tc>
        <w:tc>
          <w:tcPr>
            <w:tcW w:w="2552" w:type="dxa"/>
            <w:shd w:val="clear" w:color="auto" w:fill="FFFFFF"/>
          </w:tcPr>
          <w:p w:rsidR="00B76F85" w:rsidRPr="00C17510" w:rsidRDefault="00B76F85" w:rsidP="00C17510">
            <w:pPr>
              <w:spacing w:before="0"/>
              <w:rPr>
                <w:sz w:val="18"/>
              </w:rPr>
            </w:pPr>
            <w:r w:rsidRPr="00C17510">
              <w:rPr>
                <w:sz w:val="18"/>
              </w:rPr>
              <w:t>ACEO-CEM</w:t>
            </w:r>
          </w:p>
        </w:tc>
        <w:tc>
          <w:tcPr>
            <w:tcW w:w="1701" w:type="dxa"/>
            <w:shd w:val="clear" w:color="auto" w:fill="FFFFFF"/>
          </w:tcPr>
          <w:p w:rsidR="00B76F85" w:rsidRPr="00C17510" w:rsidRDefault="00B76F85" w:rsidP="00C17510">
            <w:pPr>
              <w:spacing w:before="0"/>
              <w:rPr>
                <w:sz w:val="18"/>
              </w:rPr>
            </w:pPr>
            <w:r w:rsidRPr="00C17510">
              <w:rPr>
                <w:sz w:val="18"/>
              </w:rPr>
              <w:t>f.vaalotu@mjca.gov.ws</w:t>
            </w:r>
          </w:p>
        </w:tc>
        <w:tc>
          <w:tcPr>
            <w:tcW w:w="1276" w:type="dxa"/>
            <w:shd w:val="clear" w:color="auto" w:fill="FFFFFF"/>
          </w:tcPr>
          <w:p w:rsidR="00B76F85" w:rsidRPr="00C17510" w:rsidRDefault="00B76F85" w:rsidP="00C17510">
            <w:pPr>
              <w:spacing w:before="0"/>
              <w:rPr>
                <w:sz w:val="18"/>
              </w:rPr>
            </w:pPr>
            <w:r w:rsidRPr="00C17510">
              <w:rPr>
                <w:sz w:val="18"/>
              </w:rPr>
              <w:t>Ph:22671</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Lio</w:t>
            </w:r>
            <w:proofErr w:type="spellEnd"/>
            <w:r w:rsidRPr="00C17510">
              <w:rPr>
                <w:sz w:val="18"/>
              </w:rPr>
              <w:t xml:space="preserve"> Heinrich W </w:t>
            </w:r>
            <w:proofErr w:type="spellStart"/>
            <w:r w:rsidRPr="00C17510">
              <w:rPr>
                <w:sz w:val="18"/>
              </w:rPr>
              <w:t>Siemsen</w:t>
            </w:r>
            <w:proofErr w:type="spellEnd"/>
          </w:p>
        </w:tc>
        <w:tc>
          <w:tcPr>
            <w:tcW w:w="1984" w:type="dxa"/>
            <w:shd w:val="clear" w:color="auto" w:fill="FFFFFF"/>
          </w:tcPr>
          <w:p w:rsidR="00B76F85" w:rsidRPr="00C17510" w:rsidRDefault="00B76F85" w:rsidP="00C17510">
            <w:pPr>
              <w:spacing w:before="0"/>
              <w:rPr>
                <w:sz w:val="18"/>
              </w:rPr>
            </w:pPr>
            <w:r w:rsidRPr="00C17510">
              <w:rPr>
                <w:sz w:val="18"/>
              </w:rPr>
              <w:t>MJCA</w:t>
            </w:r>
          </w:p>
        </w:tc>
        <w:tc>
          <w:tcPr>
            <w:tcW w:w="2552" w:type="dxa"/>
            <w:shd w:val="clear" w:color="auto" w:fill="FFFFFF"/>
          </w:tcPr>
          <w:p w:rsidR="00B76F85" w:rsidRPr="00C17510" w:rsidRDefault="00B76F85" w:rsidP="00C17510">
            <w:pPr>
              <w:spacing w:before="0"/>
              <w:rPr>
                <w:sz w:val="18"/>
              </w:rPr>
            </w:pPr>
            <w:r w:rsidRPr="00C17510">
              <w:rPr>
                <w:sz w:val="18"/>
              </w:rPr>
              <w:t>ACEO-Courts (Supreme, District)</w:t>
            </w:r>
          </w:p>
        </w:tc>
        <w:tc>
          <w:tcPr>
            <w:tcW w:w="1701" w:type="dxa"/>
            <w:shd w:val="clear" w:color="auto" w:fill="FFFFFF"/>
          </w:tcPr>
          <w:p w:rsidR="00B76F85" w:rsidRPr="00C17510" w:rsidRDefault="00B76F85" w:rsidP="00C17510">
            <w:pPr>
              <w:spacing w:before="0"/>
              <w:rPr>
                <w:sz w:val="18"/>
              </w:rPr>
            </w:pPr>
            <w:r w:rsidRPr="00C17510">
              <w:rPr>
                <w:sz w:val="18"/>
              </w:rPr>
              <w:t>l.siemsen@mjca.gov.ws</w:t>
            </w:r>
          </w:p>
        </w:tc>
        <w:tc>
          <w:tcPr>
            <w:tcW w:w="1276" w:type="dxa"/>
            <w:shd w:val="clear" w:color="auto" w:fill="FFFFFF"/>
          </w:tcPr>
          <w:p w:rsidR="00B76F85" w:rsidRPr="00C17510" w:rsidRDefault="00B76F85" w:rsidP="00C17510">
            <w:pPr>
              <w:spacing w:before="0"/>
              <w:rPr>
                <w:sz w:val="18"/>
              </w:rPr>
            </w:pPr>
            <w:r w:rsidRPr="00C17510">
              <w:rPr>
                <w:sz w:val="18"/>
              </w:rPr>
              <w:t>Ph:22671 Mob:7271020</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Leota</w:t>
            </w:r>
            <w:proofErr w:type="spellEnd"/>
            <w:r w:rsidRPr="00C17510">
              <w:rPr>
                <w:sz w:val="18"/>
              </w:rPr>
              <w:t xml:space="preserve"> </w:t>
            </w:r>
            <w:proofErr w:type="spellStart"/>
            <w:r w:rsidRPr="00C17510">
              <w:rPr>
                <w:sz w:val="18"/>
              </w:rPr>
              <w:t>Pelenato</w:t>
            </w:r>
            <w:proofErr w:type="spellEnd"/>
            <w:r w:rsidRPr="00C17510">
              <w:rPr>
                <w:sz w:val="18"/>
              </w:rPr>
              <w:t xml:space="preserve"> Paulo</w:t>
            </w:r>
          </w:p>
        </w:tc>
        <w:tc>
          <w:tcPr>
            <w:tcW w:w="1984" w:type="dxa"/>
            <w:shd w:val="clear" w:color="auto" w:fill="FFFFFF"/>
          </w:tcPr>
          <w:p w:rsidR="00B76F85" w:rsidRPr="00C17510" w:rsidRDefault="00B76F85" w:rsidP="00C17510">
            <w:pPr>
              <w:spacing w:before="0"/>
              <w:rPr>
                <w:sz w:val="18"/>
              </w:rPr>
            </w:pPr>
            <w:r w:rsidRPr="00C17510">
              <w:rPr>
                <w:sz w:val="18"/>
              </w:rPr>
              <w:t>MJCA</w:t>
            </w:r>
          </w:p>
        </w:tc>
        <w:tc>
          <w:tcPr>
            <w:tcW w:w="2552" w:type="dxa"/>
            <w:shd w:val="clear" w:color="auto" w:fill="FFFFFF"/>
          </w:tcPr>
          <w:p w:rsidR="00B76F85" w:rsidRPr="00C17510" w:rsidRDefault="00B76F85" w:rsidP="00C17510">
            <w:pPr>
              <w:spacing w:before="0"/>
              <w:rPr>
                <w:sz w:val="18"/>
              </w:rPr>
            </w:pPr>
            <w:r w:rsidRPr="00C17510">
              <w:rPr>
                <w:sz w:val="18"/>
              </w:rPr>
              <w:t>ACEO-IMRD</w:t>
            </w:r>
          </w:p>
        </w:tc>
        <w:tc>
          <w:tcPr>
            <w:tcW w:w="1701" w:type="dxa"/>
            <w:shd w:val="clear" w:color="auto" w:fill="FFFFFF"/>
          </w:tcPr>
          <w:p w:rsidR="00B76F85" w:rsidRPr="00C17510" w:rsidRDefault="00B76F85" w:rsidP="00C17510">
            <w:pPr>
              <w:spacing w:before="0"/>
              <w:rPr>
                <w:sz w:val="18"/>
              </w:rPr>
            </w:pPr>
            <w:r w:rsidRPr="00C17510">
              <w:rPr>
                <w:sz w:val="18"/>
              </w:rPr>
              <w:t>l.paulo@mjca.gov.ws</w:t>
            </w:r>
          </w:p>
        </w:tc>
        <w:tc>
          <w:tcPr>
            <w:tcW w:w="1276" w:type="dxa"/>
            <w:shd w:val="clear" w:color="auto" w:fill="FFFFFF"/>
          </w:tcPr>
          <w:p w:rsidR="00B76F85" w:rsidRPr="00C17510" w:rsidRDefault="00B76F85" w:rsidP="00C17510">
            <w:pPr>
              <w:spacing w:before="0"/>
              <w:rPr>
                <w:sz w:val="18"/>
              </w:rPr>
            </w:pPr>
            <w:r w:rsidRPr="00C17510">
              <w:rPr>
                <w:sz w:val="18"/>
              </w:rPr>
              <w:t>Ph:22671</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Leugamata</w:t>
            </w:r>
            <w:proofErr w:type="spellEnd"/>
            <w:r w:rsidRPr="00C17510">
              <w:rPr>
                <w:sz w:val="18"/>
              </w:rPr>
              <w:t xml:space="preserve"> </w:t>
            </w:r>
            <w:proofErr w:type="spellStart"/>
            <w:r w:rsidRPr="00C17510">
              <w:rPr>
                <w:sz w:val="18"/>
              </w:rPr>
              <w:t>Faletolu</w:t>
            </w:r>
            <w:proofErr w:type="spellEnd"/>
            <w:r w:rsidRPr="00C17510">
              <w:rPr>
                <w:sz w:val="18"/>
              </w:rPr>
              <w:t xml:space="preserve"> </w:t>
            </w:r>
            <w:proofErr w:type="spellStart"/>
            <w:r w:rsidRPr="00C17510">
              <w:rPr>
                <w:sz w:val="18"/>
              </w:rPr>
              <w:t>Lofipo</w:t>
            </w:r>
            <w:proofErr w:type="spellEnd"/>
          </w:p>
        </w:tc>
        <w:tc>
          <w:tcPr>
            <w:tcW w:w="1984" w:type="dxa"/>
            <w:shd w:val="clear" w:color="auto" w:fill="FFFFFF"/>
          </w:tcPr>
          <w:p w:rsidR="00B76F85" w:rsidRPr="00C17510" w:rsidRDefault="00B76F85" w:rsidP="00C17510">
            <w:pPr>
              <w:spacing w:before="0"/>
              <w:rPr>
                <w:sz w:val="18"/>
              </w:rPr>
            </w:pPr>
            <w:r w:rsidRPr="00C17510">
              <w:rPr>
                <w:sz w:val="18"/>
              </w:rPr>
              <w:t>MJCA</w:t>
            </w:r>
          </w:p>
        </w:tc>
        <w:tc>
          <w:tcPr>
            <w:tcW w:w="2552" w:type="dxa"/>
            <w:shd w:val="clear" w:color="auto" w:fill="FFFFFF"/>
          </w:tcPr>
          <w:p w:rsidR="00B76F85" w:rsidRPr="00C17510" w:rsidRDefault="00B76F85" w:rsidP="00C17510">
            <w:pPr>
              <w:spacing w:before="0"/>
              <w:rPr>
                <w:sz w:val="18"/>
              </w:rPr>
            </w:pPr>
            <w:r w:rsidRPr="00C17510">
              <w:rPr>
                <w:sz w:val="18"/>
              </w:rPr>
              <w:t>ACEO-Mediation Land and Titles Court (LTC)</w:t>
            </w:r>
          </w:p>
        </w:tc>
        <w:tc>
          <w:tcPr>
            <w:tcW w:w="1701" w:type="dxa"/>
            <w:shd w:val="clear" w:color="auto" w:fill="FFFFFF"/>
          </w:tcPr>
          <w:p w:rsidR="00B76F85" w:rsidRPr="00C17510" w:rsidRDefault="00B76F85" w:rsidP="00C17510">
            <w:pPr>
              <w:spacing w:before="0"/>
              <w:rPr>
                <w:sz w:val="18"/>
              </w:rPr>
            </w:pPr>
            <w:r w:rsidRPr="00C17510">
              <w:rPr>
                <w:sz w:val="18"/>
              </w:rPr>
              <w:t>f.lofipo@mjca.gov.ws</w:t>
            </w:r>
          </w:p>
        </w:tc>
        <w:tc>
          <w:tcPr>
            <w:tcW w:w="1276" w:type="dxa"/>
            <w:shd w:val="clear" w:color="auto" w:fill="FFFFFF"/>
          </w:tcPr>
          <w:p w:rsidR="00B76F85" w:rsidRPr="00C17510" w:rsidRDefault="00B76F85" w:rsidP="00C17510">
            <w:pPr>
              <w:spacing w:before="0"/>
              <w:rPr>
                <w:sz w:val="18"/>
              </w:rPr>
            </w:pPr>
            <w:r w:rsidRPr="00C17510">
              <w:rPr>
                <w:sz w:val="18"/>
              </w:rPr>
              <w:t>Ph:22671</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Saili</w:t>
            </w:r>
            <w:proofErr w:type="spellEnd"/>
            <w:r w:rsidRPr="00C17510">
              <w:rPr>
                <w:sz w:val="18"/>
              </w:rPr>
              <w:t xml:space="preserve"> </w:t>
            </w:r>
            <w:proofErr w:type="spellStart"/>
            <w:r w:rsidRPr="00C17510">
              <w:rPr>
                <w:sz w:val="18"/>
              </w:rPr>
              <w:t>Paepuega</w:t>
            </w:r>
            <w:proofErr w:type="spellEnd"/>
          </w:p>
        </w:tc>
        <w:tc>
          <w:tcPr>
            <w:tcW w:w="1984" w:type="dxa"/>
            <w:shd w:val="clear" w:color="auto" w:fill="FFFFFF"/>
          </w:tcPr>
          <w:p w:rsidR="00B76F85" w:rsidRPr="00C17510" w:rsidRDefault="00B76F85" w:rsidP="00C17510">
            <w:pPr>
              <w:spacing w:before="0"/>
              <w:rPr>
                <w:sz w:val="18"/>
              </w:rPr>
            </w:pPr>
            <w:r w:rsidRPr="00C17510">
              <w:rPr>
                <w:sz w:val="18"/>
              </w:rPr>
              <w:t>MJCA</w:t>
            </w:r>
          </w:p>
        </w:tc>
        <w:tc>
          <w:tcPr>
            <w:tcW w:w="2552" w:type="dxa"/>
            <w:shd w:val="clear" w:color="auto" w:fill="FFFFFF"/>
          </w:tcPr>
          <w:p w:rsidR="00B76F85" w:rsidRPr="00C17510" w:rsidRDefault="00B76F85" w:rsidP="00C17510">
            <w:pPr>
              <w:spacing w:before="0"/>
              <w:rPr>
                <w:sz w:val="18"/>
              </w:rPr>
            </w:pPr>
            <w:r w:rsidRPr="00C17510">
              <w:rPr>
                <w:sz w:val="18"/>
              </w:rPr>
              <w:t>Building Manager</w:t>
            </w:r>
          </w:p>
        </w:tc>
        <w:tc>
          <w:tcPr>
            <w:tcW w:w="1701" w:type="dxa"/>
            <w:shd w:val="clear" w:color="auto" w:fill="FFFFFF"/>
          </w:tcPr>
          <w:p w:rsidR="00B76F85" w:rsidRPr="00C17510" w:rsidRDefault="00B76F85" w:rsidP="00C17510">
            <w:pPr>
              <w:spacing w:before="0"/>
              <w:rPr>
                <w:sz w:val="18"/>
              </w:rPr>
            </w:pPr>
            <w:r w:rsidRPr="00C17510">
              <w:rPr>
                <w:sz w:val="18"/>
              </w:rPr>
              <w:t>s.paepuega@mjca.gov.ws</w:t>
            </w:r>
          </w:p>
        </w:tc>
        <w:tc>
          <w:tcPr>
            <w:tcW w:w="1276" w:type="dxa"/>
            <w:shd w:val="clear" w:color="auto" w:fill="FFFFFF"/>
          </w:tcPr>
          <w:p w:rsidR="00B76F85" w:rsidRPr="00C17510" w:rsidRDefault="00B76F85" w:rsidP="00C17510">
            <w:pPr>
              <w:spacing w:before="0"/>
              <w:rPr>
                <w:sz w:val="18"/>
              </w:rPr>
            </w:pPr>
            <w:r w:rsidRPr="00C17510">
              <w:rPr>
                <w:sz w:val="18"/>
              </w:rPr>
              <w:t>Ph:22671</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Galuvao</w:t>
            </w:r>
            <w:proofErr w:type="spellEnd"/>
            <w:r w:rsidRPr="00C17510">
              <w:rPr>
                <w:sz w:val="18"/>
              </w:rPr>
              <w:t xml:space="preserve"> Koki </w:t>
            </w:r>
            <w:proofErr w:type="spellStart"/>
            <w:r w:rsidRPr="00C17510">
              <w:rPr>
                <w:sz w:val="18"/>
              </w:rPr>
              <w:t>Tiatia</w:t>
            </w:r>
            <w:proofErr w:type="spellEnd"/>
          </w:p>
        </w:tc>
        <w:tc>
          <w:tcPr>
            <w:tcW w:w="1984" w:type="dxa"/>
            <w:shd w:val="clear" w:color="auto" w:fill="FFFFFF"/>
          </w:tcPr>
          <w:p w:rsidR="00B76F85" w:rsidRPr="00C17510" w:rsidRDefault="00B76F85" w:rsidP="00C17510">
            <w:pPr>
              <w:spacing w:before="0"/>
              <w:rPr>
                <w:sz w:val="18"/>
              </w:rPr>
            </w:pPr>
            <w:r w:rsidRPr="00C17510">
              <w:rPr>
                <w:sz w:val="18"/>
              </w:rPr>
              <w:t>MJCA</w:t>
            </w:r>
          </w:p>
        </w:tc>
        <w:tc>
          <w:tcPr>
            <w:tcW w:w="2552" w:type="dxa"/>
            <w:shd w:val="clear" w:color="auto" w:fill="FFFFFF"/>
          </w:tcPr>
          <w:p w:rsidR="00B76F85" w:rsidRPr="00C17510" w:rsidRDefault="00B76F85" w:rsidP="00C17510">
            <w:pPr>
              <w:spacing w:before="0"/>
              <w:rPr>
                <w:sz w:val="18"/>
              </w:rPr>
            </w:pPr>
            <w:r w:rsidRPr="00C17510">
              <w:rPr>
                <w:sz w:val="18"/>
              </w:rPr>
              <w:t>CEM</w:t>
            </w:r>
          </w:p>
        </w:tc>
        <w:tc>
          <w:tcPr>
            <w:tcW w:w="1701" w:type="dxa"/>
            <w:shd w:val="clear" w:color="auto" w:fill="FFFFFF"/>
          </w:tcPr>
          <w:p w:rsidR="00B76F85" w:rsidRPr="00C17510" w:rsidRDefault="00B76F85" w:rsidP="00C17510">
            <w:pPr>
              <w:spacing w:before="0"/>
              <w:rPr>
                <w:sz w:val="18"/>
              </w:rPr>
            </w:pPr>
            <w:r w:rsidRPr="00C17510">
              <w:rPr>
                <w:sz w:val="18"/>
              </w:rPr>
              <w:t>g.tiatia@mjca.gov.ws</w:t>
            </w:r>
          </w:p>
        </w:tc>
        <w:tc>
          <w:tcPr>
            <w:tcW w:w="1276" w:type="dxa"/>
            <w:shd w:val="clear" w:color="auto" w:fill="FFFFFF"/>
          </w:tcPr>
          <w:p w:rsidR="00B76F85" w:rsidRPr="00C17510" w:rsidRDefault="00B76F85" w:rsidP="00C17510">
            <w:pPr>
              <w:spacing w:before="0"/>
              <w:rPr>
                <w:sz w:val="18"/>
              </w:rPr>
            </w:pPr>
            <w:r w:rsidRPr="00C17510">
              <w:rPr>
                <w:sz w:val="18"/>
              </w:rPr>
              <w:t>Ph:22671</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lastRenderedPageBreak/>
              <w:t>Liusuavai</w:t>
            </w:r>
            <w:proofErr w:type="spellEnd"/>
            <w:r w:rsidRPr="00C17510">
              <w:rPr>
                <w:sz w:val="18"/>
              </w:rPr>
              <w:t xml:space="preserve"> </w:t>
            </w:r>
            <w:proofErr w:type="spellStart"/>
            <w:r w:rsidRPr="00C17510">
              <w:rPr>
                <w:sz w:val="18"/>
              </w:rPr>
              <w:t>Kerisiano</w:t>
            </w:r>
            <w:proofErr w:type="spellEnd"/>
          </w:p>
        </w:tc>
        <w:tc>
          <w:tcPr>
            <w:tcW w:w="1984" w:type="dxa"/>
            <w:shd w:val="clear" w:color="auto" w:fill="FFFFFF"/>
          </w:tcPr>
          <w:p w:rsidR="00B76F85" w:rsidRPr="00C17510" w:rsidRDefault="00B76F85" w:rsidP="00C17510">
            <w:pPr>
              <w:spacing w:before="0"/>
              <w:rPr>
                <w:sz w:val="18"/>
              </w:rPr>
            </w:pPr>
            <w:r w:rsidRPr="00C17510">
              <w:rPr>
                <w:sz w:val="18"/>
              </w:rPr>
              <w:t>MJCA</w:t>
            </w:r>
          </w:p>
        </w:tc>
        <w:tc>
          <w:tcPr>
            <w:tcW w:w="2552" w:type="dxa"/>
            <w:shd w:val="clear" w:color="auto" w:fill="FFFFFF"/>
          </w:tcPr>
          <w:p w:rsidR="00B76F85" w:rsidRPr="00C17510" w:rsidRDefault="00B76F85" w:rsidP="00C17510">
            <w:pPr>
              <w:spacing w:before="0"/>
              <w:rPr>
                <w:sz w:val="18"/>
              </w:rPr>
            </w:pPr>
            <w:r w:rsidRPr="00C17510">
              <w:rPr>
                <w:sz w:val="18"/>
              </w:rPr>
              <w:t>CEM</w:t>
            </w:r>
          </w:p>
        </w:tc>
        <w:tc>
          <w:tcPr>
            <w:tcW w:w="1701" w:type="dxa"/>
            <w:shd w:val="clear" w:color="auto" w:fill="FFFFFF"/>
          </w:tcPr>
          <w:p w:rsidR="00B76F85" w:rsidRPr="00C17510" w:rsidRDefault="00B76F85" w:rsidP="00C17510">
            <w:pPr>
              <w:spacing w:before="0"/>
              <w:rPr>
                <w:sz w:val="18"/>
              </w:rPr>
            </w:pPr>
            <w:r w:rsidRPr="00C17510">
              <w:rPr>
                <w:sz w:val="18"/>
              </w:rPr>
              <w:t>l.kerisiano@mjca.gov.ws</w:t>
            </w:r>
          </w:p>
        </w:tc>
        <w:tc>
          <w:tcPr>
            <w:tcW w:w="1276" w:type="dxa"/>
            <w:shd w:val="clear" w:color="auto" w:fill="FFFFFF"/>
          </w:tcPr>
          <w:p w:rsidR="00B76F85" w:rsidRPr="00C17510" w:rsidRDefault="00B76F85" w:rsidP="00C17510">
            <w:pPr>
              <w:spacing w:before="0"/>
              <w:rPr>
                <w:sz w:val="18"/>
              </w:rPr>
            </w:pPr>
            <w:r w:rsidRPr="00C17510">
              <w:rPr>
                <w:sz w:val="18"/>
              </w:rPr>
              <w:t>Ph:22671</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Leiataua</w:t>
            </w:r>
            <w:proofErr w:type="spellEnd"/>
            <w:r w:rsidRPr="00C17510">
              <w:rPr>
                <w:sz w:val="18"/>
              </w:rPr>
              <w:t xml:space="preserve"> </w:t>
            </w:r>
            <w:proofErr w:type="spellStart"/>
            <w:r w:rsidRPr="00C17510">
              <w:rPr>
                <w:sz w:val="18"/>
              </w:rPr>
              <w:t>Niuapu</w:t>
            </w:r>
            <w:proofErr w:type="spellEnd"/>
            <w:r w:rsidRPr="00C17510">
              <w:rPr>
                <w:sz w:val="18"/>
              </w:rPr>
              <w:t xml:space="preserve"> </w:t>
            </w:r>
            <w:proofErr w:type="spellStart"/>
            <w:r w:rsidRPr="00C17510">
              <w:rPr>
                <w:sz w:val="18"/>
              </w:rPr>
              <w:t>Faaiu</w:t>
            </w:r>
            <w:proofErr w:type="spellEnd"/>
            <w:r w:rsidRPr="00C17510">
              <w:rPr>
                <w:sz w:val="18"/>
              </w:rPr>
              <w:t xml:space="preserve"> II</w:t>
            </w:r>
          </w:p>
        </w:tc>
        <w:tc>
          <w:tcPr>
            <w:tcW w:w="1984" w:type="dxa"/>
            <w:shd w:val="clear" w:color="auto" w:fill="FFFFFF"/>
          </w:tcPr>
          <w:p w:rsidR="00B76F85" w:rsidRPr="00C17510" w:rsidRDefault="00B76F85" w:rsidP="00C17510">
            <w:pPr>
              <w:spacing w:before="0"/>
              <w:rPr>
                <w:sz w:val="18"/>
              </w:rPr>
            </w:pPr>
            <w:r w:rsidRPr="00C17510">
              <w:rPr>
                <w:sz w:val="18"/>
              </w:rPr>
              <w:t>MJCA</w:t>
            </w:r>
          </w:p>
        </w:tc>
        <w:tc>
          <w:tcPr>
            <w:tcW w:w="2552" w:type="dxa"/>
            <w:shd w:val="clear" w:color="auto" w:fill="FFFFFF"/>
          </w:tcPr>
          <w:p w:rsidR="00B76F85" w:rsidRPr="00C17510" w:rsidRDefault="00B76F85" w:rsidP="00C17510">
            <w:pPr>
              <w:spacing w:before="0"/>
              <w:rPr>
                <w:sz w:val="18"/>
              </w:rPr>
            </w:pPr>
            <w:r w:rsidRPr="00C17510">
              <w:rPr>
                <w:sz w:val="18"/>
              </w:rPr>
              <w:t>Chief Censor</w:t>
            </w:r>
          </w:p>
        </w:tc>
        <w:tc>
          <w:tcPr>
            <w:tcW w:w="1701" w:type="dxa"/>
            <w:shd w:val="clear" w:color="auto" w:fill="FFFFFF"/>
          </w:tcPr>
          <w:p w:rsidR="00B76F85" w:rsidRPr="00C17510" w:rsidRDefault="00B76F85" w:rsidP="00C17510">
            <w:pPr>
              <w:spacing w:before="0"/>
              <w:rPr>
                <w:sz w:val="18"/>
              </w:rPr>
            </w:pPr>
            <w:r w:rsidRPr="00C17510">
              <w:rPr>
                <w:sz w:val="18"/>
              </w:rPr>
              <w:t>n.leiataua@mjca.gov.ws</w:t>
            </w:r>
          </w:p>
        </w:tc>
        <w:tc>
          <w:tcPr>
            <w:tcW w:w="1276" w:type="dxa"/>
            <w:shd w:val="clear" w:color="auto" w:fill="FFFFFF"/>
          </w:tcPr>
          <w:p w:rsidR="00B76F85" w:rsidRPr="00C17510" w:rsidRDefault="00B76F85" w:rsidP="00C17510">
            <w:pPr>
              <w:spacing w:before="0"/>
              <w:rPr>
                <w:sz w:val="18"/>
              </w:rPr>
            </w:pPr>
            <w:r w:rsidRPr="00C17510">
              <w:rPr>
                <w:sz w:val="18"/>
              </w:rPr>
              <w:t>Ph:22671</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Faamuina</w:t>
            </w:r>
            <w:proofErr w:type="spellEnd"/>
            <w:r w:rsidRPr="00C17510">
              <w:rPr>
                <w:sz w:val="18"/>
              </w:rPr>
              <w:t xml:space="preserve"> </w:t>
            </w:r>
            <w:proofErr w:type="spellStart"/>
            <w:r w:rsidRPr="00C17510">
              <w:rPr>
                <w:sz w:val="18"/>
              </w:rPr>
              <w:t>Faatea</w:t>
            </w:r>
            <w:proofErr w:type="spellEnd"/>
            <w:r w:rsidRPr="00C17510">
              <w:rPr>
                <w:sz w:val="18"/>
              </w:rPr>
              <w:t xml:space="preserve"> </w:t>
            </w:r>
            <w:proofErr w:type="spellStart"/>
            <w:r w:rsidRPr="00C17510">
              <w:rPr>
                <w:sz w:val="18"/>
              </w:rPr>
              <w:t>Tuimauga</w:t>
            </w:r>
            <w:proofErr w:type="spellEnd"/>
          </w:p>
        </w:tc>
        <w:tc>
          <w:tcPr>
            <w:tcW w:w="1984" w:type="dxa"/>
            <w:shd w:val="clear" w:color="auto" w:fill="FFFFFF"/>
          </w:tcPr>
          <w:p w:rsidR="00B76F85" w:rsidRPr="00C17510" w:rsidRDefault="00B76F85" w:rsidP="00C17510">
            <w:pPr>
              <w:spacing w:before="0"/>
              <w:rPr>
                <w:sz w:val="18"/>
              </w:rPr>
            </w:pPr>
            <w:r w:rsidRPr="00C17510">
              <w:rPr>
                <w:sz w:val="18"/>
              </w:rPr>
              <w:t>MJCA</w:t>
            </w:r>
          </w:p>
        </w:tc>
        <w:tc>
          <w:tcPr>
            <w:tcW w:w="2552" w:type="dxa"/>
            <w:shd w:val="clear" w:color="auto" w:fill="FFFFFF"/>
          </w:tcPr>
          <w:p w:rsidR="00B76F85" w:rsidRPr="00C17510" w:rsidRDefault="00B76F85" w:rsidP="00C17510">
            <w:pPr>
              <w:spacing w:before="0"/>
              <w:rPr>
                <w:sz w:val="18"/>
              </w:rPr>
            </w:pPr>
            <w:r w:rsidRPr="00C17510">
              <w:rPr>
                <w:sz w:val="18"/>
              </w:rPr>
              <w:t>CRMO</w:t>
            </w:r>
          </w:p>
        </w:tc>
        <w:tc>
          <w:tcPr>
            <w:tcW w:w="1701" w:type="dxa"/>
            <w:shd w:val="clear" w:color="auto" w:fill="FFFFFF"/>
          </w:tcPr>
          <w:p w:rsidR="00B76F85" w:rsidRPr="00C17510" w:rsidRDefault="00B76F85" w:rsidP="00C17510">
            <w:pPr>
              <w:spacing w:before="0"/>
              <w:rPr>
                <w:sz w:val="18"/>
              </w:rPr>
            </w:pPr>
            <w:r w:rsidRPr="00C17510">
              <w:rPr>
                <w:sz w:val="18"/>
              </w:rPr>
              <w:t>f.tuimauga@mjca.ws</w:t>
            </w:r>
          </w:p>
        </w:tc>
        <w:tc>
          <w:tcPr>
            <w:tcW w:w="1276" w:type="dxa"/>
            <w:shd w:val="clear" w:color="auto" w:fill="FFFFFF"/>
          </w:tcPr>
          <w:p w:rsidR="00B76F85" w:rsidRPr="00C17510" w:rsidRDefault="00B76F85" w:rsidP="00C17510">
            <w:pPr>
              <w:spacing w:before="0"/>
              <w:rPr>
                <w:sz w:val="18"/>
              </w:rPr>
            </w:pPr>
            <w:r w:rsidRPr="00C17510">
              <w:rPr>
                <w:sz w:val="18"/>
              </w:rPr>
              <w:t>Mob:7239223</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Soara</w:t>
            </w:r>
            <w:proofErr w:type="spellEnd"/>
            <w:r w:rsidRPr="00C17510">
              <w:rPr>
                <w:sz w:val="18"/>
              </w:rPr>
              <w:t xml:space="preserve"> </w:t>
            </w:r>
            <w:proofErr w:type="spellStart"/>
            <w:r w:rsidRPr="00C17510">
              <w:rPr>
                <w:sz w:val="18"/>
              </w:rPr>
              <w:t>Siamomua</w:t>
            </w:r>
            <w:proofErr w:type="spellEnd"/>
          </w:p>
        </w:tc>
        <w:tc>
          <w:tcPr>
            <w:tcW w:w="1984" w:type="dxa"/>
            <w:shd w:val="clear" w:color="auto" w:fill="FFFFFF"/>
          </w:tcPr>
          <w:p w:rsidR="00B76F85" w:rsidRPr="00C17510" w:rsidRDefault="00B76F85" w:rsidP="00C17510">
            <w:pPr>
              <w:spacing w:before="0"/>
              <w:rPr>
                <w:sz w:val="18"/>
              </w:rPr>
            </w:pPr>
            <w:r w:rsidRPr="00C17510">
              <w:rPr>
                <w:sz w:val="18"/>
              </w:rPr>
              <w:t>MJCA</w:t>
            </w:r>
          </w:p>
        </w:tc>
        <w:tc>
          <w:tcPr>
            <w:tcW w:w="2552" w:type="dxa"/>
            <w:shd w:val="clear" w:color="auto" w:fill="FFFFFF"/>
          </w:tcPr>
          <w:p w:rsidR="00B76F85" w:rsidRPr="00C17510" w:rsidRDefault="00B76F85" w:rsidP="00C17510">
            <w:pPr>
              <w:spacing w:before="0"/>
              <w:rPr>
                <w:sz w:val="18"/>
              </w:rPr>
            </w:pPr>
            <w:r w:rsidRPr="00C17510">
              <w:rPr>
                <w:sz w:val="18"/>
              </w:rPr>
              <w:t>CSU</w:t>
            </w:r>
          </w:p>
        </w:tc>
        <w:tc>
          <w:tcPr>
            <w:tcW w:w="1701" w:type="dxa"/>
            <w:shd w:val="clear" w:color="auto" w:fill="FFFFFF"/>
          </w:tcPr>
          <w:p w:rsidR="00B76F85" w:rsidRPr="00C17510" w:rsidRDefault="00B76F85" w:rsidP="00C17510">
            <w:pPr>
              <w:spacing w:before="0"/>
              <w:rPr>
                <w:sz w:val="18"/>
              </w:rPr>
            </w:pPr>
            <w:r w:rsidRPr="00C17510">
              <w:rPr>
                <w:sz w:val="18"/>
              </w:rPr>
              <w:t>s.siamomua@mjca.gov.ws</w:t>
            </w:r>
          </w:p>
        </w:tc>
        <w:tc>
          <w:tcPr>
            <w:tcW w:w="1276" w:type="dxa"/>
            <w:shd w:val="clear" w:color="auto" w:fill="FFFFFF"/>
          </w:tcPr>
          <w:p w:rsidR="00B76F85" w:rsidRPr="00C17510" w:rsidRDefault="00B76F85" w:rsidP="00C17510">
            <w:pPr>
              <w:spacing w:before="0"/>
              <w:rPr>
                <w:sz w:val="18"/>
              </w:rPr>
            </w:pPr>
            <w:r w:rsidRPr="00C17510">
              <w:rPr>
                <w:sz w:val="18"/>
              </w:rPr>
              <w:t>Ph:22671</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Tauiliili</w:t>
            </w:r>
            <w:proofErr w:type="spellEnd"/>
            <w:r w:rsidRPr="00C17510">
              <w:rPr>
                <w:sz w:val="18"/>
              </w:rPr>
              <w:t xml:space="preserve"> </w:t>
            </w:r>
            <w:proofErr w:type="spellStart"/>
            <w:r w:rsidRPr="00C17510">
              <w:rPr>
                <w:sz w:val="18"/>
              </w:rPr>
              <w:t>Sekuini</w:t>
            </w:r>
            <w:proofErr w:type="spellEnd"/>
            <w:r w:rsidRPr="00C17510">
              <w:rPr>
                <w:sz w:val="18"/>
              </w:rPr>
              <w:t xml:space="preserve"> </w:t>
            </w:r>
            <w:proofErr w:type="spellStart"/>
            <w:r w:rsidRPr="00C17510">
              <w:rPr>
                <w:sz w:val="18"/>
              </w:rPr>
              <w:t>Auelua</w:t>
            </w:r>
            <w:proofErr w:type="spellEnd"/>
          </w:p>
        </w:tc>
        <w:tc>
          <w:tcPr>
            <w:tcW w:w="1984" w:type="dxa"/>
            <w:shd w:val="clear" w:color="auto" w:fill="FFFFFF"/>
          </w:tcPr>
          <w:p w:rsidR="00B76F85" w:rsidRPr="00C17510" w:rsidRDefault="00B76F85" w:rsidP="00C17510">
            <w:pPr>
              <w:spacing w:before="0"/>
              <w:rPr>
                <w:sz w:val="18"/>
              </w:rPr>
            </w:pPr>
            <w:r w:rsidRPr="00C17510">
              <w:rPr>
                <w:sz w:val="18"/>
              </w:rPr>
              <w:t>MJCA</w:t>
            </w:r>
          </w:p>
        </w:tc>
        <w:tc>
          <w:tcPr>
            <w:tcW w:w="2552" w:type="dxa"/>
            <w:shd w:val="clear" w:color="auto" w:fill="FFFFFF"/>
          </w:tcPr>
          <w:p w:rsidR="00B76F85" w:rsidRPr="00C17510" w:rsidRDefault="00B76F85" w:rsidP="00C17510">
            <w:pPr>
              <w:spacing w:before="0"/>
              <w:rPr>
                <w:sz w:val="18"/>
              </w:rPr>
            </w:pPr>
            <w:r w:rsidRPr="00C17510">
              <w:rPr>
                <w:sz w:val="18"/>
              </w:rPr>
              <w:t>Deputy Registrar</w:t>
            </w:r>
          </w:p>
        </w:tc>
        <w:tc>
          <w:tcPr>
            <w:tcW w:w="1701" w:type="dxa"/>
            <w:shd w:val="clear" w:color="auto" w:fill="FFFFFF"/>
          </w:tcPr>
          <w:p w:rsidR="00B76F85" w:rsidRPr="00C17510" w:rsidRDefault="00B76F85" w:rsidP="00C17510">
            <w:pPr>
              <w:spacing w:before="0"/>
              <w:rPr>
                <w:sz w:val="18"/>
              </w:rPr>
            </w:pPr>
            <w:r w:rsidRPr="00C17510">
              <w:rPr>
                <w:sz w:val="18"/>
              </w:rPr>
              <w:t>t.auelua@mjca.gov.ws</w:t>
            </w:r>
          </w:p>
        </w:tc>
        <w:tc>
          <w:tcPr>
            <w:tcW w:w="1276" w:type="dxa"/>
            <w:shd w:val="clear" w:color="auto" w:fill="FFFFFF"/>
          </w:tcPr>
          <w:p w:rsidR="00B76F85" w:rsidRPr="00C17510" w:rsidRDefault="00B76F85" w:rsidP="00C17510">
            <w:pPr>
              <w:spacing w:before="0"/>
              <w:rPr>
                <w:sz w:val="18"/>
              </w:rPr>
            </w:pPr>
            <w:r w:rsidRPr="00C17510">
              <w:rPr>
                <w:sz w:val="18"/>
              </w:rPr>
              <w:t>Ph:22671</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 xml:space="preserve">Victory </w:t>
            </w:r>
            <w:proofErr w:type="spellStart"/>
            <w:r w:rsidRPr="00C17510">
              <w:rPr>
                <w:sz w:val="18"/>
              </w:rPr>
              <w:t>Lesa</w:t>
            </w:r>
            <w:proofErr w:type="spellEnd"/>
          </w:p>
        </w:tc>
        <w:tc>
          <w:tcPr>
            <w:tcW w:w="1984" w:type="dxa"/>
            <w:shd w:val="clear" w:color="auto" w:fill="FFFFFF"/>
          </w:tcPr>
          <w:p w:rsidR="00B76F85" w:rsidRPr="00C17510" w:rsidRDefault="00B76F85" w:rsidP="00C17510">
            <w:pPr>
              <w:spacing w:before="0"/>
              <w:rPr>
                <w:sz w:val="18"/>
              </w:rPr>
            </w:pPr>
            <w:r w:rsidRPr="00C17510">
              <w:rPr>
                <w:sz w:val="18"/>
              </w:rPr>
              <w:t>MJCA</w:t>
            </w:r>
          </w:p>
        </w:tc>
        <w:tc>
          <w:tcPr>
            <w:tcW w:w="2552" w:type="dxa"/>
            <w:shd w:val="clear" w:color="auto" w:fill="FFFFFF"/>
          </w:tcPr>
          <w:p w:rsidR="00B76F85" w:rsidRPr="00C17510" w:rsidRDefault="00B76F85" w:rsidP="00C17510">
            <w:pPr>
              <w:spacing w:before="0"/>
              <w:rPr>
                <w:sz w:val="18"/>
              </w:rPr>
            </w:pPr>
            <w:r w:rsidRPr="00C17510">
              <w:rPr>
                <w:sz w:val="18"/>
              </w:rPr>
              <w:t>Deputy Registrar, Supreme Courts</w:t>
            </w:r>
          </w:p>
        </w:tc>
        <w:tc>
          <w:tcPr>
            <w:tcW w:w="1701" w:type="dxa"/>
            <w:shd w:val="clear" w:color="auto" w:fill="FFFFFF"/>
          </w:tcPr>
          <w:p w:rsidR="00B76F85" w:rsidRPr="00C17510" w:rsidRDefault="00B76F85" w:rsidP="00C17510">
            <w:pPr>
              <w:spacing w:before="0"/>
              <w:rPr>
                <w:sz w:val="18"/>
              </w:rPr>
            </w:pPr>
            <w:r w:rsidRPr="00C17510">
              <w:rPr>
                <w:sz w:val="18"/>
              </w:rPr>
              <w:t>v.lesa@mjca.gov.ws</w:t>
            </w:r>
          </w:p>
        </w:tc>
        <w:tc>
          <w:tcPr>
            <w:tcW w:w="1276" w:type="dxa"/>
            <w:shd w:val="clear" w:color="auto" w:fill="FFFFFF"/>
          </w:tcPr>
          <w:p w:rsidR="00B76F85" w:rsidRPr="00C17510" w:rsidRDefault="00B76F85" w:rsidP="00C17510">
            <w:pPr>
              <w:spacing w:before="0"/>
              <w:rPr>
                <w:sz w:val="18"/>
              </w:rPr>
            </w:pPr>
            <w:r w:rsidRPr="00C17510">
              <w:rPr>
                <w:sz w:val="18"/>
              </w:rPr>
              <w:t>Ph:22671</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Mamele</w:t>
            </w:r>
            <w:proofErr w:type="spellEnd"/>
            <w:r w:rsidRPr="00C17510">
              <w:rPr>
                <w:sz w:val="18"/>
              </w:rPr>
              <w:t xml:space="preserve"> </w:t>
            </w:r>
            <w:proofErr w:type="spellStart"/>
            <w:r w:rsidRPr="00C17510">
              <w:rPr>
                <w:sz w:val="18"/>
              </w:rPr>
              <w:t>Fuiono</w:t>
            </w:r>
            <w:proofErr w:type="spellEnd"/>
          </w:p>
        </w:tc>
        <w:tc>
          <w:tcPr>
            <w:tcW w:w="1984" w:type="dxa"/>
            <w:shd w:val="clear" w:color="auto" w:fill="FFFFFF"/>
          </w:tcPr>
          <w:p w:rsidR="00B76F85" w:rsidRPr="00C17510" w:rsidRDefault="00B76F85" w:rsidP="00C17510">
            <w:pPr>
              <w:spacing w:before="0"/>
              <w:rPr>
                <w:sz w:val="18"/>
              </w:rPr>
            </w:pPr>
            <w:r w:rsidRPr="00C17510">
              <w:rPr>
                <w:sz w:val="18"/>
              </w:rPr>
              <w:t>MJCA</w:t>
            </w:r>
          </w:p>
        </w:tc>
        <w:tc>
          <w:tcPr>
            <w:tcW w:w="2552" w:type="dxa"/>
            <w:shd w:val="clear" w:color="auto" w:fill="FFFFFF"/>
          </w:tcPr>
          <w:p w:rsidR="00B76F85" w:rsidRPr="00C17510" w:rsidRDefault="00B76F85" w:rsidP="00C17510">
            <w:pPr>
              <w:spacing w:before="0"/>
              <w:rPr>
                <w:sz w:val="18"/>
              </w:rPr>
            </w:pPr>
            <w:r w:rsidRPr="00C17510">
              <w:rPr>
                <w:sz w:val="18"/>
              </w:rPr>
              <w:t>MED/REG</w:t>
            </w:r>
          </w:p>
        </w:tc>
        <w:tc>
          <w:tcPr>
            <w:tcW w:w="1701" w:type="dxa"/>
            <w:shd w:val="clear" w:color="auto" w:fill="FFFFFF"/>
          </w:tcPr>
          <w:p w:rsidR="00B76F85" w:rsidRPr="00C17510" w:rsidRDefault="00B76F85" w:rsidP="00C17510">
            <w:pPr>
              <w:spacing w:before="0"/>
              <w:rPr>
                <w:sz w:val="18"/>
              </w:rPr>
            </w:pPr>
            <w:r w:rsidRPr="00C17510">
              <w:rPr>
                <w:sz w:val="18"/>
              </w:rPr>
              <w:t>m.fuiono@mjca.gov.ws</w:t>
            </w:r>
          </w:p>
        </w:tc>
        <w:tc>
          <w:tcPr>
            <w:tcW w:w="1276" w:type="dxa"/>
            <w:shd w:val="clear" w:color="auto" w:fill="FFFFFF"/>
          </w:tcPr>
          <w:p w:rsidR="00B76F85" w:rsidRPr="00C17510" w:rsidRDefault="00B76F85" w:rsidP="00C17510">
            <w:pPr>
              <w:spacing w:before="0"/>
              <w:rPr>
                <w:sz w:val="18"/>
              </w:rPr>
            </w:pPr>
            <w:r w:rsidRPr="00C17510">
              <w:rPr>
                <w:sz w:val="18"/>
              </w:rPr>
              <w:t>Ph:22671</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Philana</w:t>
            </w:r>
            <w:proofErr w:type="spellEnd"/>
            <w:r w:rsidRPr="00C17510">
              <w:rPr>
                <w:sz w:val="18"/>
              </w:rPr>
              <w:t xml:space="preserve"> </w:t>
            </w:r>
            <w:proofErr w:type="spellStart"/>
            <w:r w:rsidRPr="00C17510">
              <w:rPr>
                <w:sz w:val="18"/>
              </w:rPr>
              <w:t>Tago</w:t>
            </w:r>
            <w:proofErr w:type="spellEnd"/>
          </w:p>
        </w:tc>
        <w:tc>
          <w:tcPr>
            <w:tcW w:w="1984" w:type="dxa"/>
            <w:shd w:val="clear" w:color="auto" w:fill="FFFFFF"/>
          </w:tcPr>
          <w:p w:rsidR="00B76F85" w:rsidRPr="00C17510" w:rsidRDefault="00B76F85" w:rsidP="00C17510">
            <w:pPr>
              <w:spacing w:before="0"/>
              <w:rPr>
                <w:sz w:val="18"/>
              </w:rPr>
            </w:pPr>
            <w:r w:rsidRPr="00C17510">
              <w:rPr>
                <w:sz w:val="18"/>
              </w:rPr>
              <w:t>MJCA</w:t>
            </w:r>
          </w:p>
        </w:tc>
        <w:tc>
          <w:tcPr>
            <w:tcW w:w="2552" w:type="dxa"/>
            <w:shd w:val="clear" w:color="auto" w:fill="FFFFFF"/>
          </w:tcPr>
          <w:p w:rsidR="00B76F85" w:rsidRPr="00C17510" w:rsidRDefault="00B76F85" w:rsidP="00C17510">
            <w:pPr>
              <w:spacing w:before="0"/>
              <w:rPr>
                <w:sz w:val="18"/>
              </w:rPr>
            </w:pPr>
            <w:r w:rsidRPr="00C17510">
              <w:rPr>
                <w:sz w:val="18"/>
              </w:rPr>
              <w:t>Principal Accountant</w:t>
            </w:r>
          </w:p>
        </w:tc>
        <w:tc>
          <w:tcPr>
            <w:tcW w:w="1701" w:type="dxa"/>
            <w:shd w:val="clear" w:color="auto" w:fill="FFFFFF"/>
          </w:tcPr>
          <w:p w:rsidR="00B76F85" w:rsidRPr="00C17510" w:rsidRDefault="00B76F85" w:rsidP="00C17510">
            <w:pPr>
              <w:spacing w:before="0"/>
              <w:rPr>
                <w:sz w:val="18"/>
              </w:rPr>
            </w:pPr>
            <w:r w:rsidRPr="00C17510">
              <w:rPr>
                <w:sz w:val="18"/>
              </w:rPr>
              <w:t>p.tago@mjca.gov.ws</w:t>
            </w:r>
          </w:p>
        </w:tc>
        <w:tc>
          <w:tcPr>
            <w:tcW w:w="1276" w:type="dxa"/>
            <w:shd w:val="clear" w:color="auto" w:fill="FFFFFF"/>
          </w:tcPr>
          <w:p w:rsidR="00B76F85" w:rsidRPr="00C17510" w:rsidRDefault="00B76F85" w:rsidP="00C17510">
            <w:pPr>
              <w:spacing w:before="0"/>
              <w:rPr>
                <w:sz w:val="18"/>
              </w:rPr>
            </w:pPr>
            <w:r w:rsidRPr="00C17510">
              <w:rPr>
                <w:sz w:val="18"/>
              </w:rPr>
              <w:t>Ph:22671</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Taimalelagi</w:t>
            </w:r>
            <w:proofErr w:type="spellEnd"/>
            <w:r w:rsidRPr="00C17510">
              <w:rPr>
                <w:sz w:val="18"/>
              </w:rPr>
              <w:t xml:space="preserve"> </w:t>
            </w:r>
            <w:proofErr w:type="spellStart"/>
            <w:r w:rsidRPr="00C17510">
              <w:rPr>
                <w:sz w:val="18"/>
              </w:rPr>
              <w:t>Fiti</w:t>
            </w:r>
            <w:proofErr w:type="spellEnd"/>
            <w:r w:rsidRPr="00C17510">
              <w:rPr>
                <w:sz w:val="18"/>
              </w:rPr>
              <w:t xml:space="preserve"> </w:t>
            </w:r>
            <w:proofErr w:type="spellStart"/>
            <w:r w:rsidRPr="00C17510">
              <w:rPr>
                <w:sz w:val="18"/>
              </w:rPr>
              <w:t>Aimaasu</w:t>
            </w:r>
            <w:proofErr w:type="spellEnd"/>
          </w:p>
        </w:tc>
        <w:tc>
          <w:tcPr>
            <w:tcW w:w="1984" w:type="dxa"/>
            <w:shd w:val="clear" w:color="auto" w:fill="FFFFFF"/>
          </w:tcPr>
          <w:p w:rsidR="00B76F85" w:rsidRPr="00C17510" w:rsidRDefault="00B76F85" w:rsidP="00C17510">
            <w:pPr>
              <w:spacing w:before="0"/>
              <w:rPr>
                <w:sz w:val="18"/>
              </w:rPr>
            </w:pPr>
            <w:r w:rsidRPr="00C17510">
              <w:rPr>
                <w:sz w:val="18"/>
              </w:rPr>
              <w:t>MJCA</w:t>
            </w:r>
          </w:p>
        </w:tc>
        <w:tc>
          <w:tcPr>
            <w:tcW w:w="2552" w:type="dxa"/>
            <w:shd w:val="clear" w:color="auto" w:fill="FFFFFF"/>
          </w:tcPr>
          <w:p w:rsidR="00B76F85" w:rsidRPr="00C17510" w:rsidRDefault="00B76F85" w:rsidP="00C17510">
            <w:pPr>
              <w:spacing w:before="0"/>
              <w:rPr>
                <w:sz w:val="18"/>
              </w:rPr>
            </w:pPr>
            <w:r w:rsidRPr="00C17510">
              <w:rPr>
                <w:sz w:val="18"/>
              </w:rPr>
              <w:t>Principal Policy Officer</w:t>
            </w:r>
          </w:p>
        </w:tc>
        <w:tc>
          <w:tcPr>
            <w:tcW w:w="1701" w:type="dxa"/>
            <w:shd w:val="clear" w:color="auto" w:fill="FFFFFF"/>
          </w:tcPr>
          <w:p w:rsidR="00B76F85" w:rsidRPr="00C17510" w:rsidRDefault="00B76F85" w:rsidP="00C17510">
            <w:pPr>
              <w:spacing w:before="0"/>
              <w:rPr>
                <w:sz w:val="18"/>
              </w:rPr>
            </w:pPr>
            <w:r w:rsidRPr="00C17510">
              <w:rPr>
                <w:sz w:val="18"/>
              </w:rPr>
              <w:t>f.aimaasu@mjca.gov.ws</w:t>
            </w:r>
          </w:p>
        </w:tc>
        <w:tc>
          <w:tcPr>
            <w:tcW w:w="1276" w:type="dxa"/>
            <w:shd w:val="clear" w:color="auto" w:fill="FFFFFF"/>
          </w:tcPr>
          <w:p w:rsidR="00B76F85" w:rsidRPr="00C17510" w:rsidRDefault="00B76F85" w:rsidP="00C17510">
            <w:pPr>
              <w:spacing w:before="0"/>
              <w:rPr>
                <w:sz w:val="18"/>
              </w:rPr>
            </w:pPr>
            <w:r w:rsidRPr="00C17510">
              <w:rPr>
                <w:sz w:val="18"/>
              </w:rPr>
              <w:t>Ph:22671</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Akenese</w:t>
            </w:r>
            <w:proofErr w:type="spellEnd"/>
            <w:r w:rsidRPr="00C17510">
              <w:rPr>
                <w:sz w:val="18"/>
              </w:rPr>
              <w:t xml:space="preserve"> </w:t>
            </w:r>
            <w:proofErr w:type="spellStart"/>
            <w:r w:rsidRPr="00C17510">
              <w:rPr>
                <w:sz w:val="18"/>
              </w:rPr>
              <w:t>Simati</w:t>
            </w:r>
            <w:proofErr w:type="spellEnd"/>
          </w:p>
        </w:tc>
        <w:tc>
          <w:tcPr>
            <w:tcW w:w="1984" w:type="dxa"/>
            <w:shd w:val="clear" w:color="auto" w:fill="FFFFFF"/>
          </w:tcPr>
          <w:p w:rsidR="00B76F85" w:rsidRPr="00C17510" w:rsidRDefault="00B76F85" w:rsidP="00C17510">
            <w:pPr>
              <w:spacing w:before="0"/>
              <w:rPr>
                <w:sz w:val="18"/>
              </w:rPr>
            </w:pPr>
            <w:r w:rsidRPr="00C17510">
              <w:rPr>
                <w:sz w:val="18"/>
              </w:rPr>
              <w:t>MJCA</w:t>
            </w:r>
          </w:p>
        </w:tc>
        <w:tc>
          <w:tcPr>
            <w:tcW w:w="2552" w:type="dxa"/>
            <w:shd w:val="clear" w:color="auto" w:fill="FFFFFF"/>
          </w:tcPr>
          <w:p w:rsidR="00B76F85" w:rsidRPr="00C17510" w:rsidRDefault="00B76F85" w:rsidP="00C17510">
            <w:pPr>
              <w:spacing w:before="0"/>
              <w:rPr>
                <w:sz w:val="18"/>
              </w:rPr>
            </w:pPr>
            <w:r w:rsidRPr="00C17510">
              <w:rPr>
                <w:sz w:val="18"/>
              </w:rPr>
              <w:t>Scanner Operator</w:t>
            </w:r>
          </w:p>
        </w:tc>
        <w:tc>
          <w:tcPr>
            <w:tcW w:w="1701" w:type="dxa"/>
            <w:shd w:val="clear" w:color="auto" w:fill="FFFFFF"/>
          </w:tcPr>
          <w:p w:rsidR="00B76F85" w:rsidRPr="00C17510" w:rsidRDefault="00B76F85" w:rsidP="00C17510">
            <w:pPr>
              <w:spacing w:before="0"/>
              <w:rPr>
                <w:sz w:val="18"/>
              </w:rPr>
            </w:pPr>
            <w:r w:rsidRPr="00C17510">
              <w:rPr>
                <w:sz w:val="18"/>
              </w:rPr>
              <w:t>a.simati@mjca.gov.ws</w:t>
            </w:r>
          </w:p>
        </w:tc>
        <w:tc>
          <w:tcPr>
            <w:tcW w:w="1276" w:type="dxa"/>
            <w:shd w:val="clear" w:color="auto" w:fill="FFFFFF"/>
          </w:tcPr>
          <w:p w:rsidR="00B76F85" w:rsidRPr="00C17510" w:rsidRDefault="00B76F85" w:rsidP="00C17510">
            <w:pPr>
              <w:spacing w:before="0"/>
              <w:rPr>
                <w:sz w:val="18"/>
              </w:rPr>
            </w:pPr>
            <w:r w:rsidRPr="00C17510">
              <w:rPr>
                <w:sz w:val="18"/>
              </w:rPr>
              <w:t>Ph:22671</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 xml:space="preserve">Simi </w:t>
            </w:r>
            <w:proofErr w:type="spellStart"/>
            <w:r w:rsidRPr="00C17510">
              <w:rPr>
                <w:sz w:val="18"/>
              </w:rPr>
              <w:t>Neli</w:t>
            </w:r>
            <w:proofErr w:type="spellEnd"/>
          </w:p>
        </w:tc>
        <w:tc>
          <w:tcPr>
            <w:tcW w:w="1984" w:type="dxa"/>
            <w:shd w:val="clear" w:color="auto" w:fill="FFFFFF"/>
          </w:tcPr>
          <w:p w:rsidR="00B76F85" w:rsidRPr="00C17510" w:rsidRDefault="00B76F85" w:rsidP="00C17510">
            <w:pPr>
              <w:spacing w:before="0"/>
              <w:rPr>
                <w:sz w:val="18"/>
              </w:rPr>
            </w:pPr>
            <w:r w:rsidRPr="00C17510">
              <w:rPr>
                <w:sz w:val="18"/>
              </w:rPr>
              <w:t>MJCA</w:t>
            </w:r>
          </w:p>
        </w:tc>
        <w:tc>
          <w:tcPr>
            <w:tcW w:w="2552" w:type="dxa"/>
            <w:shd w:val="clear" w:color="auto" w:fill="FFFFFF"/>
          </w:tcPr>
          <w:p w:rsidR="00B76F85" w:rsidRPr="00C17510" w:rsidRDefault="00B76F85" w:rsidP="00C17510">
            <w:pPr>
              <w:spacing w:before="0"/>
              <w:rPr>
                <w:sz w:val="18"/>
              </w:rPr>
            </w:pPr>
            <w:r w:rsidRPr="00C17510">
              <w:rPr>
                <w:sz w:val="18"/>
              </w:rPr>
              <w:t>Senior IT Officer</w:t>
            </w:r>
          </w:p>
        </w:tc>
        <w:tc>
          <w:tcPr>
            <w:tcW w:w="1701" w:type="dxa"/>
            <w:shd w:val="clear" w:color="auto" w:fill="FFFFFF"/>
          </w:tcPr>
          <w:p w:rsidR="00B76F85" w:rsidRPr="00C17510" w:rsidRDefault="00B76F85" w:rsidP="00C17510">
            <w:pPr>
              <w:spacing w:before="0"/>
              <w:rPr>
                <w:sz w:val="18"/>
              </w:rPr>
            </w:pPr>
            <w:r w:rsidRPr="00C17510">
              <w:rPr>
                <w:sz w:val="18"/>
              </w:rPr>
              <w:t>s.neli@mjca.fov.ws</w:t>
            </w:r>
          </w:p>
        </w:tc>
        <w:tc>
          <w:tcPr>
            <w:tcW w:w="1276" w:type="dxa"/>
            <w:shd w:val="clear" w:color="auto" w:fill="FFFFFF"/>
          </w:tcPr>
          <w:p w:rsidR="00B76F85" w:rsidRPr="00C17510" w:rsidRDefault="00B76F85" w:rsidP="00C17510">
            <w:pPr>
              <w:spacing w:before="0"/>
              <w:rPr>
                <w:sz w:val="18"/>
              </w:rPr>
            </w:pPr>
            <w:r w:rsidRPr="00C17510">
              <w:rPr>
                <w:sz w:val="18"/>
              </w:rPr>
              <w:t>Ph:22671</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Elisapeta</w:t>
            </w:r>
            <w:proofErr w:type="spellEnd"/>
            <w:r w:rsidRPr="00C17510">
              <w:rPr>
                <w:sz w:val="18"/>
              </w:rPr>
              <w:t xml:space="preserve"> </w:t>
            </w:r>
            <w:proofErr w:type="spellStart"/>
            <w:r w:rsidRPr="00C17510">
              <w:rPr>
                <w:sz w:val="18"/>
              </w:rPr>
              <w:t>Pelenato</w:t>
            </w:r>
            <w:proofErr w:type="spellEnd"/>
            <w:r w:rsidRPr="00C17510">
              <w:rPr>
                <w:sz w:val="18"/>
              </w:rPr>
              <w:t xml:space="preserve"> </w:t>
            </w:r>
            <w:proofErr w:type="spellStart"/>
            <w:r w:rsidRPr="00C17510">
              <w:rPr>
                <w:sz w:val="18"/>
              </w:rPr>
              <w:t>Leaupepe</w:t>
            </w:r>
            <w:proofErr w:type="spellEnd"/>
          </w:p>
        </w:tc>
        <w:tc>
          <w:tcPr>
            <w:tcW w:w="1984" w:type="dxa"/>
            <w:shd w:val="clear" w:color="auto" w:fill="FFFFFF"/>
          </w:tcPr>
          <w:p w:rsidR="00B76F85" w:rsidRPr="00C17510" w:rsidRDefault="00B76F85" w:rsidP="00C17510">
            <w:pPr>
              <w:spacing w:before="0"/>
              <w:rPr>
                <w:sz w:val="18"/>
              </w:rPr>
            </w:pPr>
            <w:r w:rsidRPr="00C17510">
              <w:rPr>
                <w:sz w:val="18"/>
              </w:rPr>
              <w:t>MJCA</w:t>
            </w:r>
          </w:p>
        </w:tc>
        <w:tc>
          <w:tcPr>
            <w:tcW w:w="2552" w:type="dxa"/>
            <w:shd w:val="clear" w:color="auto" w:fill="FFFFFF"/>
          </w:tcPr>
          <w:p w:rsidR="00B76F85" w:rsidRPr="00C17510" w:rsidRDefault="00B76F85" w:rsidP="00C17510">
            <w:pPr>
              <w:spacing w:before="0"/>
              <w:rPr>
                <w:sz w:val="18"/>
              </w:rPr>
            </w:pPr>
            <w:r w:rsidRPr="00C17510">
              <w:rPr>
                <w:sz w:val="18"/>
              </w:rPr>
              <w:t>Transcribing Officer</w:t>
            </w:r>
          </w:p>
        </w:tc>
        <w:tc>
          <w:tcPr>
            <w:tcW w:w="1701" w:type="dxa"/>
            <w:shd w:val="clear" w:color="auto" w:fill="FFFFFF"/>
          </w:tcPr>
          <w:p w:rsidR="00B76F85" w:rsidRPr="00C17510" w:rsidRDefault="00B76F85" w:rsidP="00C17510">
            <w:pPr>
              <w:spacing w:before="0"/>
              <w:rPr>
                <w:sz w:val="18"/>
              </w:rPr>
            </w:pPr>
            <w:r w:rsidRPr="00C17510">
              <w:rPr>
                <w:sz w:val="18"/>
              </w:rPr>
              <w:t xml:space="preserve">Akenese.simati@gmail.com </w:t>
            </w:r>
          </w:p>
        </w:tc>
        <w:tc>
          <w:tcPr>
            <w:tcW w:w="1276" w:type="dxa"/>
            <w:shd w:val="clear" w:color="auto" w:fill="FFFFFF"/>
          </w:tcPr>
          <w:p w:rsidR="00B76F85" w:rsidRPr="00C17510" w:rsidRDefault="00B76F85" w:rsidP="00C17510">
            <w:pPr>
              <w:spacing w:before="0"/>
              <w:rPr>
                <w:sz w:val="18"/>
              </w:rPr>
            </w:pPr>
            <w:r w:rsidRPr="00C17510">
              <w:rPr>
                <w:sz w:val="18"/>
              </w:rPr>
              <w:t>Ph:22671 Mob:7797602</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Egon</w:t>
            </w:r>
            <w:proofErr w:type="spellEnd"/>
            <w:r w:rsidRPr="00C17510">
              <w:rPr>
                <w:sz w:val="18"/>
              </w:rPr>
              <w:t xml:space="preserve"> </w:t>
            </w:r>
            <w:proofErr w:type="spellStart"/>
            <w:r w:rsidRPr="00C17510">
              <w:rPr>
                <w:sz w:val="18"/>
              </w:rPr>
              <w:t>Keil</w:t>
            </w:r>
            <w:proofErr w:type="spellEnd"/>
          </w:p>
        </w:tc>
        <w:tc>
          <w:tcPr>
            <w:tcW w:w="1984" w:type="dxa"/>
            <w:shd w:val="clear" w:color="auto" w:fill="FFFFFF"/>
          </w:tcPr>
          <w:p w:rsidR="00B76F85" w:rsidRPr="00C17510" w:rsidRDefault="00B76F85" w:rsidP="00C17510">
            <w:pPr>
              <w:spacing w:before="0"/>
              <w:rPr>
                <w:sz w:val="18"/>
              </w:rPr>
            </w:pPr>
            <w:r w:rsidRPr="00C17510">
              <w:rPr>
                <w:sz w:val="18"/>
              </w:rPr>
              <w:t>Ministry of Police (</w:t>
            </w:r>
            <w:proofErr w:type="spellStart"/>
            <w:r w:rsidRPr="00C17510">
              <w:rPr>
                <w:sz w:val="18"/>
              </w:rPr>
              <w:t>MoP</w:t>
            </w:r>
            <w:proofErr w:type="spellEnd"/>
            <w:r w:rsidRPr="00C17510">
              <w:rPr>
                <w:sz w:val="18"/>
              </w:rPr>
              <w:t xml:space="preserve">)  </w:t>
            </w:r>
          </w:p>
        </w:tc>
        <w:tc>
          <w:tcPr>
            <w:tcW w:w="2552" w:type="dxa"/>
            <w:shd w:val="clear" w:color="auto" w:fill="FFFFFF"/>
          </w:tcPr>
          <w:p w:rsidR="00B76F85" w:rsidRPr="00C17510" w:rsidRDefault="00B76F85" w:rsidP="00C17510">
            <w:pPr>
              <w:spacing w:before="0"/>
              <w:rPr>
                <w:sz w:val="18"/>
              </w:rPr>
            </w:pPr>
            <w:r w:rsidRPr="00C17510">
              <w:rPr>
                <w:sz w:val="18"/>
              </w:rPr>
              <w:t>Commissioner</w:t>
            </w:r>
          </w:p>
        </w:tc>
        <w:tc>
          <w:tcPr>
            <w:tcW w:w="1701" w:type="dxa"/>
            <w:shd w:val="clear" w:color="auto" w:fill="FFFFFF"/>
          </w:tcPr>
          <w:p w:rsidR="00B76F85" w:rsidRPr="00C17510" w:rsidRDefault="00B76F85" w:rsidP="00C17510">
            <w:pPr>
              <w:spacing w:before="0"/>
              <w:rPr>
                <w:sz w:val="18"/>
              </w:rPr>
            </w:pPr>
            <w:r w:rsidRPr="00C17510">
              <w:rPr>
                <w:sz w:val="18"/>
              </w:rPr>
              <w:t>commissioner@police.gov.ws</w:t>
            </w:r>
          </w:p>
        </w:tc>
        <w:tc>
          <w:tcPr>
            <w:tcW w:w="1276" w:type="dxa"/>
            <w:shd w:val="clear" w:color="auto" w:fill="FFFFFF"/>
          </w:tcPr>
          <w:p w:rsidR="00B76F85" w:rsidRPr="00C17510" w:rsidRDefault="00B76F85" w:rsidP="00C17510">
            <w:pPr>
              <w:spacing w:before="0"/>
              <w:rPr>
                <w:sz w:val="18"/>
              </w:rPr>
            </w:pPr>
            <w:r w:rsidRPr="00C17510">
              <w:rPr>
                <w:sz w:val="18"/>
              </w:rPr>
              <w:t>Ph:22222</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Nafoi</w:t>
            </w:r>
            <w:proofErr w:type="spellEnd"/>
            <w:r w:rsidRPr="00C17510">
              <w:rPr>
                <w:sz w:val="18"/>
              </w:rPr>
              <w:t xml:space="preserve"> </w:t>
            </w:r>
            <w:proofErr w:type="spellStart"/>
            <w:r w:rsidRPr="00C17510">
              <w:rPr>
                <w:sz w:val="18"/>
              </w:rPr>
              <w:t>Talamanu</w:t>
            </w:r>
            <w:proofErr w:type="spellEnd"/>
            <w:r w:rsidRPr="00C17510">
              <w:rPr>
                <w:sz w:val="18"/>
              </w:rPr>
              <w:t xml:space="preserve"> </w:t>
            </w:r>
            <w:proofErr w:type="spellStart"/>
            <w:r w:rsidRPr="00C17510">
              <w:rPr>
                <w:sz w:val="18"/>
              </w:rPr>
              <w:t>Keti</w:t>
            </w:r>
            <w:proofErr w:type="spellEnd"/>
          </w:p>
        </w:tc>
        <w:tc>
          <w:tcPr>
            <w:tcW w:w="1984" w:type="dxa"/>
            <w:shd w:val="clear" w:color="auto" w:fill="FFFFFF"/>
          </w:tcPr>
          <w:p w:rsidR="00B76F85" w:rsidRPr="00C17510" w:rsidRDefault="00B76F85" w:rsidP="00C17510">
            <w:pPr>
              <w:spacing w:before="0"/>
              <w:rPr>
                <w:sz w:val="18"/>
              </w:rPr>
            </w:pPr>
            <w:proofErr w:type="spellStart"/>
            <w:r w:rsidRPr="00C17510">
              <w:rPr>
                <w:sz w:val="18"/>
              </w:rPr>
              <w:t>MoP</w:t>
            </w:r>
            <w:proofErr w:type="spellEnd"/>
          </w:p>
        </w:tc>
        <w:tc>
          <w:tcPr>
            <w:tcW w:w="2552" w:type="dxa"/>
            <w:shd w:val="clear" w:color="auto" w:fill="FFFFFF"/>
          </w:tcPr>
          <w:p w:rsidR="00B76F85" w:rsidRPr="00C17510" w:rsidRDefault="00B76F85" w:rsidP="00C17510">
            <w:pPr>
              <w:spacing w:before="0"/>
              <w:rPr>
                <w:sz w:val="18"/>
              </w:rPr>
            </w:pPr>
            <w:r w:rsidRPr="00C17510">
              <w:rPr>
                <w:sz w:val="18"/>
              </w:rPr>
              <w:t>Assistant Commissioner</w:t>
            </w:r>
          </w:p>
        </w:tc>
        <w:tc>
          <w:tcPr>
            <w:tcW w:w="1701" w:type="dxa"/>
            <w:shd w:val="clear" w:color="auto" w:fill="FFFFFF"/>
          </w:tcPr>
          <w:p w:rsidR="00B76F85" w:rsidRPr="00C17510" w:rsidRDefault="00B76F85" w:rsidP="00C17510">
            <w:pPr>
              <w:spacing w:before="0"/>
              <w:rPr>
                <w:sz w:val="18"/>
              </w:rPr>
            </w:pPr>
          </w:p>
        </w:tc>
        <w:tc>
          <w:tcPr>
            <w:tcW w:w="1276" w:type="dxa"/>
            <w:shd w:val="clear" w:color="auto" w:fill="FFFFFF"/>
          </w:tcPr>
          <w:p w:rsidR="00B76F85" w:rsidRPr="00C17510" w:rsidRDefault="00B76F85" w:rsidP="00C17510">
            <w:pPr>
              <w:spacing w:before="0"/>
              <w:rPr>
                <w:sz w:val="18"/>
              </w:rPr>
            </w:pPr>
            <w:r w:rsidRPr="00C17510">
              <w:rPr>
                <w:sz w:val="18"/>
              </w:rPr>
              <w:t>Ph:22222</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Afamasaga</w:t>
            </w:r>
            <w:proofErr w:type="spellEnd"/>
            <w:r w:rsidRPr="00C17510">
              <w:rPr>
                <w:sz w:val="18"/>
              </w:rPr>
              <w:t xml:space="preserve"> Michael </w:t>
            </w:r>
            <w:proofErr w:type="spellStart"/>
            <w:r w:rsidRPr="00C17510">
              <w:rPr>
                <w:sz w:val="18"/>
              </w:rPr>
              <w:t>Soonalole</w:t>
            </w:r>
            <w:proofErr w:type="spellEnd"/>
          </w:p>
        </w:tc>
        <w:tc>
          <w:tcPr>
            <w:tcW w:w="1984" w:type="dxa"/>
            <w:shd w:val="clear" w:color="auto" w:fill="FFFFFF"/>
          </w:tcPr>
          <w:p w:rsidR="00B76F85" w:rsidRPr="00C17510" w:rsidRDefault="00B76F85" w:rsidP="00C17510">
            <w:pPr>
              <w:spacing w:before="0"/>
              <w:rPr>
                <w:sz w:val="18"/>
              </w:rPr>
            </w:pPr>
            <w:proofErr w:type="spellStart"/>
            <w:r w:rsidRPr="00C17510">
              <w:rPr>
                <w:sz w:val="18"/>
              </w:rPr>
              <w:t>MoP</w:t>
            </w:r>
            <w:proofErr w:type="spellEnd"/>
            <w:r w:rsidRPr="00C17510">
              <w:rPr>
                <w:sz w:val="18"/>
              </w:rPr>
              <w:t xml:space="preserve"> </w:t>
            </w:r>
          </w:p>
        </w:tc>
        <w:tc>
          <w:tcPr>
            <w:tcW w:w="2552" w:type="dxa"/>
            <w:shd w:val="clear" w:color="auto" w:fill="FFFFFF"/>
          </w:tcPr>
          <w:p w:rsidR="00B76F85" w:rsidRPr="00C17510" w:rsidRDefault="00B76F85" w:rsidP="00C17510">
            <w:pPr>
              <w:spacing w:before="0"/>
              <w:rPr>
                <w:sz w:val="18"/>
              </w:rPr>
            </w:pPr>
            <w:r w:rsidRPr="00C17510">
              <w:rPr>
                <w:sz w:val="18"/>
              </w:rPr>
              <w:t>Assistant Commissioner</w:t>
            </w:r>
          </w:p>
        </w:tc>
        <w:tc>
          <w:tcPr>
            <w:tcW w:w="1701" w:type="dxa"/>
            <w:shd w:val="clear" w:color="auto" w:fill="FFFFFF"/>
          </w:tcPr>
          <w:p w:rsidR="00B76F85" w:rsidRPr="00C17510" w:rsidRDefault="00B76F85" w:rsidP="00C17510">
            <w:pPr>
              <w:spacing w:before="0"/>
              <w:rPr>
                <w:sz w:val="18"/>
              </w:rPr>
            </w:pPr>
            <w:r w:rsidRPr="00C17510">
              <w:rPr>
                <w:sz w:val="18"/>
              </w:rPr>
              <w:t>michael_ten72@hotmail.com Mob:7222780</w:t>
            </w:r>
          </w:p>
        </w:tc>
        <w:tc>
          <w:tcPr>
            <w:tcW w:w="1276" w:type="dxa"/>
            <w:shd w:val="clear" w:color="auto" w:fill="FFFFFF"/>
          </w:tcPr>
          <w:p w:rsidR="00B76F85" w:rsidRPr="00C17510" w:rsidRDefault="00B76F85" w:rsidP="00C17510">
            <w:pPr>
              <w:spacing w:before="0"/>
              <w:rPr>
                <w:sz w:val="18"/>
              </w:rPr>
            </w:pPr>
            <w:r w:rsidRPr="00C17510">
              <w:rPr>
                <w:sz w:val="18"/>
              </w:rPr>
              <w:t>Ph:22222</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Seira</w:t>
            </w:r>
            <w:proofErr w:type="spellEnd"/>
            <w:r w:rsidRPr="00C17510">
              <w:rPr>
                <w:sz w:val="18"/>
              </w:rPr>
              <w:t xml:space="preserve"> </w:t>
            </w:r>
            <w:proofErr w:type="spellStart"/>
            <w:r w:rsidRPr="00C17510">
              <w:rPr>
                <w:sz w:val="18"/>
              </w:rPr>
              <w:t>Fuimaono</w:t>
            </w:r>
            <w:proofErr w:type="spellEnd"/>
            <w:r w:rsidRPr="00C17510">
              <w:rPr>
                <w:sz w:val="18"/>
              </w:rPr>
              <w:t xml:space="preserve"> </w:t>
            </w:r>
          </w:p>
        </w:tc>
        <w:tc>
          <w:tcPr>
            <w:tcW w:w="1984" w:type="dxa"/>
            <w:shd w:val="clear" w:color="auto" w:fill="FFFFFF"/>
          </w:tcPr>
          <w:p w:rsidR="00B76F85" w:rsidRPr="00C17510" w:rsidRDefault="00B76F85" w:rsidP="00C17510">
            <w:pPr>
              <w:spacing w:before="0"/>
              <w:rPr>
                <w:sz w:val="18"/>
              </w:rPr>
            </w:pPr>
            <w:r w:rsidRPr="00C17510">
              <w:rPr>
                <w:sz w:val="18"/>
              </w:rPr>
              <w:t>Ministry of Women, Community and Social Development (MWCSD)</w:t>
            </w:r>
          </w:p>
        </w:tc>
        <w:tc>
          <w:tcPr>
            <w:tcW w:w="2552" w:type="dxa"/>
            <w:shd w:val="clear" w:color="auto" w:fill="FFFFFF"/>
          </w:tcPr>
          <w:p w:rsidR="00B76F85" w:rsidRPr="00C17510" w:rsidRDefault="00B76F85" w:rsidP="00C17510">
            <w:pPr>
              <w:spacing w:before="0"/>
              <w:rPr>
                <w:sz w:val="18"/>
              </w:rPr>
            </w:pPr>
            <w:r w:rsidRPr="00C17510">
              <w:rPr>
                <w:sz w:val="18"/>
              </w:rPr>
              <w:t xml:space="preserve">Acting Chief Executive Officer &amp; Community Sector Coordinator </w:t>
            </w:r>
          </w:p>
        </w:tc>
        <w:tc>
          <w:tcPr>
            <w:tcW w:w="1701" w:type="dxa"/>
            <w:shd w:val="clear" w:color="auto" w:fill="FFFFFF"/>
          </w:tcPr>
          <w:p w:rsidR="00B76F85" w:rsidRPr="00C17510" w:rsidRDefault="00B76F85" w:rsidP="00C17510">
            <w:pPr>
              <w:spacing w:before="0"/>
              <w:rPr>
                <w:sz w:val="18"/>
              </w:rPr>
            </w:pPr>
            <w:r w:rsidRPr="00C17510">
              <w:rPr>
                <w:sz w:val="18"/>
              </w:rPr>
              <w:t>sfuimaono@mwcsd.gov.ws</w:t>
            </w:r>
          </w:p>
        </w:tc>
        <w:tc>
          <w:tcPr>
            <w:tcW w:w="1276" w:type="dxa"/>
            <w:shd w:val="clear" w:color="auto" w:fill="FFFFFF"/>
          </w:tcPr>
          <w:p w:rsidR="00B76F85" w:rsidRPr="00C17510" w:rsidRDefault="00B76F85" w:rsidP="00C17510">
            <w:pPr>
              <w:spacing w:before="0"/>
              <w:rPr>
                <w:sz w:val="18"/>
              </w:rPr>
            </w:pPr>
            <w:r w:rsidRPr="00C17510">
              <w:rPr>
                <w:sz w:val="18"/>
              </w:rPr>
              <w:t>Ph:27752 Mob:7624901</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 xml:space="preserve">Oscar </w:t>
            </w:r>
            <w:proofErr w:type="spellStart"/>
            <w:r w:rsidRPr="00C17510">
              <w:rPr>
                <w:sz w:val="18"/>
              </w:rPr>
              <w:t>Netzler</w:t>
            </w:r>
            <w:proofErr w:type="spellEnd"/>
          </w:p>
        </w:tc>
        <w:tc>
          <w:tcPr>
            <w:tcW w:w="1984" w:type="dxa"/>
            <w:shd w:val="clear" w:color="auto" w:fill="FFFFFF"/>
          </w:tcPr>
          <w:p w:rsidR="00B76F85" w:rsidRPr="00C17510" w:rsidRDefault="00B76F85" w:rsidP="00C17510">
            <w:pPr>
              <w:spacing w:before="0"/>
              <w:rPr>
                <w:sz w:val="18"/>
              </w:rPr>
            </w:pPr>
            <w:r w:rsidRPr="00C17510">
              <w:rPr>
                <w:sz w:val="18"/>
              </w:rPr>
              <w:t>Movies 4U</w:t>
            </w:r>
          </w:p>
        </w:tc>
        <w:tc>
          <w:tcPr>
            <w:tcW w:w="2552" w:type="dxa"/>
            <w:shd w:val="clear" w:color="auto" w:fill="FFFFFF"/>
          </w:tcPr>
          <w:p w:rsidR="00B76F85" w:rsidRPr="00C17510" w:rsidRDefault="00B76F85" w:rsidP="00C17510">
            <w:pPr>
              <w:spacing w:before="0"/>
              <w:rPr>
                <w:sz w:val="18"/>
              </w:rPr>
            </w:pPr>
            <w:r w:rsidRPr="00C17510">
              <w:rPr>
                <w:sz w:val="18"/>
              </w:rPr>
              <w:t>Business Owner</w:t>
            </w:r>
          </w:p>
        </w:tc>
        <w:tc>
          <w:tcPr>
            <w:tcW w:w="1701" w:type="dxa"/>
            <w:shd w:val="clear" w:color="auto" w:fill="FFFFFF"/>
          </w:tcPr>
          <w:p w:rsidR="00B76F85" w:rsidRPr="00C17510" w:rsidRDefault="00B76F85" w:rsidP="00C17510">
            <w:pPr>
              <w:spacing w:before="0"/>
              <w:rPr>
                <w:sz w:val="18"/>
              </w:rPr>
            </w:pPr>
            <w:r w:rsidRPr="00C17510">
              <w:rPr>
                <w:sz w:val="18"/>
              </w:rPr>
              <w:t>oscarnetzler@gmail.com</w:t>
            </w:r>
          </w:p>
        </w:tc>
        <w:tc>
          <w:tcPr>
            <w:tcW w:w="1276" w:type="dxa"/>
            <w:shd w:val="clear" w:color="auto" w:fill="FFFFFF"/>
          </w:tcPr>
          <w:p w:rsidR="00B76F85" w:rsidRPr="00C17510" w:rsidRDefault="00B76F85" w:rsidP="00C17510">
            <w:pPr>
              <w:spacing w:before="0"/>
              <w:rPr>
                <w:sz w:val="18"/>
              </w:rPr>
            </w:pPr>
            <w:r w:rsidRPr="00C17510">
              <w:rPr>
                <w:sz w:val="18"/>
              </w:rPr>
              <w:t>Mob:7702036 Mob:7634772</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 xml:space="preserve">Louisa </w:t>
            </w:r>
            <w:proofErr w:type="spellStart"/>
            <w:r w:rsidRPr="00C17510">
              <w:rPr>
                <w:sz w:val="18"/>
              </w:rPr>
              <w:t>Apelu</w:t>
            </w:r>
            <w:proofErr w:type="spellEnd"/>
          </w:p>
        </w:tc>
        <w:tc>
          <w:tcPr>
            <w:tcW w:w="1984" w:type="dxa"/>
            <w:shd w:val="clear" w:color="auto" w:fill="FFFFFF"/>
          </w:tcPr>
          <w:p w:rsidR="00B76F85" w:rsidRPr="00C17510" w:rsidRDefault="00B76F85" w:rsidP="00C17510">
            <w:pPr>
              <w:spacing w:before="0"/>
              <w:rPr>
                <w:sz w:val="18"/>
              </w:rPr>
            </w:pPr>
            <w:r w:rsidRPr="00C17510">
              <w:rPr>
                <w:sz w:val="18"/>
              </w:rPr>
              <w:t>MWCSD</w:t>
            </w:r>
          </w:p>
        </w:tc>
        <w:tc>
          <w:tcPr>
            <w:tcW w:w="2552" w:type="dxa"/>
            <w:shd w:val="clear" w:color="auto" w:fill="FFFFFF"/>
          </w:tcPr>
          <w:p w:rsidR="00B76F85" w:rsidRPr="00C17510" w:rsidRDefault="00B76F85" w:rsidP="00C17510">
            <w:pPr>
              <w:spacing w:before="0"/>
              <w:rPr>
                <w:sz w:val="18"/>
              </w:rPr>
            </w:pPr>
            <w:r w:rsidRPr="00C17510">
              <w:rPr>
                <w:sz w:val="18"/>
              </w:rPr>
              <w:t>ACEO</w:t>
            </w:r>
          </w:p>
        </w:tc>
        <w:tc>
          <w:tcPr>
            <w:tcW w:w="1701" w:type="dxa"/>
            <w:shd w:val="clear" w:color="auto" w:fill="FFFFFF"/>
          </w:tcPr>
          <w:p w:rsidR="00B76F85" w:rsidRPr="00C17510" w:rsidRDefault="00B76F85" w:rsidP="00C17510">
            <w:pPr>
              <w:spacing w:before="0"/>
              <w:rPr>
                <w:sz w:val="18"/>
              </w:rPr>
            </w:pPr>
            <w:r w:rsidRPr="00C17510">
              <w:rPr>
                <w:sz w:val="18"/>
              </w:rPr>
              <w:t>lapelu@mwcsd.gov.ws</w:t>
            </w:r>
          </w:p>
        </w:tc>
        <w:tc>
          <w:tcPr>
            <w:tcW w:w="1276" w:type="dxa"/>
            <w:shd w:val="clear" w:color="auto" w:fill="FFFFFF"/>
          </w:tcPr>
          <w:p w:rsidR="00B76F85" w:rsidRPr="00C17510" w:rsidRDefault="00B76F85" w:rsidP="00C17510">
            <w:pPr>
              <w:spacing w:before="0"/>
              <w:rPr>
                <w:sz w:val="18"/>
              </w:rPr>
            </w:pPr>
            <w:r w:rsidRPr="00C17510">
              <w:rPr>
                <w:sz w:val="18"/>
              </w:rPr>
              <w:t>Ph:27752</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Tarita</w:t>
            </w:r>
            <w:proofErr w:type="spellEnd"/>
            <w:r w:rsidRPr="00C17510">
              <w:rPr>
                <w:sz w:val="18"/>
              </w:rPr>
              <w:t xml:space="preserve"> T </w:t>
            </w:r>
            <w:proofErr w:type="spellStart"/>
            <w:r w:rsidRPr="00C17510">
              <w:rPr>
                <w:sz w:val="18"/>
              </w:rPr>
              <w:t>Sione</w:t>
            </w:r>
            <w:proofErr w:type="spellEnd"/>
          </w:p>
        </w:tc>
        <w:tc>
          <w:tcPr>
            <w:tcW w:w="1984" w:type="dxa"/>
            <w:shd w:val="clear" w:color="auto" w:fill="FFFFFF"/>
          </w:tcPr>
          <w:p w:rsidR="00B76F85" w:rsidRPr="00C17510" w:rsidRDefault="00B76F85" w:rsidP="00C17510">
            <w:pPr>
              <w:spacing w:before="0"/>
              <w:rPr>
                <w:sz w:val="18"/>
              </w:rPr>
            </w:pPr>
            <w:r w:rsidRPr="00C17510">
              <w:rPr>
                <w:sz w:val="18"/>
              </w:rPr>
              <w:t>MWCSD</w:t>
            </w:r>
          </w:p>
        </w:tc>
        <w:tc>
          <w:tcPr>
            <w:tcW w:w="2552" w:type="dxa"/>
            <w:shd w:val="clear" w:color="auto" w:fill="FFFFFF"/>
          </w:tcPr>
          <w:p w:rsidR="00B76F85" w:rsidRPr="00C17510" w:rsidRDefault="00B76F85" w:rsidP="00C17510">
            <w:pPr>
              <w:spacing w:before="0"/>
              <w:rPr>
                <w:sz w:val="18"/>
              </w:rPr>
            </w:pPr>
            <w:r w:rsidRPr="00C17510">
              <w:rPr>
                <w:sz w:val="18"/>
              </w:rPr>
              <w:t>Principal Strategic Officer</w:t>
            </w:r>
          </w:p>
        </w:tc>
        <w:tc>
          <w:tcPr>
            <w:tcW w:w="1701" w:type="dxa"/>
            <w:shd w:val="clear" w:color="auto" w:fill="FFFFFF"/>
          </w:tcPr>
          <w:p w:rsidR="00B76F85" w:rsidRPr="00C17510" w:rsidRDefault="00B76F85" w:rsidP="00C17510">
            <w:pPr>
              <w:spacing w:before="0"/>
              <w:rPr>
                <w:sz w:val="18"/>
              </w:rPr>
            </w:pPr>
            <w:r w:rsidRPr="00C17510">
              <w:rPr>
                <w:sz w:val="18"/>
              </w:rPr>
              <w:t>tsione@mwcsd.gov.ws</w:t>
            </w:r>
          </w:p>
        </w:tc>
        <w:tc>
          <w:tcPr>
            <w:tcW w:w="1276" w:type="dxa"/>
            <w:shd w:val="clear" w:color="auto" w:fill="FFFFFF"/>
          </w:tcPr>
          <w:p w:rsidR="00B76F85" w:rsidRPr="00C17510" w:rsidRDefault="00B76F85" w:rsidP="00C17510">
            <w:pPr>
              <w:spacing w:before="0"/>
              <w:rPr>
                <w:sz w:val="18"/>
              </w:rPr>
            </w:pPr>
            <w:r w:rsidRPr="00C17510">
              <w:rPr>
                <w:sz w:val="18"/>
              </w:rPr>
              <w:t>Ph:27752</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 xml:space="preserve">Peseta </w:t>
            </w:r>
            <w:proofErr w:type="spellStart"/>
            <w:r w:rsidRPr="00C17510">
              <w:rPr>
                <w:sz w:val="18"/>
              </w:rPr>
              <w:t>Mulinuu</w:t>
            </w:r>
            <w:proofErr w:type="spellEnd"/>
            <w:r w:rsidRPr="00C17510">
              <w:rPr>
                <w:sz w:val="18"/>
              </w:rPr>
              <w:t xml:space="preserve"> </w:t>
            </w:r>
            <w:proofErr w:type="spellStart"/>
            <w:r w:rsidRPr="00C17510">
              <w:rPr>
                <w:sz w:val="18"/>
              </w:rPr>
              <w:t>Sua</w:t>
            </w:r>
            <w:proofErr w:type="spellEnd"/>
          </w:p>
        </w:tc>
        <w:tc>
          <w:tcPr>
            <w:tcW w:w="1984" w:type="dxa"/>
            <w:shd w:val="clear" w:color="auto" w:fill="FFFFFF"/>
          </w:tcPr>
          <w:p w:rsidR="00B76F85" w:rsidRPr="00C17510" w:rsidRDefault="00B76F85" w:rsidP="00C17510">
            <w:pPr>
              <w:spacing w:before="0"/>
              <w:rPr>
                <w:sz w:val="18"/>
              </w:rPr>
            </w:pPr>
            <w:r w:rsidRPr="00C17510">
              <w:rPr>
                <w:sz w:val="18"/>
              </w:rPr>
              <w:t>MWCSD</w:t>
            </w:r>
          </w:p>
        </w:tc>
        <w:tc>
          <w:tcPr>
            <w:tcW w:w="2552" w:type="dxa"/>
            <w:shd w:val="clear" w:color="auto" w:fill="FFFFFF"/>
          </w:tcPr>
          <w:p w:rsidR="00B76F85" w:rsidRPr="00C17510" w:rsidRDefault="00B76F85" w:rsidP="00C17510">
            <w:pPr>
              <w:spacing w:before="0"/>
              <w:rPr>
                <w:sz w:val="18"/>
              </w:rPr>
            </w:pPr>
            <w:r w:rsidRPr="00C17510">
              <w:rPr>
                <w:sz w:val="18"/>
              </w:rPr>
              <w:t>Senior Internal Affairs Officer</w:t>
            </w:r>
          </w:p>
        </w:tc>
        <w:tc>
          <w:tcPr>
            <w:tcW w:w="1701" w:type="dxa"/>
            <w:shd w:val="clear" w:color="auto" w:fill="FFFFFF"/>
          </w:tcPr>
          <w:p w:rsidR="00B76F85" w:rsidRPr="00C17510" w:rsidRDefault="00B76F85" w:rsidP="00C17510">
            <w:pPr>
              <w:spacing w:before="0"/>
              <w:rPr>
                <w:sz w:val="18"/>
              </w:rPr>
            </w:pPr>
            <w:r w:rsidRPr="00C17510">
              <w:rPr>
                <w:sz w:val="18"/>
              </w:rPr>
              <w:t>msua@mwcsd.gov.ws</w:t>
            </w:r>
          </w:p>
        </w:tc>
        <w:tc>
          <w:tcPr>
            <w:tcW w:w="1276" w:type="dxa"/>
            <w:shd w:val="clear" w:color="auto" w:fill="FFFFFF"/>
          </w:tcPr>
          <w:p w:rsidR="00B76F85" w:rsidRPr="00C17510" w:rsidRDefault="00B76F85" w:rsidP="00C17510">
            <w:pPr>
              <w:spacing w:before="0"/>
              <w:rPr>
                <w:sz w:val="18"/>
              </w:rPr>
            </w:pPr>
            <w:r w:rsidRPr="00C17510">
              <w:rPr>
                <w:sz w:val="18"/>
              </w:rPr>
              <w:t>Ph:27752</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 xml:space="preserve">Ana </w:t>
            </w:r>
            <w:proofErr w:type="spellStart"/>
            <w:r w:rsidRPr="00C17510">
              <w:rPr>
                <w:sz w:val="18"/>
              </w:rPr>
              <w:t>Leau</w:t>
            </w:r>
            <w:proofErr w:type="spellEnd"/>
            <w:r w:rsidRPr="00C17510">
              <w:rPr>
                <w:sz w:val="18"/>
              </w:rPr>
              <w:t xml:space="preserve"> Vaasa-</w:t>
            </w:r>
            <w:proofErr w:type="spellStart"/>
            <w:r w:rsidRPr="00C17510">
              <w:rPr>
                <w:sz w:val="18"/>
              </w:rPr>
              <w:t>Te’o</w:t>
            </w:r>
            <w:proofErr w:type="spellEnd"/>
          </w:p>
        </w:tc>
        <w:tc>
          <w:tcPr>
            <w:tcW w:w="1984" w:type="dxa"/>
            <w:shd w:val="clear" w:color="auto" w:fill="FFFFFF"/>
          </w:tcPr>
          <w:p w:rsidR="00B76F85" w:rsidRPr="00C17510" w:rsidRDefault="00B76F85" w:rsidP="00C17510">
            <w:pPr>
              <w:spacing w:before="0"/>
              <w:rPr>
                <w:sz w:val="18"/>
              </w:rPr>
            </w:pPr>
            <w:r w:rsidRPr="00C17510">
              <w:rPr>
                <w:sz w:val="18"/>
              </w:rPr>
              <w:t>MWCSD</w:t>
            </w:r>
          </w:p>
        </w:tc>
        <w:tc>
          <w:tcPr>
            <w:tcW w:w="2552" w:type="dxa"/>
            <w:shd w:val="clear" w:color="auto" w:fill="FFFFFF"/>
          </w:tcPr>
          <w:p w:rsidR="00B76F85" w:rsidRPr="00C17510" w:rsidRDefault="00B76F85" w:rsidP="00C17510">
            <w:pPr>
              <w:spacing w:before="0"/>
              <w:rPr>
                <w:sz w:val="18"/>
              </w:rPr>
            </w:pPr>
            <w:r w:rsidRPr="00C17510">
              <w:rPr>
                <w:sz w:val="18"/>
              </w:rPr>
              <w:t>Senior Youth Officer</w:t>
            </w:r>
          </w:p>
        </w:tc>
        <w:tc>
          <w:tcPr>
            <w:tcW w:w="1701" w:type="dxa"/>
            <w:shd w:val="clear" w:color="auto" w:fill="FFFFFF"/>
          </w:tcPr>
          <w:p w:rsidR="00B76F85" w:rsidRPr="00C17510" w:rsidRDefault="00B76F85" w:rsidP="00C17510">
            <w:pPr>
              <w:spacing w:before="0"/>
              <w:rPr>
                <w:sz w:val="18"/>
              </w:rPr>
            </w:pPr>
            <w:r w:rsidRPr="00C17510">
              <w:rPr>
                <w:sz w:val="18"/>
              </w:rPr>
              <w:t>aleauvaasa@mwcsd.gov.ws</w:t>
            </w:r>
          </w:p>
        </w:tc>
        <w:tc>
          <w:tcPr>
            <w:tcW w:w="1276" w:type="dxa"/>
            <w:shd w:val="clear" w:color="auto" w:fill="FFFFFF"/>
          </w:tcPr>
          <w:p w:rsidR="00B76F85" w:rsidRPr="00C17510" w:rsidRDefault="00B76F85" w:rsidP="00C17510">
            <w:pPr>
              <w:spacing w:before="0"/>
              <w:rPr>
                <w:sz w:val="18"/>
              </w:rPr>
            </w:pPr>
            <w:r w:rsidRPr="00C17510">
              <w:rPr>
                <w:sz w:val="18"/>
              </w:rPr>
              <w:t>Ph:21997</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lastRenderedPageBreak/>
              <w:t>Papalii</w:t>
            </w:r>
            <w:proofErr w:type="spellEnd"/>
            <w:r w:rsidRPr="00C17510">
              <w:rPr>
                <w:sz w:val="18"/>
              </w:rPr>
              <w:t xml:space="preserve"> </w:t>
            </w:r>
            <w:proofErr w:type="spellStart"/>
            <w:r w:rsidRPr="00C17510">
              <w:rPr>
                <w:sz w:val="18"/>
              </w:rPr>
              <w:t>Pene</w:t>
            </w:r>
            <w:proofErr w:type="spellEnd"/>
            <w:r w:rsidRPr="00C17510">
              <w:rPr>
                <w:sz w:val="18"/>
              </w:rPr>
              <w:t xml:space="preserve"> </w:t>
            </w:r>
            <w:proofErr w:type="spellStart"/>
            <w:r w:rsidRPr="00C17510">
              <w:rPr>
                <w:sz w:val="18"/>
              </w:rPr>
              <w:t>Savealii</w:t>
            </w:r>
            <w:proofErr w:type="spellEnd"/>
          </w:p>
        </w:tc>
        <w:tc>
          <w:tcPr>
            <w:tcW w:w="1984" w:type="dxa"/>
            <w:shd w:val="clear" w:color="auto" w:fill="FFFFFF"/>
          </w:tcPr>
          <w:p w:rsidR="00B76F85" w:rsidRPr="00C17510" w:rsidRDefault="00B76F85" w:rsidP="00C17510">
            <w:pPr>
              <w:spacing w:before="0"/>
              <w:rPr>
                <w:sz w:val="18"/>
              </w:rPr>
            </w:pPr>
            <w:r w:rsidRPr="00C17510">
              <w:rPr>
                <w:sz w:val="18"/>
              </w:rPr>
              <w:t>MWCSD</w:t>
            </w:r>
          </w:p>
        </w:tc>
        <w:tc>
          <w:tcPr>
            <w:tcW w:w="2552" w:type="dxa"/>
            <w:shd w:val="clear" w:color="auto" w:fill="FFFFFF"/>
          </w:tcPr>
          <w:p w:rsidR="00B76F85" w:rsidRPr="00C17510" w:rsidRDefault="00B76F85" w:rsidP="00C17510">
            <w:pPr>
              <w:spacing w:before="0"/>
              <w:rPr>
                <w:sz w:val="18"/>
              </w:rPr>
            </w:pPr>
            <w:r w:rsidRPr="00C17510">
              <w:rPr>
                <w:sz w:val="18"/>
              </w:rPr>
              <w:t xml:space="preserve">Sui o </w:t>
            </w:r>
            <w:proofErr w:type="spellStart"/>
            <w:r w:rsidRPr="00C17510">
              <w:rPr>
                <w:sz w:val="18"/>
              </w:rPr>
              <w:t>Nuu</w:t>
            </w:r>
            <w:proofErr w:type="spellEnd"/>
            <w:r w:rsidRPr="00C17510">
              <w:rPr>
                <w:sz w:val="18"/>
              </w:rPr>
              <w:t xml:space="preserve"> Representative</w:t>
            </w:r>
          </w:p>
        </w:tc>
        <w:tc>
          <w:tcPr>
            <w:tcW w:w="1701" w:type="dxa"/>
            <w:shd w:val="clear" w:color="auto" w:fill="FFFFFF"/>
          </w:tcPr>
          <w:p w:rsidR="00B76F85" w:rsidRPr="00C17510" w:rsidRDefault="00B76F85" w:rsidP="00C17510">
            <w:pPr>
              <w:spacing w:before="0"/>
              <w:rPr>
                <w:sz w:val="18"/>
              </w:rPr>
            </w:pPr>
          </w:p>
        </w:tc>
        <w:tc>
          <w:tcPr>
            <w:tcW w:w="1276" w:type="dxa"/>
            <w:shd w:val="clear" w:color="auto" w:fill="FFFFFF"/>
          </w:tcPr>
          <w:p w:rsidR="00B76F85" w:rsidRPr="00C17510" w:rsidRDefault="00B76F85" w:rsidP="00C17510">
            <w:pPr>
              <w:spacing w:before="0"/>
              <w:rPr>
                <w:sz w:val="18"/>
              </w:rPr>
            </w:pPr>
            <w:r w:rsidRPr="00C17510">
              <w:rPr>
                <w:sz w:val="18"/>
              </w:rPr>
              <w:t>Mob:7724401</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Michael  Upton</w:t>
            </w:r>
          </w:p>
        </w:tc>
        <w:tc>
          <w:tcPr>
            <w:tcW w:w="1984" w:type="dxa"/>
            <w:shd w:val="clear" w:color="auto" w:fill="FFFFFF"/>
          </w:tcPr>
          <w:p w:rsidR="00B76F85" w:rsidRPr="00C17510" w:rsidRDefault="00B76F85" w:rsidP="00C17510">
            <w:pPr>
              <w:spacing w:before="0"/>
              <w:rPr>
                <w:sz w:val="18"/>
              </w:rPr>
            </w:pPr>
            <w:r w:rsidRPr="00C17510">
              <w:rPr>
                <w:sz w:val="18"/>
              </w:rPr>
              <w:t>New Zealand Ministry of Foreign Affairs and Trade</w:t>
            </w:r>
          </w:p>
        </w:tc>
        <w:tc>
          <w:tcPr>
            <w:tcW w:w="2552" w:type="dxa"/>
            <w:shd w:val="clear" w:color="auto" w:fill="FFFFFF"/>
          </w:tcPr>
          <w:p w:rsidR="00B76F85" w:rsidRPr="00C17510" w:rsidRDefault="00B76F85" w:rsidP="00C17510">
            <w:pPr>
              <w:spacing w:before="0"/>
              <w:rPr>
                <w:sz w:val="18"/>
              </w:rPr>
            </w:pPr>
            <w:r w:rsidRPr="00C17510">
              <w:rPr>
                <w:sz w:val="18"/>
              </w:rPr>
              <w:t xml:space="preserve">First Secretary Development </w:t>
            </w:r>
          </w:p>
        </w:tc>
        <w:tc>
          <w:tcPr>
            <w:tcW w:w="1701" w:type="dxa"/>
            <w:shd w:val="clear" w:color="auto" w:fill="FFFFFF"/>
          </w:tcPr>
          <w:p w:rsidR="00B76F85" w:rsidRPr="00C17510" w:rsidRDefault="00B76F85" w:rsidP="00C17510">
            <w:pPr>
              <w:spacing w:before="0"/>
              <w:rPr>
                <w:sz w:val="18"/>
              </w:rPr>
            </w:pPr>
            <w:r w:rsidRPr="00C17510">
              <w:rPr>
                <w:sz w:val="18"/>
              </w:rPr>
              <w:t>michael.upton@mfat.govt.nz</w:t>
            </w:r>
          </w:p>
        </w:tc>
        <w:tc>
          <w:tcPr>
            <w:tcW w:w="1276" w:type="dxa"/>
            <w:shd w:val="clear" w:color="auto" w:fill="FFFFFF"/>
          </w:tcPr>
          <w:p w:rsidR="00B76F85" w:rsidRPr="00C17510" w:rsidRDefault="00B76F85" w:rsidP="00C17510">
            <w:pPr>
              <w:spacing w:before="0"/>
              <w:rPr>
                <w:sz w:val="18"/>
              </w:rPr>
            </w:pPr>
            <w:r w:rsidRPr="00C17510">
              <w:rPr>
                <w:sz w:val="18"/>
              </w:rPr>
              <w:t>Ph:20462  Mob:7721713</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Seiuli</w:t>
            </w:r>
            <w:proofErr w:type="spellEnd"/>
            <w:r w:rsidRPr="00C17510">
              <w:rPr>
                <w:sz w:val="18"/>
              </w:rPr>
              <w:t xml:space="preserve"> </w:t>
            </w:r>
            <w:proofErr w:type="spellStart"/>
            <w:r w:rsidRPr="00C17510">
              <w:rPr>
                <w:sz w:val="18"/>
              </w:rPr>
              <w:t>Mauala</w:t>
            </w:r>
            <w:proofErr w:type="spellEnd"/>
            <w:r w:rsidRPr="00C17510">
              <w:rPr>
                <w:sz w:val="18"/>
              </w:rPr>
              <w:t xml:space="preserve"> Pepe </w:t>
            </w:r>
            <w:proofErr w:type="spellStart"/>
            <w:r w:rsidRPr="00C17510">
              <w:rPr>
                <w:sz w:val="18"/>
              </w:rPr>
              <w:t>Seiulu</w:t>
            </w:r>
            <w:proofErr w:type="spellEnd"/>
            <w:r w:rsidRPr="00C17510">
              <w:rPr>
                <w:sz w:val="18"/>
              </w:rPr>
              <w:t xml:space="preserve">, </w:t>
            </w:r>
          </w:p>
        </w:tc>
        <w:tc>
          <w:tcPr>
            <w:tcW w:w="1984" w:type="dxa"/>
            <w:shd w:val="clear" w:color="auto" w:fill="FFFFFF"/>
          </w:tcPr>
          <w:p w:rsidR="00B76F85" w:rsidRPr="00C17510" w:rsidRDefault="00B76F85" w:rsidP="00C17510">
            <w:pPr>
              <w:spacing w:before="0"/>
              <w:rPr>
                <w:sz w:val="18"/>
              </w:rPr>
            </w:pPr>
            <w:r w:rsidRPr="00C17510">
              <w:rPr>
                <w:sz w:val="18"/>
              </w:rPr>
              <w:t>Office of the Ombudsman (</w:t>
            </w:r>
            <w:proofErr w:type="spellStart"/>
            <w:r w:rsidRPr="00C17510">
              <w:rPr>
                <w:sz w:val="18"/>
              </w:rPr>
              <w:t>OoO</w:t>
            </w:r>
            <w:proofErr w:type="spellEnd"/>
            <w:r w:rsidRPr="00C17510">
              <w:rPr>
                <w:sz w:val="18"/>
              </w:rPr>
              <w:t>)</w:t>
            </w:r>
          </w:p>
        </w:tc>
        <w:tc>
          <w:tcPr>
            <w:tcW w:w="2552" w:type="dxa"/>
            <w:shd w:val="clear" w:color="auto" w:fill="FFFFFF"/>
          </w:tcPr>
          <w:p w:rsidR="00B76F85" w:rsidRPr="00C17510" w:rsidRDefault="00B76F85" w:rsidP="00C17510">
            <w:pPr>
              <w:spacing w:before="0"/>
              <w:rPr>
                <w:sz w:val="18"/>
              </w:rPr>
            </w:pPr>
            <w:r w:rsidRPr="00C17510">
              <w:rPr>
                <w:sz w:val="18"/>
              </w:rPr>
              <w:t xml:space="preserve">Deputy Ombudsman </w:t>
            </w:r>
          </w:p>
        </w:tc>
        <w:tc>
          <w:tcPr>
            <w:tcW w:w="1701" w:type="dxa"/>
            <w:shd w:val="clear" w:color="auto" w:fill="FFFFFF"/>
          </w:tcPr>
          <w:p w:rsidR="00B76F85" w:rsidRPr="00C17510" w:rsidRDefault="00B76F85" w:rsidP="00C17510">
            <w:pPr>
              <w:spacing w:before="0"/>
              <w:rPr>
                <w:sz w:val="18"/>
              </w:rPr>
            </w:pPr>
            <w:r w:rsidRPr="00C17510">
              <w:rPr>
                <w:sz w:val="18"/>
              </w:rPr>
              <w:t>info@ombudsman.gov.ws</w:t>
            </w:r>
          </w:p>
        </w:tc>
        <w:tc>
          <w:tcPr>
            <w:tcW w:w="1276" w:type="dxa"/>
            <w:shd w:val="clear" w:color="auto" w:fill="FFFFFF"/>
          </w:tcPr>
          <w:p w:rsidR="00B76F85" w:rsidRPr="00C17510" w:rsidRDefault="00B76F85" w:rsidP="00C17510">
            <w:pPr>
              <w:spacing w:before="0"/>
              <w:rPr>
                <w:sz w:val="18"/>
              </w:rPr>
            </w:pPr>
            <w:r w:rsidRPr="00C17510">
              <w:rPr>
                <w:sz w:val="18"/>
              </w:rPr>
              <w:t>Ph:25394</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 xml:space="preserve">Tracey </w:t>
            </w:r>
            <w:proofErr w:type="spellStart"/>
            <w:r w:rsidRPr="00C17510">
              <w:rPr>
                <w:sz w:val="18"/>
              </w:rPr>
              <w:t>Mikaele</w:t>
            </w:r>
            <w:proofErr w:type="spellEnd"/>
          </w:p>
        </w:tc>
        <w:tc>
          <w:tcPr>
            <w:tcW w:w="1984" w:type="dxa"/>
            <w:shd w:val="clear" w:color="auto" w:fill="FFFFFF"/>
          </w:tcPr>
          <w:p w:rsidR="00B76F85" w:rsidRPr="00C17510" w:rsidRDefault="00B76F85" w:rsidP="00C17510">
            <w:pPr>
              <w:spacing w:before="0"/>
              <w:rPr>
                <w:sz w:val="18"/>
              </w:rPr>
            </w:pPr>
            <w:proofErr w:type="spellStart"/>
            <w:r w:rsidRPr="00C17510">
              <w:rPr>
                <w:sz w:val="18"/>
              </w:rPr>
              <w:t>OoO</w:t>
            </w:r>
            <w:proofErr w:type="spellEnd"/>
          </w:p>
        </w:tc>
        <w:tc>
          <w:tcPr>
            <w:tcW w:w="2552" w:type="dxa"/>
            <w:shd w:val="clear" w:color="auto" w:fill="FFFFFF"/>
          </w:tcPr>
          <w:p w:rsidR="00B76F85" w:rsidRPr="00C17510" w:rsidRDefault="00B76F85" w:rsidP="00C17510">
            <w:pPr>
              <w:spacing w:before="0"/>
              <w:rPr>
                <w:sz w:val="18"/>
              </w:rPr>
            </w:pPr>
            <w:r w:rsidRPr="00C17510">
              <w:rPr>
                <w:sz w:val="18"/>
              </w:rPr>
              <w:t>Education &amp; Communication Officer</w:t>
            </w:r>
          </w:p>
        </w:tc>
        <w:tc>
          <w:tcPr>
            <w:tcW w:w="1701" w:type="dxa"/>
            <w:shd w:val="clear" w:color="auto" w:fill="FFFFFF"/>
          </w:tcPr>
          <w:p w:rsidR="00B76F85" w:rsidRPr="00C17510" w:rsidRDefault="00B76F85" w:rsidP="00C17510">
            <w:pPr>
              <w:spacing w:before="0"/>
              <w:rPr>
                <w:sz w:val="18"/>
              </w:rPr>
            </w:pPr>
            <w:r w:rsidRPr="00C17510">
              <w:rPr>
                <w:sz w:val="18"/>
              </w:rPr>
              <w:t>t.mikaele@ombudsman.gov.ws</w:t>
            </w:r>
          </w:p>
        </w:tc>
        <w:tc>
          <w:tcPr>
            <w:tcW w:w="1276" w:type="dxa"/>
            <w:shd w:val="clear" w:color="auto" w:fill="FFFFFF"/>
          </w:tcPr>
          <w:p w:rsidR="00B76F85" w:rsidRPr="00C17510" w:rsidRDefault="00B76F85" w:rsidP="00C17510">
            <w:pPr>
              <w:spacing w:before="0"/>
              <w:rPr>
                <w:sz w:val="18"/>
              </w:rPr>
            </w:pPr>
            <w:r w:rsidRPr="00C17510">
              <w:rPr>
                <w:sz w:val="18"/>
              </w:rPr>
              <w:t>Ph:25394</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Loukinikini</w:t>
            </w:r>
            <w:proofErr w:type="spellEnd"/>
            <w:r w:rsidRPr="00C17510">
              <w:rPr>
                <w:sz w:val="18"/>
              </w:rPr>
              <w:t xml:space="preserve"> </w:t>
            </w:r>
            <w:proofErr w:type="spellStart"/>
            <w:r w:rsidRPr="00C17510">
              <w:rPr>
                <w:sz w:val="18"/>
              </w:rPr>
              <w:t>Vili</w:t>
            </w:r>
            <w:proofErr w:type="spellEnd"/>
          </w:p>
        </w:tc>
        <w:tc>
          <w:tcPr>
            <w:tcW w:w="1984" w:type="dxa"/>
            <w:shd w:val="clear" w:color="auto" w:fill="FFFFFF"/>
          </w:tcPr>
          <w:p w:rsidR="00B76F85" w:rsidRPr="00C17510" w:rsidRDefault="00B76F85" w:rsidP="00C17510">
            <w:pPr>
              <w:spacing w:before="0"/>
              <w:rPr>
                <w:sz w:val="18"/>
              </w:rPr>
            </w:pPr>
            <w:proofErr w:type="spellStart"/>
            <w:r w:rsidRPr="00C17510">
              <w:rPr>
                <w:sz w:val="18"/>
              </w:rPr>
              <w:t>OoO</w:t>
            </w:r>
            <w:proofErr w:type="spellEnd"/>
          </w:p>
        </w:tc>
        <w:tc>
          <w:tcPr>
            <w:tcW w:w="2552" w:type="dxa"/>
            <w:shd w:val="clear" w:color="auto" w:fill="FFFFFF"/>
          </w:tcPr>
          <w:p w:rsidR="00B76F85" w:rsidRPr="00C17510" w:rsidRDefault="00B76F85" w:rsidP="00C17510">
            <w:pPr>
              <w:spacing w:before="0"/>
              <w:rPr>
                <w:sz w:val="18"/>
              </w:rPr>
            </w:pPr>
            <w:r w:rsidRPr="00C17510">
              <w:rPr>
                <w:sz w:val="18"/>
              </w:rPr>
              <w:t>Legal Officer</w:t>
            </w:r>
          </w:p>
        </w:tc>
        <w:tc>
          <w:tcPr>
            <w:tcW w:w="1701" w:type="dxa"/>
            <w:shd w:val="clear" w:color="auto" w:fill="FFFFFF"/>
          </w:tcPr>
          <w:p w:rsidR="00B76F85" w:rsidRPr="00C17510" w:rsidRDefault="00B76F85" w:rsidP="00C17510">
            <w:pPr>
              <w:spacing w:before="0"/>
              <w:rPr>
                <w:sz w:val="18"/>
              </w:rPr>
            </w:pPr>
            <w:r w:rsidRPr="00C17510">
              <w:rPr>
                <w:sz w:val="18"/>
              </w:rPr>
              <w:t>loukinikini.vili@ombudsman.gov.ws</w:t>
            </w:r>
          </w:p>
        </w:tc>
        <w:tc>
          <w:tcPr>
            <w:tcW w:w="1276" w:type="dxa"/>
            <w:shd w:val="clear" w:color="auto" w:fill="FFFFFF"/>
          </w:tcPr>
          <w:p w:rsidR="00B76F85" w:rsidRPr="00C17510" w:rsidRDefault="00B76F85" w:rsidP="00C17510">
            <w:pPr>
              <w:spacing w:before="0"/>
              <w:rPr>
                <w:sz w:val="18"/>
              </w:rPr>
            </w:pPr>
            <w:r w:rsidRPr="00C17510">
              <w:rPr>
                <w:sz w:val="18"/>
              </w:rPr>
              <w:t>Ph:25394</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Vaiao</w:t>
            </w:r>
            <w:proofErr w:type="spellEnd"/>
            <w:r w:rsidRPr="00C17510">
              <w:rPr>
                <w:sz w:val="18"/>
              </w:rPr>
              <w:t xml:space="preserve"> </w:t>
            </w:r>
            <w:proofErr w:type="spellStart"/>
            <w:r w:rsidRPr="00C17510">
              <w:rPr>
                <w:sz w:val="18"/>
              </w:rPr>
              <w:t>Eteuati</w:t>
            </w:r>
            <w:proofErr w:type="spellEnd"/>
          </w:p>
        </w:tc>
        <w:tc>
          <w:tcPr>
            <w:tcW w:w="1984" w:type="dxa"/>
            <w:shd w:val="clear" w:color="auto" w:fill="FFFFFF"/>
          </w:tcPr>
          <w:p w:rsidR="00B76F85" w:rsidRPr="00C17510" w:rsidRDefault="00B76F85" w:rsidP="00C17510">
            <w:pPr>
              <w:spacing w:before="0"/>
              <w:rPr>
                <w:sz w:val="18"/>
              </w:rPr>
            </w:pPr>
            <w:proofErr w:type="spellStart"/>
            <w:r w:rsidRPr="00C17510">
              <w:rPr>
                <w:sz w:val="18"/>
              </w:rPr>
              <w:t>OoO</w:t>
            </w:r>
            <w:proofErr w:type="spellEnd"/>
          </w:p>
        </w:tc>
        <w:tc>
          <w:tcPr>
            <w:tcW w:w="2552" w:type="dxa"/>
            <w:shd w:val="clear" w:color="auto" w:fill="FFFFFF"/>
          </w:tcPr>
          <w:p w:rsidR="00B76F85" w:rsidRPr="00C17510" w:rsidRDefault="00B76F85" w:rsidP="00C17510">
            <w:pPr>
              <w:spacing w:before="0"/>
              <w:rPr>
                <w:sz w:val="18"/>
              </w:rPr>
            </w:pPr>
            <w:r w:rsidRPr="00C17510">
              <w:rPr>
                <w:sz w:val="18"/>
              </w:rPr>
              <w:t>Principal Investigation Officer</w:t>
            </w:r>
          </w:p>
        </w:tc>
        <w:tc>
          <w:tcPr>
            <w:tcW w:w="1701" w:type="dxa"/>
            <w:shd w:val="clear" w:color="auto" w:fill="FFFFFF"/>
          </w:tcPr>
          <w:p w:rsidR="00B76F85" w:rsidRPr="00C17510" w:rsidRDefault="00B76F85" w:rsidP="00C17510">
            <w:pPr>
              <w:spacing w:before="0"/>
              <w:rPr>
                <w:sz w:val="18"/>
              </w:rPr>
            </w:pPr>
            <w:r w:rsidRPr="00C17510">
              <w:rPr>
                <w:sz w:val="18"/>
              </w:rPr>
              <w:t>veteuati@ombudsman.gov.ws</w:t>
            </w:r>
          </w:p>
        </w:tc>
        <w:tc>
          <w:tcPr>
            <w:tcW w:w="1276" w:type="dxa"/>
            <w:shd w:val="clear" w:color="auto" w:fill="FFFFFF"/>
          </w:tcPr>
          <w:p w:rsidR="00B76F85" w:rsidRPr="00C17510" w:rsidRDefault="00B76F85" w:rsidP="00C17510">
            <w:pPr>
              <w:spacing w:before="0"/>
              <w:rPr>
                <w:sz w:val="18"/>
              </w:rPr>
            </w:pPr>
            <w:r w:rsidRPr="00C17510">
              <w:rPr>
                <w:sz w:val="18"/>
              </w:rPr>
              <w:t>Ph:25394</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Rupeni</w:t>
            </w:r>
            <w:proofErr w:type="spellEnd"/>
            <w:r w:rsidRPr="00C17510">
              <w:rPr>
                <w:sz w:val="18"/>
              </w:rPr>
              <w:t xml:space="preserve"> </w:t>
            </w:r>
            <w:proofErr w:type="spellStart"/>
            <w:r w:rsidRPr="00C17510">
              <w:rPr>
                <w:sz w:val="18"/>
              </w:rPr>
              <w:t>Nawaqakuta</w:t>
            </w:r>
            <w:proofErr w:type="spellEnd"/>
          </w:p>
        </w:tc>
        <w:tc>
          <w:tcPr>
            <w:tcW w:w="1984" w:type="dxa"/>
            <w:shd w:val="clear" w:color="auto" w:fill="FFFFFF"/>
          </w:tcPr>
          <w:p w:rsidR="00B76F85" w:rsidRPr="00C17510" w:rsidRDefault="00B76F85" w:rsidP="00C17510">
            <w:pPr>
              <w:spacing w:before="0"/>
              <w:rPr>
                <w:sz w:val="18"/>
              </w:rPr>
            </w:pPr>
            <w:r w:rsidRPr="00C17510">
              <w:rPr>
                <w:sz w:val="18"/>
              </w:rPr>
              <w:t>Pacific Technical Advisory Mechanism (PACTAM)/DFAT</w:t>
            </w:r>
          </w:p>
        </w:tc>
        <w:tc>
          <w:tcPr>
            <w:tcW w:w="2552" w:type="dxa"/>
            <w:shd w:val="clear" w:color="auto" w:fill="FFFFFF"/>
          </w:tcPr>
          <w:p w:rsidR="00B76F85" w:rsidRPr="00C17510" w:rsidRDefault="00B76F85" w:rsidP="00C17510">
            <w:pPr>
              <w:spacing w:before="0"/>
              <w:rPr>
                <w:sz w:val="18"/>
              </w:rPr>
            </w:pPr>
            <w:r w:rsidRPr="00C17510">
              <w:rPr>
                <w:sz w:val="18"/>
              </w:rPr>
              <w:t>Legislative Drafting Adviser</w:t>
            </w:r>
          </w:p>
        </w:tc>
        <w:tc>
          <w:tcPr>
            <w:tcW w:w="1701" w:type="dxa"/>
            <w:shd w:val="clear" w:color="auto" w:fill="FFFFFF"/>
          </w:tcPr>
          <w:p w:rsidR="00B76F85" w:rsidRPr="00C17510" w:rsidRDefault="00B76F85" w:rsidP="00C17510">
            <w:pPr>
              <w:spacing w:before="0"/>
              <w:rPr>
                <w:sz w:val="18"/>
              </w:rPr>
            </w:pPr>
          </w:p>
        </w:tc>
        <w:tc>
          <w:tcPr>
            <w:tcW w:w="1276" w:type="dxa"/>
            <w:shd w:val="clear" w:color="auto" w:fill="FFFFFF"/>
          </w:tcPr>
          <w:p w:rsidR="00B76F85" w:rsidRPr="00C17510" w:rsidRDefault="00B76F85" w:rsidP="00C17510">
            <w:pPr>
              <w:spacing w:before="0"/>
              <w:rPr>
                <w:sz w:val="18"/>
              </w:rPr>
            </w:pPr>
            <w:r w:rsidRPr="00C17510">
              <w:rPr>
                <w:sz w:val="18"/>
              </w:rPr>
              <w:t>Ph:20295</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Tuuu</w:t>
            </w:r>
            <w:proofErr w:type="spellEnd"/>
            <w:r w:rsidRPr="00C17510">
              <w:rPr>
                <w:sz w:val="18"/>
              </w:rPr>
              <w:t xml:space="preserve"> Dr </w:t>
            </w:r>
            <w:proofErr w:type="spellStart"/>
            <w:r w:rsidRPr="00C17510">
              <w:rPr>
                <w:sz w:val="18"/>
              </w:rPr>
              <w:t>Ieti</w:t>
            </w:r>
            <w:proofErr w:type="spellEnd"/>
            <w:r w:rsidRPr="00C17510">
              <w:rPr>
                <w:sz w:val="18"/>
              </w:rPr>
              <w:t xml:space="preserve"> </w:t>
            </w:r>
            <w:proofErr w:type="spellStart"/>
            <w:r w:rsidRPr="00C17510">
              <w:rPr>
                <w:sz w:val="18"/>
              </w:rPr>
              <w:t>Taulealo</w:t>
            </w:r>
            <w:proofErr w:type="spellEnd"/>
          </w:p>
        </w:tc>
        <w:tc>
          <w:tcPr>
            <w:tcW w:w="1984" w:type="dxa"/>
            <w:shd w:val="clear" w:color="auto" w:fill="FFFFFF"/>
          </w:tcPr>
          <w:p w:rsidR="00B76F85" w:rsidRPr="00C17510" w:rsidRDefault="00B76F85" w:rsidP="00C17510">
            <w:pPr>
              <w:spacing w:before="0"/>
              <w:rPr>
                <w:sz w:val="18"/>
              </w:rPr>
            </w:pPr>
            <w:r w:rsidRPr="00C17510">
              <w:rPr>
                <w:sz w:val="18"/>
              </w:rPr>
              <w:t xml:space="preserve">Public Service Commission (PSC) </w:t>
            </w:r>
          </w:p>
        </w:tc>
        <w:tc>
          <w:tcPr>
            <w:tcW w:w="2552" w:type="dxa"/>
            <w:shd w:val="clear" w:color="auto" w:fill="FFFFFF"/>
          </w:tcPr>
          <w:p w:rsidR="00B76F85" w:rsidRPr="00C17510" w:rsidRDefault="00B76F85" w:rsidP="00C17510">
            <w:pPr>
              <w:spacing w:before="0"/>
              <w:rPr>
                <w:sz w:val="18"/>
              </w:rPr>
            </w:pPr>
            <w:r w:rsidRPr="00C17510">
              <w:rPr>
                <w:sz w:val="18"/>
              </w:rPr>
              <w:t xml:space="preserve">Chairman </w:t>
            </w:r>
          </w:p>
        </w:tc>
        <w:tc>
          <w:tcPr>
            <w:tcW w:w="1701" w:type="dxa"/>
            <w:shd w:val="clear" w:color="auto" w:fill="FFFFFF"/>
          </w:tcPr>
          <w:p w:rsidR="00B76F85" w:rsidRPr="00C17510" w:rsidRDefault="00B76F85" w:rsidP="00C17510">
            <w:pPr>
              <w:spacing w:before="0"/>
              <w:rPr>
                <w:sz w:val="18"/>
              </w:rPr>
            </w:pPr>
            <w:r w:rsidRPr="00C17510">
              <w:rPr>
                <w:sz w:val="18"/>
              </w:rPr>
              <w:t>itaulealo@psc.gov.ws</w:t>
            </w:r>
          </w:p>
        </w:tc>
        <w:tc>
          <w:tcPr>
            <w:tcW w:w="1276" w:type="dxa"/>
            <w:shd w:val="clear" w:color="auto" w:fill="FFFFFF"/>
          </w:tcPr>
          <w:p w:rsidR="00B76F85" w:rsidRPr="00C17510" w:rsidRDefault="00B76F85" w:rsidP="00C17510">
            <w:pPr>
              <w:spacing w:before="0"/>
              <w:rPr>
                <w:sz w:val="18"/>
              </w:rPr>
            </w:pPr>
            <w:r w:rsidRPr="00C17510">
              <w:rPr>
                <w:sz w:val="18"/>
              </w:rPr>
              <w:t>Ph:22123</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Marei</w:t>
            </w:r>
            <w:proofErr w:type="spellEnd"/>
            <w:r w:rsidRPr="00C17510">
              <w:rPr>
                <w:sz w:val="18"/>
              </w:rPr>
              <w:t xml:space="preserve"> </w:t>
            </w:r>
            <w:proofErr w:type="spellStart"/>
            <w:r w:rsidRPr="00C17510">
              <w:rPr>
                <w:sz w:val="18"/>
              </w:rPr>
              <w:t>Faimanu-Tufuga</w:t>
            </w:r>
            <w:proofErr w:type="spellEnd"/>
          </w:p>
        </w:tc>
        <w:tc>
          <w:tcPr>
            <w:tcW w:w="1984" w:type="dxa"/>
            <w:shd w:val="clear" w:color="auto" w:fill="FFFFFF"/>
          </w:tcPr>
          <w:p w:rsidR="00B76F85" w:rsidRPr="00C17510" w:rsidRDefault="00B76F85" w:rsidP="00C17510">
            <w:pPr>
              <w:spacing w:before="0"/>
              <w:rPr>
                <w:sz w:val="18"/>
              </w:rPr>
            </w:pPr>
            <w:r w:rsidRPr="00C17510">
              <w:rPr>
                <w:sz w:val="18"/>
              </w:rPr>
              <w:t>PSC</w:t>
            </w:r>
          </w:p>
        </w:tc>
        <w:tc>
          <w:tcPr>
            <w:tcW w:w="2552" w:type="dxa"/>
            <w:shd w:val="clear" w:color="auto" w:fill="FFFFFF"/>
          </w:tcPr>
          <w:p w:rsidR="00B76F85" w:rsidRPr="00C17510" w:rsidRDefault="00B76F85" w:rsidP="00C17510">
            <w:pPr>
              <w:spacing w:before="0"/>
              <w:rPr>
                <w:sz w:val="18"/>
              </w:rPr>
            </w:pPr>
            <w:r w:rsidRPr="00C17510">
              <w:rPr>
                <w:sz w:val="18"/>
              </w:rPr>
              <w:t>ACEO Policy</w:t>
            </w:r>
          </w:p>
        </w:tc>
        <w:tc>
          <w:tcPr>
            <w:tcW w:w="1701" w:type="dxa"/>
            <w:shd w:val="clear" w:color="auto" w:fill="FFFFFF"/>
          </w:tcPr>
          <w:p w:rsidR="00B76F85" w:rsidRPr="00C17510" w:rsidRDefault="00B76F85" w:rsidP="00C17510">
            <w:pPr>
              <w:spacing w:before="0"/>
              <w:rPr>
                <w:sz w:val="18"/>
              </w:rPr>
            </w:pPr>
            <w:r w:rsidRPr="00C17510">
              <w:rPr>
                <w:sz w:val="18"/>
              </w:rPr>
              <w:t>mfaimanu@psc.gov.ws</w:t>
            </w:r>
          </w:p>
        </w:tc>
        <w:tc>
          <w:tcPr>
            <w:tcW w:w="1276" w:type="dxa"/>
            <w:shd w:val="clear" w:color="auto" w:fill="FFFFFF"/>
          </w:tcPr>
          <w:p w:rsidR="00B76F85" w:rsidRPr="00C17510" w:rsidRDefault="00B76F85" w:rsidP="00C17510">
            <w:pPr>
              <w:spacing w:before="0"/>
              <w:rPr>
                <w:sz w:val="18"/>
              </w:rPr>
            </w:pPr>
            <w:r w:rsidRPr="00C17510">
              <w:rPr>
                <w:sz w:val="18"/>
              </w:rPr>
              <w:t>Ph:22123</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 xml:space="preserve">Naomi Harris </w:t>
            </w:r>
            <w:proofErr w:type="spellStart"/>
            <w:r w:rsidRPr="00C17510">
              <w:rPr>
                <w:sz w:val="18"/>
              </w:rPr>
              <w:t>Viliamu</w:t>
            </w:r>
            <w:proofErr w:type="spellEnd"/>
          </w:p>
        </w:tc>
        <w:tc>
          <w:tcPr>
            <w:tcW w:w="1984" w:type="dxa"/>
            <w:shd w:val="clear" w:color="auto" w:fill="FFFFFF"/>
          </w:tcPr>
          <w:p w:rsidR="00B76F85" w:rsidRPr="00C17510" w:rsidRDefault="00B76F85" w:rsidP="00C17510">
            <w:pPr>
              <w:spacing w:before="0"/>
              <w:rPr>
                <w:sz w:val="18"/>
              </w:rPr>
            </w:pPr>
            <w:r w:rsidRPr="00C17510">
              <w:rPr>
                <w:sz w:val="18"/>
              </w:rPr>
              <w:t>PSC</w:t>
            </w:r>
          </w:p>
        </w:tc>
        <w:tc>
          <w:tcPr>
            <w:tcW w:w="2552" w:type="dxa"/>
            <w:shd w:val="clear" w:color="auto" w:fill="FFFFFF"/>
          </w:tcPr>
          <w:p w:rsidR="00B76F85" w:rsidRPr="00C17510" w:rsidRDefault="00B76F85" w:rsidP="00C17510">
            <w:pPr>
              <w:spacing w:before="0"/>
              <w:rPr>
                <w:sz w:val="18"/>
              </w:rPr>
            </w:pPr>
            <w:r w:rsidRPr="00C17510">
              <w:rPr>
                <w:sz w:val="18"/>
              </w:rPr>
              <w:t>Policy Analyst Officer</w:t>
            </w:r>
          </w:p>
        </w:tc>
        <w:tc>
          <w:tcPr>
            <w:tcW w:w="1701" w:type="dxa"/>
            <w:shd w:val="clear" w:color="auto" w:fill="FFFFFF"/>
          </w:tcPr>
          <w:p w:rsidR="00B76F85" w:rsidRPr="00C17510" w:rsidRDefault="00B76F85" w:rsidP="00C17510">
            <w:pPr>
              <w:spacing w:before="0"/>
              <w:rPr>
                <w:sz w:val="18"/>
              </w:rPr>
            </w:pPr>
            <w:r w:rsidRPr="00C17510">
              <w:rPr>
                <w:sz w:val="18"/>
              </w:rPr>
              <w:t>nharris@psc.gov.ws</w:t>
            </w:r>
          </w:p>
        </w:tc>
        <w:tc>
          <w:tcPr>
            <w:tcW w:w="1276" w:type="dxa"/>
            <w:shd w:val="clear" w:color="auto" w:fill="FFFFFF"/>
          </w:tcPr>
          <w:p w:rsidR="00B76F85" w:rsidRPr="00C17510" w:rsidRDefault="00B76F85" w:rsidP="00C17510">
            <w:pPr>
              <w:spacing w:before="0"/>
              <w:rPr>
                <w:sz w:val="18"/>
              </w:rPr>
            </w:pPr>
            <w:r w:rsidRPr="00C17510">
              <w:rPr>
                <w:sz w:val="18"/>
              </w:rPr>
              <w:t>Ph:22123</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Jennifer Key</w:t>
            </w:r>
          </w:p>
        </w:tc>
        <w:tc>
          <w:tcPr>
            <w:tcW w:w="1984" w:type="dxa"/>
            <w:shd w:val="clear" w:color="auto" w:fill="FFFFFF"/>
          </w:tcPr>
          <w:p w:rsidR="00B76F85" w:rsidRPr="00C17510" w:rsidRDefault="00B76F85" w:rsidP="00C17510">
            <w:pPr>
              <w:spacing w:before="0"/>
              <w:rPr>
                <w:sz w:val="18"/>
              </w:rPr>
            </w:pPr>
            <w:r w:rsidRPr="00C17510">
              <w:rPr>
                <w:sz w:val="18"/>
              </w:rPr>
              <w:t>PSC</w:t>
            </w:r>
          </w:p>
        </w:tc>
        <w:tc>
          <w:tcPr>
            <w:tcW w:w="2552" w:type="dxa"/>
            <w:shd w:val="clear" w:color="auto" w:fill="FFFFFF"/>
          </w:tcPr>
          <w:p w:rsidR="00B76F85" w:rsidRPr="00C17510" w:rsidRDefault="00B76F85" w:rsidP="00C17510">
            <w:pPr>
              <w:spacing w:before="0"/>
              <w:rPr>
                <w:sz w:val="18"/>
              </w:rPr>
            </w:pPr>
            <w:r w:rsidRPr="00C17510">
              <w:rPr>
                <w:sz w:val="18"/>
              </w:rPr>
              <w:t>Principal Policy Analyst</w:t>
            </w:r>
          </w:p>
        </w:tc>
        <w:tc>
          <w:tcPr>
            <w:tcW w:w="1701" w:type="dxa"/>
            <w:shd w:val="clear" w:color="auto" w:fill="FFFFFF"/>
          </w:tcPr>
          <w:p w:rsidR="00B76F85" w:rsidRPr="00C17510" w:rsidRDefault="00B76F85" w:rsidP="00C17510">
            <w:pPr>
              <w:spacing w:before="0"/>
              <w:rPr>
                <w:sz w:val="18"/>
              </w:rPr>
            </w:pPr>
            <w:r w:rsidRPr="00C17510">
              <w:rPr>
                <w:sz w:val="18"/>
              </w:rPr>
              <w:t>jkey@psc.gov.ws</w:t>
            </w:r>
          </w:p>
        </w:tc>
        <w:tc>
          <w:tcPr>
            <w:tcW w:w="1276" w:type="dxa"/>
            <w:shd w:val="clear" w:color="auto" w:fill="FFFFFF"/>
          </w:tcPr>
          <w:p w:rsidR="00B76F85" w:rsidRPr="00C17510" w:rsidRDefault="00B76F85" w:rsidP="00C17510">
            <w:pPr>
              <w:spacing w:before="0"/>
              <w:rPr>
                <w:sz w:val="18"/>
              </w:rPr>
            </w:pPr>
            <w:r w:rsidRPr="00C17510">
              <w:rPr>
                <w:sz w:val="18"/>
              </w:rPr>
              <w:t>Ph:22123</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Ruby Williams</w:t>
            </w:r>
          </w:p>
        </w:tc>
        <w:tc>
          <w:tcPr>
            <w:tcW w:w="1984" w:type="dxa"/>
            <w:shd w:val="clear" w:color="auto" w:fill="FFFFFF"/>
          </w:tcPr>
          <w:p w:rsidR="00B76F85" w:rsidRPr="00C17510" w:rsidRDefault="00B76F85" w:rsidP="00C17510">
            <w:pPr>
              <w:spacing w:before="0"/>
              <w:rPr>
                <w:sz w:val="18"/>
              </w:rPr>
            </w:pPr>
            <w:r w:rsidRPr="00C17510">
              <w:rPr>
                <w:sz w:val="18"/>
              </w:rPr>
              <w:t>PSC</w:t>
            </w:r>
          </w:p>
        </w:tc>
        <w:tc>
          <w:tcPr>
            <w:tcW w:w="2552" w:type="dxa"/>
            <w:shd w:val="clear" w:color="auto" w:fill="FFFFFF"/>
          </w:tcPr>
          <w:p w:rsidR="00B76F85" w:rsidRPr="00C17510" w:rsidRDefault="00B76F85" w:rsidP="00C17510">
            <w:pPr>
              <w:spacing w:before="0"/>
              <w:rPr>
                <w:sz w:val="18"/>
              </w:rPr>
            </w:pPr>
            <w:r w:rsidRPr="00C17510">
              <w:rPr>
                <w:sz w:val="18"/>
              </w:rPr>
              <w:t>Principal Policy Analyst</w:t>
            </w:r>
          </w:p>
        </w:tc>
        <w:tc>
          <w:tcPr>
            <w:tcW w:w="1701" w:type="dxa"/>
            <w:shd w:val="clear" w:color="auto" w:fill="FFFFFF"/>
          </w:tcPr>
          <w:p w:rsidR="00B76F85" w:rsidRPr="00C17510" w:rsidRDefault="00B76F85" w:rsidP="00C17510">
            <w:pPr>
              <w:spacing w:before="0"/>
              <w:rPr>
                <w:sz w:val="18"/>
              </w:rPr>
            </w:pPr>
            <w:r w:rsidRPr="00C17510">
              <w:rPr>
                <w:sz w:val="18"/>
              </w:rPr>
              <w:t>rwilliams@psc.gov.ws</w:t>
            </w:r>
          </w:p>
        </w:tc>
        <w:tc>
          <w:tcPr>
            <w:tcW w:w="1276" w:type="dxa"/>
            <w:shd w:val="clear" w:color="auto" w:fill="FFFFFF"/>
          </w:tcPr>
          <w:p w:rsidR="00B76F85" w:rsidRPr="00C17510" w:rsidRDefault="00B76F85" w:rsidP="00C17510">
            <w:pPr>
              <w:spacing w:before="0"/>
              <w:rPr>
                <w:sz w:val="18"/>
              </w:rPr>
            </w:pPr>
            <w:r w:rsidRPr="00C17510">
              <w:rPr>
                <w:sz w:val="18"/>
              </w:rPr>
              <w:t>Ph:22123</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Beverly Smith</w:t>
            </w:r>
          </w:p>
        </w:tc>
        <w:tc>
          <w:tcPr>
            <w:tcW w:w="1984" w:type="dxa"/>
            <w:shd w:val="clear" w:color="auto" w:fill="FFFFFF"/>
          </w:tcPr>
          <w:p w:rsidR="00B76F85" w:rsidRPr="00C17510" w:rsidRDefault="00B76F85" w:rsidP="00C17510">
            <w:pPr>
              <w:spacing w:before="0"/>
              <w:rPr>
                <w:sz w:val="18"/>
              </w:rPr>
            </w:pPr>
            <w:r w:rsidRPr="00C17510">
              <w:rPr>
                <w:sz w:val="18"/>
              </w:rPr>
              <w:t>PSC</w:t>
            </w:r>
          </w:p>
        </w:tc>
        <w:tc>
          <w:tcPr>
            <w:tcW w:w="2552" w:type="dxa"/>
            <w:shd w:val="clear" w:color="auto" w:fill="FFFFFF"/>
          </w:tcPr>
          <w:p w:rsidR="00B76F85" w:rsidRPr="00C17510" w:rsidRDefault="00B76F85" w:rsidP="00C17510">
            <w:pPr>
              <w:spacing w:before="0"/>
              <w:rPr>
                <w:sz w:val="18"/>
              </w:rPr>
            </w:pPr>
            <w:r w:rsidRPr="00C17510">
              <w:rPr>
                <w:sz w:val="18"/>
              </w:rPr>
              <w:t>Principal Policy Analyst</w:t>
            </w:r>
          </w:p>
        </w:tc>
        <w:tc>
          <w:tcPr>
            <w:tcW w:w="1701" w:type="dxa"/>
            <w:shd w:val="clear" w:color="auto" w:fill="FFFFFF"/>
          </w:tcPr>
          <w:p w:rsidR="00B76F85" w:rsidRPr="00C17510" w:rsidRDefault="00B76F85" w:rsidP="00C17510">
            <w:pPr>
              <w:spacing w:before="0"/>
              <w:rPr>
                <w:sz w:val="18"/>
              </w:rPr>
            </w:pPr>
            <w:r w:rsidRPr="00C17510">
              <w:rPr>
                <w:sz w:val="18"/>
              </w:rPr>
              <w:t>bsmith@psc.gov.ws</w:t>
            </w:r>
          </w:p>
        </w:tc>
        <w:tc>
          <w:tcPr>
            <w:tcW w:w="1276" w:type="dxa"/>
            <w:shd w:val="clear" w:color="auto" w:fill="FFFFFF"/>
          </w:tcPr>
          <w:p w:rsidR="00B76F85" w:rsidRPr="00C17510" w:rsidRDefault="00B76F85" w:rsidP="00C17510">
            <w:pPr>
              <w:spacing w:before="0"/>
              <w:rPr>
                <w:sz w:val="18"/>
              </w:rPr>
            </w:pPr>
            <w:r w:rsidRPr="00C17510">
              <w:rPr>
                <w:sz w:val="18"/>
              </w:rPr>
              <w:t>Ph:22123</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Misileti</w:t>
            </w:r>
            <w:proofErr w:type="spellEnd"/>
            <w:r w:rsidRPr="00C17510">
              <w:rPr>
                <w:sz w:val="18"/>
              </w:rPr>
              <w:t xml:space="preserve">  </w:t>
            </w:r>
            <w:proofErr w:type="spellStart"/>
            <w:r w:rsidRPr="00C17510">
              <w:rPr>
                <w:sz w:val="18"/>
              </w:rPr>
              <w:t>Satuala</w:t>
            </w:r>
            <w:proofErr w:type="spellEnd"/>
          </w:p>
        </w:tc>
        <w:tc>
          <w:tcPr>
            <w:tcW w:w="1984" w:type="dxa"/>
            <w:shd w:val="clear" w:color="auto" w:fill="FFFFFF"/>
          </w:tcPr>
          <w:p w:rsidR="00B76F85" w:rsidRPr="00C17510" w:rsidRDefault="00B76F85" w:rsidP="00C17510">
            <w:pPr>
              <w:spacing w:before="0"/>
              <w:rPr>
                <w:sz w:val="18"/>
              </w:rPr>
            </w:pPr>
            <w:r w:rsidRPr="00C17510">
              <w:rPr>
                <w:sz w:val="18"/>
              </w:rPr>
              <w:t>PWWA</w:t>
            </w:r>
          </w:p>
        </w:tc>
        <w:tc>
          <w:tcPr>
            <w:tcW w:w="2552" w:type="dxa"/>
            <w:shd w:val="clear" w:color="auto" w:fill="FFFFFF"/>
          </w:tcPr>
          <w:p w:rsidR="00B76F85" w:rsidRPr="00C17510" w:rsidRDefault="00B76F85" w:rsidP="00C17510">
            <w:pPr>
              <w:spacing w:before="0"/>
              <w:rPr>
                <w:sz w:val="18"/>
              </w:rPr>
            </w:pPr>
            <w:r w:rsidRPr="00C17510">
              <w:rPr>
                <w:sz w:val="18"/>
              </w:rPr>
              <w:t>Former DFAT staff</w:t>
            </w:r>
          </w:p>
        </w:tc>
        <w:tc>
          <w:tcPr>
            <w:tcW w:w="1701" w:type="dxa"/>
            <w:shd w:val="clear" w:color="auto" w:fill="FFFFFF"/>
          </w:tcPr>
          <w:p w:rsidR="00B76F85" w:rsidRPr="00C17510" w:rsidRDefault="00B76F85" w:rsidP="00C17510">
            <w:pPr>
              <w:spacing w:before="0"/>
              <w:rPr>
                <w:sz w:val="18"/>
              </w:rPr>
            </w:pPr>
            <w:r w:rsidRPr="00C17510">
              <w:rPr>
                <w:sz w:val="18"/>
              </w:rPr>
              <w:t>misileti@pwwa.ws</w:t>
            </w:r>
          </w:p>
        </w:tc>
        <w:tc>
          <w:tcPr>
            <w:tcW w:w="1276" w:type="dxa"/>
            <w:shd w:val="clear" w:color="auto" w:fill="FFFFFF"/>
          </w:tcPr>
          <w:p w:rsidR="00B76F85" w:rsidRPr="00C17510" w:rsidRDefault="00B76F85" w:rsidP="00C17510">
            <w:pPr>
              <w:spacing w:before="0"/>
              <w:rPr>
                <w:sz w:val="18"/>
              </w:rPr>
            </w:pPr>
            <w:r w:rsidRPr="00C17510">
              <w:rPr>
                <w:sz w:val="18"/>
              </w:rPr>
              <w:t>Ph:30326</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Ane</w:t>
            </w:r>
            <w:proofErr w:type="spellEnd"/>
            <w:r w:rsidRPr="00C17510">
              <w:rPr>
                <w:sz w:val="18"/>
              </w:rPr>
              <w:t xml:space="preserve"> </w:t>
            </w:r>
            <w:proofErr w:type="spellStart"/>
            <w:r w:rsidRPr="00C17510">
              <w:rPr>
                <w:sz w:val="18"/>
              </w:rPr>
              <w:t>Moananu</w:t>
            </w:r>
            <w:proofErr w:type="spellEnd"/>
            <w:r w:rsidRPr="00C17510">
              <w:rPr>
                <w:sz w:val="18"/>
              </w:rPr>
              <w:t xml:space="preserve">, </w:t>
            </w:r>
          </w:p>
        </w:tc>
        <w:tc>
          <w:tcPr>
            <w:tcW w:w="1984" w:type="dxa"/>
            <w:shd w:val="clear" w:color="auto" w:fill="FFFFFF"/>
          </w:tcPr>
          <w:p w:rsidR="00B76F85" w:rsidRPr="00C17510" w:rsidRDefault="00B76F85" w:rsidP="00C17510">
            <w:pPr>
              <w:spacing w:before="0"/>
              <w:rPr>
                <w:sz w:val="18"/>
              </w:rPr>
            </w:pPr>
            <w:r w:rsidRPr="00C17510">
              <w:rPr>
                <w:sz w:val="18"/>
              </w:rPr>
              <w:t>Samoa Chamber of Commerce</w:t>
            </w:r>
          </w:p>
        </w:tc>
        <w:tc>
          <w:tcPr>
            <w:tcW w:w="2552" w:type="dxa"/>
            <w:shd w:val="clear" w:color="auto" w:fill="FFFFFF"/>
          </w:tcPr>
          <w:p w:rsidR="00B76F85" w:rsidRPr="00C17510" w:rsidRDefault="00B76F85" w:rsidP="00C17510">
            <w:pPr>
              <w:spacing w:before="0"/>
              <w:rPr>
                <w:sz w:val="18"/>
              </w:rPr>
            </w:pPr>
            <w:r w:rsidRPr="00C17510">
              <w:rPr>
                <w:sz w:val="18"/>
              </w:rPr>
              <w:t xml:space="preserve">Chief Executive Officer </w:t>
            </w:r>
          </w:p>
        </w:tc>
        <w:tc>
          <w:tcPr>
            <w:tcW w:w="1701" w:type="dxa"/>
            <w:shd w:val="clear" w:color="auto" w:fill="FFFFFF"/>
          </w:tcPr>
          <w:p w:rsidR="00B76F85" w:rsidRPr="00C17510" w:rsidRDefault="00B76F85" w:rsidP="00C17510">
            <w:pPr>
              <w:spacing w:before="0"/>
              <w:rPr>
                <w:sz w:val="18"/>
              </w:rPr>
            </w:pPr>
            <w:r w:rsidRPr="00C17510">
              <w:rPr>
                <w:sz w:val="18"/>
              </w:rPr>
              <w:t>ceo@samoachamber.ws</w:t>
            </w:r>
          </w:p>
        </w:tc>
        <w:tc>
          <w:tcPr>
            <w:tcW w:w="1276" w:type="dxa"/>
            <w:shd w:val="clear" w:color="auto" w:fill="FFFFFF"/>
          </w:tcPr>
          <w:p w:rsidR="00B76F85" w:rsidRPr="00C17510" w:rsidRDefault="00B76F85" w:rsidP="00C17510">
            <w:pPr>
              <w:spacing w:before="0"/>
              <w:rPr>
                <w:sz w:val="18"/>
              </w:rPr>
            </w:pPr>
            <w:r w:rsidRPr="00C17510">
              <w:rPr>
                <w:sz w:val="18"/>
              </w:rPr>
              <w:t>Ph:31090 Mob:7570659</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 xml:space="preserve">Rev. </w:t>
            </w:r>
            <w:proofErr w:type="spellStart"/>
            <w:r w:rsidRPr="00C17510">
              <w:rPr>
                <w:sz w:val="18"/>
              </w:rPr>
              <w:t>Maauga</w:t>
            </w:r>
            <w:proofErr w:type="spellEnd"/>
            <w:r w:rsidRPr="00C17510">
              <w:rPr>
                <w:sz w:val="18"/>
              </w:rPr>
              <w:t xml:space="preserve"> Motu </w:t>
            </w:r>
          </w:p>
        </w:tc>
        <w:tc>
          <w:tcPr>
            <w:tcW w:w="1984" w:type="dxa"/>
            <w:shd w:val="clear" w:color="auto" w:fill="FFFFFF"/>
          </w:tcPr>
          <w:p w:rsidR="00B76F85" w:rsidRPr="00C17510" w:rsidRDefault="00B76F85" w:rsidP="00C17510">
            <w:pPr>
              <w:spacing w:before="0"/>
              <w:rPr>
                <w:sz w:val="18"/>
              </w:rPr>
            </w:pPr>
            <w:r w:rsidRPr="00C17510">
              <w:rPr>
                <w:sz w:val="18"/>
              </w:rPr>
              <w:t xml:space="preserve">Samoa Council of Churches (SCC) </w:t>
            </w:r>
          </w:p>
        </w:tc>
        <w:tc>
          <w:tcPr>
            <w:tcW w:w="2552" w:type="dxa"/>
            <w:shd w:val="clear" w:color="auto" w:fill="FFFFFF"/>
          </w:tcPr>
          <w:p w:rsidR="00B76F85" w:rsidRPr="00C17510" w:rsidRDefault="00B76F85" w:rsidP="00C17510">
            <w:pPr>
              <w:spacing w:before="0"/>
              <w:rPr>
                <w:sz w:val="18"/>
              </w:rPr>
            </w:pPr>
            <w:r w:rsidRPr="00C17510">
              <w:rPr>
                <w:sz w:val="18"/>
              </w:rPr>
              <w:t xml:space="preserve">General Secretary </w:t>
            </w:r>
          </w:p>
        </w:tc>
        <w:tc>
          <w:tcPr>
            <w:tcW w:w="1701" w:type="dxa"/>
            <w:shd w:val="clear" w:color="auto" w:fill="FFFFFF"/>
          </w:tcPr>
          <w:p w:rsidR="00B76F85" w:rsidRPr="00C17510" w:rsidRDefault="00B76F85" w:rsidP="00C17510">
            <w:pPr>
              <w:spacing w:before="0"/>
              <w:rPr>
                <w:sz w:val="18"/>
              </w:rPr>
            </w:pPr>
            <w:r w:rsidRPr="00C17510">
              <w:rPr>
                <w:sz w:val="18"/>
              </w:rPr>
              <w:t>maauga@lesamoa.net</w:t>
            </w:r>
          </w:p>
        </w:tc>
        <w:tc>
          <w:tcPr>
            <w:tcW w:w="1276" w:type="dxa"/>
            <w:shd w:val="clear" w:color="auto" w:fill="FFFFFF"/>
          </w:tcPr>
          <w:p w:rsidR="00B76F85" w:rsidRPr="00C17510" w:rsidRDefault="00B76F85" w:rsidP="00C17510">
            <w:pPr>
              <w:spacing w:before="0"/>
              <w:rPr>
                <w:sz w:val="18"/>
              </w:rPr>
            </w:pPr>
            <w:r w:rsidRPr="00C17510">
              <w:rPr>
                <w:sz w:val="18"/>
              </w:rPr>
              <w:t>Ph:24343 Mob:7630256</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 xml:space="preserve">Roni </w:t>
            </w:r>
            <w:proofErr w:type="spellStart"/>
            <w:r w:rsidRPr="00C17510">
              <w:rPr>
                <w:sz w:val="18"/>
              </w:rPr>
              <w:t>Fereti</w:t>
            </w:r>
            <w:proofErr w:type="spellEnd"/>
          </w:p>
        </w:tc>
        <w:tc>
          <w:tcPr>
            <w:tcW w:w="1984" w:type="dxa"/>
            <w:shd w:val="clear" w:color="auto" w:fill="FFFFFF"/>
          </w:tcPr>
          <w:p w:rsidR="00B76F85" w:rsidRPr="00C17510" w:rsidRDefault="00B76F85" w:rsidP="00C17510">
            <w:pPr>
              <w:spacing w:before="0"/>
              <w:rPr>
                <w:sz w:val="18"/>
              </w:rPr>
            </w:pPr>
            <w:r w:rsidRPr="00C17510">
              <w:rPr>
                <w:sz w:val="18"/>
              </w:rPr>
              <w:t>Samoa Law and Justice Sector Secretariat (SLJSS)</w:t>
            </w:r>
          </w:p>
        </w:tc>
        <w:tc>
          <w:tcPr>
            <w:tcW w:w="2552" w:type="dxa"/>
            <w:shd w:val="clear" w:color="auto" w:fill="FFFFFF"/>
          </w:tcPr>
          <w:p w:rsidR="00B76F85" w:rsidRPr="00C17510" w:rsidRDefault="00B76F85" w:rsidP="00C17510">
            <w:pPr>
              <w:spacing w:before="0"/>
              <w:rPr>
                <w:sz w:val="18"/>
              </w:rPr>
            </w:pPr>
            <w:r w:rsidRPr="00C17510">
              <w:rPr>
                <w:sz w:val="18"/>
              </w:rPr>
              <w:t>Sector Coordinator</w:t>
            </w:r>
          </w:p>
        </w:tc>
        <w:tc>
          <w:tcPr>
            <w:tcW w:w="1701" w:type="dxa"/>
            <w:shd w:val="clear" w:color="auto" w:fill="FFFFFF"/>
          </w:tcPr>
          <w:p w:rsidR="00B76F85" w:rsidRPr="00C17510" w:rsidRDefault="00B76F85" w:rsidP="00C17510">
            <w:pPr>
              <w:spacing w:before="0"/>
              <w:rPr>
                <w:sz w:val="18"/>
              </w:rPr>
            </w:pPr>
            <w:r w:rsidRPr="00C17510">
              <w:rPr>
                <w:sz w:val="18"/>
              </w:rPr>
              <w:t>roni.fereti@samoaljs.ws</w:t>
            </w:r>
          </w:p>
        </w:tc>
        <w:tc>
          <w:tcPr>
            <w:tcW w:w="1276" w:type="dxa"/>
            <w:shd w:val="clear" w:color="auto" w:fill="FFFFFF"/>
          </w:tcPr>
          <w:p w:rsidR="00B76F85" w:rsidRPr="00C17510" w:rsidRDefault="00B76F85" w:rsidP="00C17510">
            <w:pPr>
              <w:spacing w:before="0"/>
              <w:rPr>
                <w:sz w:val="18"/>
              </w:rPr>
            </w:pPr>
            <w:r w:rsidRPr="00C17510">
              <w:rPr>
                <w:sz w:val="18"/>
              </w:rPr>
              <w:t>Ph:22671 Mob:7291246</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Line Ah Yen</w:t>
            </w:r>
          </w:p>
        </w:tc>
        <w:tc>
          <w:tcPr>
            <w:tcW w:w="1984" w:type="dxa"/>
            <w:shd w:val="clear" w:color="auto" w:fill="FFFFFF"/>
          </w:tcPr>
          <w:p w:rsidR="00B76F85" w:rsidRPr="00C17510" w:rsidRDefault="00B76F85" w:rsidP="00C17510">
            <w:pPr>
              <w:spacing w:before="0"/>
              <w:rPr>
                <w:sz w:val="18"/>
              </w:rPr>
            </w:pPr>
            <w:r w:rsidRPr="00C17510">
              <w:rPr>
                <w:sz w:val="18"/>
              </w:rPr>
              <w:t>SLJSS</w:t>
            </w:r>
          </w:p>
        </w:tc>
        <w:tc>
          <w:tcPr>
            <w:tcW w:w="2552" w:type="dxa"/>
            <w:shd w:val="clear" w:color="auto" w:fill="FFFFFF"/>
          </w:tcPr>
          <w:p w:rsidR="00B76F85" w:rsidRPr="00C17510" w:rsidRDefault="00B76F85" w:rsidP="00C17510">
            <w:pPr>
              <w:spacing w:before="0"/>
              <w:rPr>
                <w:sz w:val="18"/>
              </w:rPr>
            </w:pPr>
            <w:r w:rsidRPr="00C17510">
              <w:rPr>
                <w:sz w:val="18"/>
              </w:rPr>
              <w:t>Principal Finance Officer</w:t>
            </w:r>
          </w:p>
        </w:tc>
        <w:tc>
          <w:tcPr>
            <w:tcW w:w="1701" w:type="dxa"/>
            <w:shd w:val="clear" w:color="auto" w:fill="FFFFFF"/>
          </w:tcPr>
          <w:p w:rsidR="00B76F85" w:rsidRPr="00C17510" w:rsidRDefault="00B76F85" w:rsidP="00C17510">
            <w:pPr>
              <w:spacing w:before="0"/>
              <w:rPr>
                <w:sz w:val="18"/>
              </w:rPr>
            </w:pPr>
            <w:r w:rsidRPr="00C17510">
              <w:rPr>
                <w:sz w:val="18"/>
              </w:rPr>
              <w:t>l.ahyen@mjca.gov.ws</w:t>
            </w:r>
          </w:p>
        </w:tc>
        <w:tc>
          <w:tcPr>
            <w:tcW w:w="1276" w:type="dxa"/>
            <w:shd w:val="clear" w:color="auto" w:fill="FFFFFF"/>
          </w:tcPr>
          <w:p w:rsidR="00B76F85" w:rsidRPr="00C17510" w:rsidRDefault="00B76F85" w:rsidP="00C17510">
            <w:pPr>
              <w:spacing w:before="0"/>
              <w:rPr>
                <w:sz w:val="18"/>
              </w:rPr>
            </w:pPr>
            <w:r w:rsidRPr="00C17510">
              <w:rPr>
                <w:sz w:val="18"/>
              </w:rPr>
              <w:t>Ph:22671</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 xml:space="preserve">Olive </w:t>
            </w:r>
            <w:proofErr w:type="spellStart"/>
            <w:r w:rsidRPr="00C17510">
              <w:rPr>
                <w:sz w:val="18"/>
              </w:rPr>
              <w:t>Kaio</w:t>
            </w:r>
            <w:proofErr w:type="spellEnd"/>
          </w:p>
        </w:tc>
        <w:tc>
          <w:tcPr>
            <w:tcW w:w="1984" w:type="dxa"/>
            <w:shd w:val="clear" w:color="auto" w:fill="FFFFFF"/>
          </w:tcPr>
          <w:p w:rsidR="00B76F85" w:rsidRPr="00C17510" w:rsidRDefault="00B76F85" w:rsidP="00C17510">
            <w:pPr>
              <w:spacing w:before="0"/>
              <w:rPr>
                <w:sz w:val="18"/>
              </w:rPr>
            </w:pPr>
            <w:r w:rsidRPr="00C17510">
              <w:rPr>
                <w:sz w:val="18"/>
              </w:rPr>
              <w:t>SLJSS</w:t>
            </w:r>
          </w:p>
        </w:tc>
        <w:tc>
          <w:tcPr>
            <w:tcW w:w="2552" w:type="dxa"/>
            <w:shd w:val="clear" w:color="auto" w:fill="FFFFFF"/>
          </w:tcPr>
          <w:p w:rsidR="00B76F85" w:rsidRPr="00C17510" w:rsidRDefault="00B76F85" w:rsidP="00C17510">
            <w:pPr>
              <w:spacing w:before="0"/>
              <w:rPr>
                <w:sz w:val="18"/>
              </w:rPr>
            </w:pPr>
            <w:r w:rsidRPr="00C17510">
              <w:rPr>
                <w:sz w:val="18"/>
              </w:rPr>
              <w:t>Principal Project Officer</w:t>
            </w:r>
          </w:p>
        </w:tc>
        <w:tc>
          <w:tcPr>
            <w:tcW w:w="1701" w:type="dxa"/>
            <w:shd w:val="clear" w:color="auto" w:fill="FFFFFF"/>
          </w:tcPr>
          <w:p w:rsidR="00B76F85" w:rsidRPr="00C17510" w:rsidRDefault="00B76F85" w:rsidP="00C17510">
            <w:pPr>
              <w:spacing w:before="0"/>
              <w:rPr>
                <w:sz w:val="18"/>
              </w:rPr>
            </w:pPr>
            <w:r w:rsidRPr="00C17510">
              <w:rPr>
                <w:sz w:val="18"/>
              </w:rPr>
              <w:t>o.kaio@mjca.gov.ws</w:t>
            </w:r>
          </w:p>
        </w:tc>
        <w:tc>
          <w:tcPr>
            <w:tcW w:w="1276" w:type="dxa"/>
            <w:shd w:val="clear" w:color="auto" w:fill="FFFFFF"/>
          </w:tcPr>
          <w:p w:rsidR="00B76F85" w:rsidRPr="00C17510" w:rsidRDefault="00B76F85" w:rsidP="00C17510">
            <w:pPr>
              <w:spacing w:before="0"/>
              <w:rPr>
                <w:sz w:val="18"/>
              </w:rPr>
            </w:pPr>
            <w:r w:rsidRPr="00C17510">
              <w:rPr>
                <w:sz w:val="18"/>
              </w:rPr>
              <w:t>Ph:22671</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Leota</w:t>
            </w:r>
            <w:proofErr w:type="spellEnd"/>
            <w:r w:rsidRPr="00C17510">
              <w:rPr>
                <w:sz w:val="18"/>
              </w:rPr>
              <w:t xml:space="preserve"> Theresa </w:t>
            </w:r>
            <w:proofErr w:type="spellStart"/>
            <w:r w:rsidRPr="00C17510">
              <w:rPr>
                <w:sz w:val="18"/>
              </w:rPr>
              <w:t>Potoi</w:t>
            </w:r>
            <w:proofErr w:type="spellEnd"/>
          </w:p>
        </w:tc>
        <w:tc>
          <w:tcPr>
            <w:tcW w:w="1984" w:type="dxa"/>
            <w:shd w:val="clear" w:color="auto" w:fill="FFFFFF"/>
          </w:tcPr>
          <w:p w:rsidR="00B76F85" w:rsidRPr="00C17510" w:rsidRDefault="00B76F85" w:rsidP="00C17510">
            <w:pPr>
              <w:spacing w:before="0"/>
              <w:rPr>
                <w:sz w:val="18"/>
              </w:rPr>
            </w:pPr>
            <w:r w:rsidRPr="00C17510">
              <w:rPr>
                <w:sz w:val="18"/>
              </w:rPr>
              <w:t xml:space="preserve">Samoa Law Reform Commission (SLRC) </w:t>
            </w:r>
          </w:p>
        </w:tc>
        <w:tc>
          <w:tcPr>
            <w:tcW w:w="2552" w:type="dxa"/>
            <w:shd w:val="clear" w:color="auto" w:fill="FFFFFF"/>
          </w:tcPr>
          <w:p w:rsidR="00B76F85" w:rsidRPr="00C17510" w:rsidRDefault="00B76F85" w:rsidP="00C17510">
            <w:pPr>
              <w:spacing w:before="0"/>
              <w:rPr>
                <w:sz w:val="18"/>
              </w:rPr>
            </w:pPr>
            <w:r w:rsidRPr="00C17510">
              <w:rPr>
                <w:sz w:val="18"/>
              </w:rPr>
              <w:t>Executive Director</w:t>
            </w:r>
          </w:p>
        </w:tc>
        <w:tc>
          <w:tcPr>
            <w:tcW w:w="1701" w:type="dxa"/>
            <w:shd w:val="clear" w:color="auto" w:fill="FFFFFF"/>
          </w:tcPr>
          <w:p w:rsidR="00B76F85" w:rsidRPr="00C17510" w:rsidRDefault="00B76F85" w:rsidP="00C17510">
            <w:pPr>
              <w:spacing w:before="0"/>
              <w:rPr>
                <w:sz w:val="18"/>
              </w:rPr>
            </w:pPr>
            <w:r w:rsidRPr="00C17510">
              <w:rPr>
                <w:sz w:val="18"/>
              </w:rPr>
              <w:t>theresa.potoi@samoalawreform.gov.ws</w:t>
            </w:r>
          </w:p>
        </w:tc>
        <w:tc>
          <w:tcPr>
            <w:tcW w:w="1276" w:type="dxa"/>
            <w:shd w:val="clear" w:color="auto" w:fill="FFFFFF"/>
          </w:tcPr>
          <w:p w:rsidR="00B76F85" w:rsidRPr="00C17510" w:rsidRDefault="00B76F85" w:rsidP="00C17510">
            <w:pPr>
              <w:spacing w:before="0"/>
              <w:rPr>
                <w:sz w:val="18"/>
              </w:rPr>
            </w:pPr>
            <w:r w:rsidRPr="00C17510">
              <w:rPr>
                <w:sz w:val="18"/>
              </w:rPr>
              <w:t>Ph:28493</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Malaea</w:t>
            </w:r>
            <w:proofErr w:type="spellEnd"/>
            <w:r w:rsidRPr="00C17510">
              <w:rPr>
                <w:sz w:val="18"/>
              </w:rPr>
              <w:t xml:space="preserve"> </w:t>
            </w:r>
            <w:proofErr w:type="spellStart"/>
            <w:r w:rsidRPr="00C17510">
              <w:rPr>
                <w:sz w:val="18"/>
              </w:rPr>
              <w:t>Feterika</w:t>
            </w:r>
            <w:proofErr w:type="spellEnd"/>
          </w:p>
        </w:tc>
        <w:tc>
          <w:tcPr>
            <w:tcW w:w="1984" w:type="dxa"/>
            <w:shd w:val="clear" w:color="auto" w:fill="FFFFFF"/>
          </w:tcPr>
          <w:p w:rsidR="00B76F85" w:rsidRPr="00C17510" w:rsidRDefault="00B76F85" w:rsidP="00C17510">
            <w:pPr>
              <w:spacing w:before="0"/>
              <w:rPr>
                <w:sz w:val="18"/>
              </w:rPr>
            </w:pPr>
            <w:r w:rsidRPr="00C17510">
              <w:rPr>
                <w:sz w:val="18"/>
              </w:rPr>
              <w:t>SLRC</w:t>
            </w:r>
          </w:p>
        </w:tc>
        <w:tc>
          <w:tcPr>
            <w:tcW w:w="2552" w:type="dxa"/>
            <w:shd w:val="clear" w:color="auto" w:fill="FFFFFF"/>
          </w:tcPr>
          <w:p w:rsidR="00B76F85" w:rsidRPr="00C17510" w:rsidRDefault="00B76F85" w:rsidP="00C17510">
            <w:pPr>
              <w:spacing w:before="0"/>
              <w:rPr>
                <w:sz w:val="18"/>
              </w:rPr>
            </w:pPr>
            <w:r w:rsidRPr="00C17510">
              <w:rPr>
                <w:sz w:val="18"/>
              </w:rPr>
              <w:t>Manager, Corporate Services</w:t>
            </w:r>
          </w:p>
        </w:tc>
        <w:tc>
          <w:tcPr>
            <w:tcW w:w="1701" w:type="dxa"/>
            <w:shd w:val="clear" w:color="auto" w:fill="FFFFFF"/>
          </w:tcPr>
          <w:p w:rsidR="00B76F85" w:rsidRPr="00C17510" w:rsidRDefault="00B76F85" w:rsidP="00C17510">
            <w:pPr>
              <w:spacing w:before="0"/>
              <w:rPr>
                <w:sz w:val="18"/>
              </w:rPr>
            </w:pPr>
            <w:r w:rsidRPr="00C17510">
              <w:rPr>
                <w:sz w:val="18"/>
              </w:rPr>
              <w:t>Malaea.feterika@samoalawreform.gov.ws</w:t>
            </w:r>
          </w:p>
        </w:tc>
        <w:tc>
          <w:tcPr>
            <w:tcW w:w="1276" w:type="dxa"/>
            <w:shd w:val="clear" w:color="auto" w:fill="FFFFFF"/>
          </w:tcPr>
          <w:p w:rsidR="00B76F85" w:rsidRPr="00C17510" w:rsidRDefault="00B76F85" w:rsidP="00C17510">
            <w:pPr>
              <w:spacing w:before="0"/>
              <w:rPr>
                <w:sz w:val="18"/>
              </w:rPr>
            </w:pPr>
            <w:r w:rsidRPr="00C17510">
              <w:rPr>
                <w:sz w:val="18"/>
              </w:rPr>
              <w:t>Ph:28493</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lastRenderedPageBreak/>
              <w:t>Florita</w:t>
            </w:r>
            <w:proofErr w:type="spellEnd"/>
            <w:r w:rsidRPr="00C17510">
              <w:rPr>
                <w:sz w:val="18"/>
              </w:rPr>
              <w:t xml:space="preserve"> </w:t>
            </w:r>
            <w:proofErr w:type="spellStart"/>
            <w:r w:rsidRPr="00C17510">
              <w:rPr>
                <w:sz w:val="18"/>
              </w:rPr>
              <w:t>Tupai</w:t>
            </w:r>
            <w:proofErr w:type="spellEnd"/>
          </w:p>
        </w:tc>
        <w:tc>
          <w:tcPr>
            <w:tcW w:w="1984" w:type="dxa"/>
            <w:shd w:val="clear" w:color="auto" w:fill="FFFFFF"/>
          </w:tcPr>
          <w:p w:rsidR="00B76F85" w:rsidRPr="00C17510" w:rsidRDefault="00B76F85" w:rsidP="00C17510">
            <w:pPr>
              <w:spacing w:before="0"/>
              <w:rPr>
                <w:sz w:val="18"/>
              </w:rPr>
            </w:pPr>
            <w:r w:rsidRPr="00C17510">
              <w:rPr>
                <w:sz w:val="18"/>
              </w:rPr>
              <w:t>SLRC</w:t>
            </w:r>
          </w:p>
        </w:tc>
        <w:tc>
          <w:tcPr>
            <w:tcW w:w="2552" w:type="dxa"/>
            <w:shd w:val="clear" w:color="auto" w:fill="FFFFFF"/>
          </w:tcPr>
          <w:p w:rsidR="00B76F85" w:rsidRPr="00C17510" w:rsidRDefault="00B76F85" w:rsidP="00C17510">
            <w:pPr>
              <w:spacing w:before="0"/>
              <w:rPr>
                <w:sz w:val="18"/>
              </w:rPr>
            </w:pPr>
            <w:r w:rsidRPr="00C17510">
              <w:rPr>
                <w:sz w:val="18"/>
              </w:rPr>
              <w:t>Principal Legal Projects Coordinator</w:t>
            </w:r>
          </w:p>
        </w:tc>
        <w:tc>
          <w:tcPr>
            <w:tcW w:w="1701" w:type="dxa"/>
            <w:shd w:val="clear" w:color="auto" w:fill="FFFFFF"/>
          </w:tcPr>
          <w:p w:rsidR="00B76F85" w:rsidRPr="00C17510" w:rsidRDefault="00B76F85" w:rsidP="00C17510">
            <w:pPr>
              <w:spacing w:before="0"/>
              <w:rPr>
                <w:sz w:val="18"/>
              </w:rPr>
            </w:pPr>
            <w:r w:rsidRPr="00C17510">
              <w:rPr>
                <w:sz w:val="18"/>
              </w:rPr>
              <w:t>Florita.tupai@samoalawreform.gov.ws</w:t>
            </w:r>
          </w:p>
        </w:tc>
        <w:tc>
          <w:tcPr>
            <w:tcW w:w="1276" w:type="dxa"/>
            <w:shd w:val="clear" w:color="auto" w:fill="FFFFFF"/>
          </w:tcPr>
          <w:p w:rsidR="00B76F85" w:rsidRPr="00C17510" w:rsidRDefault="00B76F85" w:rsidP="00C17510">
            <w:pPr>
              <w:spacing w:before="0"/>
              <w:rPr>
                <w:sz w:val="18"/>
              </w:rPr>
            </w:pPr>
            <w:r w:rsidRPr="00C17510">
              <w:rPr>
                <w:sz w:val="18"/>
              </w:rPr>
              <w:t>Ph:28493</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 xml:space="preserve">Jasmine </w:t>
            </w:r>
            <w:proofErr w:type="spellStart"/>
            <w:r w:rsidRPr="00C17510">
              <w:rPr>
                <w:sz w:val="18"/>
              </w:rPr>
              <w:t>Faleafaga</w:t>
            </w:r>
            <w:proofErr w:type="spellEnd"/>
          </w:p>
        </w:tc>
        <w:tc>
          <w:tcPr>
            <w:tcW w:w="1984" w:type="dxa"/>
            <w:shd w:val="clear" w:color="auto" w:fill="FFFFFF"/>
          </w:tcPr>
          <w:p w:rsidR="00B76F85" w:rsidRPr="00C17510" w:rsidRDefault="00B76F85" w:rsidP="00C17510">
            <w:pPr>
              <w:spacing w:before="0"/>
              <w:rPr>
                <w:sz w:val="18"/>
              </w:rPr>
            </w:pPr>
            <w:r w:rsidRPr="00C17510">
              <w:rPr>
                <w:sz w:val="18"/>
              </w:rPr>
              <w:t>SLRC</w:t>
            </w:r>
          </w:p>
        </w:tc>
        <w:tc>
          <w:tcPr>
            <w:tcW w:w="2552" w:type="dxa"/>
            <w:shd w:val="clear" w:color="auto" w:fill="FFFFFF"/>
          </w:tcPr>
          <w:p w:rsidR="00B76F85" w:rsidRPr="00C17510" w:rsidRDefault="00B76F85" w:rsidP="00C17510">
            <w:pPr>
              <w:spacing w:before="0"/>
              <w:rPr>
                <w:sz w:val="18"/>
              </w:rPr>
            </w:pPr>
            <w:r w:rsidRPr="00C17510">
              <w:rPr>
                <w:sz w:val="18"/>
              </w:rPr>
              <w:t>Senior Legal Analyst</w:t>
            </w:r>
          </w:p>
        </w:tc>
        <w:tc>
          <w:tcPr>
            <w:tcW w:w="1701" w:type="dxa"/>
            <w:shd w:val="clear" w:color="auto" w:fill="FFFFFF"/>
          </w:tcPr>
          <w:p w:rsidR="00B76F85" w:rsidRPr="00C17510" w:rsidRDefault="00B76F85" w:rsidP="00C17510">
            <w:pPr>
              <w:spacing w:before="0"/>
              <w:rPr>
                <w:sz w:val="18"/>
              </w:rPr>
            </w:pPr>
            <w:r w:rsidRPr="00C17510">
              <w:rPr>
                <w:sz w:val="18"/>
              </w:rPr>
              <w:t>Jasmine.falefaga@samoalawreform.gov.ws</w:t>
            </w:r>
          </w:p>
        </w:tc>
        <w:tc>
          <w:tcPr>
            <w:tcW w:w="1276" w:type="dxa"/>
            <w:shd w:val="clear" w:color="auto" w:fill="FFFFFF"/>
          </w:tcPr>
          <w:p w:rsidR="00B76F85" w:rsidRPr="00C17510" w:rsidRDefault="00B76F85" w:rsidP="00C17510">
            <w:pPr>
              <w:spacing w:before="0"/>
              <w:rPr>
                <w:sz w:val="18"/>
              </w:rPr>
            </w:pPr>
            <w:r w:rsidRPr="00C17510">
              <w:rPr>
                <w:sz w:val="18"/>
              </w:rPr>
              <w:t>Ph:28493</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Mareva</w:t>
            </w:r>
            <w:proofErr w:type="spellEnd"/>
            <w:r w:rsidRPr="00C17510">
              <w:rPr>
                <w:sz w:val="18"/>
              </w:rPr>
              <w:t xml:space="preserve"> Betham Annandale</w:t>
            </w:r>
          </w:p>
        </w:tc>
        <w:tc>
          <w:tcPr>
            <w:tcW w:w="1984" w:type="dxa"/>
            <w:shd w:val="clear" w:color="auto" w:fill="FFFFFF"/>
          </w:tcPr>
          <w:p w:rsidR="00B76F85" w:rsidRPr="00C17510" w:rsidRDefault="00B76F85" w:rsidP="00C17510">
            <w:pPr>
              <w:spacing w:before="0"/>
              <w:rPr>
                <w:sz w:val="18"/>
              </w:rPr>
            </w:pPr>
            <w:r w:rsidRPr="00C17510">
              <w:rPr>
                <w:sz w:val="18"/>
              </w:rPr>
              <w:t>Samoa Law Society (SLS)</w:t>
            </w:r>
          </w:p>
        </w:tc>
        <w:tc>
          <w:tcPr>
            <w:tcW w:w="2552" w:type="dxa"/>
            <w:shd w:val="clear" w:color="auto" w:fill="FFFFFF"/>
          </w:tcPr>
          <w:p w:rsidR="00B76F85" w:rsidRPr="00C17510" w:rsidRDefault="00B76F85" w:rsidP="00C17510">
            <w:pPr>
              <w:spacing w:before="0"/>
              <w:rPr>
                <w:sz w:val="18"/>
              </w:rPr>
            </w:pPr>
            <w:r w:rsidRPr="00C17510">
              <w:rPr>
                <w:sz w:val="18"/>
              </w:rPr>
              <w:t>President</w:t>
            </w:r>
          </w:p>
        </w:tc>
        <w:tc>
          <w:tcPr>
            <w:tcW w:w="1701" w:type="dxa"/>
            <w:shd w:val="clear" w:color="auto" w:fill="FFFFFF"/>
          </w:tcPr>
          <w:p w:rsidR="00B76F85" w:rsidRPr="00C17510" w:rsidRDefault="00B76F85" w:rsidP="00C17510">
            <w:pPr>
              <w:spacing w:before="0"/>
              <w:rPr>
                <w:sz w:val="18"/>
              </w:rPr>
            </w:pPr>
            <w:r w:rsidRPr="00C17510">
              <w:rPr>
                <w:sz w:val="18"/>
              </w:rPr>
              <w:t>mareva@schusterannandale.com</w:t>
            </w:r>
          </w:p>
        </w:tc>
        <w:tc>
          <w:tcPr>
            <w:tcW w:w="1276" w:type="dxa"/>
            <w:shd w:val="clear" w:color="auto" w:fill="FFFFFF"/>
          </w:tcPr>
          <w:p w:rsidR="00B76F85" w:rsidRPr="00C17510" w:rsidRDefault="00B76F85" w:rsidP="00C17510">
            <w:pPr>
              <w:spacing w:before="0"/>
              <w:rPr>
                <w:sz w:val="18"/>
              </w:rPr>
            </w:pPr>
            <w:r w:rsidRPr="00C17510">
              <w:rPr>
                <w:sz w:val="18"/>
              </w:rPr>
              <w:t>Ph:29291</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Kaisarina</w:t>
            </w:r>
            <w:proofErr w:type="spellEnd"/>
            <w:r w:rsidRPr="00C17510">
              <w:rPr>
                <w:sz w:val="18"/>
              </w:rPr>
              <w:t xml:space="preserve">  </w:t>
            </w:r>
            <w:proofErr w:type="spellStart"/>
            <w:r w:rsidRPr="00C17510">
              <w:rPr>
                <w:sz w:val="18"/>
              </w:rPr>
              <w:t>Salesa</w:t>
            </w:r>
            <w:proofErr w:type="spellEnd"/>
            <w:r w:rsidRPr="00C17510">
              <w:rPr>
                <w:sz w:val="18"/>
              </w:rPr>
              <w:t xml:space="preserve">   </w:t>
            </w:r>
          </w:p>
        </w:tc>
        <w:tc>
          <w:tcPr>
            <w:tcW w:w="1984" w:type="dxa"/>
            <w:shd w:val="clear" w:color="auto" w:fill="FFFFFF"/>
          </w:tcPr>
          <w:p w:rsidR="00B76F85" w:rsidRPr="00C17510" w:rsidRDefault="00B76F85" w:rsidP="00C17510">
            <w:pPr>
              <w:spacing w:before="0"/>
              <w:rPr>
                <w:sz w:val="18"/>
              </w:rPr>
            </w:pPr>
            <w:r w:rsidRPr="00C17510">
              <w:rPr>
                <w:sz w:val="18"/>
              </w:rPr>
              <w:t xml:space="preserve">Samoa National Youth Council (SNYC), </w:t>
            </w:r>
          </w:p>
        </w:tc>
        <w:tc>
          <w:tcPr>
            <w:tcW w:w="2552" w:type="dxa"/>
            <w:shd w:val="clear" w:color="auto" w:fill="FFFFFF"/>
          </w:tcPr>
          <w:p w:rsidR="00B76F85" w:rsidRPr="00C17510" w:rsidRDefault="00B76F85" w:rsidP="00C17510">
            <w:pPr>
              <w:spacing w:before="0"/>
              <w:rPr>
                <w:sz w:val="18"/>
              </w:rPr>
            </w:pPr>
            <w:r w:rsidRPr="00C17510">
              <w:rPr>
                <w:sz w:val="18"/>
              </w:rPr>
              <w:t>Program Coordinator</w:t>
            </w:r>
          </w:p>
        </w:tc>
        <w:tc>
          <w:tcPr>
            <w:tcW w:w="1701" w:type="dxa"/>
            <w:shd w:val="clear" w:color="auto" w:fill="FFFFFF"/>
          </w:tcPr>
          <w:p w:rsidR="00B76F85" w:rsidRPr="00C17510" w:rsidRDefault="00B76F85" w:rsidP="00C17510">
            <w:pPr>
              <w:spacing w:before="0"/>
              <w:rPr>
                <w:sz w:val="18"/>
              </w:rPr>
            </w:pPr>
            <w:r w:rsidRPr="00C17510">
              <w:rPr>
                <w:sz w:val="18"/>
              </w:rPr>
              <w:t>samoanationalyouthcouncil@ipasifika.net</w:t>
            </w:r>
          </w:p>
        </w:tc>
        <w:tc>
          <w:tcPr>
            <w:tcW w:w="1276" w:type="dxa"/>
            <w:shd w:val="clear" w:color="auto" w:fill="FFFFFF"/>
          </w:tcPr>
          <w:p w:rsidR="00B76F85" w:rsidRPr="00C17510" w:rsidRDefault="00B76F85" w:rsidP="00C17510">
            <w:pPr>
              <w:spacing w:before="0"/>
              <w:rPr>
                <w:sz w:val="18"/>
              </w:rPr>
            </w:pPr>
            <w:r w:rsidRPr="00C17510">
              <w:rPr>
                <w:sz w:val="18"/>
              </w:rPr>
              <w:t>Ph:8422584</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Taitosaua</w:t>
            </w:r>
            <w:proofErr w:type="spellEnd"/>
            <w:r w:rsidRPr="00C17510">
              <w:rPr>
                <w:sz w:val="18"/>
              </w:rPr>
              <w:t xml:space="preserve"> E. </w:t>
            </w:r>
            <w:proofErr w:type="spellStart"/>
            <w:r w:rsidRPr="00C17510">
              <w:rPr>
                <w:sz w:val="18"/>
              </w:rPr>
              <w:t>Winterstein</w:t>
            </w:r>
            <w:proofErr w:type="spellEnd"/>
            <w:r w:rsidRPr="00C17510">
              <w:rPr>
                <w:sz w:val="18"/>
              </w:rPr>
              <w:t xml:space="preserve">, </w:t>
            </w:r>
          </w:p>
        </w:tc>
        <w:tc>
          <w:tcPr>
            <w:tcW w:w="1984" w:type="dxa"/>
            <w:shd w:val="clear" w:color="auto" w:fill="FFFFFF"/>
          </w:tcPr>
          <w:p w:rsidR="00B76F85" w:rsidRPr="00C17510" w:rsidRDefault="00B76F85" w:rsidP="00C17510">
            <w:pPr>
              <w:spacing w:before="0"/>
              <w:rPr>
                <w:sz w:val="18"/>
              </w:rPr>
            </w:pPr>
            <w:r w:rsidRPr="00C17510">
              <w:rPr>
                <w:sz w:val="18"/>
              </w:rPr>
              <w:t>Samoa Prisons Correction Services (SPCS)</w:t>
            </w:r>
          </w:p>
        </w:tc>
        <w:tc>
          <w:tcPr>
            <w:tcW w:w="2552" w:type="dxa"/>
            <w:shd w:val="clear" w:color="auto" w:fill="FFFFFF"/>
          </w:tcPr>
          <w:p w:rsidR="00B76F85" w:rsidRPr="00C17510" w:rsidRDefault="00B76F85" w:rsidP="00C17510">
            <w:pPr>
              <w:spacing w:before="0"/>
              <w:rPr>
                <w:sz w:val="18"/>
              </w:rPr>
            </w:pPr>
            <w:r w:rsidRPr="00C17510">
              <w:rPr>
                <w:sz w:val="18"/>
              </w:rPr>
              <w:t>Commissioner</w:t>
            </w:r>
          </w:p>
        </w:tc>
        <w:tc>
          <w:tcPr>
            <w:tcW w:w="1701" w:type="dxa"/>
            <w:shd w:val="clear" w:color="auto" w:fill="FFFFFF"/>
          </w:tcPr>
          <w:p w:rsidR="00B76F85" w:rsidRPr="00C17510" w:rsidRDefault="00B76F85" w:rsidP="00C17510">
            <w:pPr>
              <w:spacing w:before="0"/>
              <w:rPr>
                <w:sz w:val="18"/>
              </w:rPr>
            </w:pPr>
            <w:r w:rsidRPr="00C17510">
              <w:rPr>
                <w:sz w:val="18"/>
              </w:rPr>
              <w:t>ewinterstein@spcs.gov.ws</w:t>
            </w:r>
          </w:p>
        </w:tc>
        <w:tc>
          <w:tcPr>
            <w:tcW w:w="1276" w:type="dxa"/>
            <w:shd w:val="clear" w:color="auto" w:fill="FFFFFF"/>
          </w:tcPr>
          <w:p w:rsidR="00B76F85" w:rsidRPr="00C17510" w:rsidRDefault="00B76F85" w:rsidP="00C17510">
            <w:pPr>
              <w:spacing w:before="0"/>
              <w:rPr>
                <w:sz w:val="18"/>
              </w:rPr>
            </w:pPr>
            <w:r w:rsidRPr="00C17510">
              <w:rPr>
                <w:sz w:val="18"/>
              </w:rPr>
              <w:t>Ph:21068 Mob:7523516</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Ulugia</w:t>
            </w:r>
            <w:proofErr w:type="spellEnd"/>
            <w:r w:rsidRPr="00C17510">
              <w:rPr>
                <w:sz w:val="18"/>
              </w:rPr>
              <w:t xml:space="preserve"> </w:t>
            </w:r>
            <w:proofErr w:type="spellStart"/>
            <w:r w:rsidRPr="00C17510">
              <w:rPr>
                <w:sz w:val="18"/>
              </w:rPr>
              <w:t>Niuia</w:t>
            </w:r>
            <w:proofErr w:type="spellEnd"/>
            <w:r w:rsidRPr="00C17510">
              <w:rPr>
                <w:sz w:val="18"/>
              </w:rPr>
              <w:t xml:space="preserve"> </w:t>
            </w:r>
            <w:proofErr w:type="spellStart"/>
            <w:r w:rsidRPr="00C17510">
              <w:rPr>
                <w:sz w:val="18"/>
              </w:rPr>
              <w:t>Aumua</w:t>
            </w:r>
            <w:proofErr w:type="spellEnd"/>
          </w:p>
        </w:tc>
        <w:tc>
          <w:tcPr>
            <w:tcW w:w="1984" w:type="dxa"/>
            <w:shd w:val="clear" w:color="auto" w:fill="FFFFFF"/>
          </w:tcPr>
          <w:p w:rsidR="00B76F85" w:rsidRPr="00C17510" w:rsidRDefault="00B76F85" w:rsidP="00C17510">
            <w:pPr>
              <w:spacing w:before="0"/>
              <w:rPr>
                <w:sz w:val="18"/>
              </w:rPr>
            </w:pPr>
            <w:r w:rsidRPr="00C17510">
              <w:rPr>
                <w:sz w:val="18"/>
              </w:rPr>
              <w:t>SPCS</w:t>
            </w:r>
          </w:p>
        </w:tc>
        <w:tc>
          <w:tcPr>
            <w:tcW w:w="2552" w:type="dxa"/>
            <w:shd w:val="clear" w:color="auto" w:fill="FFFFFF"/>
          </w:tcPr>
          <w:p w:rsidR="00B76F85" w:rsidRPr="00C17510" w:rsidRDefault="00B76F85" w:rsidP="00C17510">
            <w:pPr>
              <w:spacing w:before="0"/>
              <w:rPr>
                <w:sz w:val="18"/>
              </w:rPr>
            </w:pPr>
            <w:r w:rsidRPr="00C17510">
              <w:rPr>
                <w:sz w:val="18"/>
              </w:rPr>
              <w:t>Assistant Commissioner</w:t>
            </w:r>
          </w:p>
        </w:tc>
        <w:tc>
          <w:tcPr>
            <w:tcW w:w="1701" w:type="dxa"/>
            <w:shd w:val="clear" w:color="auto" w:fill="FFFFFF"/>
          </w:tcPr>
          <w:p w:rsidR="00B76F85" w:rsidRPr="00C17510" w:rsidRDefault="00B76F85" w:rsidP="00C17510">
            <w:pPr>
              <w:spacing w:before="0"/>
              <w:rPr>
                <w:sz w:val="18"/>
              </w:rPr>
            </w:pPr>
            <w:r w:rsidRPr="00C17510">
              <w:rPr>
                <w:sz w:val="18"/>
              </w:rPr>
              <w:t>naumua@spcs.gov.ws</w:t>
            </w:r>
          </w:p>
        </w:tc>
        <w:tc>
          <w:tcPr>
            <w:tcW w:w="1276" w:type="dxa"/>
            <w:shd w:val="clear" w:color="auto" w:fill="FFFFFF"/>
          </w:tcPr>
          <w:p w:rsidR="00B76F85" w:rsidRPr="00C17510" w:rsidRDefault="00B76F85" w:rsidP="00C17510">
            <w:pPr>
              <w:spacing w:before="0"/>
              <w:rPr>
                <w:sz w:val="18"/>
              </w:rPr>
            </w:pPr>
            <w:r w:rsidRPr="00C17510">
              <w:rPr>
                <w:sz w:val="18"/>
              </w:rPr>
              <w:t>Ph:21068</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Taufaiula</w:t>
            </w:r>
            <w:proofErr w:type="spellEnd"/>
            <w:r w:rsidRPr="00C17510">
              <w:rPr>
                <w:sz w:val="18"/>
              </w:rPr>
              <w:t xml:space="preserve"> </w:t>
            </w:r>
            <w:proofErr w:type="spellStart"/>
            <w:r w:rsidRPr="00C17510">
              <w:rPr>
                <w:sz w:val="18"/>
              </w:rPr>
              <w:t>Ropati</w:t>
            </w:r>
            <w:proofErr w:type="spellEnd"/>
            <w:r w:rsidRPr="00C17510">
              <w:rPr>
                <w:sz w:val="18"/>
              </w:rPr>
              <w:t xml:space="preserve"> </w:t>
            </w:r>
            <w:proofErr w:type="spellStart"/>
            <w:r w:rsidRPr="00C17510">
              <w:rPr>
                <w:sz w:val="18"/>
              </w:rPr>
              <w:t>Magasiva</w:t>
            </w:r>
            <w:proofErr w:type="spellEnd"/>
          </w:p>
        </w:tc>
        <w:tc>
          <w:tcPr>
            <w:tcW w:w="1984" w:type="dxa"/>
            <w:shd w:val="clear" w:color="auto" w:fill="FFFFFF"/>
          </w:tcPr>
          <w:p w:rsidR="00B76F85" w:rsidRPr="00C17510" w:rsidRDefault="00B76F85" w:rsidP="00C17510">
            <w:pPr>
              <w:spacing w:before="0"/>
              <w:rPr>
                <w:sz w:val="18"/>
              </w:rPr>
            </w:pPr>
            <w:r w:rsidRPr="00C17510">
              <w:rPr>
                <w:sz w:val="18"/>
              </w:rPr>
              <w:t>SPCS</w:t>
            </w:r>
          </w:p>
        </w:tc>
        <w:tc>
          <w:tcPr>
            <w:tcW w:w="2552" w:type="dxa"/>
            <w:shd w:val="clear" w:color="auto" w:fill="FFFFFF"/>
          </w:tcPr>
          <w:p w:rsidR="00B76F85" w:rsidRPr="00C17510" w:rsidRDefault="00B76F85" w:rsidP="00C17510">
            <w:pPr>
              <w:spacing w:before="0"/>
              <w:rPr>
                <w:sz w:val="18"/>
              </w:rPr>
            </w:pPr>
            <w:r w:rsidRPr="00C17510">
              <w:rPr>
                <w:sz w:val="18"/>
              </w:rPr>
              <w:t>Director, Corporate Services</w:t>
            </w:r>
          </w:p>
        </w:tc>
        <w:tc>
          <w:tcPr>
            <w:tcW w:w="1701" w:type="dxa"/>
            <w:shd w:val="clear" w:color="auto" w:fill="FFFFFF"/>
          </w:tcPr>
          <w:p w:rsidR="00B76F85" w:rsidRPr="00C17510" w:rsidRDefault="00B76F85" w:rsidP="00C17510">
            <w:pPr>
              <w:spacing w:before="0"/>
              <w:rPr>
                <w:sz w:val="18"/>
              </w:rPr>
            </w:pPr>
            <w:r w:rsidRPr="00C17510">
              <w:rPr>
                <w:sz w:val="18"/>
              </w:rPr>
              <w:t>rmagasiva@spcs.gov.ws</w:t>
            </w:r>
          </w:p>
        </w:tc>
        <w:tc>
          <w:tcPr>
            <w:tcW w:w="1276" w:type="dxa"/>
            <w:shd w:val="clear" w:color="auto" w:fill="FFFFFF"/>
          </w:tcPr>
          <w:p w:rsidR="00B76F85" w:rsidRPr="00C17510" w:rsidRDefault="00B76F85" w:rsidP="00C17510">
            <w:pPr>
              <w:spacing w:before="0"/>
              <w:rPr>
                <w:sz w:val="18"/>
              </w:rPr>
            </w:pPr>
            <w:r w:rsidRPr="00C17510">
              <w:rPr>
                <w:sz w:val="18"/>
              </w:rPr>
              <w:t>Mob:7591151</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Levao</w:t>
            </w:r>
            <w:proofErr w:type="spellEnd"/>
            <w:r w:rsidRPr="00C17510">
              <w:rPr>
                <w:sz w:val="18"/>
              </w:rPr>
              <w:t xml:space="preserve"> Rosa </w:t>
            </w:r>
            <w:proofErr w:type="spellStart"/>
            <w:r w:rsidRPr="00C17510">
              <w:rPr>
                <w:sz w:val="18"/>
              </w:rPr>
              <w:t>Siaosi</w:t>
            </w:r>
            <w:proofErr w:type="spellEnd"/>
          </w:p>
        </w:tc>
        <w:tc>
          <w:tcPr>
            <w:tcW w:w="1984" w:type="dxa"/>
            <w:shd w:val="clear" w:color="auto" w:fill="FFFFFF"/>
          </w:tcPr>
          <w:p w:rsidR="00B76F85" w:rsidRPr="00C17510" w:rsidRDefault="00B76F85" w:rsidP="00C17510">
            <w:pPr>
              <w:spacing w:before="0"/>
              <w:rPr>
                <w:sz w:val="18"/>
              </w:rPr>
            </w:pPr>
            <w:r w:rsidRPr="00C17510">
              <w:rPr>
                <w:sz w:val="18"/>
              </w:rPr>
              <w:t>SPCS</w:t>
            </w:r>
          </w:p>
        </w:tc>
        <w:tc>
          <w:tcPr>
            <w:tcW w:w="2552" w:type="dxa"/>
            <w:shd w:val="clear" w:color="auto" w:fill="FFFFFF"/>
          </w:tcPr>
          <w:p w:rsidR="00B76F85" w:rsidRPr="00C17510" w:rsidRDefault="00B76F85" w:rsidP="00C17510">
            <w:pPr>
              <w:spacing w:before="0"/>
              <w:rPr>
                <w:sz w:val="18"/>
              </w:rPr>
            </w:pPr>
            <w:r w:rsidRPr="00C17510">
              <w:rPr>
                <w:sz w:val="18"/>
              </w:rPr>
              <w:t>Director, Development Services</w:t>
            </w:r>
          </w:p>
        </w:tc>
        <w:tc>
          <w:tcPr>
            <w:tcW w:w="1701" w:type="dxa"/>
            <w:shd w:val="clear" w:color="auto" w:fill="FFFFFF"/>
          </w:tcPr>
          <w:p w:rsidR="00B76F85" w:rsidRPr="00C17510" w:rsidRDefault="00B76F85" w:rsidP="00C17510">
            <w:pPr>
              <w:spacing w:before="0"/>
              <w:rPr>
                <w:sz w:val="18"/>
              </w:rPr>
            </w:pPr>
            <w:r w:rsidRPr="00C17510">
              <w:rPr>
                <w:sz w:val="18"/>
              </w:rPr>
              <w:t>lsiaosi@spcs.gov.ws</w:t>
            </w:r>
          </w:p>
        </w:tc>
        <w:tc>
          <w:tcPr>
            <w:tcW w:w="1276" w:type="dxa"/>
            <w:shd w:val="clear" w:color="auto" w:fill="FFFFFF"/>
          </w:tcPr>
          <w:p w:rsidR="00B76F85" w:rsidRPr="00C17510" w:rsidRDefault="00B76F85" w:rsidP="00C17510">
            <w:pPr>
              <w:spacing w:before="0"/>
              <w:rPr>
                <w:sz w:val="18"/>
              </w:rPr>
            </w:pPr>
            <w:r w:rsidRPr="00C17510">
              <w:rPr>
                <w:sz w:val="18"/>
              </w:rPr>
              <w:t>Ph:23516</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 xml:space="preserve">Vernon </w:t>
            </w:r>
            <w:proofErr w:type="spellStart"/>
            <w:r w:rsidRPr="00C17510">
              <w:rPr>
                <w:sz w:val="18"/>
              </w:rPr>
              <w:t>Mckenzie</w:t>
            </w:r>
            <w:proofErr w:type="spellEnd"/>
            <w:r w:rsidRPr="00C17510">
              <w:rPr>
                <w:sz w:val="18"/>
              </w:rPr>
              <w:t xml:space="preserve"> </w:t>
            </w:r>
          </w:p>
        </w:tc>
        <w:tc>
          <w:tcPr>
            <w:tcW w:w="1984" w:type="dxa"/>
            <w:shd w:val="clear" w:color="auto" w:fill="FFFFFF"/>
          </w:tcPr>
          <w:p w:rsidR="00B76F85" w:rsidRPr="00C17510" w:rsidRDefault="00B76F85" w:rsidP="00C17510">
            <w:pPr>
              <w:spacing w:before="0"/>
              <w:rPr>
                <w:sz w:val="18"/>
              </w:rPr>
            </w:pPr>
            <w:r w:rsidRPr="00C17510">
              <w:rPr>
                <w:sz w:val="18"/>
              </w:rPr>
              <w:t>Samoa Returnees Charitable Trust (SRCT)</w:t>
            </w:r>
          </w:p>
        </w:tc>
        <w:tc>
          <w:tcPr>
            <w:tcW w:w="2552" w:type="dxa"/>
            <w:shd w:val="clear" w:color="auto" w:fill="FFFFFF"/>
          </w:tcPr>
          <w:p w:rsidR="00B76F85" w:rsidRPr="00C17510" w:rsidRDefault="00B76F85" w:rsidP="00C17510">
            <w:pPr>
              <w:spacing w:before="0"/>
              <w:rPr>
                <w:sz w:val="18"/>
              </w:rPr>
            </w:pPr>
            <w:r w:rsidRPr="00C17510">
              <w:rPr>
                <w:sz w:val="18"/>
              </w:rPr>
              <w:t>Executive Director</w:t>
            </w:r>
          </w:p>
        </w:tc>
        <w:tc>
          <w:tcPr>
            <w:tcW w:w="1701" w:type="dxa"/>
            <w:shd w:val="clear" w:color="auto" w:fill="FFFFFF"/>
          </w:tcPr>
          <w:p w:rsidR="00B76F85" w:rsidRPr="00C17510" w:rsidRDefault="00B76F85" w:rsidP="00C17510">
            <w:pPr>
              <w:spacing w:before="0"/>
              <w:rPr>
                <w:sz w:val="18"/>
              </w:rPr>
            </w:pPr>
            <w:r w:rsidRPr="00C17510">
              <w:rPr>
                <w:sz w:val="18"/>
              </w:rPr>
              <w:t>vernon@samoareturnees.com</w:t>
            </w:r>
          </w:p>
        </w:tc>
        <w:tc>
          <w:tcPr>
            <w:tcW w:w="1276" w:type="dxa"/>
            <w:shd w:val="clear" w:color="auto" w:fill="FFFFFF"/>
          </w:tcPr>
          <w:p w:rsidR="00B76F85" w:rsidRPr="00C17510" w:rsidRDefault="00B76F85" w:rsidP="00C17510">
            <w:pPr>
              <w:spacing w:before="0"/>
              <w:rPr>
                <w:sz w:val="18"/>
              </w:rPr>
            </w:pPr>
            <w:r w:rsidRPr="00C17510">
              <w:rPr>
                <w:sz w:val="18"/>
              </w:rPr>
              <w:t>Ph:27498</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Vaasilifiti</w:t>
            </w:r>
            <w:proofErr w:type="spellEnd"/>
            <w:r w:rsidRPr="00C17510">
              <w:rPr>
                <w:sz w:val="18"/>
              </w:rPr>
              <w:t xml:space="preserve"> </w:t>
            </w:r>
            <w:proofErr w:type="spellStart"/>
            <w:r w:rsidRPr="00C17510">
              <w:rPr>
                <w:sz w:val="18"/>
              </w:rPr>
              <w:t>Moelagi</w:t>
            </w:r>
            <w:proofErr w:type="spellEnd"/>
            <w:r w:rsidRPr="00C17510">
              <w:rPr>
                <w:sz w:val="18"/>
              </w:rPr>
              <w:t xml:space="preserve"> Jackson</w:t>
            </w:r>
          </w:p>
        </w:tc>
        <w:tc>
          <w:tcPr>
            <w:tcW w:w="1984" w:type="dxa"/>
            <w:shd w:val="clear" w:color="auto" w:fill="FFFFFF"/>
          </w:tcPr>
          <w:p w:rsidR="00B76F85" w:rsidRPr="00C17510" w:rsidRDefault="00B76F85" w:rsidP="00C17510">
            <w:pPr>
              <w:spacing w:before="0"/>
              <w:rPr>
                <w:sz w:val="18"/>
              </w:rPr>
            </w:pPr>
            <w:r w:rsidRPr="00C17510">
              <w:rPr>
                <w:sz w:val="18"/>
              </w:rPr>
              <w:t>Samoa Umbrella Non-Government Organisation (SUNGO)</w:t>
            </w:r>
          </w:p>
        </w:tc>
        <w:tc>
          <w:tcPr>
            <w:tcW w:w="2552" w:type="dxa"/>
            <w:shd w:val="clear" w:color="auto" w:fill="FFFFFF"/>
          </w:tcPr>
          <w:p w:rsidR="00B76F85" w:rsidRPr="00C17510" w:rsidRDefault="00B76F85" w:rsidP="00C17510">
            <w:pPr>
              <w:spacing w:before="0"/>
              <w:rPr>
                <w:sz w:val="18"/>
              </w:rPr>
            </w:pPr>
            <w:r w:rsidRPr="00C17510">
              <w:rPr>
                <w:sz w:val="18"/>
              </w:rPr>
              <w:t>Interim President</w:t>
            </w:r>
          </w:p>
        </w:tc>
        <w:tc>
          <w:tcPr>
            <w:tcW w:w="1701" w:type="dxa"/>
            <w:shd w:val="clear" w:color="auto" w:fill="FFFFFF"/>
          </w:tcPr>
          <w:p w:rsidR="00B76F85" w:rsidRPr="00C17510" w:rsidRDefault="00B76F85" w:rsidP="00C17510">
            <w:pPr>
              <w:spacing w:before="0"/>
              <w:rPr>
                <w:sz w:val="18"/>
              </w:rPr>
            </w:pPr>
            <w:r w:rsidRPr="00C17510">
              <w:rPr>
                <w:sz w:val="18"/>
              </w:rPr>
              <w:t>vaasilimj@gmail.com</w:t>
            </w:r>
          </w:p>
        </w:tc>
        <w:tc>
          <w:tcPr>
            <w:tcW w:w="1276" w:type="dxa"/>
            <w:shd w:val="clear" w:color="auto" w:fill="FFFFFF"/>
          </w:tcPr>
          <w:p w:rsidR="00B76F85" w:rsidRPr="00C17510" w:rsidRDefault="00B76F85" w:rsidP="00C17510">
            <w:pPr>
              <w:spacing w:before="0"/>
              <w:rPr>
                <w:sz w:val="18"/>
              </w:rPr>
            </w:pPr>
            <w:r w:rsidRPr="00C17510">
              <w:rPr>
                <w:sz w:val="18"/>
              </w:rPr>
              <w:t>Mob:7618781; Mob:7790956</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 xml:space="preserve">Pepe </w:t>
            </w:r>
            <w:proofErr w:type="spellStart"/>
            <w:r w:rsidRPr="00C17510">
              <w:rPr>
                <w:sz w:val="18"/>
              </w:rPr>
              <w:t>Tevaga</w:t>
            </w:r>
            <w:proofErr w:type="spellEnd"/>
            <w:r w:rsidRPr="00C17510">
              <w:rPr>
                <w:sz w:val="18"/>
              </w:rPr>
              <w:t xml:space="preserve"> </w:t>
            </w:r>
          </w:p>
        </w:tc>
        <w:tc>
          <w:tcPr>
            <w:tcW w:w="1984" w:type="dxa"/>
            <w:shd w:val="clear" w:color="auto" w:fill="FFFFFF"/>
          </w:tcPr>
          <w:p w:rsidR="00B76F85" w:rsidRPr="00C17510" w:rsidRDefault="00B76F85" w:rsidP="00C17510">
            <w:pPr>
              <w:spacing w:before="0"/>
              <w:rPr>
                <w:sz w:val="18"/>
              </w:rPr>
            </w:pPr>
            <w:r w:rsidRPr="00C17510">
              <w:rPr>
                <w:sz w:val="18"/>
              </w:rPr>
              <w:t>Samoa Victim Support Group (SVSG)</w:t>
            </w:r>
          </w:p>
        </w:tc>
        <w:tc>
          <w:tcPr>
            <w:tcW w:w="2552" w:type="dxa"/>
            <w:shd w:val="clear" w:color="auto" w:fill="FFFFFF"/>
          </w:tcPr>
          <w:p w:rsidR="00B76F85" w:rsidRPr="00C17510" w:rsidRDefault="00B76F85" w:rsidP="00C17510">
            <w:pPr>
              <w:spacing w:before="0"/>
              <w:rPr>
                <w:sz w:val="18"/>
              </w:rPr>
            </w:pPr>
            <w:r w:rsidRPr="00C17510">
              <w:rPr>
                <w:sz w:val="18"/>
              </w:rPr>
              <w:t>Communication Officer</w:t>
            </w:r>
          </w:p>
        </w:tc>
        <w:tc>
          <w:tcPr>
            <w:tcW w:w="1701" w:type="dxa"/>
            <w:shd w:val="clear" w:color="auto" w:fill="FFFFFF"/>
          </w:tcPr>
          <w:p w:rsidR="00B76F85" w:rsidRPr="00C17510" w:rsidRDefault="00B76F85" w:rsidP="00C17510">
            <w:pPr>
              <w:spacing w:before="0"/>
              <w:rPr>
                <w:sz w:val="18"/>
              </w:rPr>
            </w:pPr>
            <w:r w:rsidRPr="00C17510">
              <w:rPr>
                <w:sz w:val="18"/>
              </w:rPr>
              <w:t>svsginsamoa@gmail.com</w:t>
            </w:r>
          </w:p>
        </w:tc>
        <w:tc>
          <w:tcPr>
            <w:tcW w:w="1276" w:type="dxa"/>
            <w:shd w:val="clear" w:color="auto" w:fill="FFFFFF"/>
          </w:tcPr>
          <w:p w:rsidR="00B76F85" w:rsidRPr="00C17510" w:rsidRDefault="00B76F85" w:rsidP="00C17510">
            <w:pPr>
              <w:spacing w:before="0"/>
              <w:rPr>
                <w:sz w:val="18"/>
              </w:rPr>
            </w:pPr>
            <w:r w:rsidRPr="00C17510">
              <w:rPr>
                <w:sz w:val="18"/>
              </w:rPr>
              <w:t>Ph:25392</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 xml:space="preserve">Sam </w:t>
            </w:r>
            <w:proofErr w:type="spellStart"/>
            <w:r w:rsidRPr="00C17510">
              <w:rPr>
                <w:sz w:val="18"/>
              </w:rPr>
              <w:t>Fruean</w:t>
            </w:r>
            <w:proofErr w:type="spellEnd"/>
          </w:p>
        </w:tc>
        <w:tc>
          <w:tcPr>
            <w:tcW w:w="1984" w:type="dxa"/>
            <w:shd w:val="clear" w:color="auto" w:fill="FFFFFF"/>
          </w:tcPr>
          <w:p w:rsidR="00B76F85" w:rsidRPr="00C17510" w:rsidRDefault="00B76F85" w:rsidP="00C17510">
            <w:pPr>
              <w:spacing w:before="0"/>
              <w:rPr>
                <w:sz w:val="18"/>
              </w:rPr>
            </w:pPr>
            <w:r w:rsidRPr="00C17510">
              <w:rPr>
                <w:sz w:val="18"/>
              </w:rPr>
              <w:t xml:space="preserve">SVSG </w:t>
            </w:r>
          </w:p>
        </w:tc>
        <w:tc>
          <w:tcPr>
            <w:tcW w:w="2552" w:type="dxa"/>
            <w:shd w:val="clear" w:color="auto" w:fill="FFFFFF"/>
          </w:tcPr>
          <w:p w:rsidR="00B76F85" w:rsidRPr="00C17510" w:rsidRDefault="00B76F85" w:rsidP="00C17510">
            <w:pPr>
              <w:spacing w:before="0"/>
              <w:rPr>
                <w:sz w:val="18"/>
              </w:rPr>
            </w:pPr>
            <w:r w:rsidRPr="00C17510">
              <w:rPr>
                <w:sz w:val="18"/>
              </w:rPr>
              <w:t xml:space="preserve">Office Coordinator </w:t>
            </w:r>
          </w:p>
        </w:tc>
        <w:tc>
          <w:tcPr>
            <w:tcW w:w="1701" w:type="dxa"/>
            <w:shd w:val="clear" w:color="auto" w:fill="FFFFFF"/>
          </w:tcPr>
          <w:p w:rsidR="00B76F85" w:rsidRPr="00C17510" w:rsidRDefault="00B76F85" w:rsidP="00C17510">
            <w:pPr>
              <w:spacing w:before="0"/>
              <w:rPr>
                <w:sz w:val="18"/>
              </w:rPr>
            </w:pPr>
            <w:r w:rsidRPr="00C17510">
              <w:rPr>
                <w:sz w:val="18"/>
              </w:rPr>
              <w:t>svsginsamoa@gmail.com</w:t>
            </w:r>
          </w:p>
        </w:tc>
        <w:tc>
          <w:tcPr>
            <w:tcW w:w="1276" w:type="dxa"/>
            <w:shd w:val="clear" w:color="auto" w:fill="FFFFFF"/>
          </w:tcPr>
          <w:p w:rsidR="00B76F85" w:rsidRPr="00C17510" w:rsidRDefault="00B76F85" w:rsidP="00C17510">
            <w:pPr>
              <w:spacing w:before="0"/>
              <w:rPr>
                <w:sz w:val="18"/>
              </w:rPr>
            </w:pPr>
            <w:r w:rsidRPr="00C17510">
              <w:rPr>
                <w:sz w:val="18"/>
              </w:rPr>
              <w:t>Ph:25392</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r w:rsidRPr="00C17510">
              <w:rPr>
                <w:sz w:val="18"/>
              </w:rPr>
              <w:t>Frances Soon Schuster</w:t>
            </w:r>
          </w:p>
        </w:tc>
        <w:tc>
          <w:tcPr>
            <w:tcW w:w="1984" w:type="dxa"/>
            <w:shd w:val="clear" w:color="auto" w:fill="FFFFFF"/>
          </w:tcPr>
          <w:p w:rsidR="00B76F85" w:rsidRPr="00C17510" w:rsidRDefault="00B76F85" w:rsidP="00C17510">
            <w:pPr>
              <w:spacing w:before="0"/>
              <w:rPr>
                <w:sz w:val="18"/>
              </w:rPr>
            </w:pPr>
            <w:r w:rsidRPr="00C17510">
              <w:rPr>
                <w:sz w:val="18"/>
              </w:rPr>
              <w:t>Scope Global</w:t>
            </w:r>
          </w:p>
        </w:tc>
        <w:tc>
          <w:tcPr>
            <w:tcW w:w="2552" w:type="dxa"/>
            <w:shd w:val="clear" w:color="auto" w:fill="FFFFFF"/>
          </w:tcPr>
          <w:p w:rsidR="00B76F85" w:rsidRPr="00C17510" w:rsidRDefault="00B76F85" w:rsidP="00C17510">
            <w:pPr>
              <w:spacing w:before="0"/>
              <w:rPr>
                <w:sz w:val="18"/>
              </w:rPr>
            </w:pPr>
            <w:r w:rsidRPr="00C17510">
              <w:rPr>
                <w:sz w:val="18"/>
              </w:rPr>
              <w:t>In Country Manager</w:t>
            </w:r>
          </w:p>
        </w:tc>
        <w:tc>
          <w:tcPr>
            <w:tcW w:w="1701" w:type="dxa"/>
            <w:shd w:val="clear" w:color="auto" w:fill="FFFFFF"/>
          </w:tcPr>
          <w:p w:rsidR="00B76F85" w:rsidRPr="00C17510" w:rsidRDefault="00B76F85" w:rsidP="00C17510">
            <w:pPr>
              <w:spacing w:before="0"/>
              <w:rPr>
                <w:sz w:val="18"/>
              </w:rPr>
            </w:pPr>
            <w:r w:rsidRPr="00C17510">
              <w:rPr>
                <w:sz w:val="18"/>
              </w:rPr>
              <w:t>Frances.soon-schuster@scopeglobal.com</w:t>
            </w:r>
          </w:p>
        </w:tc>
        <w:tc>
          <w:tcPr>
            <w:tcW w:w="1276" w:type="dxa"/>
            <w:shd w:val="clear" w:color="auto" w:fill="FFFFFF"/>
          </w:tcPr>
          <w:p w:rsidR="00B76F85" w:rsidRPr="00C17510" w:rsidRDefault="00B76F85" w:rsidP="00C17510">
            <w:pPr>
              <w:spacing w:before="0"/>
              <w:rPr>
                <w:sz w:val="18"/>
              </w:rPr>
            </w:pPr>
            <w:r w:rsidRPr="00C17510">
              <w:rPr>
                <w:sz w:val="18"/>
              </w:rPr>
              <w:t>Ph:27561 Mob:7718806</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Leaupepe</w:t>
            </w:r>
            <w:proofErr w:type="spellEnd"/>
            <w:r w:rsidRPr="00C17510">
              <w:rPr>
                <w:sz w:val="18"/>
              </w:rPr>
              <w:t xml:space="preserve"> </w:t>
            </w:r>
            <w:proofErr w:type="spellStart"/>
            <w:r w:rsidRPr="00C17510">
              <w:rPr>
                <w:sz w:val="18"/>
              </w:rPr>
              <w:t>Esera</w:t>
            </w:r>
            <w:proofErr w:type="spellEnd"/>
            <w:r w:rsidRPr="00C17510">
              <w:rPr>
                <w:sz w:val="18"/>
              </w:rPr>
              <w:t xml:space="preserve"> </w:t>
            </w:r>
            <w:proofErr w:type="spellStart"/>
            <w:r w:rsidRPr="00C17510">
              <w:rPr>
                <w:sz w:val="18"/>
              </w:rPr>
              <w:t>Poliko</w:t>
            </w:r>
            <w:proofErr w:type="spellEnd"/>
            <w:r w:rsidRPr="00C17510">
              <w:rPr>
                <w:sz w:val="18"/>
              </w:rPr>
              <w:t xml:space="preserve"> </w:t>
            </w:r>
          </w:p>
        </w:tc>
        <w:tc>
          <w:tcPr>
            <w:tcW w:w="1984" w:type="dxa"/>
            <w:shd w:val="clear" w:color="auto" w:fill="FFFFFF"/>
          </w:tcPr>
          <w:p w:rsidR="00B76F85" w:rsidRPr="00C17510" w:rsidRDefault="00B76F85" w:rsidP="00C17510">
            <w:pPr>
              <w:spacing w:before="0"/>
              <w:rPr>
                <w:sz w:val="18"/>
              </w:rPr>
            </w:pPr>
            <w:r w:rsidRPr="00C17510">
              <w:rPr>
                <w:sz w:val="18"/>
              </w:rPr>
              <w:t>Small Business Enterprise Centre (SBEC)</w:t>
            </w:r>
          </w:p>
        </w:tc>
        <w:tc>
          <w:tcPr>
            <w:tcW w:w="2552" w:type="dxa"/>
            <w:shd w:val="clear" w:color="auto" w:fill="FFFFFF"/>
          </w:tcPr>
          <w:p w:rsidR="00B76F85" w:rsidRPr="00C17510" w:rsidRDefault="00B76F85" w:rsidP="00C17510">
            <w:pPr>
              <w:spacing w:before="0"/>
              <w:rPr>
                <w:sz w:val="18"/>
              </w:rPr>
            </w:pPr>
            <w:r w:rsidRPr="00C17510">
              <w:rPr>
                <w:sz w:val="18"/>
              </w:rPr>
              <w:t>SBLGS Manager</w:t>
            </w:r>
          </w:p>
        </w:tc>
        <w:tc>
          <w:tcPr>
            <w:tcW w:w="1701" w:type="dxa"/>
            <w:shd w:val="clear" w:color="auto" w:fill="FFFFFF"/>
          </w:tcPr>
          <w:p w:rsidR="00B76F85" w:rsidRPr="00C17510" w:rsidRDefault="00B76F85" w:rsidP="00C17510">
            <w:pPr>
              <w:spacing w:before="0"/>
              <w:rPr>
                <w:sz w:val="18"/>
              </w:rPr>
            </w:pPr>
          </w:p>
        </w:tc>
        <w:tc>
          <w:tcPr>
            <w:tcW w:w="1276" w:type="dxa"/>
            <w:shd w:val="clear" w:color="auto" w:fill="FFFFFF"/>
          </w:tcPr>
          <w:p w:rsidR="00B76F85" w:rsidRPr="00C17510" w:rsidRDefault="00B76F85" w:rsidP="00C17510">
            <w:pPr>
              <w:spacing w:before="0"/>
              <w:rPr>
                <w:sz w:val="18"/>
              </w:rPr>
            </w:pPr>
            <w:r w:rsidRPr="00C17510">
              <w:rPr>
                <w:sz w:val="18"/>
              </w:rPr>
              <w:t>Ph:22770</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Faafetai</w:t>
            </w:r>
            <w:proofErr w:type="spellEnd"/>
            <w:r w:rsidRPr="00C17510">
              <w:rPr>
                <w:sz w:val="18"/>
              </w:rPr>
              <w:t xml:space="preserve"> </w:t>
            </w:r>
            <w:proofErr w:type="spellStart"/>
            <w:r w:rsidRPr="00C17510">
              <w:rPr>
                <w:sz w:val="18"/>
              </w:rPr>
              <w:t>Alisi</w:t>
            </w:r>
            <w:proofErr w:type="spellEnd"/>
            <w:r w:rsidRPr="00C17510">
              <w:rPr>
                <w:sz w:val="18"/>
              </w:rPr>
              <w:t xml:space="preserve">, </w:t>
            </w:r>
          </w:p>
        </w:tc>
        <w:tc>
          <w:tcPr>
            <w:tcW w:w="1984" w:type="dxa"/>
            <w:shd w:val="clear" w:color="auto" w:fill="FFFFFF"/>
          </w:tcPr>
          <w:p w:rsidR="00B76F85" w:rsidRPr="00C17510" w:rsidRDefault="00B76F85" w:rsidP="00C17510">
            <w:pPr>
              <w:spacing w:before="0"/>
              <w:rPr>
                <w:sz w:val="18"/>
              </w:rPr>
            </w:pPr>
            <w:r w:rsidRPr="00C17510">
              <w:rPr>
                <w:sz w:val="18"/>
              </w:rPr>
              <w:t>SUNGO</w:t>
            </w:r>
          </w:p>
        </w:tc>
        <w:tc>
          <w:tcPr>
            <w:tcW w:w="2552" w:type="dxa"/>
            <w:shd w:val="clear" w:color="auto" w:fill="FFFFFF"/>
          </w:tcPr>
          <w:p w:rsidR="00B76F85" w:rsidRPr="00C17510" w:rsidRDefault="00B76F85" w:rsidP="00C17510">
            <w:pPr>
              <w:spacing w:before="0"/>
              <w:rPr>
                <w:sz w:val="18"/>
              </w:rPr>
            </w:pPr>
            <w:r w:rsidRPr="00C17510">
              <w:rPr>
                <w:sz w:val="18"/>
              </w:rPr>
              <w:t>Chief Executive Officer</w:t>
            </w:r>
          </w:p>
        </w:tc>
        <w:tc>
          <w:tcPr>
            <w:tcW w:w="1701" w:type="dxa"/>
            <w:shd w:val="clear" w:color="auto" w:fill="FFFFFF"/>
          </w:tcPr>
          <w:p w:rsidR="00B76F85" w:rsidRPr="00C17510" w:rsidRDefault="00B76F85" w:rsidP="00C17510">
            <w:pPr>
              <w:spacing w:before="0"/>
              <w:rPr>
                <w:sz w:val="18"/>
              </w:rPr>
            </w:pPr>
            <w:r w:rsidRPr="00C17510">
              <w:rPr>
                <w:sz w:val="18"/>
              </w:rPr>
              <w:t>ceo@sungo.ws</w:t>
            </w:r>
          </w:p>
        </w:tc>
        <w:tc>
          <w:tcPr>
            <w:tcW w:w="1276" w:type="dxa"/>
            <w:shd w:val="clear" w:color="auto" w:fill="FFFFFF"/>
          </w:tcPr>
          <w:p w:rsidR="00B76F85" w:rsidRPr="00C17510" w:rsidRDefault="00B76F85" w:rsidP="00C17510">
            <w:pPr>
              <w:spacing w:before="0"/>
              <w:rPr>
                <w:sz w:val="18"/>
              </w:rPr>
            </w:pPr>
            <w:r w:rsidRPr="00C17510">
              <w:rPr>
                <w:sz w:val="18"/>
              </w:rPr>
              <w:t>Ph:24322</w:t>
            </w:r>
          </w:p>
        </w:tc>
      </w:tr>
      <w:tr w:rsidR="00B76F85" w:rsidRPr="00F5377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Apulu</w:t>
            </w:r>
            <w:proofErr w:type="spellEnd"/>
            <w:r w:rsidRPr="00C17510">
              <w:rPr>
                <w:sz w:val="18"/>
              </w:rPr>
              <w:t xml:space="preserve"> Lance </w:t>
            </w:r>
            <w:proofErr w:type="spellStart"/>
            <w:r w:rsidRPr="00C17510">
              <w:rPr>
                <w:sz w:val="18"/>
              </w:rPr>
              <w:t>Polu</w:t>
            </w:r>
            <w:proofErr w:type="spellEnd"/>
          </w:p>
        </w:tc>
        <w:tc>
          <w:tcPr>
            <w:tcW w:w="1984" w:type="dxa"/>
            <w:shd w:val="clear" w:color="auto" w:fill="FFFFFF"/>
          </w:tcPr>
          <w:p w:rsidR="00B76F85" w:rsidRPr="00C17510" w:rsidRDefault="00B76F85" w:rsidP="00C17510">
            <w:pPr>
              <w:spacing w:before="0"/>
              <w:rPr>
                <w:sz w:val="18"/>
              </w:rPr>
            </w:pPr>
            <w:proofErr w:type="spellStart"/>
            <w:r w:rsidRPr="00C17510">
              <w:rPr>
                <w:sz w:val="18"/>
              </w:rPr>
              <w:t>Talamua</w:t>
            </w:r>
            <w:proofErr w:type="spellEnd"/>
            <w:r w:rsidRPr="00C17510">
              <w:rPr>
                <w:sz w:val="18"/>
              </w:rPr>
              <w:t xml:space="preserve"> Media</w:t>
            </w:r>
          </w:p>
        </w:tc>
        <w:tc>
          <w:tcPr>
            <w:tcW w:w="2552" w:type="dxa"/>
            <w:shd w:val="clear" w:color="auto" w:fill="FFFFFF"/>
          </w:tcPr>
          <w:p w:rsidR="00B76F85" w:rsidRPr="00C17510" w:rsidRDefault="00B76F85" w:rsidP="00C17510">
            <w:pPr>
              <w:spacing w:before="0"/>
              <w:rPr>
                <w:sz w:val="18"/>
              </w:rPr>
            </w:pPr>
            <w:r w:rsidRPr="00C17510">
              <w:rPr>
                <w:sz w:val="18"/>
              </w:rPr>
              <w:t>Editor</w:t>
            </w:r>
          </w:p>
        </w:tc>
        <w:tc>
          <w:tcPr>
            <w:tcW w:w="1701" w:type="dxa"/>
            <w:shd w:val="clear" w:color="auto" w:fill="FFFFFF"/>
          </w:tcPr>
          <w:p w:rsidR="00B76F85" w:rsidRPr="00C17510" w:rsidRDefault="00B76F85" w:rsidP="00C17510">
            <w:pPr>
              <w:spacing w:before="0"/>
              <w:rPr>
                <w:sz w:val="18"/>
              </w:rPr>
            </w:pPr>
            <w:r w:rsidRPr="00C17510">
              <w:rPr>
                <w:sz w:val="18"/>
              </w:rPr>
              <w:t>talamuaeditor@gmail.com</w:t>
            </w:r>
          </w:p>
        </w:tc>
        <w:tc>
          <w:tcPr>
            <w:tcW w:w="1276" w:type="dxa"/>
            <w:shd w:val="clear" w:color="auto" w:fill="FFFFFF"/>
          </w:tcPr>
          <w:p w:rsidR="00B76F85" w:rsidRPr="00C17510" w:rsidRDefault="00B76F85" w:rsidP="00C17510">
            <w:pPr>
              <w:spacing w:before="0"/>
              <w:rPr>
                <w:sz w:val="18"/>
              </w:rPr>
            </w:pPr>
            <w:proofErr w:type="spellStart"/>
            <w:r w:rsidRPr="00C17510">
              <w:rPr>
                <w:sz w:val="18"/>
              </w:rPr>
              <w:t>Ph</w:t>
            </w:r>
            <w:proofErr w:type="spellEnd"/>
            <w:r w:rsidRPr="00C17510">
              <w:rPr>
                <w:sz w:val="18"/>
              </w:rPr>
              <w:t>: 23827 Mob:7775356</w:t>
            </w:r>
          </w:p>
        </w:tc>
      </w:tr>
      <w:tr w:rsidR="00B76F85" w:rsidTr="00C17510">
        <w:trPr>
          <w:jc w:val="center"/>
        </w:trPr>
        <w:tc>
          <w:tcPr>
            <w:tcW w:w="1418" w:type="dxa"/>
            <w:shd w:val="clear" w:color="auto" w:fill="FFFFFF"/>
          </w:tcPr>
          <w:p w:rsidR="00B76F85" w:rsidRPr="00C17510" w:rsidRDefault="00B76F85" w:rsidP="00C17510">
            <w:pPr>
              <w:spacing w:before="0"/>
              <w:rPr>
                <w:sz w:val="18"/>
              </w:rPr>
            </w:pPr>
            <w:proofErr w:type="spellStart"/>
            <w:r w:rsidRPr="00C17510">
              <w:rPr>
                <w:sz w:val="18"/>
              </w:rPr>
              <w:t>Lolani</w:t>
            </w:r>
            <w:proofErr w:type="spellEnd"/>
            <w:r w:rsidRPr="00C17510">
              <w:rPr>
                <w:sz w:val="18"/>
              </w:rPr>
              <w:t xml:space="preserve"> </w:t>
            </w:r>
            <w:proofErr w:type="spellStart"/>
            <w:r w:rsidRPr="00C17510">
              <w:rPr>
                <w:sz w:val="18"/>
              </w:rPr>
              <w:t>Pito</w:t>
            </w:r>
            <w:proofErr w:type="spellEnd"/>
          </w:p>
        </w:tc>
        <w:tc>
          <w:tcPr>
            <w:tcW w:w="1984" w:type="dxa"/>
            <w:shd w:val="clear" w:color="auto" w:fill="FFFFFF"/>
          </w:tcPr>
          <w:p w:rsidR="00B76F85" w:rsidRPr="00C17510" w:rsidRDefault="00B76F85" w:rsidP="00C17510">
            <w:pPr>
              <w:spacing w:before="0"/>
              <w:rPr>
                <w:sz w:val="18"/>
              </w:rPr>
            </w:pPr>
            <w:r w:rsidRPr="00C17510">
              <w:rPr>
                <w:sz w:val="18"/>
              </w:rPr>
              <w:t>TL Films</w:t>
            </w:r>
          </w:p>
        </w:tc>
        <w:tc>
          <w:tcPr>
            <w:tcW w:w="2552" w:type="dxa"/>
            <w:shd w:val="clear" w:color="auto" w:fill="FFFFFF"/>
          </w:tcPr>
          <w:p w:rsidR="00B76F85" w:rsidRPr="00C17510" w:rsidRDefault="00B76F85" w:rsidP="00C17510">
            <w:pPr>
              <w:spacing w:before="0"/>
              <w:rPr>
                <w:sz w:val="18"/>
              </w:rPr>
            </w:pPr>
            <w:r w:rsidRPr="00C17510">
              <w:rPr>
                <w:sz w:val="18"/>
              </w:rPr>
              <w:t>Director</w:t>
            </w:r>
          </w:p>
        </w:tc>
        <w:tc>
          <w:tcPr>
            <w:tcW w:w="1701" w:type="dxa"/>
            <w:shd w:val="clear" w:color="auto" w:fill="FFFFFF"/>
          </w:tcPr>
          <w:p w:rsidR="00B76F85" w:rsidRPr="00C17510" w:rsidRDefault="00B76F85" w:rsidP="00C17510">
            <w:pPr>
              <w:spacing w:before="0"/>
              <w:rPr>
                <w:sz w:val="18"/>
              </w:rPr>
            </w:pPr>
            <w:r w:rsidRPr="00C17510">
              <w:rPr>
                <w:sz w:val="18"/>
              </w:rPr>
              <w:t>lolanipito@gmail.com</w:t>
            </w:r>
          </w:p>
        </w:tc>
        <w:tc>
          <w:tcPr>
            <w:tcW w:w="1276" w:type="dxa"/>
            <w:shd w:val="clear" w:color="auto" w:fill="FFFFFF"/>
          </w:tcPr>
          <w:p w:rsidR="00B76F85" w:rsidRPr="00C17510" w:rsidRDefault="00B76F85" w:rsidP="00C17510">
            <w:pPr>
              <w:spacing w:before="0"/>
              <w:rPr>
                <w:sz w:val="18"/>
              </w:rPr>
            </w:pPr>
            <w:r w:rsidRPr="00C17510">
              <w:rPr>
                <w:sz w:val="18"/>
              </w:rPr>
              <w:t>Mob:7570144</w:t>
            </w:r>
          </w:p>
        </w:tc>
      </w:tr>
    </w:tbl>
    <w:p w:rsidR="00B21B73" w:rsidRDefault="00B21B73" w:rsidP="0024517A"/>
    <w:p w:rsidR="002D5EAA" w:rsidRPr="00786852" w:rsidRDefault="002D5EAA" w:rsidP="00786852">
      <w:pPr>
        <w:pStyle w:val="AppendixHeading1"/>
      </w:pPr>
      <w:bookmarkStart w:id="79" w:name="_Toc431828804"/>
      <w:r w:rsidRPr="00786852">
        <w:lastRenderedPageBreak/>
        <w:t>Relevance</w:t>
      </w:r>
      <w:bookmarkEnd w:id="79"/>
      <w:r w:rsidRPr="00786852">
        <w:t xml:space="preserve"> </w:t>
      </w:r>
    </w:p>
    <w:p w:rsidR="002D5EAA" w:rsidRDefault="002D5EAA" w:rsidP="002D5EAA">
      <w:r>
        <w:t>This section specifically considers whether support provided aligned with the Sector Strategic Plan and whether Australia was the appropriate partner to support SLJS.</w:t>
      </w:r>
    </w:p>
    <w:p w:rsidR="002D5EAA" w:rsidRDefault="002D5EAA" w:rsidP="00786852">
      <w:pPr>
        <w:pStyle w:val="Heading2"/>
        <w:numPr>
          <w:ilvl w:val="0"/>
          <w:numId w:val="0"/>
        </w:numPr>
      </w:pPr>
      <w:bookmarkStart w:id="80" w:name="_Toc431828805"/>
      <w:r>
        <w:t>Alignment with Sector Strategic Plan</w:t>
      </w:r>
      <w:bookmarkEnd w:id="80"/>
    </w:p>
    <w:p w:rsidR="002D5EAA" w:rsidRDefault="002D5EAA" w:rsidP="002D5EAA">
      <w:r>
        <w:t>Support provided was aligned with the SLJS Strategic Plan. At the highest level, Australia provided support to the sector as a whole rather than to specific agencies within the sector. This approach was relevant in Samoa’s context given that a</w:t>
      </w:r>
      <w:r w:rsidRPr="003A37D5">
        <w:t xml:space="preserve">ll </w:t>
      </w:r>
      <w:r>
        <w:t>sector agencies</w:t>
      </w:r>
      <w:r w:rsidRPr="003A37D5">
        <w:t xml:space="preserve"> and stakeholders </w:t>
      </w:r>
      <w:r>
        <w:t xml:space="preserve">interviewed </w:t>
      </w:r>
      <w:r w:rsidRPr="003A37D5">
        <w:t xml:space="preserve">agreed that </w:t>
      </w:r>
      <w:r>
        <w:t>law and justice challenges</w:t>
      </w:r>
      <w:r w:rsidRPr="003A37D5">
        <w:t xml:space="preserve"> in Samoa </w:t>
      </w:r>
      <w:r>
        <w:t xml:space="preserve">require the coordinated attention of multiple agencies within the SLJS. There was universal agreement that these challenges </w:t>
      </w:r>
      <w:r w:rsidR="00710727">
        <w:t>cannot</w:t>
      </w:r>
      <w:r>
        <w:t xml:space="preserve"> be successfully addressed by a single agency. Thus, providing support to the sector rather than an individual agency was appropriate. </w:t>
      </w:r>
    </w:p>
    <w:p w:rsidR="002D5EAA" w:rsidRDefault="002D5EAA" w:rsidP="002D5EAA">
      <w:r>
        <w:t xml:space="preserve">Within this, expenditure was aligned with the SLJS Strategic Plan. However, as discussed in Appendix G, the breadth of the Strategic Plan meant that most activities within the sector would be captured by the Strategic Plan. </w:t>
      </w:r>
    </w:p>
    <w:p w:rsidR="002D5EAA" w:rsidRDefault="002D5EAA" w:rsidP="00786852">
      <w:pPr>
        <w:pStyle w:val="Heading2"/>
        <w:numPr>
          <w:ilvl w:val="0"/>
          <w:numId w:val="0"/>
        </w:numPr>
      </w:pPr>
      <w:bookmarkStart w:id="81" w:name="_Toc431828806"/>
      <w:r>
        <w:t>Support from Australia</w:t>
      </w:r>
      <w:bookmarkEnd w:id="81"/>
    </w:p>
    <w:p w:rsidR="002D5EAA" w:rsidRDefault="002D5EAA" w:rsidP="002D5EAA">
      <w:r>
        <w:t>Both Australia and Samoa have adopted a Westminster legal system and both have similar legislation. Because both legal systems have the same foundation, all sector agencies considered Australian support was relevant. In addition, sector agencies considered Australian support relevant in areas new to them, such as disability</w:t>
      </w:r>
      <w:r>
        <w:rPr>
          <w:rStyle w:val="EndnoteReference"/>
        </w:rPr>
        <w:endnoteReference w:id="52"/>
      </w:r>
      <w:r>
        <w:t>. In both cases, sector agencies recognised that because of the local context, approaches from any other system would need to be adapted before applying to Samoa. Those interviewed indicated that most technical assistance adapted the advice provided to suit local conditions</w:t>
      </w:r>
      <w:r>
        <w:rPr>
          <w:rStyle w:val="EndnoteReference"/>
        </w:rPr>
        <w:endnoteReference w:id="53"/>
      </w:r>
      <w:r>
        <w:t xml:space="preserve">. </w:t>
      </w:r>
    </w:p>
    <w:p w:rsidR="002D5EAA" w:rsidRPr="00D62F06" w:rsidRDefault="002D5EAA" w:rsidP="002D5EAA">
      <w:r w:rsidRPr="00C70B42">
        <w:t>Several agencies expressed the opinion that relevance of support was maximised where Australia (or donors more general</w:t>
      </w:r>
      <w:r>
        <w:t>l</w:t>
      </w:r>
      <w:r w:rsidRPr="00C70B42">
        <w:t xml:space="preserve">y) asked </w:t>
      </w:r>
      <w:r>
        <w:t xml:space="preserve">the SLJS </w:t>
      </w:r>
      <w:r w:rsidRPr="00C70B42">
        <w:t xml:space="preserve">what Samoa needs and wants and </w:t>
      </w:r>
      <w:r>
        <w:t xml:space="preserve">then </w:t>
      </w:r>
      <w:r w:rsidRPr="00C70B42">
        <w:t>provides this support rather than what the donor thinks Samoa should have</w:t>
      </w:r>
      <w:r w:rsidRPr="00C70B42">
        <w:rPr>
          <w:rStyle w:val="EndnoteReference"/>
        </w:rPr>
        <w:endnoteReference w:id="54"/>
      </w:r>
      <w:r w:rsidRPr="00C70B42">
        <w:t xml:space="preserve">. Stakeholders identified that Australia generally does this. There was recognition that because the priorities of donor governments change, this </w:t>
      </w:r>
      <w:r w:rsidR="00710727">
        <w:t>can</w:t>
      </w:r>
      <w:r w:rsidR="00710727" w:rsidRPr="00C70B42">
        <w:t>not</w:t>
      </w:r>
      <w:r w:rsidRPr="00C70B42">
        <w:t xml:space="preserve"> always occur.</w:t>
      </w:r>
    </w:p>
    <w:p w:rsidR="00B21B73" w:rsidRPr="008C2146" w:rsidRDefault="00B21B73" w:rsidP="00B84A68">
      <w:pPr>
        <w:pStyle w:val="AppendixHeading1"/>
        <w:rPr>
          <w:noProof w:val="0"/>
        </w:rPr>
      </w:pPr>
      <w:bookmarkStart w:id="82" w:name="_Toc431828807"/>
      <w:r w:rsidRPr="00B84A68">
        <w:lastRenderedPageBreak/>
        <w:t xml:space="preserve">Development of the </w:t>
      </w:r>
      <w:r>
        <w:t>SLJS</w:t>
      </w:r>
      <w:bookmarkEnd w:id="82"/>
      <w:r w:rsidRPr="00B84A68">
        <w:t xml:space="preserve"> </w:t>
      </w:r>
    </w:p>
    <w:p w:rsidR="00B21B73" w:rsidRPr="00662DA0" w:rsidRDefault="00B21B73" w:rsidP="00B84A68">
      <w:pPr>
        <w:rPr>
          <w:i/>
        </w:rPr>
      </w:pPr>
      <w:r>
        <w:t xml:space="preserve">In the early 2000s, </w:t>
      </w:r>
      <w:smartTag w:uri="urn:schemas-microsoft-com:office:smarttags" w:element="place">
        <w:r>
          <w:t>Samoa</w:t>
        </w:r>
      </w:smartTag>
      <w:r>
        <w:t xml:space="preserve"> introduced a program of public sector reform. As part of this, there was an intent to improve performance management </w:t>
      </w:r>
      <w:smartTag w:uri="urn:schemas-microsoft-com:office:smarttags" w:element="PersonName">
        <w:r>
          <w:t>and</w:t>
        </w:r>
      </w:smartTag>
      <w:r>
        <w:t xml:space="preserve"> monitoring at an agency </w:t>
      </w:r>
      <w:smartTag w:uri="urn:schemas-microsoft-com:office:smarttags" w:element="PersonName">
        <w:r>
          <w:t>and</w:t>
        </w:r>
      </w:smartTag>
      <w:r>
        <w:t xml:space="preserve"> sectoral level. As a result, the Government of Samoa (</w:t>
      </w:r>
      <w:proofErr w:type="spellStart"/>
      <w:r>
        <w:t>GoS</w:t>
      </w:r>
      <w:proofErr w:type="spellEnd"/>
      <w:r>
        <w:t xml:space="preserve">) to introduced sectoral planning, with a sector defined as “a grouping of economic, social </w:t>
      </w:r>
      <w:smartTag w:uri="urn:schemas-microsoft-com:office:smarttags" w:element="PersonName">
        <w:r>
          <w:t>and</w:t>
        </w:r>
      </w:smartTag>
      <w:r>
        <w:t xml:space="preserve"> administrative activities based on the type of goods or services produced” (</w:t>
      </w:r>
      <w:proofErr w:type="spellStart"/>
      <w:r>
        <w:t>MoF</w:t>
      </w:r>
      <w:proofErr w:type="spellEnd"/>
      <w:r>
        <w:t>, 2003). This move to sectoral planning reflected broader moves across the Pacific. For example, in 2005, the Pacific Isl</w:t>
      </w:r>
      <w:smartTag w:uri="urn:schemas-microsoft-com:office:smarttags" w:element="PersonName">
        <w:r>
          <w:t>and</w:t>
        </w:r>
      </w:smartTag>
      <w:r>
        <w:t xml:space="preserve">s Forum endorsed The Pacific Plan for Strengthening Regional Cooperation which was based upon sectoral planning </w:t>
      </w:r>
      <w:smartTag w:uri="urn:schemas-microsoft-com:office:smarttags" w:element="PersonName">
        <w:r>
          <w:t>and</w:t>
        </w:r>
      </w:smartTag>
      <w:r>
        <w:t xml:space="preserve"> included  harmonisation of judicial, legal </w:t>
      </w:r>
      <w:smartTag w:uri="urn:schemas-microsoft-com:office:smarttags" w:element="PersonName">
        <w:r>
          <w:t>and</w:t>
        </w:r>
      </w:smartTag>
      <w:r>
        <w:t xml:space="preserve"> law enforcement capacities. </w:t>
      </w:r>
    </w:p>
    <w:p w:rsidR="00B21B73" w:rsidRDefault="00B21B73" w:rsidP="00B84A68">
      <w:r>
        <w:t xml:space="preserve">On 13 April 2006, the Chief Executive Officers (CEOs) of all agencies in what is now the SLJS agreed to seek the establishment of the LJS through the 2008 – 2011 Strategy for the Development of Samoa (SDS). To support this, they created the Law </w:t>
      </w:r>
      <w:smartTag w:uri="urn:schemas-microsoft-com:office:smarttags" w:element="PersonName">
        <w:r>
          <w:t>and</w:t>
        </w:r>
      </w:smartTag>
      <w:r>
        <w:t xml:space="preserve"> Justice Sector Steering Committee (comprising the CEO’s of all agencies) </w:t>
      </w:r>
      <w:smartTag w:uri="urn:schemas-microsoft-com:office:smarttags" w:element="PersonName">
        <w:r>
          <w:t>and</w:t>
        </w:r>
      </w:smartTag>
      <w:r>
        <w:t xml:space="preserve"> a Working Group of senior officers to progress the establishment of the SLJS. </w:t>
      </w:r>
    </w:p>
    <w:p w:rsidR="00B21B73" w:rsidRDefault="00B21B73" w:rsidP="00B84A68">
      <w:r>
        <w:t xml:space="preserve">In 2007, </w:t>
      </w:r>
      <w:proofErr w:type="spellStart"/>
      <w:r>
        <w:t>GoS</w:t>
      </w:r>
      <w:proofErr w:type="spellEnd"/>
      <w:r>
        <w:t xml:space="preserve"> sought funding from Government of Australia (</w:t>
      </w:r>
      <w:proofErr w:type="spellStart"/>
      <w:r>
        <w:t>GoA</w:t>
      </w:r>
      <w:proofErr w:type="spellEnd"/>
      <w:r>
        <w:t xml:space="preserve">) to support development </w:t>
      </w:r>
      <w:smartTag w:uri="urn:schemas-microsoft-com:office:smarttags" w:element="PersonName">
        <w:r>
          <w:t>and</w:t>
        </w:r>
      </w:smartTag>
      <w:r>
        <w:t xml:space="preserve"> sector. Funding was provided </w:t>
      </w:r>
      <w:smartTag w:uri="urn:schemas-microsoft-com:office:smarttags" w:element="PersonName">
        <w:r>
          <w:t>and</w:t>
        </w:r>
      </w:smartTag>
      <w:r>
        <w:t xml:space="preserve"> a series of workshops were held to determine the sector identity, purpose </w:t>
      </w:r>
      <w:smartTag w:uri="urn:schemas-microsoft-com:office:smarttags" w:element="PersonName">
        <w:r>
          <w:t>and</w:t>
        </w:r>
      </w:smartTag>
      <w:r>
        <w:t xml:space="preserve"> direction (AusAID, 2008). These </w:t>
      </w:r>
      <w:r w:rsidR="00710727">
        <w:t>workshops were facilitated by an Australian Government-</w:t>
      </w:r>
      <w:r>
        <w:t xml:space="preserve">funded consultant (L </w:t>
      </w:r>
      <w:proofErr w:type="spellStart"/>
      <w:r>
        <w:t>Armytage</w:t>
      </w:r>
      <w:proofErr w:type="spellEnd"/>
      <w:r>
        <w:t>). The Steering Committee agreed that the LJS should comprise three elements:</w:t>
      </w:r>
    </w:p>
    <w:p w:rsidR="00B21B73" w:rsidRPr="00662DA0" w:rsidRDefault="00B21B73" w:rsidP="00B84A68">
      <w:pPr>
        <w:pStyle w:val="Bullet"/>
      </w:pPr>
      <w:r w:rsidRPr="00662DA0">
        <w:t xml:space="preserve">Law: All aspects of criminal </w:t>
      </w:r>
      <w:smartTag w:uri="urn:schemas-microsoft-com:office:smarttags" w:element="PersonName">
        <w:r w:rsidRPr="00662DA0">
          <w:t>and</w:t>
        </w:r>
      </w:smartTag>
      <w:r w:rsidRPr="00662DA0">
        <w:t xml:space="preserve"> civil law.</w:t>
      </w:r>
    </w:p>
    <w:p w:rsidR="00B21B73" w:rsidRPr="00662DA0" w:rsidRDefault="00B21B73" w:rsidP="00B84A68">
      <w:pPr>
        <w:pStyle w:val="Bullet"/>
      </w:pPr>
      <w:r w:rsidRPr="00662DA0">
        <w:t xml:space="preserve">Custom: Integrate </w:t>
      </w:r>
      <w:smartTag w:uri="urn:schemas-microsoft-com:office:smarttags" w:element="PersonName">
        <w:r w:rsidRPr="00662DA0">
          <w:t>and</w:t>
        </w:r>
      </w:smartTag>
      <w:r w:rsidRPr="00662DA0">
        <w:t xml:space="preserve"> harmonise the ‘marriage’ of formal </w:t>
      </w:r>
      <w:smartTag w:uri="urn:schemas-microsoft-com:office:smarttags" w:element="PersonName">
        <w:r w:rsidRPr="00662DA0">
          <w:t>and</w:t>
        </w:r>
      </w:smartTag>
      <w:r w:rsidRPr="00662DA0">
        <w:t xml:space="preserve"> customary justice.</w:t>
      </w:r>
    </w:p>
    <w:p w:rsidR="00B21B73" w:rsidRPr="00662DA0" w:rsidRDefault="00B21B73" w:rsidP="00B84A68">
      <w:pPr>
        <w:pStyle w:val="Bullet"/>
      </w:pPr>
      <w:r w:rsidRPr="00662DA0">
        <w:t xml:space="preserve">Community: Address </w:t>
      </w:r>
      <w:smartTag w:uri="urn:schemas-microsoft-com:office:smarttags" w:element="PersonName">
        <w:r w:rsidRPr="00662DA0">
          <w:t>and</w:t>
        </w:r>
      </w:smartTag>
      <w:r w:rsidRPr="00662DA0">
        <w:t xml:space="preserve"> reflect community interests </w:t>
      </w:r>
      <w:smartTag w:uri="urn:schemas-microsoft-com:office:smarttags" w:element="PersonName">
        <w:r w:rsidRPr="00662DA0">
          <w:t>and</w:t>
        </w:r>
      </w:smartTag>
      <w:r w:rsidRPr="00662DA0">
        <w:t xml:space="preserve"> relations.</w:t>
      </w:r>
    </w:p>
    <w:p w:rsidR="00B21B73" w:rsidRDefault="00B21B73" w:rsidP="00B84A68">
      <w:r>
        <w:t>The Steering Committee identified two elements to the rationale for establishing the SLJS:</w:t>
      </w:r>
    </w:p>
    <w:p w:rsidR="00B21B73" w:rsidRDefault="00B21B73" w:rsidP="00BF0FE1">
      <w:pPr>
        <w:numPr>
          <w:ilvl w:val="0"/>
          <w:numId w:val="34"/>
        </w:numPr>
      </w:pPr>
      <w:r>
        <w:t>Improved service delivery: This was expected to be facilitated through:</w:t>
      </w:r>
    </w:p>
    <w:p w:rsidR="00B21B73" w:rsidRDefault="00B21B73" w:rsidP="00B84A68">
      <w:pPr>
        <w:pStyle w:val="Bullet"/>
      </w:pPr>
      <w:r>
        <w:t xml:space="preserve">Raising recognition of the importance of law </w:t>
      </w:r>
      <w:smartTag w:uri="urn:schemas-microsoft-com:office:smarttags" w:element="PersonName">
        <w:r>
          <w:t>and</w:t>
        </w:r>
      </w:smartTag>
      <w:r>
        <w:t xml:space="preserve"> justice.</w:t>
      </w:r>
    </w:p>
    <w:p w:rsidR="00B21B73" w:rsidRDefault="00B21B73" w:rsidP="00B84A68">
      <w:pPr>
        <w:pStyle w:val="Bullet"/>
      </w:pPr>
      <w:r w:rsidRPr="00BC0869">
        <w:t xml:space="preserve">Improving the direction, planning, management, communication, coordination </w:t>
      </w:r>
      <w:smartTag w:uri="urn:schemas-microsoft-com:office:smarttags" w:element="PersonName">
        <w:r w:rsidRPr="00BC0869">
          <w:t>and</w:t>
        </w:r>
      </w:smartTag>
      <w:r>
        <w:t xml:space="preserve"> monitoring of government services;</w:t>
      </w:r>
    </w:p>
    <w:p w:rsidR="00B21B73" w:rsidRPr="00BC0869" w:rsidRDefault="00B21B73" w:rsidP="00B84A68">
      <w:pPr>
        <w:pStyle w:val="Bulletnumberedindented"/>
      </w:pPr>
      <w:r>
        <w:t>Vertically: from national to agency levels,</w:t>
      </w:r>
    </w:p>
    <w:p w:rsidR="00B21B73" w:rsidRPr="00BC0869" w:rsidRDefault="00B21B73" w:rsidP="00B84A68">
      <w:pPr>
        <w:pStyle w:val="Bulletnumberedindented"/>
      </w:pPr>
      <w:r>
        <w:t xml:space="preserve">Horizontally: integrate </w:t>
      </w:r>
      <w:smartTag w:uri="urn:schemas-microsoft-com:office:smarttags" w:element="PersonName">
        <w:r>
          <w:t>and</w:t>
        </w:r>
      </w:smartTag>
      <w:r>
        <w:t xml:space="preserve"> link services between sectors.</w:t>
      </w:r>
    </w:p>
    <w:p w:rsidR="00B21B73" w:rsidRDefault="00B21B73" w:rsidP="00B84A68">
      <w:pPr>
        <w:pStyle w:val="Bullet"/>
      </w:pPr>
      <w:r>
        <w:t xml:space="preserve">Harmonise service delivery, </w:t>
      </w:r>
      <w:smartTag w:uri="urn:schemas-microsoft-com:office:smarttags" w:element="PersonName">
        <w:r>
          <w:t>and</w:t>
        </w:r>
      </w:smartTag>
      <w:r>
        <w:t xml:space="preserve"> improve the effectiveness </w:t>
      </w:r>
      <w:smartTag w:uri="urn:schemas-microsoft-com:office:smarttags" w:element="PersonName">
        <w:r>
          <w:t>and</w:t>
        </w:r>
      </w:smartTag>
      <w:r>
        <w:t xml:space="preserve"> value for money.</w:t>
      </w:r>
    </w:p>
    <w:p w:rsidR="00B21B73" w:rsidRDefault="00B21B73" w:rsidP="00B84A68">
      <w:pPr>
        <w:pStyle w:val="Bullet"/>
      </w:pPr>
      <w:r>
        <w:t>Provided government owned priority setting mechanism for development.</w:t>
      </w:r>
    </w:p>
    <w:p w:rsidR="00B21B73" w:rsidRDefault="00B21B73" w:rsidP="00BF0FE1">
      <w:pPr>
        <w:numPr>
          <w:ilvl w:val="0"/>
          <w:numId w:val="34"/>
        </w:numPr>
      </w:pPr>
      <w:r>
        <w:t xml:space="preserve">Facilitate international development assistance to support </w:t>
      </w:r>
      <w:proofErr w:type="spellStart"/>
      <w:r>
        <w:t>GoS</w:t>
      </w:r>
      <w:proofErr w:type="spellEnd"/>
      <w:r>
        <w:t xml:space="preserve"> priorities. This would be by adopting an integrated, coordinated approach.</w:t>
      </w:r>
    </w:p>
    <w:p w:rsidR="00B21B73" w:rsidRDefault="00B21B73" w:rsidP="00B84A68">
      <w:r>
        <w:t xml:space="preserve">Over time, the five elements of this rationale have become the key functions of the Sector. The scope has broadened from government services to include all Sector Stakeholders; with a specific inclusion of community in driving priorities. </w:t>
      </w:r>
    </w:p>
    <w:p w:rsidR="00B21B73" w:rsidRDefault="00B21B73" w:rsidP="00B84A68">
      <w:r>
        <w:t>The SLJS agencies also considered that adopting a sectoral approach would:</w:t>
      </w:r>
    </w:p>
    <w:p w:rsidR="00B21B73" w:rsidRDefault="00B21B73" w:rsidP="00B84A68">
      <w:pPr>
        <w:pStyle w:val="Bullet"/>
      </w:pPr>
      <w:r>
        <w:lastRenderedPageBreak/>
        <w:t>Recognise their mutual independency.</w:t>
      </w:r>
    </w:p>
    <w:p w:rsidR="00B21B73" w:rsidRDefault="00B21B73" w:rsidP="00B84A68">
      <w:pPr>
        <w:pStyle w:val="Bullet"/>
      </w:pPr>
      <w:r>
        <w:t xml:space="preserve">Better enable support to each other. </w:t>
      </w:r>
    </w:p>
    <w:p w:rsidR="00B21B73" w:rsidRDefault="00B21B73" w:rsidP="00B84A68">
      <w:pPr>
        <w:pStyle w:val="Bullet"/>
      </w:pPr>
      <w:r>
        <w:t xml:space="preserve">Increase each agency’s ability to tell </w:t>
      </w:r>
      <w:proofErr w:type="spellStart"/>
      <w:r>
        <w:t>MoF</w:t>
      </w:r>
      <w:proofErr w:type="spellEnd"/>
      <w:r>
        <w:t xml:space="preserve"> how to allocate needed funding.</w:t>
      </w:r>
    </w:p>
    <w:p w:rsidR="00B21B73" w:rsidRDefault="00B21B73" w:rsidP="00B84A68">
      <w:pPr>
        <w:pStyle w:val="Bullet"/>
      </w:pPr>
      <w:r>
        <w:t>Increase money allocated to the sector as the voice of the sector would be louder than that of individual agencies.</w:t>
      </w:r>
    </w:p>
    <w:p w:rsidR="00B21B73" w:rsidRDefault="00B21B73" w:rsidP="00B84A68">
      <w:r>
        <w:t>Following these workshops, development of a SLJS Strategic Plan commenc</w:t>
      </w:r>
      <w:r w:rsidR="00710727">
        <w:t>ed (2007). This was drafted by</w:t>
      </w:r>
      <w:r>
        <w:t xml:space="preserve"> </w:t>
      </w:r>
      <w:r w:rsidR="00710727">
        <w:t xml:space="preserve">Australian Government </w:t>
      </w:r>
      <w:r>
        <w:t xml:space="preserve">Consultant (L. </w:t>
      </w:r>
      <w:proofErr w:type="spellStart"/>
      <w:r>
        <w:t>Armytage</w:t>
      </w:r>
      <w:proofErr w:type="spellEnd"/>
      <w:r>
        <w:t>) following a consultation process</w:t>
      </w:r>
      <w:r>
        <w:rPr>
          <w:rStyle w:val="EndnoteReference"/>
        </w:rPr>
        <w:endnoteReference w:id="55"/>
      </w:r>
      <w:r>
        <w:t xml:space="preserve">. The draft was prepared in </w:t>
      </w:r>
      <w:r w:rsidRPr="00710727">
        <w:t xml:space="preserve">October 2007 and agencies used this to inform their own Strategic Plan (AGD, 2008).  </w:t>
      </w:r>
      <w:r>
        <w:t>The development of the Sector Strategi</w:t>
      </w:r>
      <w:r w:rsidR="00AC3268">
        <w:t>c</w:t>
      </w:r>
      <w:r>
        <w:t xml:space="preserve"> Plan was a slower process than anticipated. As a result, the Sector Strategic Plan 2008 – 2012 was not launched until May 2010 (SLJS, 2013; AGO, 2012)</w:t>
      </w:r>
      <w:r>
        <w:rPr>
          <w:rStyle w:val="EndnoteReference"/>
        </w:rPr>
        <w:endnoteReference w:id="56"/>
      </w:r>
      <w:r>
        <w:t xml:space="preserve">. </w:t>
      </w:r>
    </w:p>
    <w:p w:rsidR="00B21B73" w:rsidRDefault="00B21B73" w:rsidP="00B84A68">
      <w:r>
        <w:t xml:space="preserve">In 2008, the Government of Samoa and Government of Australia entered into a Partnership for Development. This included an outcome in line with SDS Goal 6: “Improved governance”. One of the planned approaches to this was through supporting an integrated approach to policing </w:t>
      </w:r>
      <w:smartTag w:uri="urn:schemas-microsoft-com:office:smarttags" w:element="PersonName">
        <w:r>
          <w:t>and</w:t>
        </w:r>
      </w:smartTag>
      <w:r>
        <w:t xml:space="preserve"> law </w:t>
      </w:r>
      <w:smartTag w:uri="urn:schemas-microsoft-com:office:smarttags" w:element="PersonName">
        <w:r>
          <w:t>and</w:t>
        </w:r>
      </w:smartTag>
      <w:r>
        <w:t xml:space="preserve"> justice sector reform. The output identified was a Sector Strategic Plan. The target results were improved Government Effectiveness </w:t>
      </w:r>
      <w:smartTag w:uri="urn:schemas-microsoft-com:office:smarttags" w:element="PersonName">
        <w:r>
          <w:t>and</w:t>
        </w:r>
      </w:smartTag>
      <w:r>
        <w:t xml:space="preserve"> Rule of Law scores in the World Bank Governance Indicators </w:t>
      </w:r>
      <w:smartTag w:uri="urn:schemas-microsoft-com:office:smarttags" w:element="PersonName">
        <w:r>
          <w:t>and</w:t>
        </w:r>
      </w:smartTag>
      <w:r>
        <w:t xml:space="preserve"> PASP Secretariat Evaluation Report. The document stated that an Implementation Strategy would be developed for this priority outcome. </w:t>
      </w:r>
    </w:p>
    <w:p w:rsidR="00B21B73" w:rsidRDefault="00B21B73" w:rsidP="00B84A68">
      <w:r>
        <w:t xml:space="preserve">In </w:t>
      </w:r>
      <w:r w:rsidR="00710727">
        <w:t>mid-2009</w:t>
      </w:r>
      <w:r>
        <w:t>, the SLJS requested funding from Australia to establish a Secretariat. This was considered essential to provide the administrative and management support required by the Steering Committee to ensure continuation of progress, centralise coordination of sector operations and ensure uniformity in support (</w:t>
      </w:r>
      <w:r w:rsidR="00710727">
        <w:t>AusAID</w:t>
      </w:r>
      <w:r>
        <w:t xml:space="preserve">, 2009; SLJS, 2013). The Secretariat was established following approval of this funding. </w:t>
      </w:r>
    </w:p>
    <w:p w:rsidR="00B21B73" w:rsidRDefault="00B21B73" w:rsidP="00B84A68">
      <w:r>
        <w:t>The SLJS Steering Committee was exp</w:t>
      </w:r>
      <w:smartTag w:uri="urn:schemas-microsoft-com:office:smarttags" w:element="PersonName">
        <w:r>
          <w:t>and</w:t>
        </w:r>
      </w:smartTag>
      <w:r>
        <w:t xml:space="preserve">ed in 2009 to include a representative of the National Council of Churches, the Samoa Law Society, the community (a senior </w:t>
      </w:r>
      <w:smartTag w:uri="urn:schemas-microsoft-com:office:smarttags" w:element="PersonName">
        <w:r>
          <w:t>and</w:t>
        </w:r>
      </w:smartTag>
      <w:r>
        <w:t xml:space="preserve"> respected matai) </w:t>
      </w:r>
      <w:smartTag w:uri="urn:schemas-microsoft-com:office:smarttags" w:element="PersonName">
        <w:r>
          <w:t>and</w:t>
        </w:r>
      </w:smartTag>
      <w:r>
        <w:t xml:space="preserve"> NGOs. At the same time, a </w:t>
      </w:r>
      <w:proofErr w:type="spellStart"/>
      <w:r>
        <w:t>Judical</w:t>
      </w:r>
      <w:proofErr w:type="spellEnd"/>
      <w:r>
        <w:t xml:space="preserve"> Advisory Committee was established. This recognised the importance of provision of a mechanism for judiciary to contribute their views on the sector, without being involved in policy or decision-making. However, the Judicial Advisory Committee has not since contributed directly to the Steering Committee. </w:t>
      </w:r>
      <w:r w:rsidR="00710727">
        <w:t>The Australian Government</w:t>
      </w:r>
      <w:r>
        <w:t xml:space="preserve"> attended Steering Committee meetings as an observer.  </w:t>
      </w:r>
    </w:p>
    <w:p w:rsidR="00B21B73" w:rsidRDefault="00B21B73" w:rsidP="00B84A68">
      <w:r>
        <w:t>When the SLJS was established, many senior executive in SA did not have an underst</w:t>
      </w:r>
      <w:smartTag w:uri="urn:schemas-microsoft-com:office:smarttags" w:element="PersonName">
        <w:r>
          <w:t>and</w:t>
        </w:r>
      </w:smartTag>
      <w:r>
        <w:t>ing of what a sector-based approach was: “For the first few years, everyone was trying to underst</w:t>
      </w:r>
      <w:smartTag w:uri="urn:schemas-microsoft-com:office:smarttags" w:element="PersonName">
        <w:r>
          <w:t>and</w:t>
        </w:r>
      </w:smartTag>
      <w:r>
        <w:t xml:space="preserve"> what it was like to work as a sector”</w:t>
      </w:r>
      <w:r>
        <w:rPr>
          <w:rStyle w:val="EndnoteReference"/>
        </w:rPr>
        <w:endnoteReference w:id="57"/>
      </w:r>
      <w:r>
        <w:t xml:space="preserve">. </w:t>
      </w:r>
      <w:r w:rsidR="00710727">
        <w:t>The Australian Government</w:t>
      </w:r>
      <w:r>
        <w:t xml:space="preserve"> also recognise that at the time they were commencing sector support to Samoa, they (both at Post and in Canberra) had little knowledge of the administration support a sector required. As one </w:t>
      </w:r>
      <w:r w:rsidR="00710727">
        <w:t xml:space="preserve">Australian Government </w:t>
      </w:r>
      <w:r>
        <w:t>officer explained “we learnt as we went along”</w:t>
      </w:r>
      <w:r>
        <w:rPr>
          <w:rStyle w:val="EndnoteReference"/>
        </w:rPr>
        <w:endnoteReference w:id="58"/>
      </w:r>
      <w:r>
        <w:t xml:space="preserve">. With a sector based approach being a new concept, both to </w:t>
      </w:r>
      <w:r w:rsidR="00710727">
        <w:t>the Australian Government</w:t>
      </w:r>
      <w:r>
        <w:t xml:space="preserve"> and </w:t>
      </w:r>
      <w:proofErr w:type="spellStart"/>
      <w:r>
        <w:t>GoS</w:t>
      </w:r>
      <w:proofErr w:type="spellEnd"/>
      <w:r>
        <w:t xml:space="preserve">, there was a sense that “sometimes you have to start so that people can see it, then either fix it or throw it out. Otherwise it is difficult to conceive what it will look like. Donors can see this as disregarding the rules </w:t>
      </w:r>
      <w:smartTag w:uri="urn:schemas-microsoft-com:office:smarttags" w:element="PersonName">
        <w:r>
          <w:t>and</w:t>
        </w:r>
      </w:smartTag>
      <w:r>
        <w:t xml:space="preserve"> agreements.”</w:t>
      </w:r>
      <w:r w:rsidRPr="00DC5701">
        <w:rPr>
          <w:rStyle w:val="EndnoteReference"/>
        </w:rPr>
        <w:t xml:space="preserve"> </w:t>
      </w:r>
      <w:r>
        <w:rPr>
          <w:rStyle w:val="EndnoteReference"/>
        </w:rPr>
        <w:endnoteReference w:id="59"/>
      </w:r>
      <w:r>
        <w:t xml:space="preserve">  At the same time, there was a perceived r</w:t>
      </w:r>
      <w:r w:rsidRPr="00304A5B">
        <w:t>ush</w:t>
      </w:r>
      <w:r>
        <w:t xml:space="preserve"> to</w:t>
      </w:r>
      <w:r w:rsidRPr="00304A5B">
        <w:t xml:space="preserve"> progress expenditure </w:t>
      </w:r>
      <w:r>
        <w:t>as a way to</w:t>
      </w:r>
      <w:r w:rsidRPr="00304A5B">
        <w:t xml:space="preserve"> encourage </w:t>
      </w:r>
      <w:r>
        <w:t>sector agency</w:t>
      </w:r>
      <w:r w:rsidRPr="00304A5B">
        <w:t xml:space="preserve"> to look at projects across the sector, rather than just for their agency</w:t>
      </w:r>
      <w:r>
        <w:t>. Consequently, when the sector commenced, there was no Medium Term Expenditure Framework or Performance Management Framework</w:t>
      </w:r>
      <w:r>
        <w:rPr>
          <w:rStyle w:val="EndnoteReference"/>
        </w:rPr>
        <w:endnoteReference w:id="60"/>
      </w:r>
      <w:r>
        <w:t xml:space="preserve">. These were developed subsequently through support from Technical Advisers, but have not been used. </w:t>
      </w:r>
    </w:p>
    <w:p w:rsidR="00B21B73" w:rsidRDefault="00B21B73" w:rsidP="00B84A68">
      <w:r>
        <w:lastRenderedPageBreak/>
        <w:t xml:space="preserve">A series of Sub-Committees </w:t>
      </w:r>
      <w:smartTag w:uri="urn:schemas-microsoft-com:office:smarttags" w:element="PersonName">
        <w:r>
          <w:t>and</w:t>
        </w:r>
      </w:smartTag>
      <w:r>
        <w:t xml:space="preserve"> Taskforces were established to manage the implementation of specific areas of work, for example, prisons review </w:t>
      </w:r>
      <w:smartTag w:uri="urn:schemas-microsoft-com:office:smarttags" w:element="PersonName">
        <w:r>
          <w:t>and</w:t>
        </w:r>
      </w:smartTag>
      <w:r>
        <w:t xml:space="preserve"> crime prevention. Working Groups were</w:t>
      </w:r>
      <w:r w:rsidRPr="00F21619">
        <w:t xml:space="preserve"> </w:t>
      </w:r>
      <w:r>
        <w:t xml:space="preserve">established to manage the implementation of specific projects. These sub-Committees, Taskforces </w:t>
      </w:r>
      <w:smartTag w:uri="urn:schemas-microsoft-com:office:smarttags" w:element="PersonName">
        <w:r>
          <w:t>and</w:t>
        </w:r>
      </w:smartTag>
      <w:r>
        <w:t xml:space="preserve"> Working Groups report to the Steering Committee (SLJS, 2015).</w:t>
      </w:r>
    </w:p>
    <w:p w:rsidR="00B21B73" w:rsidRDefault="00B21B73" w:rsidP="00B84A68">
      <w:r>
        <w:t xml:space="preserve">The SLJS developed their second Strategic Plan, to cover the period 2012 – 2016. This was done with funding from </w:t>
      </w:r>
      <w:r w:rsidR="00710727">
        <w:t>the Australian Government</w:t>
      </w:r>
      <w:r>
        <w:t>. The sector c</w:t>
      </w:r>
      <w:r w:rsidR="00710727">
        <w:t xml:space="preserve">ompleted the Plan by June 2012. </w:t>
      </w:r>
      <w:r w:rsidRPr="004C534E">
        <w:t>The launch was scheduled for July 2013. However</w:t>
      </w:r>
      <w:r>
        <w:t>,</w:t>
      </w:r>
      <w:r w:rsidRPr="004C534E">
        <w:t xml:space="preserve"> at </w:t>
      </w:r>
      <w:r w:rsidR="00710727">
        <w:t>the Australian Government’s</w:t>
      </w:r>
      <w:r w:rsidRPr="004C534E">
        <w:t xml:space="preserve"> request, </w:t>
      </w:r>
      <w:r>
        <w:t>the launch</w:t>
      </w:r>
      <w:r w:rsidRPr="004C534E">
        <w:t xml:space="preserve"> was delayed until December to allow completion of four studies. </w:t>
      </w:r>
      <w:r w:rsidR="00710727">
        <w:t>The Australian Government</w:t>
      </w:r>
      <w:r>
        <w:t xml:space="preserve"> further delayed the</w:t>
      </w:r>
      <w:r w:rsidRPr="004C534E">
        <w:t xml:space="preserve"> fourth (design) study until 2013. However, </w:t>
      </w:r>
      <w:r w:rsidR="00710727">
        <w:t>Australia</w:t>
      </w:r>
      <w:r w:rsidRPr="004C534E">
        <w:t xml:space="preserve"> confirmed that the Sector Plan should still be launched </w:t>
      </w:r>
      <w:r>
        <w:t>as planned. Following this, the SLJS Plan 2012 – 2016 was launched in December 2012, identifying five priority areas:</w:t>
      </w:r>
    </w:p>
    <w:p w:rsidR="00B21B73" w:rsidRPr="007900B2" w:rsidRDefault="00B21B73" w:rsidP="00482197">
      <w:pPr>
        <w:numPr>
          <w:ilvl w:val="0"/>
          <w:numId w:val="43"/>
        </w:numPr>
      </w:pPr>
      <w:r>
        <w:t>C</w:t>
      </w:r>
      <w:r w:rsidRPr="007900B2">
        <w:t xml:space="preserve">ommunity safety through improved crime management </w:t>
      </w:r>
      <w:smartTag w:uri="urn:schemas-microsoft-com:office:smarttags" w:element="PersonName">
        <w:r w:rsidRPr="007900B2">
          <w:t>and</w:t>
        </w:r>
      </w:smartTag>
      <w:r w:rsidRPr="007900B2">
        <w:t xml:space="preserve"> prevention;</w:t>
      </w:r>
    </w:p>
    <w:p w:rsidR="00B21B73" w:rsidRPr="007900B2" w:rsidRDefault="00B21B73" w:rsidP="00482197">
      <w:pPr>
        <w:numPr>
          <w:ilvl w:val="0"/>
          <w:numId w:val="43"/>
        </w:numPr>
      </w:pPr>
      <w:r>
        <w:t>I</w:t>
      </w:r>
      <w:r w:rsidRPr="007900B2">
        <w:t xml:space="preserve">mproving access to justice, law </w:t>
      </w:r>
      <w:smartTag w:uri="urn:schemas-microsoft-com:office:smarttags" w:element="PersonName">
        <w:r w:rsidRPr="007900B2">
          <w:t>and</w:t>
        </w:r>
      </w:smartTag>
      <w:r w:rsidRPr="007900B2">
        <w:t xml:space="preserve"> legal services; </w:t>
      </w:r>
    </w:p>
    <w:p w:rsidR="00B21B73" w:rsidRPr="007900B2" w:rsidRDefault="00B21B73" w:rsidP="00482197">
      <w:pPr>
        <w:numPr>
          <w:ilvl w:val="0"/>
          <w:numId w:val="43"/>
        </w:numPr>
      </w:pPr>
      <w:r>
        <w:t>R</w:t>
      </w:r>
      <w:r w:rsidRPr="007900B2">
        <w:t xml:space="preserve">ecognising customary based justice </w:t>
      </w:r>
      <w:smartTag w:uri="urn:schemas-microsoft-com:office:smarttags" w:element="PersonName">
        <w:r w:rsidRPr="007900B2">
          <w:t>and</w:t>
        </w:r>
      </w:smartTag>
      <w:r w:rsidRPr="007900B2">
        <w:t xml:space="preserve"> harmonising with the formal justice system;</w:t>
      </w:r>
    </w:p>
    <w:p w:rsidR="00B21B73" w:rsidRPr="007900B2" w:rsidRDefault="00B21B73" w:rsidP="00482197">
      <w:pPr>
        <w:numPr>
          <w:ilvl w:val="0"/>
          <w:numId w:val="43"/>
        </w:numPr>
      </w:pPr>
      <w:r>
        <w:t>P</w:t>
      </w:r>
      <w:r w:rsidRPr="007900B2">
        <w:t xml:space="preserve">romoting integrity </w:t>
      </w:r>
      <w:smartTag w:uri="urn:schemas-microsoft-com:office:smarttags" w:element="PersonName">
        <w:r w:rsidRPr="007900B2">
          <w:t>and</w:t>
        </w:r>
      </w:smartTag>
      <w:r w:rsidRPr="007900B2">
        <w:t xml:space="preserve"> good governance in formal </w:t>
      </w:r>
      <w:smartTag w:uri="urn:schemas-microsoft-com:office:smarttags" w:element="PersonName">
        <w:r w:rsidRPr="007900B2">
          <w:t>and</w:t>
        </w:r>
      </w:smartTag>
      <w:r w:rsidRPr="007900B2">
        <w:t xml:space="preserve"> customary processes </w:t>
      </w:r>
      <w:smartTag w:uri="urn:schemas-microsoft-com:office:smarttags" w:element="PersonName">
        <w:r w:rsidRPr="007900B2">
          <w:t>and</w:t>
        </w:r>
      </w:smartTag>
      <w:r w:rsidRPr="007900B2">
        <w:t xml:space="preserve"> services; </w:t>
      </w:r>
      <w:smartTag w:uri="urn:schemas-microsoft-com:office:smarttags" w:element="PersonName">
        <w:r w:rsidRPr="007900B2">
          <w:t>and</w:t>
        </w:r>
      </w:smartTag>
    </w:p>
    <w:p w:rsidR="00B21B73" w:rsidRDefault="00B21B73" w:rsidP="00482197">
      <w:pPr>
        <w:numPr>
          <w:ilvl w:val="0"/>
          <w:numId w:val="43"/>
        </w:numPr>
      </w:pPr>
      <w:r>
        <w:t>B</w:t>
      </w:r>
      <w:r w:rsidRPr="007900B2">
        <w:t xml:space="preserve">uilding sector agency capacity </w:t>
      </w:r>
      <w:smartTag w:uri="urn:schemas-microsoft-com:office:smarttags" w:element="PersonName">
        <w:r w:rsidRPr="007900B2">
          <w:t>and</w:t>
        </w:r>
      </w:smartTag>
      <w:r w:rsidRPr="007900B2">
        <w:t xml:space="preserve"> improved service coordination.</w:t>
      </w:r>
      <w:r>
        <w:t xml:space="preserve"> </w:t>
      </w:r>
    </w:p>
    <w:p w:rsidR="00B21B73" w:rsidRDefault="00B21B73" w:rsidP="00B84A68">
      <w:r>
        <w:t xml:space="preserve">The first four were the same as the goals in the previous Sector Strategic Plan. Capacity development was included as an additional priority. </w:t>
      </w:r>
    </w:p>
    <w:p w:rsidR="00B21B73" w:rsidRDefault="00B21B73" w:rsidP="00B84A68">
      <w:r>
        <w:t xml:space="preserve">The SLJS Secretariat developed a M&amp;E Framework to support the 2012 – 2016 Sector Plan. This is not aligned with the original Performance Management Framework. The Secretariat also conducted a mid-term review of the 2012 – 2016 Sector Plan in early 2015. </w:t>
      </w:r>
      <w:r w:rsidR="00710727">
        <w:t>The Samoan Government</w:t>
      </w:r>
      <w:r>
        <w:t xml:space="preserve"> commenced fully funding the Secretariat from October 2012. </w:t>
      </w:r>
    </w:p>
    <w:p w:rsidR="00B84A68" w:rsidRDefault="00710727" w:rsidP="00B84A68">
      <w:r>
        <w:t>The Australian Government</w:t>
      </w:r>
      <w:r w:rsidR="00B21B73" w:rsidRPr="003C4CC6">
        <w:t xml:space="preserve"> has been the main don</w:t>
      </w:r>
      <w:r w:rsidR="00B21B73">
        <w:t>or in this sector since 2008. However, there has been support from other countries to agencies within the sector. For example, Go</w:t>
      </w:r>
      <w:r w:rsidR="006E6F43">
        <w:t xml:space="preserve">vernment of </w:t>
      </w:r>
      <w:r w:rsidR="00B21B73">
        <w:t>N</w:t>
      </w:r>
      <w:r w:rsidR="006E6F43">
        <w:t>ew Zealand</w:t>
      </w:r>
      <w:r w:rsidR="00B21B73">
        <w:t xml:space="preserve"> provided support to the Ministry of Police (training) and the Attorney General’s Office (review the Criminal Laws of Samoa)</w:t>
      </w:r>
      <w:r w:rsidR="00B21B73" w:rsidRPr="00EB770F">
        <w:t xml:space="preserve"> </w:t>
      </w:r>
      <w:r w:rsidR="00B21B73">
        <w:t xml:space="preserve">(Barlow Shuster, 2012). </w:t>
      </w:r>
      <w:r w:rsidR="006E6F43">
        <w:t xml:space="preserve">The Government of New Zealand </w:t>
      </w:r>
      <w:r w:rsidR="00B21B73">
        <w:t xml:space="preserve">established </w:t>
      </w:r>
      <w:proofErr w:type="gramStart"/>
      <w:r w:rsidR="00B21B73">
        <w:t>an</w:t>
      </w:r>
      <w:proofErr w:type="gramEnd"/>
      <w:r w:rsidR="00B21B73">
        <w:t xml:space="preserve"> MoU with Corrections in 2013 and is increasing this support in coming years</w:t>
      </w:r>
      <w:r w:rsidR="00B21B73">
        <w:rPr>
          <w:rStyle w:val="EndnoteReference"/>
        </w:rPr>
        <w:endnoteReference w:id="61"/>
      </w:r>
      <w:r w:rsidR="00B21B73">
        <w:t>.</w:t>
      </w:r>
      <w:r w:rsidR="00B84A68">
        <w:t xml:space="preserve"> China constructed the new Court building and has committed to finding infrastructure work at the prisons. Support has also been provided by various other Australian agencies (AFP to Police) </w:t>
      </w:r>
      <w:smartTag w:uri="urn:schemas-microsoft-com:office:smarttags" w:element="PersonName">
        <w:r w:rsidR="00B84A68">
          <w:t>and</w:t>
        </w:r>
      </w:smartTag>
      <w:r w:rsidR="00B84A68">
        <w:t xml:space="preserve"> programs (PACTAM to AGO; </w:t>
      </w:r>
      <w:r w:rsidR="00B84A68">
        <w:rPr>
          <w:caps/>
        </w:rPr>
        <w:t xml:space="preserve">AYAD </w:t>
      </w:r>
      <w:r w:rsidR="00B84A68">
        <w:t xml:space="preserve">to </w:t>
      </w:r>
      <w:r w:rsidR="00B84A68">
        <w:rPr>
          <w:caps/>
        </w:rPr>
        <w:t xml:space="preserve">MJCA </w:t>
      </w:r>
      <w:r w:rsidR="00B84A68" w:rsidRPr="00EB770F">
        <w:t>and</w:t>
      </w:r>
      <w:r w:rsidR="00B84A68">
        <w:rPr>
          <w:caps/>
        </w:rPr>
        <w:t xml:space="preserve"> MWYCD). </w:t>
      </w:r>
      <w:r w:rsidR="00B84A68">
        <w:t>It is thus complicated sector in terms of support. None of this support appears to consider the SLJS Strategic Plan.</w:t>
      </w:r>
    </w:p>
    <w:p w:rsidR="00B21B73" w:rsidRDefault="00B21B73" w:rsidP="004902E0">
      <w:pPr>
        <w:pStyle w:val="AppendixHeading1"/>
      </w:pPr>
      <w:bookmarkStart w:id="83" w:name="_Toc431828808"/>
      <w:bookmarkStart w:id="84" w:name="_Toc290814021"/>
      <w:bookmarkStart w:id="85" w:name="_Ref291517984"/>
      <w:bookmarkStart w:id="86" w:name="_Ref291518011"/>
      <w:r>
        <w:lastRenderedPageBreak/>
        <w:t>Australian support</w:t>
      </w:r>
      <w:bookmarkEnd w:id="83"/>
    </w:p>
    <w:p w:rsidR="00B21B73" w:rsidRPr="003C4CC6" w:rsidRDefault="00B21B73" w:rsidP="00B21B73">
      <w:r w:rsidRPr="003C4CC6">
        <w:t xml:space="preserve">Australia has </w:t>
      </w:r>
      <w:r>
        <w:t>supported the</w:t>
      </w:r>
      <w:r w:rsidRPr="003C4CC6">
        <w:t xml:space="preserve"> </w:t>
      </w:r>
      <w:r>
        <w:t>S</w:t>
      </w:r>
      <w:r w:rsidRPr="003C4CC6">
        <w:t xml:space="preserve">LJS sector through aid funding administered by AusAID </w:t>
      </w:r>
      <w:r w:rsidR="006E6F43">
        <w:t>(</w:t>
      </w:r>
      <w:r w:rsidRPr="003C4CC6">
        <w:t>and then DFAT</w:t>
      </w:r>
      <w:r w:rsidR="006E6F43">
        <w:t>)</w:t>
      </w:r>
      <w:r w:rsidRPr="003C4CC6">
        <w:t xml:space="preserve"> since 200</w:t>
      </w:r>
      <w:r>
        <w:t>7</w:t>
      </w:r>
      <w:r w:rsidRPr="003C4CC6">
        <w:t xml:space="preserve">. The funding was provided with the aim of helping the law </w:t>
      </w:r>
      <w:smartTag w:uri="urn:schemas-microsoft-com:office:smarttags" w:element="PersonName">
        <w:r w:rsidRPr="003C4CC6">
          <w:t>and</w:t>
        </w:r>
      </w:smartTag>
      <w:r w:rsidRPr="003C4CC6">
        <w:t xml:space="preserve"> justice sector in Samoa to achieve its targets in the </w:t>
      </w:r>
      <w:r>
        <w:t>Samoa Development Strategy (SDS)</w:t>
      </w:r>
      <w:r w:rsidRPr="003C4CC6">
        <w:t xml:space="preserve"> </w:t>
      </w:r>
      <w:smartTag w:uri="urn:schemas-microsoft-com:office:smarttags" w:element="PersonName">
        <w:r w:rsidRPr="003C4CC6">
          <w:t>and</w:t>
        </w:r>
      </w:smartTag>
      <w:r w:rsidRPr="003C4CC6">
        <w:t xml:space="preserve"> as agreed in the Samoa-Australia Partnership for Development:</w:t>
      </w:r>
    </w:p>
    <w:p w:rsidR="00B21B73" w:rsidRPr="003C4CC6" w:rsidRDefault="00B21B73" w:rsidP="00BF0FE1">
      <w:pPr>
        <w:numPr>
          <w:ilvl w:val="0"/>
          <w:numId w:val="36"/>
        </w:numPr>
      </w:pPr>
      <w:r w:rsidRPr="003C4CC6">
        <w:t xml:space="preserve">Improve governance in law </w:t>
      </w:r>
      <w:smartTag w:uri="urn:schemas-microsoft-com:office:smarttags" w:element="PersonName">
        <w:r w:rsidRPr="003C4CC6">
          <w:t>and</w:t>
        </w:r>
      </w:smartTag>
      <w:r w:rsidRPr="003C4CC6">
        <w:t xml:space="preserve"> justice through improving the operation of the rule of law (SDS: Goal 6) </w:t>
      </w:r>
      <w:smartTag w:uri="urn:schemas-microsoft-com:office:smarttags" w:element="PersonName">
        <w:r w:rsidRPr="003C4CC6">
          <w:t>and</w:t>
        </w:r>
      </w:smartTag>
      <w:r w:rsidRPr="003C4CC6">
        <w:t>;</w:t>
      </w:r>
    </w:p>
    <w:p w:rsidR="00B21B73" w:rsidRPr="003C4CC6" w:rsidRDefault="00B21B73" w:rsidP="00BF0FE1">
      <w:pPr>
        <w:numPr>
          <w:ilvl w:val="0"/>
          <w:numId w:val="36"/>
        </w:numPr>
      </w:pPr>
      <w:r w:rsidRPr="003C4CC6">
        <w:t>Reduce numbers of serious crime in Samoa (SDS Goal 6).</w:t>
      </w:r>
    </w:p>
    <w:p w:rsidR="00B21B73" w:rsidRPr="003C4CC6" w:rsidRDefault="00B21B73" w:rsidP="00B21B73">
      <w:r w:rsidRPr="003C4CC6">
        <w:t xml:space="preserve">The partnership recognized the importance of an integrated approach to law </w:t>
      </w:r>
      <w:smartTag w:uri="urn:schemas-microsoft-com:office:smarttags" w:element="PersonName">
        <w:r w:rsidRPr="003C4CC6">
          <w:t>and</w:t>
        </w:r>
      </w:smartTag>
      <w:r w:rsidRPr="003C4CC6">
        <w:t xml:space="preserve"> justice in the country. Australian aid funding assisted in the establishment of a coordination body (the Law </w:t>
      </w:r>
      <w:smartTag w:uri="urn:schemas-microsoft-com:office:smarttags" w:element="PersonName">
        <w:r w:rsidRPr="003C4CC6">
          <w:t>and</w:t>
        </w:r>
      </w:smartTag>
      <w:r w:rsidRPr="003C4CC6">
        <w:t xml:space="preserve"> Justice Sector Secretariat). Following the establishment of the Secretariat, core funding was provided in support of the </w:t>
      </w:r>
      <w:r>
        <w:t>SLJS’s</w:t>
      </w:r>
      <w:r w:rsidRPr="003C4CC6">
        <w:t xml:space="preserve"> key priorities as identified in its own sector plan (Table 1).</w:t>
      </w:r>
    </w:p>
    <w:p w:rsidR="00B21B73" w:rsidRPr="003C4CC6" w:rsidRDefault="00B21B73" w:rsidP="00B21B73">
      <w:pPr>
        <w:pStyle w:val="Caption"/>
      </w:pPr>
      <w:r>
        <w:t xml:space="preserve">Table </w:t>
      </w:r>
      <w:fldSimple w:instr=" SEQ Table \* ARABIC ">
        <w:r w:rsidR="00A8459C">
          <w:rPr>
            <w:noProof/>
          </w:rPr>
          <w:t>2</w:t>
        </w:r>
      </w:fldSimple>
      <w:r>
        <w:t>. Summary of Government of Australia’s contribution to the SLJS</w:t>
      </w:r>
      <w:r>
        <w:rPr>
          <w:rStyle w:val="EndnoteReference"/>
        </w:rPr>
        <w:endnoteReference w:id="62"/>
      </w:r>
      <w:r>
        <w:t xml:space="preserve">. </w:t>
      </w:r>
    </w:p>
    <w:tbl>
      <w:tblPr>
        <w:tblW w:w="0" w:type="auto"/>
        <w:tblInd w:w="108" w:type="dxa"/>
        <w:tblBorders>
          <w:top w:val="single" w:sz="4" w:space="0" w:color="007FAD"/>
          <w:bottom w:val="single" w:sz="4" w:space="0" w:color="007FAD"/>
          <w:insideH w:val="single" w:sz="4" w:space="0" w:color="007FAD"/>
        </w:tblBorders>
        <w:tblLayout w:type="fixed"/>
        <w:tblCellMar>
          <w:top w:w="85" w:type="dxa"/>
          <w:bottom w:w="85" w:type="dxa"/>
        </w:tblCellMar>
        <w:tblLook w:val="01E0" w:firstRow="1" w:lastRow="1" w:firstColumn="1" w:lastColumn="1" w:noHBand="0" w:noVBand="0"/>
      </w:tblPr>
      <w:tblGrid>
        <w:gridCol w:w="2835"/>
        <w:gridCol w:w="1134"/>
        <w:gridCol w:w="4712"/>
      </w:tblGrid>
      <w:tr w:rsidR="00B21B73" w:rsidRPr="00B21B73" w:rsidTr="002E1C12">
        <w:tc>
          <w:tcPr>
            <w:tcW w:w="2835" w:type="dxa"/>
            <w:shd w:val="clear" w:color="auto" w:fill="007FAD"/>
          </w:tcPr>
          <w:p w:rsidR="00B21B73" w:rsidRPr="00B21B73" w:rsidRDefault="00B21B73" w:rsidP="002E1C12">
            <w:pPr>
              <w:spacing w:before="0"/>
              <w:rPr>
                <w:color w:val="FFFFFF"/>
              </w:rPr>
            </w:pPr>
            <w:r w:rsidRPr="00B21B73">
              <w:rPr>
                <w:color w:val="FFFFFF"/>
              </w:rPr>
              <w:t>Contribution</w:t>
            </w:r>
          </w:p>
        </w:tc>
        <w:tc>
          <w:tcPr>
            <w:tcW w:w="1134" w:type="dxa"/>
            <w:shd w:val="clear" w:color="auto" w:fill="007FAD"/>
          </w:tcPr>
          <w:p w:rsidR="00B21B73" w:rsidRPr="00B21B73" w:rsidRDefault="00B21B73" w:rsidP="002E1C12">
            <w:pPr>
              <w:spacing w:before="0"/>
              <w:rPr>
                <w:color w:val="FFFFFF"/>
              </w:rPr>
            </w:pPr>
            <w:r w:rsidRPr="00B21B73">
              <w:rPr>
                <w:color w:val="FFFFFF"/>
              </w:rPr>
              <w:t>Value</w:t>
            </w:r>
          </w:p>
        </w:tc>
        <w:tc>
          <w:tcPr>
            <w:tcW w:w="4712" w:type="dxa"/>
            <w:shd w:val="clear" w:color="auto" w:fill="007FAD"/>
          </w:tcPr>
          <w:p w:rsidR="00B21B73" w:rsidRPr="00B21B73" w:rsidRDefault="00B21B73" w:rsidP="002E1C12">
            <w:pPr>
              <w:spacing w:before="0"/>
              <w:rPr>
                <w:color w:val="FFFFFF"/>
              </w:rPr>
            </w:pPr>
            <w:r w:rsidRPr="00B21B73">
              <w:rPr>
                <w:color w:val="FFFFFF"/>
              </w:rPr>
              <w:t>Outputs/Outcomes</w:t>
            </w:r>
          </w:p>
        </w:tc>
      </w:tr>
      <w:tr w:rsidR="00B21B73" w:rsidRPr="005729AB" w:rsidTr="002E1C12">
        <w:tc>
          <w:tcPr>
            <w:tcW w:w="2835" w:type="dxa"/>
            <w:tcBorders>
              <w:bottom w:val="single" w:sz="4" w:space="0" w:color="007FAD"/>
            </w:tcBorders>
            <w:shd w:val="clear" w:color="auto" w:fill="FFFFFF"/>
          </w:tcPr>
          <w:p w:rsidR="00B21B73" w:rsidRPr="005729AB" w:rsidRDefault="00B21B73" w:rsidP="00482197">
            <w:pPr>
              <w:pStyle w:val="Bullet"/>
              <w:numPr>
                <w:ilvl w:val="0"/>
                <w:numId w:val="46"/>
              </w:numPr>
              <w:spacing w:before="0"/>
            </w:pPr>
            <w:r w:rsidRPr="005729AB">
              <w:t>Initial Grant (2007/8)</w:t>
            </w:r>
          </w:p>
        </w:tc>
        <w:tc>
          <w:tcPr>
            <w:tcW w:w="1134" w:type="dxa"/>
            <w:tcBorders>
              <w:bottom w:val="single" w:sz="4" w:space="0" w:color="007FAD"/>
            </w:tcBorders>
            <w:shd w:val="clear" w:color="auto" w:fill="FFFFFF"/>
          </w:tcPr>
          <w:p w:rsidR="00B21B73" w:rsidRPr="005729AB" w:rsidRDefault="00B21B73" w:rsidP="002E1C12">
            <w:pPr>
              <w:spacing w:before="0"/>
              <w:jc w:val="right"/>
            </w:pPr>
            <w:r w:rsidRPr="005729AB">
              <w:t>$0.3m</w:t>
            </w:r>
          </w:p>
        </w:tc>
        <w:tc>
          <w:tcPr>
            <w:tcW w:w="4712" w:type="dxa"/>
            <w:tcBorders>
              <w:bottom w:val="single" w:sz="4" w:space="0" w:color="007FAD"/>
            </w:tcBorders>
            <w:shd w:val="clear" w:color="auto" w:fill="FFFFFF"/>
          </w:tcPr>
          <w:p w:rsidR="00B21B73" w:rsidRPr="005729AB" w:rsidRDefault="00B21B73" w:rsidP="002E1C12">
            <w:pPr>
              <w:spacing w:before="0"/>
            </w:pPr>
            <w:r w:rsidRPr="005729AB">
              <w:t xml:space="preserve">Produce the first </w:t>
            </w:r>
            <w:r>
              <w:t xml:space="preserve">SLJS Strategic Plan </w:t>
            </w:r>
            <w:r w:rsidRPr="005729AB">
              <w:t xml:space="preserve">(2008 – 2012). </w:t>
            </w:r>
          </w:p>
        </w:tc>
      </w:tr>
      <w:tr w:rsidR="00B21B73" w:rsidRPr="005729AB" w:rsidTr="002E1C12">
        <w:tc>
          <w:tcPr>
            <w:tcW w:w="3969" w:type="dxa"/>
            <w:gridSpan w:val="2"/>
            <w:tcBorders>
              <w:bottom w:val="single" w:sz="4" w:space="0" w:color="FFFFFF"/>
              <w:right w:val="single" w:sz="4" w:space="0" w:color="FFFFFF"/>
            </w:tcBorders>
            <w:shd w:val="clear" w:color="auto" w:fill="FFFFFF"/>
          </w:tcPr>
          <w:p w:rsidR="00B21B73" w:rsidRPr="005729AB" w:rsidRDefault="00B21B73" w:rsidP="00482197">
            <w:pPr>
              <w:numPr>
                <w:ilvl w:val="0"/>
                <w:numId w:val="46"/>
              </w:numPr>
              <w:spacing w:before="0"/>
            </w:pPr>
            <w:r w:rsidRPr="005729AB">
              <w:t xml:space="preserve">Three accountable cash grants. </w:t>
            </w:r>
          </w:p>
        </w:tc>
        <w:tc>
          <w:tcPr>
            <w:tcW w:w="4712" w:type="dxa"/>
            <w:tcBorders>
              <w:left w:val="single" w:sz="4" w:space="0" w:color="FFFFFF"/>
              <w:bottom w:val="single" w:sz="4" w:space="0" w:color="FFFFFF"/>
            </w:tcBorders>
            <w:shd w:val="clear" w:color="auto" w:fill="FFFFFF"/>
          </w:tcPr>
          <w:p w:rsidR="00B21B73" w:rsidRPr="005729AB" w:rsidRDefault="00B21B73" w:rsidP="002E1C12">
            <w:pPr>
              <w:spacing w:before="0"/>
            </w:pPr>
          </w:p>
        </w:tc>
      </w:tr>
      <w:tr w:rsidR="00B21B73" w:rsidRPr="005729AB" w:rsidTr="002E1C12">
        <w:tc>
          <w:tcPr>
            <w:tcW w:w="2835" w:type="dxa"/>
            <w:tcBorders>
              <w:top w:val="single" w:sz="4" w:space="0" w:color="FFFFFF"/>
              <w:bottom w:val="single" w:sz="4" w:space="0" w:color="FFFFFF"/>
              <w:right w:val="single" w:sz="4" w:space="0" w:color="FFFFFF"/>
            </w:tcBorders>
            <w:shd w:val="clear" w:color="auto" w:fill="FFFFFF"/>
          </w:tcPr>
          <w:p w:rsidR="00B21B73" w:rsidRPr="00B21B73" w:rsidRDefault="00B21B73" w:rsidP="002E1C12">
            <w:pPr>
              <w:pStyle w:val="Bullet"/>
              <w:spacing w:before="0"/>
            </w:pPr>
            <w:r w:rsidRPr="00B21B73">
              <w:t>Preparation phase(2008/2010)</w:t>
            </w:r>
          </w:p>
        </w:tc>
        <w:tc>
          <w:tcPr>
            <w:tcW w:w="1134" w:type="dxa"/>
            <w:tcBorders>
              <w:top w:val="single" w:sz="4" w:space="0" w:color="FFFFFF"/>
              <w:left w:val="single" w:sz="4" w:space="0" w:color="FFFFFF"/>
              <w:bottom w:val="single" w:sz="4" w:space="0" w:color="FFFFFF"/>
              <w:right w:val="single" w:sz="4" w:space="0" w:color="FFFFFF"/>
            </w:tcBorders>
            <w:shd w:val="clear" w:color="auto" w:fill="FFFFFF"/>
          </w:tcPr>
          <w:p w:rsidR="00B21B73" w:rsidRPr="005729AB" w:rsidRDefault="00B21B73" w:rsidP="002E1C12">
            <w:pPr>
              <w:spacing w:before="0"/>
              <w:jc w:val="right"/>
            </w:pPr>
            <w:r w:rsidRPr="005729AB">
              <w:t>$0.399m</w:t>
            </w:r>
          </w:p>
        </w:tc>
        <w:tc>
          <w:tcPr>
            <w:tcW w:w="4712" w:type="dxa"/>
            <w:tcBorders>
              <w:top w:val="single" w:sz="4" w:space="0" w:color="FFFFFF"/>
              <w:left w:val="single" w:sz="4" w:space="0" w:color="FFFFFF"/>
              <w:bottom w:val="single" w:sz="4" w:space="0" w:color="FFFFFF"/>
            </w:tcBorders>
            <w:shd w:val="clear" w:color="auto" w:fill="FFFFFF"/>
          </w:tcPr>
          <w:p w:rsidR="00B21B73" w:rsidRPr="005729AB" w:rsidRDefault="00B21B73" w:rsidP="002E1C12">
            <w:pPr>
              <w:tabs>
                <w:tab w:val="right" w:pos="3929"/>
              </w:tabs>
              <w:spacing w:before="0"/>
            </w:pPr>
            <w:r w:rsidRPr="005729AB">
              <w:t xml:space="preserve">Refine the first </w:t>
            </w:r>
            <w:r>
              <w:t>SLJS Strategic Plan</w:t>
            </w:r>
            <w:r w:rsidRPr="005729AB">
              <w:t xml:space="preserve"> </w:t>
            </w:r>
            <w:r>
              <w:tab/>
            </w:r>
          </w:p>
          <w:p w:rsidR="00B21B73" w:rsidRPr="005729AB" w:rsidRDefault="00B21B73" w:rsidP="002E1C12">
            <w:pPr>
              <w:spacing w:before="0"/>
            </w:pPr>
            <w:r w:rsidRPr="005729AB">
              <w:t>Establish the Secretariat</w:t>
            </w:r>
          </w:p>
          <w:p w:rsidR="00B21B73" w:rsidRPr="005729AB" w:rsidRDefault="00B21B73" w:rsidP="002E1C12">
            <w:pPr>
              <w:spacing w:before="0"/>
            </w:pPr>
            <w:r w:rsidRPr="005729AB">
              <w:t>Medium Term Expenditure Framework</w:t>
            </w:r>
          </w:p>
          <w:p w:rsidR="00B21B73" w:rsidRPr="005729AB" w:rsidRDefault="00B21B73" w:rsidP="002E1C12">
            <w:pPr>
              <w:spacing w:before="0"/>
            </w:pPr>
            <w:r w:rsidRPr="005729AB">
              <w:t>Performance Monitoring Framework</w:t>
            </w:r>
          </w:p>
          <w:p w:rsidR="00B21B73" w:rsidRPr="005729AB" w:rsidRDefault="00B21B73" w:rsidP="002E1C12">
            <w:pPr>
              <w:spacing w:before="0"/>
            </w:pPr>
            <w:r w:rsidRPr="005729AB">
              <w:t xml:space="preserve">HR </w:t>
            </w:r>
            <w:r>
              <w:t>and</w:t>
            </w:r>
            <w:r w:rsidRPr="005729AB">
              <w:t xml:space="preserve"> ICT Assessment across the sector</w:t>
            </w:r>
          </w:p>
        </w:tc>
      </w:tr>
      <w:tr w:rsidR="00B21B73" w:rsidRPr="005729AB" w:rsidTr="002E1C12">
        <w:tc>
          <w:tcPr>
            <w:tcW w:w="2835" w:type="dxa"/>
            <w:tcBorders>
              <w:top w:val="single" w:sz="4" w:space="0" w:color="FFFFFF"/>
              <w:bottom w:val="single" w:sz="4" w:space="0" w:color="FFFFFF"/>
              <w:right w:val="single" w:sz="4" w:space="0" w:color="FFFFFF"/>
            </w:tcBorders>
            <w:shd w:val="clear" w:color="auto" w:fill="FFFFFF"/>
          </w:tcPr>
          <w:p w:rsidR="00B21B73" w:rsidRPr="00B21B73" w:rsidRDefault="00B21B73" w:rsidP="002E1C12">
            <w:pPr>
              <w:pStyle w:val="Bullet"/>
              <w:spacing w:before="0"/>
            </w:pPr>
            <w:r w:rsidRPr="00B21B73">
              <w:t>Implementation of project activities under the Sectoral Plan  in</w:t>
            </w:r>
            <w:r>
              <w:t>:</w:t>
            </w:r>
          </w:p>
          <w:p w:rsidR="00B21B73" w:rsidRPr="00B21B73" w:rsidRDefault="00B21B73" w:rsidP="002E1C12">
            <w:pPr>
              <w:pStyle w:val="Bullet"/>
              <w:spacing w:before="0"/>
            </w:pPr>
            <w:r w:rsidRPr="00B21B73">
              <w:t>2010</w:t>
            </w:r>
          </w:p>
        </w:tc>
        <w:tc>
          <w:tcPr>
            <w:tcW w:w="1134" w:type="dxa"/>
            <w:tcBorders>
              <w:top w:val="single" w:sz="4" w:space="0" w:color="FFFFFF"/>
              <w:left w:val="single" w:sz="4" w:space="0" w:color="FFFFFF"/>
              <w:bottom w:val="single" w:sz="4" w:space="0" w:color="FFFFFF"/>
              <w:right w:val="single" w:sz="4" w:space="0" w:color="FFFFFF"/>
            </w:tcBorders>
            <w:shd w:val="clear" w:color="auto" w:fill="FFFFFF"/>
            <w:vAlign w:val="bottom"/>
          </w:tcPr>
          <w:p w:rsidR="00B21B73" w:rsidRPr="005729AB" w:rsidRDefault="00B21B73" w:rsidP="002E1C12">
            <w:pPr>
              <w:spacing w:before="0"/>
              <w:jc w:val="right"/>
            </w:pPr>
            <w:r w:rsidRPr="005729AB">
              <w:t>$0.5m</w:t>
            </w:r>
          </w:p>
        </w:tc>
        <w:tc>
          <w:tcPr>
            <w:tcW w:w="4712" w:type="dxa"/>
            <w:vMerge w:val="restart"/>
            <w:tcBorders>
              <w:top w:val="single" w:sz="4" w:space="0" w:color="FFFFFF"/>
              <w:left w:val="single" w:sz="4" w:space="0" w:color="FFFFFF"/>
              <w:bottom w:val="single" w:sz="4" w:space="0" w:color="FFFFFF"/>
            </w:tcBorders>
            <w:shd w:val="clear" w:color="auto" w:fill="FFFFFF"/>
            <w:vAlign w:val="bottom"/>
          </w:tcPr>
          <w:p w:rsidR="00B21B73" w:rsidRPr="005729AB" w:rsidRDefault="00B21B73" w:rsidP="002E1C12">
            <w:pPr>
              <w:spacing w:before="0"/>
            </w:pPr>
            <w:r w:rsidRPr="005729AB">
              <w:t>Implementation of project activities under the Sectoral Plan (subsequently amended to the Secretariat</w:t>
            </w:r>
            <w:r>
              <w:t>’</w:t>
            </w:r>
            <w:r w:rsidRPr="005729AB">
              <w:t xml:space="preserve">s operations </w:t>
            </w:r>
            <w:smartTag w:uri="urn:schemas-microsoft-com:office:smarttags" w:element="PersonName">
              <w:r w:rsidRPr="005729AB">
                <w:t>and</w:t>
              </w:r>
            </w:smartTag>
            <w:r w:rsidRPr="005729AB">
              <w:t xml:space="preserve"> four projects in support of the prison </w:t>
            </w:r>
            <w:smartTag w:uri="urn:schemas-microsoft-com:office:smarttags" w:element="PersonName">
              <w:r w:rsidRPr="005729AB">
                <w:t>and</w:t>
              </w:r>
            </w:smartTag>
            <w:r w:rsidRPr="005729AB">
              <w:t xml:space="preserve"> its operations </w:t>
            </w:r>
            <w:smartTag w:uri="urn:schemas-microsoft-com:office:smarttags" w:element="PersonName">
              <w:r w:rsidRPr="005729AB">
                <w:t>and</w:t>
              </w:r>
            </w:smartTag>
            <w:r w:rsidRPr="005729AB">
              <w:t xml:space="preserve"> two projects to improve access to justice through supporting systems)</w:t>
            </w:r>
          </w:p>
        </w:tc>
      </w:tr>
      <w:tr w:rsidR="00B21B73" w:rsidRPr="005729AB" w:rsidTr="002E1C12">
        <w:tc>
          <w:tcPr>
            <w:tcW w:w="2835" w:type="dxa"/>
            <w:tcBorders>
              <w:top w:val="single" w:sz="4" w:space="0" w:color="FFFFFF"/>
              <w:bottom w:val="single" w:sz="4" w:space="0" w:color="5B9BD5"/>
              <w:right w:val="single" w:sz="4" w:space="0" w:color="FFFFFF"/>
            </w:tcBorders>
            <w:shd w:val="clear" w:color="auto" w:fill="FFFFFF"/>
          </w:tcPr>
          <w:p w:rsidR="00B21B73" w:rsidRPr="005729AB" w:rsidRDefault="00B21B73" w:rsidP="002E1C12">
            <w:pPr>
              <w:pStyle w:val="Bullet"/>
              <w:spacing w:before="0"/>
            </w:pPr>
            <w:r w:rsidRPr="00B21B73">
              <w:t>2011</w:t>
            </w:r>
          </w:p>
        </w:tc>
        <w:tc>
          <w:tcPr>
            <w:tcW w:w="1134" w:type="dxa"/>
            <w:tcBorders>
              <w:top w:val="single" w:sz="4" w:space="0" w:color="FFFFFF"/>
              <w:left w:val="single" w:sz="4" w:space="0" w:color="FFFFFF"/>
              <w:bottom w:val="single" w:sz="4" w:space="0" w:color="5B9BD5"/>
              <w:right w:val="single" w:sz="4" w:space="0" w:color="FFFFFF"/>
            </w:tcBorders>
            <w:shd w:val="clear" w:color="auto" w:fill="FFFFFF"/>
          </w:tcPr>
          <w:p w:rsidR="00B21B73" w:rsidRPr="005729AB" w:rsidRDefault="00B21B73" w:rsidP="002E1C12">
            <w:pPr>
              <w:spacing w:before="0"/>
              <w:jc w:val="right"/>
            </w:pPr>
            <w:r w:rsidRPr="005729AB">
              <w:t>$0.5m</w:t>
            </w:r>
          </w:p>
        </w:tc>
        <w:tc>
          <w:tcPr>
            <w:tcW w:w="4712" w:type="dxa"/>
            <w:vMerge/>
            <w:tcBorders>
              <w:top w:val="single" w:sz="4" w:space="0" w:color="FFFFFF"/>
              <w:left w:val="single" w:sz="4" w:space="0" w:color="FFFFFF"/>
              <w:bottom w:val="single" w:sz="4" w:space="0" w:color="5B9BD5"/>
            </w:tcBorders>
            <w:shd w:val="clear" w:color="auto" w:fill="FFFFFF"/>
          </w:tcPr>
          <w:p w:rsidR="00B21B73" w:rsidRPr="005729AB" w:rsidRDefault="00B21B73" w:rsidP="002E1C12">
            <w:pPr>
              <w:spacing w:before="0"/>
            </w:pPr>
          </w:p>
        </w:tc>
      </w:tr>
      <w:tr w:rsidR="00B21B73" w:rsidRPr="005729AB" w:rsidTr="002E1C12">
        <w:tc>
          <w:tcPr>
            <w:tcW w:w="2835" w:type="dxa"/>
            <w:tcBorders>
              <w:top w:val="single" w:sz="4" w:space="0" w:color="5B9BD5"/>
            </w:tcBorders>
            <w:shd w:val="clear" w:color="auto" w:fill="FFFFFF"/>
          </w:tcPr>
          <w:p w:rsidR="00B21B73" w:rsidRPr="005729AB" w:rsidRDefault="00B21B73" w:rsidP="00482197">
            <w:pPr>
              <w:numPr>
                <w:ilvl w:val="0"/>
                <w:numId w:val="46"/>
              </w:numPr>
              <w:spacing w:before="0"/>
            </w:pPr>
            <w:r w:rsidRPr="005729AB">
              <w:t>Direct Funding Agreement (2012)</w:t>
            </w:r>
          </w:p>
        </w:tc>
        <w:tc>
          <w:tcPr>
            <w:tcW w:w="1134" w:type="dxa"/>
            <w:tcBorders>
              <w:top w:val="single" w:sz="4" w:space="0" w:color="5B9BD5"/>
            </w:tcBorders>
            <w:shd w:val="clear" w:color="auto" w:fill="FFFFFF"/>
          </w:tcPr>
          <w:p w:rsidR="00B21B73" w:rsidRPr="005729AB" w:rsidRDefault="00B21B73" w:rsidP="002E1C12">
            <w:pPr>
              <w:spacing w:before="0"/>
              <w:jc w:val="right"/>
            </w:pPr>
            <w:r w:rsidRPr="005729AB">
              <w:t xml:space="preserve">$2m </w:t>
            </w:r>
          </w:p>
        </w:tc>
        <w:tc>
          <w:tcPr>
            <w:tcW w:w="4712" w:type="dxa"/>
            <w:tcBorders>
              <w:top w:val="single" w:sz="4" w:space="0" w:color="5B9BD5"/>
            </w:tcBorders>
            <w:shd w:val="clear" w:color="auto" w:fill="FFFFFF"/>
          </w:tcPr>
          <w:p w:rsidR="00B21B73" w:rsidRPr="005729AB" w:rsidRDefault="00B21B73" w:rsidP="002E1C12">
            <w:pPr>
              <w:spacing w:before="0"/>
            </w:pPr>
            <w:r w:rsidRPr="005729AB">
              <w:t xml:space="preserve">Implementation of project activities under the </w:t>
            </w:r>
            <w:r>
              <w:t>SLJS Strategic</w:t>
            </w:r>
            <w:r w:rsidRPr="005729AB">
              <w:t xml:space="preserve"> Plan for 2011/12 year</w:t>
            </w:r>
            <w:r w:rsidRPr="005729AB">
              <w:rPr>
                <w:rStyle w:val="EndnoteReference"/>
                <w:rFonts w:eastAsia="MS ????"/>
                <w:sz w:val="18"/>
              </w:rPr>
              <w:endnoteReference w:id="63"/>
            </w:r>
            <w:r w:rsidRPr="005729AB">
              <w:t xml:space="preserve">. </w:t>
            </w:r>
          </w:p>
          <w:p w:rsidR="00B21B73" w:rsidRPr="005729AB" w:rsidRDefault="00B21B73" w:rsidP="002E1C12">
            <w:pPr>
              <w:spacing w:before="0"/>
            </w:pPr>
            <w:r w:rsidRPr="005729AB">
              <w:t>Review of Sector Plan (2008 – 2012).</w:t>
            </w:r>
          </w:p>
          <w:p w:rsidR="00B21B73" w:rsidRPr="005729AB" w:rsidRDefault="00B21B73" w:rsidP="002E1C12">
            <w:pPr>
              <w:spacing w:before="0"/>
            </w:pPr>
            <w:r w:rsidRPr="005729AB">
              <w:t>Development of Sector Plan (2012 – 2016).</w:t>
            </w:r>
          </w:p>
          <w:p w:rsidR="00B21B73" w:rsidRPr="005729AB" w:rsidRDefault="00B21B73" w:rsidP="002E1C12">
            <w:pPr>
              <w:spacing w:before="0"/>
            </w:pPr>
            <w:r w:rsidRPr="005729AB">
              <w:t>Secretariat operations</w:t>
            </w:r>
          </w:p>
        </w:tc>
      </w:tr>
      <w:tr w:rsidR="00B21B73" w:rsidRPr="005729AB" w:rsidTr="002E1C12">
        <w:tc>
          <w:tcPr>
            <w:tcW w:w="2835" w:type="dxa"/>
            <w:shd w:val="clear" w:color="auto" w:fill="FFFFFF"/>
          </w:tcPr>
          <w:p w:rsidR="00B21B73" w:rsidRPr="005729AB" w:rsidRDefault="00B21B73" w:rsidP="00482197">
            <w:pPr>
              <w:numPr>
                <w:ilvl w:val="0"/>
                <w:numId w:val="46"/>
              </w:numPr>
              <w:spacing w:before="0"/>
            </w:pPr>
            <w:r w:rsidRPr="005729AB">
              <w:t>Direct Funding Agreement (2013/4)</w:t>
            </w:r>
          </w:p>
        </w:tc>
        <w:tc>
          <w:tcPr>
            <w:tcW w:w="1134" w:type="dxa"/>
            <w:shd w:val="clear" w:color="auto" w:fill="FFFFFF"/>
          </w:tcPr>
          <w:p w:rsidR="00B21B73" w:rsidRPr="005729AB" w:rsidRDefault="00B21B73" w:rsidP="002E1C12">
            <w:pPr>
              <w:spacing w:before="0"/>
              <w:jc w:val="right"/>
            </w:pPr>
            <w:r>
              <w:t>$0</w:t>
            </w:r>
          </w:p>
        </w:tc>
        <w:tc>
          <w:tcPr>
            <w:tcW w:w="4712" w:type="dxa"/>
            <w:shd w:val="clear" w:color="auto" w:fill="FFFFFF"/>
          </w:tcPr>
          <w:p w:rsidR="00B21B73" w:rsidRPr="005729AB" w:rsidRDefault="00B21B73" w:rsidP="002E1C12">
            <w:pPr>
              <w:spacing w:before="0"/>
            </w:pPr>
            <w:r>
              <w:t xml:space="preserve">No additional funds received. </w:t>
            </w:r>
          </w:p>
        </w:tc>
      </w:tr>
    </w:tbl>
    <w:p w:rsidR="00E35570" w:rsidRDefault="00E35570" w:rsidP="00B21B73"/>
    <w:p w:rsidR="00E35570" w:rsidRDefault="00E35570" w:rsidP="00B21B73"/>
    <w:p w:rsidR="00B21B73" w:rsidRDefault="00B21B73" w:rsidP="00B21B73">
      <w:r>
        <w:lastRenderedPageBreak/>
        <w:t xml:space="preserve">These </w:t>
      </w:r>
      <w:r w:rsidRPr="003C4CC6">
        <w:t xml:space="preserve">funds were provided through grants to the </w:t>
      </w:r>
      <w:r w:rsidR="006E6F43">
        <w:t>Government of Samoa’s</w:t>
      </w:r>
      <w:r w:rsidRPr="003C4CC6">
        <w:t xml:space="preserve"> Ministry of Finance who in turn oversaw disbursal of funds to the law and justice sector in support of agreed law and justice sector activities. </w:t>
      </w:r>
    </w:p>
    <w:p w:rsidR="00B21B73" w:rsidRDefault="00B21B73" w:rsidP="00B21B73">
      <w:r>
        <w:t xml:space="preserve">The Samoa-Australia LJ Partnership (SALJP) design mission occurred in March 2013 (Aide Memoire, 2013). The intent was that the new design would commence in July 2014. However, across the SLJS there was a lack of clarity as to the purpose of this design mission </w:t>
      </w:r>
      <w:smartTag w:uri="urn:schemas-microsoft-com:office:smarttags" w:element="PersonName">
        <w:r>
          <w:t>and</w:t>
        </w:r>
      </w:smartTag>
      <w:r>
        <w:t xml:space="preserve"> the added value that the design (SLJS, 2013). </w:t>
      </w:r>
    </w:p>
    <w:p w:rsidR="00B21B73" w:rsidRDefault="00B21B73" w:rsidP="00B21B73">
      <w:r>
        <w:t xml:space="preserve">The design mission developed an underpinning </w:t>
      </w:r>
      <w:r w:rsidRPr="00CD5120">
        <w:t xml:space="preserve">Theory of </w:t>
      </w:r>
      <w:r>
        <w:t>C</w:t>
      </w:r>
      <w:r w:rsidRPr="00CD5120">
        <w:t>hange</w:t>
      </w:r>
      <w:r>
        <w:t xml:space="preserve"> (</w:t>
      </w:r>
      <w:proofErr w:type="spellStart"/>
      <w:r>
        <w:t>ToC</w:t>
      </w:r>
      <w:proofErr w:type="spellEnd"/>
      <w:r>
        <w:t xml:space="preserve">) for the support. This </w:t>
      </w:r>
      <w:proofErr w:type="spellStart"/>
      <w:r>
        <w:t>ToC</w:t>
      </w:r>
      <w:proofErr w:type="spellEnd"/>
      <w:r>
        <w:t xml:space="preserve"> was</w:t>
      </w:r>
      <w:r w:rsidRPr="00CD5120">
        <w:t xml:space="preserve">: </w:t>
      </w:r>
      <w:r>
        <w:t>“</w:t>
      </w:r>
      <w:r w:rsidRPr="00CD5120">
        <w:t xml:space="preserve">If capacitated and resourced </w:t>
      </w:r>
      <w:r>
        <w:t>Sector Agencies</w:t>
      </w:r>
      <w:r w:rsidRPr="00CD5120">
        <w:t xml:space="preserve"> and Civil Society Organisations (CSOs) coordinate planning, implementation and monitoring on a Sector-wide basis (in accordance with </w:t>
      </w:r>
      <w:r w:rsidR="006E6F43">
        <w:t>Samoan Government</w:t>
      </w:r>
      <w:r w:rsidRPr="00CD5120">
        <w:t xml:space="preserve"> sector planning and implementation requirements); provide services in an equitable, just and inclusive way; and if drivers of crime are addressed and conflicts are resolved in appropriate forums - then people in Samoa will live in a safe and secure environment, with reduced risk of poverty and increased empowerment for its citizens.</w:t>
      </w:r>
      <w:r>
        <w:t xml:space="preserve">” Interestingly, this </w:t>
      </w:r>
      <w:proofErr w:type="spellStart"/>
      <w:r>
        <w:t>ToC</w:t>
      </w:r>
      <w:proofErr w:type="spellEnd"/>
      <w:r>
        <w:t xml:space="preserve"> does not bear any correlation with that developed in the prior </w:t>
      </w:r>
      <w:proofErr w:type="spellStart"/>
      <w:r>
        <w:t>ToC</w:t>
      </w:r>
      <w:proofErr w:type="spellEnd"/>
      <w:r>
        <w:t xml:space="preserve"> Workshop (Clear Horizon, 2012). </w:t>
      </w:r>
    </w:p>
    <w:p w:rsidR="00B21B73" w:rsidRDefault="00B21B73" w:rsidP="00B21B73">
      <w:r>
        <w:t xml:space="preserve">To achieve the </w:t>
      </w:r>
      <w:proofErr w:type="spellStart"/>
      <w:r>
        <w:t>ToC</w:t>
      </w:r>
      <w:proofErr w:type="spellEnd"/>
      <w:r>
        <w:t xml:space="preserve">, the design draft proposed three Components: strengthening sector planning </w:t>
      </w:r>
      <w:smartTag w:uri="urn:schemas-microsoft-com:office:smarttags" w:element="PersonName">
        <w:r>
          <w:t>and</w:t>
        </w:r>
      </w:smartTag>
      <w:r>
        <w:t xml:space="preserve"> implementation</w:t>
      </w:r>
      <w:r w:rsidRPr="001D7055">
        <w:t xml:space="preserve"> </w:t>
      </w:r>
      <w:r>
        <w:t xml:space="preserve">(achieved through a series of outputs that would support sector wide planning </w:t>
      </w:r>
      <w:smartTag w:uri="urn:schemas-microsoft-com:office:smarttags" w:element="PersonName">
        <w:r>
          <w:t>and</w:t>
        </w:r>
      </w:smartTag>
      <w:r>
        <w:t xml:space="preserve"> implementation), enhanced delivery of justice </w:t>
      </w:r>
      <w:smartTag w:uri="urn:schemas-microsoft-com:office:smarttags" w:element="PersonName">
        <w:r>
          <w:t>and</w:t>
        </w:r>
      </w:smartTag>
      <w:r>
        <w:t xml:space="preserve"> legal services; </w:t>
      </w:r>
      <w:smartTag w:uri="urn:schemas-microsoft-com:office:smarttags" w:element="PersonName">
        <w:r>
          <w:t>and</w:t>
        </w:r>
      </w:smartTag>
      <w:r>
        <w:t xml:space="preserve"> research, M&amp;E </w:t>
      </w:r>
      <w:smartTag w:uri="urn:schemas-microsoft-com:office:smarttags" w:element="PersonName">
        <w:r>
          <w:t>and</w:t>
        </w:r>
      </w:smartTag>
      <w:r>
        <w:t xml:space="preserve"> analysis to inform policy development </w:t>
      </w:r>
      <w:smartTag w:uri="urn:schemas-microsoft-com:office:smarttags" w:element="PersonName">
        <w:r>
          <w:t>and</w:t>
        </w:r>
      </w:smartTag>
      <w:r>
        <w:t xml:space="preserve"> implementation. A budget of $4m over three years was proposed.  The aide memoire identified a number of key issues that the design needed to address. These were:</w:t>
      </w:r>
    </w:p>
    <w:p w:rsidR="00B21B73" w:rsidRDefault="00B21B73" w:rsidP="00B21B73">
      <w:pPr>
        <w:pStyle w:val="Bullet"/>
      </w:pPr>
      <w:r>
        <w:t xml:space="preserve">Improved accountability for processes (to address non-compliance with </w:t>
      </w:r>
      <w:r w:rsidR="006E6F43">
        <w:t>Samoan Government</w:t>
      </w:r>
      <w:r>
        <w:t xml:space="preserve"> procurement processes) and results (increase Steering Committee focus on policy dialogue and coordination rather than simply processes associated with expenditure of donor funding).</w:t>
      </w:r>
    </w:p>
    <w:p w:rsidR="00B21B73" w:rsidRDefault="00B21B73" w:rsidP="00B21B73">
      <w:pPr>
        <w:pStyle w:val="Bullet"/>
      </w:pPr>
      <w:r>
        <w:t xml:space="preserve">Evidence driven planning </w:t>
      </w:r>
      <w:smartTag w:uri="urn:schemas-microsoft-com:office:smarttags" w:element="PersonName">
        <w:r>
          <w:t>and</w:t>
        </w:r>
      </w:smartTag>
      <w:r>
        <w:t xml:space="preserve"> programmatic implementation (data, M&amp;E, analysis, reporting). Greater focus on linkages from activity through output, outcome </w:t>
      </w:r>
      <w:smartTag w:uri="urn:schemas-microsoft-com:office:smarttags" w:element="PersonName">
        <w:r>
          <w:t>and</w:t>
        </w:r>
      </w:smartTag>
      <w:r>
        <w:t xml:space="preserve"> goal. </w:t>
      </w:r>
    </w:p>
    <w:p w:rsidR="00B21B73" w:rsidRDefault="00B21B73" w:rsidP="00B21B73">
      <w:pPr>
        <w:pStyle w:val="Bullet"/>
      </w:pPr>
      <w:r>
        <w:t xml:space="preserve">Strategic coherence across the sector. The design suggested that the Secretariat’s role be clarified to have greater focus on strategic planning </w:t>
      </w:r>
      <w:smartTag w:uri="urn:schemas-microsoft-com:office:smarttags" w:element="PersonName">
        <w:r>
          <w:t>and</w:t>
        </w:r>
      </w:smartTag>
      <w:r>
        <w:t xml:space="preserve"> decision making rather than only coordination. In addition, greater linkage between </w:t>
      </w:r>
      <w:r w:rsidR="006E6F43">
        <w:t xml:space="preserve">the Governments of </w:t>
      </w:r>
      <w:r>
        <w:t>A</w:t>
      </w:r>
      <w:r w:rsidR="006E6F43">
        <w:t xml:space="preserve">ustralia and </w:t>
      </w:r>
      <w:r>
        <w:t>S</w:t>
      </w:r>
      <w:r w:rsidR="006E6F43">
        <w:t>amoa</w:t>
      </w:r>
      <w:r>
        <w:t xml:space="preserve"> funded activities in the sector. </w:t>
      </w:r>
    </w:p>
    <w:p w:rsidR="00B21B73" w:rsidRDefault="00B21B73" w:rsidP="00B21B73">
      <w:r>
        <w:t>The details related to this design mission are di</w:t>
      </w:r>
      <w:r w:rsidR="006E6F43">
        <w:t>scu</w:t>
      </w:r>
      <w:r>
        <w:t xml:space="preserve">ssed further in the section on efficiency. However, </w:t>
      </w:r>
      <w:r w:rsidR="006E6F43">
        <w:t>the Australian Government</w:t>
      </w:r>
      <w:r w:rsidRPr="003C4CC6">
        <w:t xml:space="preserve"> and the sector were unable to reach agreement on the direction proposed by the design team and mutually agreed to ce</w:t>
      </w:r>
      <w:r>
        <w:t>ase the design process. At high-</w:t>
      </w:r>
      <w:r w:rsidRPr="003C4CC6">
        <w:t xml:space="preserve">level aid talks in December 2013 the Australian </w:t>
      </w:r>
      <w:smartTag w:uri="urn:schemas-microsoft-com:office:smarttags" w:element="PersonName">
        <w:r w:rsidRPr="003C4CC6">
          <w:t>and</w:t>
        </w:r>
      </w:smartTag>
      <w:r w:rsidRPr="003C4CC6">
        <w:t xml:space="preserve"> Samoan governments agreed that further support for law </w:t>
      </w:r>
      <w:smartTag w:uri="urn:schemas-microsoft-com:office:smarttags" w:element="PersonName">
        <w:r w:rsidRPr="003C4CC6">
          <w:t>and</w:t>
        </w:r>
      </w:smartTag>
      <w:r w:rsidRPr="003C4CC6">
        <w:t xml:space="preserve"> justice would be considered in the context of the range of aid program priorities when setting a new country strategy for Samoa. </w:t>
      </w:r>
      <w:r>
        <w:t>Subsequently,</w:t>
      </w:r>
      <w:r w:rsidRPr="003C4CC6">
        <w:t xml:space="preserve"> the Australian aid program globally through a period of change</w:t>
      </w:r>
      <w:r>
        <w:t>. I</w:t>
      </w:r>
      <w:r w:rsidRPr="003C4CC6">
        <w:t xml:space="preserve">n recognition of the need to consolidate Australian aid activities at the country level Australia is unable to commit to further broad-scale support to the </w:t>
      </w:r>
      <w:r>
        <w:t>SLJS. At high-</w:t>
      </w:r>
      <w:r w:rsidRPr="003C4CC6">
        <w:t>level aid talks in December 2014 both governments agreed to jointly commission an independent review at the conclusion of the current funding agreement (December 2014) to assess the effectiveness of Australian assistance to the sector to date.</w:t>
      </w:r>
    </w:p>
    <w:p w:rsidR="00AC3268" w:rsidRDefault="00AC3268" w:rsidP="004902E0">
      <w:pPr>
        <w:pStyle w:val="AppendixHeading1"/>
      </w:pPr>
      <w:bookmarkStart w:id="87" w:name="_Toc431828809"/>
      <w:r>
        <w:lastRenderedPageBreak/>
        <w:t>Theory of Change</w:t>
      </w:r>
      <w:bookmarkEnd w:id="87"/>
    </w:p>
    <w:p w:rsidR="009D53A7" w:rsidRDefault="009D53A7" w:rsidP="009D53A7">
      <w:r>
        <w:t xml:space="preserve">The following represent the implicit theory of changes underpinning the SLJS Strategic Plans to date. </w:t>
      </w:r>
    </w:p>
    <w:p w:rsidR="00055EC8" w:rsidRDefault="00DF2B6A" w:rsidP="009D53A7">
      <w:r>
        <w:rPr>
          <w:noProof/>
          <w:lang w:eastAsia="en-AU"/>
        </w:rPr>
        <w:drawing>
          <wp:inline distT="0" distB="0" distL="0" distR="0" wp14:anchorId="08C28B77" wp14:editId="2A6D1498">
            <wp:extent cx="6289675" cy="46120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89675" cy="4612005"/>
                    </a:xfrm>
                    <a:prstGeom prst="rect">
                      <a:avLst/>
                    </a:prstGeom>
                    <a:noFill/>
                    <a:ln>
                      <a:noFill/>
                    </a:ln>
                  </pic:spPr>
                </pic:pic>
              </a:graphicData>
            </a:graphic>
          </wp:inline>
        </w:drawing>
      </w:r>
    </w:p>
    <w:p w:rsidR="00055EC8" w:rsidRDefault="00DF2B6A" w:rsidP="009D53A7">
      <w:r>
        <w:rPr>
          <w:noProof/>
          <w:lang w:eastAsia="en-AU"/>
        </w:rPr>
        <w:lastRenderedPageBreak/>
        <w:drawing>
          <wp:inline distT="0" distB="0" distL="0" distR="0" wp14:anchorId="35BBE62F" wp14:editId="047A602F">
            <wp:extent cx="6289675" cy="551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89675" cy="5518150"/>
                    </a:xfrm>
                    <a:prstGeom prst="rect">
                      <a:avLst/>
                    </a:prstGeom>
                    <a:noFill/>
                    <a:ln>
                      <a:noFill/>
                    </a:ln>
                  </pic:spPr>
                </pic:pic>
              </a:graphicData>
            </a:graphic>
          </wp:inline>
        </w:drawing>
      </w:r>
    </w:p>
    <w:p w:rsidR="00055EC8" w:rsidRDefault="00DF2B6A" w:rsidP="009D53A7">
      <w:r>
        <w:rPr>
          <w:noProof/>
          <w:lang w:eastAsia="en-AU"/>
        </w:rPr>
        <w:lastRenderedPageBreak/>
        <w:drawing>
          <wp:inline distT="0" distB="0" distL="0" distR="0" wp14:anchorId="65C8AD02" wp14:editId="5EA21FEF">
            <wp:extent cx="5989320" cy="482394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88193" cy="4823038"/>
                    </a:xfrm>
                    <a:prstGeom prst="rect">
                      <a:avLst/>
                    </a:prstGeom>
                    <a:noFill/>
                    <a:ln>
                      <a:noFill/>
                    </a:ln>
                  </pic:spPr>
                </pic:pic>
              </a:graphicData>
            </a:graphic>
          </wp:inline>
        </w:drawing>
      </w:r>
      <w:r>
        <w:rPr>
          <w:noProof/>
          <w:lang w:eastAsia="en-AU"/>
        </w:rPr>
        <w:lastRenderedPageBreak/>
        <w:drawing>
          <wp:inline distT="0" distB="0" distL="0" distR="0" wp14:anchorId="0CAFF77B" wp14:editId="55B5F37D">
            <wp:extent cx="6273800" cy="50571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73800" cy="5057140"/>
                    </a:xfrm>
                    <a:prstGeom prst="rect">
                      <a:avLst/>
                    </a:prstGeom>
                    <a:noFill/>
                    <a:ln>
                      <a:noFill/>
                    </a:ln>
                  </pic:spPr>
                </pic:pic>
              </a:graphicData>
            </a:graphic>
          </wp:inline>
        </w:drawing>
      </w:r>
    </w:p>
    <w:p w:rsidR="00055EC8" w:rsidRDefault="00DF2B6A" w:rsidP="009D53A7">
      <w:r>
        <w:rPr>
          <w:noProof/>
          <w:lang w:eastAsia="en-AU"/>
        </w:rPr>
        <w:lastRenderedPageBreak/>
        <w:drawing>
          <wp:inline distT="0" distB="0" distL="0" distR="0" wp14:anchorId="404AD907" wp14:editId="1274BA7C">
            <wp:extent cx="6337300" cy="48266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37300" cy="4826635"/>
                    </a:xfrm>
                    <a:prstGeom prst="rect">
                      <a:avLst/>
                    </a:prstGeom>
                    <a:noFill/>
                    <a:ln>
                      <a:noFill/>
                    </a:ln>
                  </pic:spPr>
                </pic:pic>
              </a:graphicData>
            </a:graphic>
          </wp:inline>
        </w:drawing>
      </w:r>
    </w:p>
    <w:p w:rsidR="00C224CD" w:rsidRDefault="00C224CD" w:rsidP="00786852">
      <w:pPr>
        <w:pStyle w:val="AppendixHeading1"/>
      </w:pPr>
      <w:bookmarkStart w:id="88" w:name="_Toc431828810"/>
      <w:r>
        <w:lastRenderedPageBreak/>
        <w:t>Principles to improve effectiveness of future Australian support</w:t>
      </w:r>
      <w:bookmarkEnd w:id="88"/>
    </w:p>
    <w:p w:rsidR="00C224CD" w:rsidRDefault="00C224CD" w:rsidP="00C224CD">
      <w:r>
        <w:t xml:space="preserve">Australia has </w:t>
      </w:r>
      <w:r w:rsidRPr="00C85EB6">
        <w:t xml:space="preserve">identified that </w:t>
      </w:r>
      <w:r>
        <w:t>it</w:t>
      </w:r>
      <w:r w:rsidRPr="007067CB">
        <w:t xml:space="preserve"> will</w:t>
      </w:r>
      <w:r>
        <w:t xml:space="preserve"> not be continuing sectoral-based support to the SLJS. However, </w:t>
      </w:r>
      <w:r w:rsidR="006E6F43">
        <w:t>the Australian Government</w:t>
      </w:r>
      <w:r>
        <w:t xml:space="preserve"> has indicated that they remain supportive of the SLJS. Consequently, </w:t>
      </w:r>
      <w:r w:rsidR="006E6F43">
        <w:t xml:space="preserve">the Australian Government </w:t>
      </w:r>
      <w:r>
        <w:t xml:space="preserve">would like to identify how to maximise the effectiveness of the limited support they may provide in the future. In line with this, this Appendix provides some principles that would improve the effectiveness of support provided. </w:t>
      </w:r>
    </w:p>
    <w:p w:rsidR="00C224CD" w:rsidRPr="00786852" w:rsidRDefault="00C224CD" w:rsidP="00786852">
      <w:pPr>
        <w:pStyle w:val="Bodynumberedindent"/>
        <w:numPr>
          <w:ilvl w:val="0"/>
          <w:numId w:val="54"/>
        </w:numPr>
        <w:spacing w:before="200" w:line="240" w:lineRule="auto"/>
        <w:rPr>
          <w:rFonts w:ascii="Calibri" w:hAnsi="Calibri"/>
          <w:sz w:val="24"/>
        </w:rPr>
      </w:pPr>
      <w:r w:rsidRPr="00786852">
        <w:rPr>
          <w:rFonts w:ascii="Calibri" w:hAnsi="Calibri"/>
          <w:b/>
          <w:sz w:val="24"/>
        </w:rPr>
        <w:t xml:space="preserve">Direct all Australian support to activities that are included in the SLJS Strategic Plan. </w:t>
      </w:r>
      <w:r w:rsidRPr="00786852">
        <w:rPr>
          <w:rFonts w:ascii="Calibri" w:hAnsi="Calibri"/>
          <w:sz w:val="24"/>
        </w:rPr>
        <w:t xml:space="preserve">At present, much of the support provided by Australia and other donors does not consider the SLJS Strategic Plan. If donors believe that a sectoral approach is important, then they should base their own support on the SLJS Strategic Plan. If this is not done, the message conveyed is that the SLJS Strategic Plan is not important. In addition, it risks the donor driving the initiative rather than Samoa. </w:t>
      </w:r>
    </w:p>
    <w:p w:rsidR="00C224CD" w:rsidRPr="004A22E3" w:rsidRDefault="00C224CD" w:rsidP="00C224CD">
      <w:pPr>
        <w:pStyle w:val="Bodynumberedindent"/>
        <w:spacing w:before="200" w:line="240" w:lineRule="auto"/>
        <w:rPr>
          <w:rFonts w:ascii="Calibri" w:hAnsi="Calibri"/>
          <w:sz w:val="24"/>
        </w:rPr>
      </w:pPr>
      <w:r w:rsidRPr="004A22E3">
        <w:rPr>
          <w:rFonts w:ascii="Calibri" w:hAnsi="Calibri"/>
          <w:b/>
          <w:sz w:val="24"/>
        </w:rPr>
        <w:t>Use support to develop the SLJS.</w:t>
      </w:r>
      <w:r w:rsidRPr="004A22E3">
        <w:rPr>
          <w:rFonts w:ascii="Calibri" w:hAnsi="Calibri"/>
          <w:sz w:val="24"/>
        </w:rPr>
        <w:t xml:space="preserve"> This may impact the way in which support is provided. For example, provision of matched funding would encourage S</w:t>
      </w:r>
      <w:r w:rsidR="006E6F43">
        <w:rPr>
          <w:rFonts w:ascii="Calibri" w:hAnsi="Calibri"/>
          <w:sz w:val="24"/>
        </w:rPr>
        <w:t>amoan Government</w:t>
      </w:r>
      <w:r w:rsidRPr="004A22E3">
        <w:rPr>
          <w:rFonts w:ascii="Calibri" w:hAnsi="Calibri"/>
          <w:sz w:val="24"/>
        </w:rPr>
        <w:t xml:space="preserve"> to fund the sector.  </w:t>
      </w:r>
    </w:p>
    <w:p w:rsidR="00C224CD" w:rsidRPr="004A22E3" w:rsidRDefault="00C224CD" w:rsidP="00C224CD">
      <w:pPr>
        <w:pStyle w:val="Bodynumberedindent"/>
        <w:spacing w:before="200" w:line="240" w:lineRule="auto"/>
        <w:rPr>
          <w:rFonts w:ascii="Calibri" w:hAnsi="Calibri"/>
          <w:sz w:val="24"/>
        </w:rPr>
      </w:pPr>
      <w:r w:rsidRPr="004A22E3">
        <w:rPr>
          <w:rFonts w:ascii="Calibri" w:hAnsi="Calibri"/>
          <w:b/>
          <w:sz w:val="24"/>
        </w:rPr>
        <w:t xml:space="preserve">Support specific strategic elements of the SLJS Strategic Plan that require all SA to work together. </w:t>
      </w:r>
      <w:r w:rsidRPr="004A22E3">
        <w:rPr>
          <w:rFonts w:ascii="Calibri" w:hAnsi="Calibri"/>
          <w:sz w:val="24"/>
        </w:rPr>
        <w:t xml:space="preserve">When the Crime Prevention Strategy is developed, </w:t>
      </w:r>
      <w:r w:rsidR="006E6F43" w:rsidRPr="006E6F43">
        <w:rPr>
          <w:rFonts w:ascii="Calibri" w:hAnsi="Calibri"/>
          <w:sz w:val="24"/>
        </w:rPr>
        <w:t>the Australian Government</w:t>
      </w:r>
      <w:r w:rsidR="006E6F43">
        <w:t xml:space="preserve"> </w:t>
      </w:r>
      <w:r w:rsidRPr="004A22E3">
        <w:rPr>
          <w:rFonts w:ascii="Calibri" w:hAnsi="Calibri"/>
          <w:sz w:val="24"/>
        </w:rPr>
        <w:t xml:space="preserve">may choose to support specific elements of this strategy within the broader Strategic Plan. </w:t>
      </w:r>
    </w:p>
    <w:p w:rsidR="00C224CD" w:rsidRPr="006E6F43" w:rsidRDefault="00C224CD" w:rsidP="006E6F43">
      <w:pPr>
        <w:pStyle w:val="Bodynumberedindent"/>
        <w:rPr>
          <w:rFonts w:ascii="Calibri" w:hAnsi="Calibri"/>
          <w:sz w:val="24"/>
        </w:rPr>
      </w:pPr>
      <w:r w:rsidRPr="006E6F43">
        <w:rPr>
          <w:rFonts w:ascii="Calibri" w:hAnsi="Calibri"/>
          <w:b/>
          <w:sz w:val="24"/>
        </w:rPr>
        <w:t xml:space="preserve">Support specific themes within the SLJS Strategic Plan that align with </w:t>
      </w:r>
      <w:r w:rsidR="006E6F43" w:rsidRPr="006E6F43">
        <w:rPr>
          <w:rFonts w:ascii="Calibri" w:hAnsi="Calibri"/>
          <w:b/>
          <w:sz w:val="24"/>
        </w:rPr>
        <w:t xml:space="preserve">the Australian Government </w:t>
      </w:r>
      <w:r w:rsidRPr="006E6F43">
        <w:rPr>
          <w:rFonts w:ascii="Calibri" w:hAnsi="Calibri"/>
          <w:b/>
          <w:sz w:val="24"/>
        </w:rPr>
        <w:t>policy.</w:t>
      </w:r>
      <w:r w:rsidRPr="004A22E3">
        <w:rPr>
          <w:b/>
        </w:rPr>
        <w:t xml:space="preserve"> </w:t>
      </w:r>
      <w:r w:rsidRPr="006E6F43">
        <w:rPr>
          <w:rFonts w:ascii="Calibri" w:hAnsi="Calibri"/>
          <w:sz w:val="24"/>
        </w:rPr>
        <w:t xml:space="preserve">For example, support to initiatives designed to address family violence. However, if this approach is adopted, care must be taken to ensure that the support provided does not distort the sectors work. This could come about where there is a focus on a theme such as domestic violence or disability by multiple donors. </w:t>
      </w:r>
    </w:p>
    <w:p w:rsidR="00C224CD" w:rsidRPr="004A22E3" w:rsidRDefault="00C224CD" w:rsidP="00C224CD">
      <w:pPr>
        <w:pStyle w:val="Bodynumberedindent"/>
        <w:spacing w:before="200" w:line="240" w:lineRule="auto"/>
        <w:rPr>
          <w:rFonts w:ascii="Calibri" w:hAnsi="Calibri"/>
          <w:sz w:val="24"/>
        </w:rPr>
      </w:pPr>
      <w:r w:rsidRPr="004A22E3">
        <w:rPr>
          <w:rFonts w:ascii="Calibri" w:hAnsi="Calibri"/>
          <w:b/>
          <w:sz w:val="24"/>
        </w:rPr>
        <w:t xml:space="preserve">Support areas where Australia has relevant expertise not available in Samoa. </w:t>
      </w:r>
      <w:r w:rsidRPr="004A22E3">
        <w:rPr>
          <w:rFonts w:ascii="Calibri" w:hAnsi="Calibri"/>
          <w:sz w:val="24"/>
        </w:rPr>
        <w:t xml:space="preserve">If the skills are available in Samoa, Australia adds little value in supporting these areas (unless the only missing element is funds). However, </w:t>
      </w:r>
      <w:r>
        <w:rPr>
          <w:rFonts w:ascii="Calibri" w:hAnsi="Calibri"/>
          <w:sz w:val="24"/>
        </w:rPr>
        <w:t>this review found</w:t>
      </w:r>
      <w:r w:rsidRPr="004A22E3">
        <w:rPr>
          <w:rFonts w:ascii="Calibri" w:hAnsi="Calibri"/>
          <w:sz w:val="24"/>
        </w:rPr>
        <w:t xml:space="preserve"> strong evidence that coaches providing multiple inputs over a long period (thus establishing relationships based on mutual understanding and respect) were very effective as were workplace attachments to Australia and New Zealand. </w:t>
      </w:r>
    </w:p>
    <w:p w:rsidR="00C224CD" w:rsidRPr="004A22E3" w:rsidRDefault="00C224CD" w:rsidP="00C224CD">
      <w:pPr>
        <w:pStyle w:val="Bodynumberedindent"/>
        <w:spacing w:before="200" w:line="240" w:lineRule="auto"/>
        <w:rPr>
          <w:rFonts w:ascii="Calibri" w:hAnsi="Calibri"/>
          <w:sz w:val="24"/>
        </w:rPr>
      </w:pPr>
      <w:r w:rsidRPr="004A22E3">
        <w:rPr>
          <w:rFonts w:ascii="Calibri" w:hAnsi="Calibri"/>
          <w:b/>
          <w:sz w:val="24"/>
        </w:rPr>
        <w:t>Only support projects that fall into one of the three success groups</w:t>
      </w:r>
      <w:r w:rsidRPr="004A22E3">
        <w:rPr>
          <w:rFonts w:ascii="Calibri" w:hAnsi="Calibri"/>
          <w:sz w:val="24"/>
        </w:rPr>
        <w:t xml:space="preserve"> (too hard without sector approach, important items that have been desired for years but not eventuated, critical but not publically popular). </w:t>
      </w:r>
    </w:p>
    <w:p w:rsidR="00C224CD" w:rsidRPr="00303359" w:rsidRDefault="00C224CD" w:rsidP="00C224CD">
      <w:pPr>
        <w:pStyle w:val="Bodynumberedindent"/>
        <w:spacing w:before="200" w:line="240" w:lineRule="auto"/>
        <w:rPr>
          <w:rFonts w:ascii="Calibri" w:hAnsi="Calibri"/>
          <w:sz w:val="24"/>
        </w:rPr>
      </w:pPr>
      <w:r w:rsidRPr="004A22E3">
        <w:rPr>
          <w:rFonts w:ascii="Calibri" w:hAnsi="Calibri"/>
          <w:b/>
          <w:sz w:val="24"/>
        </w:rPr>
        <w:t xml:space="preserve">Ensure that support provided is underpinned by a relationship based upon mutual respect and understanding. </w:t>
      </w:r>
    </w:p>
    <w:p w:rsidR="00C224CD" w:rsidRDefault="00C224CD" w:rsidP="00786852">
      <w:pPr>
        <w:pStyle w:val="BodyText"/>
      </w:pPr>
    </w:p>
    <w:p w:rsidR="009971CE" w:rsidRDefault="009971CE" w:rsidP="009971CE">
      <w:pPr>
        <w:pStyle w:val="AppendixHeading1"/>
      </w:pPr>
      <w:bookmarkStart w:id="89" w:name="_Toc431828811"/>
      <w:r>
        <w:lastRenderedPageBreak/>
        <w:t>Areas in which the SLJS can be strengthened.</w:t>
      </w:r>
      <w:bookmarkEnd w:id="89"/>
      <w:r>
        <w:t xml:space="preserve"> </w:t>
      </w:r>
    </w:p>
    <w:p w:rsidR="009971CE" w:rsidRDefault="009971CE" w:rsidP="009971CE">
      <w:pPr>
        <w:pStyle w:val="BodyText1"/>
      </w:pPr>
      <w:r>
        <w:t>While the Sector has been established, there remain a number of areas where it can be further strengthened. These include:</w:t>
      </w:r>
    </w:p>
    <w:p w:rsidR="009971CE" w:rsidRDefault="009971CE" w:rsidP="009971CE">
      <w:pPr>
        <w:pStyle w:val="Bullet"/>
      </w:pPr>
      <w:r>
        <w:t>Improved strategic thinking and planning. Strategic thinking across the sector has improved over the period. This is reflected in SA Strategic Plans and at a sector level, and in the work being done by Committees and Task Forces at a project level (e.g. Crime Prevention Strategy)</w:t>
      </w:r>
      <w:r w:rsidRPr="00D94A94">
        <w:rPr>
          <w:rStyle w:val="EndnoteReference"/>
          <w:szCs w:val="24"/>
          <w:lang w:eastAsia="ja-JP"/>
        </w:rPr>
        <w:endnoteReference w:id="64"/>
      </w:r>
      <w:r>
        <w:t>. However, while it may occur at a ‘whole-of-sector’ level, there was little evidence of this during interviews or in documents. It was not reflected in the six-monthly reporting or the special six-monthly meetings of the SC (refer Clause 28 of the Agreement).</w:t>
      </w:r>
    </w:p>
    <w:p w:rsidR="009971CE" w:rsidRPr="00DF054E" w:rsidRDefault="009971CE" w:rsidP="009971CE">
      <w:pPr>
        <w:pStyle w:val="Bullet"/>
      </w:pPr>
      <w:r w:rsidRPr="00DF054E">
        <w:t xml:space="preserve">Improving monitoring. This is discussed in Section </w:t>
      </w:r>
      <w:r w:rsidR="00B63747">
        <w:t>7</w:t>
      </w:r>
      <w:r w:rsidRPr="00DF054E">
        <w:t xml:space="preserve">. </w:t>
      </w:r>
    </w:p>
    <w:p w:rsidR="009971CE" w:rsidRPr="00011E72" w:rsidRDefault="009971CE" w:rsidP="009971CE">
      <w:pPr>
        <w:pStyle w:val="Bullet"/>
      </w:pPr>
      <w:r>
        <w:t>Integration of the SLJS Strategic Plan into the SA Strategic Plan. While all agencies refer to the SLJS Strategic Plan, few</w:t>
      </w:r>
      <w:r w:rsidRPr="00011E72">
        <w:t xml:space="preserve"> integrate the Sector Plan into their </w:t>
      </w:r>
      <w:r>
        <w:t xml:space="preserve">own </w:t>
      </w:r>
      <w:r w:rsidRPr="00011E72">
        <w:t xml:space="preserve">agencies </w:t>
      </w:r>
      <w:r>
        <w:t>s</w:t>
      </w:r>
      <w:r w:rsidRPr="00011E72">
        <w:t xml:space="preserve">trategic </w:t>
      </w:r>
      <w:r>
        <w:t>p</w:t>
      </w:r>
      <w:r w:rsidRPr="00011E72">
        <w:t>lan</w:t>
      </w:r>
      <w:r>
        <w:t>ning</w:t>
      </w:r>
      <w:r w:rsidRPr="00316CC6">
        <w:rPr>
          <w:rStyle w:val="EndnoteReference"/>
          <w:szCs w:val="24"/>
          <w:lang w:eastAsia="ja-JP"/>
        </w:rPr>
        <w:endnoteReference w:id="65"/>
      </w:r>
      <w:r>
        <w:t xml:space="preserve">. At most, the projects included in the Strategic Plan are included in the agencies Strategic Plan as projects. </w:t>
      </w:r>
      <w:r w:rsidRPr="00011E72">
        <w:t xml:space="preserve">   </w:t>
      </w:r>
    </w:p>
    <w:p w:rsidR="009971CE" w:rsidRPr="00011E72" w:rsidRDefault="009971CE" w:rsidP="009971CE">
      <w:pPr>
        <w:pStyle w:val="Bullet"/>
      </w:pPr>
      <w:r>
        <w:t>Increased consideration of other sector agency strategies when developing their own Strategic Plan</w:t>
      </w:r>
      <w:r w:rsidRPr="00316CC6">
        <w:rPr>
          <w:rStyle w:val="EndnoteReference"/>
          <w:szCs w:val="24"/>
          <w:lang w:eastAsia="ja-JP"/>
        </w:rPr>
        <w:endnoteReference w:id="66"/>
      </w:r>
      <w:r>
        <w:t>.</w:t>
      </w:r>
      <w:r w:rsidRPr="00011E72">
        <w:t xml:space="preserve"> </w:t>
      </w:r>
    </w:p>
    <w:p w:rsidR="009971CE" w:rsidRPr="00011E72" w:rsidRDefault="009971CE" w:rsidP="009971CE">
      <w:pPr>
        <w:pStyle w:val="Bullet"/>
      </w:pPr>
      <w:r>
        <w:t xml:space="preserve">Consideration of functions that could be shared across SA to increase efficiencies. </w:t>
      </w:r>
      <w:r w:rsidRPr="00011E72">
        <w:t xml:space="preserve">For example, </w:t>
      </w:r>
      <w:r>
        <w:t>it may be possible to share some</w:t>
      </w:r>
      <w:r w:rsidRPr="00011E72">
        <w:t xml:space="preserve"> Corporate Services or M&amp;E functions</w:t>
      </w:r>
      <w:r w:rsidRPr="00316CC6">
        <w:rPr>
          <w:rStyle w:val="EndnoteReference"/>
          <w:szCs w:val="24"/>
          <w:lang w:eastAsia="ja-JP"/>
        </w:rPr>
        <w:endnoteReference w:id="67"/>
      </w:r>
      <w:r>
        <w:rPr>
          <w:szCs w:val="24"/>
          <w:lang w:eastAsia="ja-JP"/>
        </w:rPr>
        <w:t>.</w:t>
      </w:r>
      <w:r w:rsidRPr="00011E72">
        <w:t xml:space="preserve"> </w:t>
      </w:r>
    </w:p>
    <w:p w:rsidR="009971CE" w:rsidRDefault="009971CE" w:rsidP="009971CE">
      <w:pPr>
        <w:pStyle w:val="Bullet"/>
      </w:pPr>
      <w:r>
        <w:t>Increasing the depth within each SA that understands a sectoral approach. The SLJS Strategic</w:t>
      </w:r>
      <w:r w:rsidRPr="00011E72">
        <w:t xml:space="preserve"> Plan </w:t>
      </w:r>
      <w:r>
        <w:t xml:space="preserve">is </w:t>
      </w:r>
      <w:r w:rsidRPr="00011E72">
        <w:t>not widely known outside those</w:t>
      </w:r>
      <w:r>
        <w:t xml:space="preserve"> who have participated in the</w:t>
      </w:r>
      <w:r w:rsidRPr="00011E72">
        <w:t xml:space="preserve"> Steerin</w:t>
      </w:r>
      <w:r>
        <w:t>g Committee and those who use the Plan</w:t>
      </w:r>
      <w:r w:rsidRPr="00011E72">
        <w:t xml:space="preserve"> to develop proposals for funding</w:t>
      </w:r>
      <w:r w:rsidRPr="00316CC6">
        <w:rPr>
          <w:rStyle w:val="EndnoteReference"/>
          <w:szCs w:val="24"/>
          <w:lang w:eastAsia="ja-JP"/>
        </w:rPr>
        <w:endnoteReference w:id="68"/>
      </w:r>
      <w:r>
        <w:t xml:space="preserve">. However, having said that, it is also likely that there is limited depth of knowledge of the sector agencies own Strategic Plans. </w:t>
      </w:r>
    </w:p>
    <w:p w:rsidR="009971CE" w:rsidRPr="00011E72" w:rsidRDefault="009971CE" w:rsidP="009971CE">
      <w:pPr>
        <w:pStyle w:val="Bullet"/>
      </w:pPr>
      <w:r>
        <w:t xml:space="preserve">Reducing/removing barriers that exist between some elements of sector agencies and the sector. For example, until recently, </w:t>
      </w:r>
      <w:proofErr w:type="spellStart"/>
      <w:r>
        <w:t>MoP</w:t>
      </w:r>
      <w:proofErr w:type="spellEnd"/>
      <w:r>
        <w:t xml:space="preserve"> has indicated that they would not </w:t>
      </w:r>
      <w:r w:rsidRPr="00011E72">
        <w:t xml:space="preserve">want AFP funding </w:t>
      </w:r>
      <w:r>
        <w:t xml:space="preserve">integrated into sector funding in case they lost some of </w:t>
      </w:r>
      <w:r w:rsidRPr="00011E72">
        <w:t>it to other agencies</w:t>
      </w:r>
      <w:r w:rsidRPr="00316CC6">
        <w:rPr>
          <w:rStyle w:val="EndnoteReference"/>
          <w:szCs w:val="24"/>
          <w:lang w:eastAsia="ja-JP"/>
        </w:rPr>
        <w:endnoteReference w:id="69"/>
      </w:r>
      <w:r>
        <w:t>. However, realistically if other agencies had direct donor support, they are likely to feel similarly. S</w:t>
      </w:r>
      <w:r w:rsidRPr="00011E72">
        <w:t xml:space="preserve">haring of information between agencies </w:t>
      </w:r>
      <w:r>
        <w:t>also remains more difficult than may always be necessary</w:t>
      </w:r>
      <w:r w:rsidRPr="00316CC6">
        <w:rPr>
          <w:rStyle w:val="EndnoteReference"/>
          <w:szCs w:val="24"/>
          <w:lang w:eastAsia="ja-JP"/>
        </w:rPr>
        <w:endnoteReference w:id="70"/>
      </w:r>
      <w:r>
        <w:t>.</w:t>
      </w:r>
      <w:r w:rsidRPr="00316CC6">
        <w:rPr>
          <w:rStyle w:val="EndnoteReference"/>
          <w:szCs w:val="24"/>
          <w:lang w:eastAsia="ja-JP"/>
        </w:rPr>
        <w:t xml:space="preserve"> </w:t>
      </w:r>
    </w:p>
    <w:p w:rsidR="008C4FDE" w:rsidRDefault="008C4FDE" w:rsidP="004902E0">
      <w:pPr>
        <w:pStyle w:val="AppendixHeading1"/>
      </w:pPr>
      <w:bookmarkStart w:id="90" w:name="_Toc431828812"/>
      <w:r>
        <w:lastRenderedPageBreak/>
        <w:t>Efficiency</w:t>
      </w:r>
      <w:bookmarkEnd w:id="90"/>
    </w:p>
    <w:p w:rsidR="008C4FDE" w:rsidRDefault="008C4FDE" w:rsidP="00FB28DF">
      <w:pPr>
        <w:pStyle w:val="Heading2"/>
        <w:numPr>
          <w:ilvl w:val="0"/>
          <w:numId w:val="0"/>
        </w:numPr>
      </w:pPr>
      <w:bookmarkStart w:id="91" w:name="_Toc427011860"/>
      <w:bookmarkStart w:id="92" w:name="_Toc427238949"/>
      <w:bookmarkStart w:id="93" w:name="_Toc431223179"/>
      <w:bookmarkStart w:id="94" w:name="_Toc431828813"/>
      <w:r>
        <w:t>Contractual matters</w:t>
      </w:r>
      <w:bookmarkEnd w:id="91"/>
      <w:bookmarkEnd w:id="92"/>
      <w:bookmarkEnd w:id="93"/>
      <w:bookmarkEnd w:id="94"/>
    </w:p>
    <w:p w:rsidR="008C4FDE" w:rsidRDefault="008C4FDE" w:rsidP="00FB28DF">
      <w:pPr>
        <w:pStyle w:val="Heading3"/>
        <w:numPr>
          <w:ilvl w:val="0"/>
          <w:numId w:val="0"/>
        </w:numPr>
      </w:pPr>
      <w:r>
        <w:t xml:space="preserve">Agreements between </w:t>
      </w:r>
      <w:r w:rsidR="000F67C7">
        <w:t xml:space="preserve">the </w:t>
      </w:r>
      <w:r>
        <w:t>Go</w:t>
      </w:r>
      <w:r w:rsidR="000F67C7">
        <w:t xml:space="preserve">vernments of </w:t>
      </w:r>
      <w:r>
        <w:t>A</w:t>
      </w:r>
      <w:r w:rsidR="000F67C7">
        <w:t xml:space="preserve">ustralia and </w:t>
      </w:r>
      <w:r>
        <w:t>S</w:t>
      </w:r>
      <w:r w:rsidR="000F67C7">
        <w:t>amoa</w:t>
      </w:r>
    </w:p>
    <w:p w:rsidR="008C4FDE" w:rsidRDefault="008C4FDE" w:rsidP="008C4FDE">
      <w:pPr>
        <w:pStyle w:val="BodyText"/>
      </w:pPr>
      <w:r>
        <w:t xml:space="preserve">As discussed in Section 2, when the SLJS was established, there was a lack of understanding among both </w:t>
      </w:r>
      <w:r w:rsidR="000F67C7" w:rsidRPr="006E6F43">
        <w:t>the Australian Government</w:t>
      </w:r>
      <w:r w:rsidR="000F67C7">
        <w:t xml:space="preserve"> </w:t>
      </w:r>
      <w:r>
        <w:t xml:space="preserve">and SLJS stakeholders about sector based approaches. Combined with the perceived pressure to progress expenditure as quickly as possible, much of the preparation that would normally be undertaken did not occur. For example, there was no MTEF or PMF for the sector; and no agreed design, </w:t>
      </w:r>
      <w:proofErr w:type="spellStart"/>
      <w:r>
        <w:t>ToC</w:t>
      </w:r>
      <w:proofErr w:type="spellEnd"/>
      <w:r>
        <w:t xml:space="preserve">, expected outcomes, criteria for funding activities, </w:t>
      </w:r>
      <w:r w:rsidRPr="009529F9">
        <w:t xml:space="preserve">or understanding of </w:t>
      </w:r>
      <w:r w:rsidR="000F67C7" w:rsidRPr="006E6F43">
        <w:t>the Australian Government</w:t>
      </w:r>
      <w:r w:rsidR="000F67C7">
        <w:t xml:space="preserve">’s </w:t>
      </w:r>
      <w:r w:rsidRPr="009529F9">
        <w:t>role in selection of activities for funding</w:t>
      </w:r>
      <w:r w:rsidRPr="009529F9">
        <w:rPr>
          <w:rStyle w:val="EndnoteReference"/>
        </w:rPr>
        <w:endnoteReference w:id="71"/>
      </w:r>
      <w:r w:rsidRPr="009529F9">
        <w:t xml:space="preserve">.  There were no guidelines on procurement processes in Agreements between </w:t>
      </w:r>
      <w:r w:rsidR="000F67C7">
        <w:t xml:space="preserve">the Samoan Government and the </w:t>
      </w:r>
      <w:r w:rsidR="000F67C7" w:rsidRPr="006E6F43">
        <w:t>Australian Government</w:t>
      </w:r>
      <w:r w:rsidRPr="009529F9">
        <w:t xml:space="preserve"> until the Direct Funding Agreement entered into on 15 March 2012; five years after the first support was provided. This lack of clarity was not resolved over time because </w:t>
      </w:r>
      <w:r w:rsidR="000F67C7" w:rsidRPr="006E6F43">
        <w:t>the Australian Government</w:t>
      </w:r>
      <w:r w:rsidRPr="009529F9">
        <w:t xml:space="preserve">’s focus was on sector </w:t>
      </w:r>
      <w:proofErr w:type="gramStart"/>
      <w:r w:rsidRPr="009529F9">
        <w:t>ownership,</w:t>
      </w:r>
      <w:proofErr w:type="gramEnd"/>
      <w:r w:rsidRPr="009529F9">
        <w:t xml:space="preserve"> therefore </w:t>
      </w:r>
      <w:r w:rsidR="000F67C7" w:rsidRPr="006E6F43">
        <w:t>Australia</w:t>
      </w:r>
      <w:r w:rsidR="000F67C7">
        <w:t xml:space="preserve"> </w:t>
      </w:r>
      <w:r w:rsidRPr="009529F9">
        <w:t>did not want to drive the sector</w:t>
      </w:r>
      <w:r w:rsidRPr="009529F9">
        <w:rPr>
          <w:rStyle w:val="EndnoteReference"/>
        </w:rPr>
        <w:endnoteReference w:id="72"/>
      </w:r>
      <w:r w:rsidRPr="009529F9">
        <w:t xml:space="preserve">. </w:t>
      </w:r>
    </w:p>
    <w:p w:rsidR="008C4FDE" w:rsidRDefault="008C4FDE" w:rsidP="008C4FDE">
      <w:pPr>
        <w:rPr>
          <w:lang w:val="en-US" w:eastAsia="en-US"/>
        </w:rPr>
      </w:pPr>
      <w:r>
        <w:t xml:space="preserve">The Direct Funding Agreement established in 2012 sought to clarify some of these elements. </w:t>
      </w:r>
      <w:r>
        <w:rPr>
          <w:lang w:val="en-US" w:eastAsia="en-US"/>
        </w:rPr>
        <w:t>However, this Agreement did not improve clarity as the Principles and other Clauses could easily be interpreted in contradictory ways</w:t>
      </w:r>
      <w:r w:rsidR="00AA56D8">
        <w:rPr>
          <w:rStyle w:val="EndnoteReference"/>
          <w:lang w:val="en-US" w:eastAsia="en-US"/>
        </w:rPr>
        <w:endnoteReference w:id="73"/>
      </w:r>
      <w:r>
        <w:rPr>
          <w:lang w:val="en-US" w:eastAsia="en-US"/>
        </w:rPr>
        <w:t xml:space="preserve">. The </w:t>
      </w:r>
      <w:r w:rsidRPr="0093435D">
        <w:rPr>
          <w:lang w:val="en-US" w:eastAsia="en-US"/>
        </w:rPr>
        <w:t>Principles agreed in the Direct Funding Agreement state: “(</w:t>
      </w:r>
      <w:proofErr w:type="spellStart"/>
      <w:r w:rsidRPr="0093435D">
        <w:rPr>
          <w:lang w:val="en-US" w:eastAsia="en-US"/>
        </w:rPr>
        <w:t>i</w:t>
      </w:r>
      <w:proofErr w:type="spellEnd"/>
      <w:r w:rsidRPr="0093435D">
        <w:rPr>
          <w:lang w:val="en-US" w:eastAsia="en-US"/>
        </w:rPr>
        <w:t xml:space="preserve">) implementation will be based on a partnership approach; (ii) </w:t>
      </w:r>
      <w:proofErr w:type="spellStart"/>
      <w:r w:rsidRPr="0093435D">
        <w:rPr>
          <w:lang w:val="en-US" w:eastAsia="en-US"/>
        </w:rPr>
        <w:t>G</w:t>
      </w:r>
      <w:r>
        <w:rPr>
          <w:lang w:val="en-US" w:eastAsia="en-US"/>
        </w:rPr>
        <w:t>o</w:t>
      </w:r>
      <w:r w:rsidRPr="0093435D">
        <w:rPr>
          <w:lang w:val="en-US" w:eastAsia="en-US"/>
        </w:rPr>
        <w:t>S</w:t>
      </w:r>
      <w:proofErr w:type="spellEnd"/>
      <w:r w:rsidRPr="0093435D">
        <w:rPr>
          <w:lang w:val="en-US" w:eastAsia="en-US"/>
        </w:rPr>
        <w:t xml:space="preserve"> leadership and ownership of the Program is </w:t>
      </w:r>
      <w:proofErr w:type="spellStart"/>
      <w:r w:rsidR="00211F2D">
        <w:rPr>
          <w:lang w:val="en-US" w:eastAsia="en-US"/>
        </w:rPr>
        <w:t>maximised</w:t>
      </w:r>
      <w:proofErr w:type="spellEnd"/>
      <w:r w:rsidR="00211F2D">
        <w:rPr>
          <w:lang w:val="en-US" w:eastAsia="en-US"/>
        </w:rPr>
        <w:t>;</w:t>
      </w:r>
      <w:r w:rsidRPr="0093435D">
        <w:rPr>
          <w:lang w:val="en-US" w:eastAsia="en-US"/>
        </w:rPr>
        <w:t xml:space="preserve"> (iii) </w:t>
      </w:r>
      <w:proofErr w:type="spellStart"/>
      <w:r w:rsidRPr="0093435D">
        <w:rPr>
          <w:lang w:val="en-US" w:eastAsia="en-US"/>
        </w:rPr>
        <w:t>G</w:t>
      </w:r>
      <w:r>
        <w:rPr>
          <w:lang w:val="en-US" w:eastAsia="en-US"/>
        </w:rPr>
        <w:t>o</w:t>
      </w:r>
      <w:r w:rsidRPr="0093435D">
        <w:rPr>
          <w:lang w:val="en-US" w:eastAsia="en-US"/>
        </w:rPr>
        <w:t>A</w:t>
      </w:r>
      <w:proofErr w:type="spellEnd"/>
      <w:r w:rsidRPr="0093435D">
        <w:rPr>
          <w:lang w:val="en-US" w:eastAsia="en-US"/>
        </w:rPr>
        <w:t xml:space="preserve"> support is aligned to the </w:t>
      </w:r>
      <w:proofErr w:type="spellStart"/>
      <w:r w:rsidRPr="0093435D">
        <w:rPr>
          <w:lang w:val="en-US" w:eastAsia="en-US"/>
        </w:rPr>
        <w:t>G</w:t>
      </w:r>
      <w:r>
        <w:rPr>
          <w:lang w:val="en-US" w:eastAsia="en-US"/>
        </w:rPr>
        <w:t>o</w:t>
      </w:r>
      <w:r w:rsidRPr="0093435D">
        <w:rPr>
          <w:lang w:val="en-US" w:eastAsia="en-US"/>
        </w:rPr>
        <w:t>S</w:t>
      </w:r>
      <w:proofErr w:type="spellEnd"/>
      <w:r w:rsidRPr="0093435D">
        <w:rPr>
          <w:lang w:val="en-US" w:eastAsia="en-US"/>
        </w:rPr>
        <w:t xml:space="preserve"> needs and priorities” (2012, p. 2).  </w:t>
      </w:r>
      <w:proofErr w:type="spellStart"/>
      <w:r w:rsidRPr="0093435D">
        <w:rPr>
          <w:lang w:val="en-US" w:eastAsia="en-US"/>
        </w:rPr>
        <w:t>GoS</w:t>
      </w:r>
      <w:proofErr w:type="spellEnd"/>
      <w:r w:rsidRPr="0093435D">
        <w:rPr>
          <w:lang w:val="en-US" w:eastAsia="en-US"/>
        </w:rPr>
        <w:t xml:space="preserve"> understandably interpreted this to mean that </w:t>
      </w:r>
      <w:proofErr w:type="spellStart"/>
      <w:r w:rsidRPr="0093435D">
        <w:rPr>
          <w:lang w:val="en-US" w:eastAsia="en-US"/>
        </w:rPr>
        <w:t>G</w:t>
      </w:r>
      <w:r>
        <w:rPr>
          <w:lang w:val="en-US" w:eastAsia="en-US"/>
        </w:rPr>
        <w:t>o</w:t>
      </w:r>
      <w:r w:rsidRPr="0093435D">
        <w:rPr>
          <w:lang w:val="en-US" w:eastAsia="en-US"/>
        </w:rPr>
        <w:t>A</w:t>
      </w:r>
      <w:proofErr w:type="spellEnd"/>
      <w:r w:rsidRPr="0093435D">
        <w:rPr>
          <w:lang w:val="en-US" w:eastAsia="en-US"/>
        </w:rPr>
        <w:t xml:space="preserve"> would fund any activity in the Sector Plan the SC </w:t>
      </w:r>
      <w:proofErr w:type="spellStart"/>
      <w:r w:rsidRPr="0093435D">
        <w:rPr>
          <w:lang w:val="en-US" w:eastAsia="en-US"/>
        </w:rPr>
        <w:t>prioritised</w:t>
      </w:r>
      <w:proofErr w:type="spellEnd"/>
      <w:r w:rsidRPr="0093435D">
        <w:rPr>
          <w:lang w:val="en-US" w:eastAsia="en-US"/>
        </w:rPr>
        <w:t xml:space="preserve"> (up to th</w:t>
      </w:r>
      <w:r>
        <w:rPr>
          <w:lang w:val="en-US" w:eastAsia="en-US"/>
        </w:rPr>
        <w:t>e budget limit)</w:t>
      </w:r>
      <w:r w:rsidRPr="0093435D">
        <w:rPr>
          <w:lang w:val="en-US" w:eastAsia="en-US"/>
        </w:rPr>
        <w:t xml:space="preserve">. </w:t>
      </w:r>
      <w:r>
        <w:rPr>
          <w:lang w:val="en-US" w:eastAsia="en-US"/>
        </w:rPr>
        <w:t xml:space="preserve">However, </w:t>
      </w:r>
      <w:r w:rsidRPr="0093435D">
        <w:rPr>
          <w:lang w:val="en-US" w:eastAsia="en-US"/>
        </w:rPr>
        <w:t xml:space="preserve">Clauses 16 and 17 of the Direct Funding Agreement state that </w:t>
      </w:r>
      <w:proofErr w:type="spellStart"/>
      <w:r w:rsidRPr="0093435D">
        <w:rPr>
          <w:lang w:val="en-US" w:eastAsia="en-US"/>
        </w:rPr>
        <w:t>GoA</w:t>
      </w:r>
      <w:proofErr w:type="spellEnd"/>
      <w:r w:rsidRPr="0093435D">
        <w:rPr>
          <w:lang w:val="en-US" w:eastAsia="en-US"/>
        </w:rPr>
        <w:t xml:space="preserve"> would fund “activities detailed in the SC agreed 2011 – 12 Annual Work Pan ….. </w:t>
      </w:r>
      <w:proofErr w:type="spellStart"/>
      <w:r w:rsidRPr="0093435D">
        <w:rPr>
          <w:lang w:val="en-US" w:eastAsia="en-US"/>
        </w:rPr>
        <w:t>G</w:t>
      </w:r>
      <w:r>
        <w:rPr>
          <w:lang w:val="en-US" w:eastAsia="en-US"/>
        </w:rPr>
        <w:t>o</w:t>
      </w:r>
      <w:r w:rsidRPr="0093435D">
        <w:rPr>
          <w:lang w:val="en-US" w:eastAsia="en-US"/>
        </w:rPr>
        <w:t>S</w:t>
      </w:r>
      <w:proofErr w:type="spellEnd"/>
      <w:r w:rsidRPr="0093435D">
        <w:rPr>
          <w:lang w:val="en-US" w:eastAsia="en-US"/>
        </w:rPr>
        <w:t xml:space="preserve"> agrees to use </w:t>
      </w:r>
      <w:proofErr w:type="spellStart"/>
      <w:r w:rsidRPr="0093435D">
        <w:rPr>
          <w:lang w:val="en-US" w:eastAsia="en-US"/>
        </w:rPr>
        <w:t>G</w:t>
      </w:r>
      <w:r>
        <w:rPr>
          <w:lang w:val="en-US" w:eastAsia="en-US"/>
        </w:rPr>
        <w:t>o</w:t>
      </w:r>
      <w:r w:rsidRPr="0093435D">
        <w:rPr>
          <w:lang w:val="en-US" w:eastAsia="en-US"/>
        </w:rPr>
        <w:t>A</w:t>
      </w:r>
      <w:proofErr w:type="spellEnd"/>
      <w:r w:rsidRPr="0093435D">
        <w:rPr>
          <w:lang w:val="en-US" w:eastAsia="en-US"/>
        </w:rPr>
        <w:t xml:space="preserve"> funding solely for the implementation of the Program and in accordance with the expenditures as detailed in the 2011 – 2012 Annual Work Plan … unless there is a </w:t>
      </w:r>
      <w:proofErr w:type="spellStart"/>
      <w:r w:rsidRPr="0093435D">
        <w:rPr>
          <w:lang w:val="en-US" w:eastAsia="en-US"/>
        </w:rPr>
        <w:t>reprioritisation</w:t>
      </w:r>
      <w:proofErr w:type="spellEnd"/>
      <w:r w:rsidRPr="0093435D">
        <w:rPr>
          <w:lang w:val="en-US" w:eastAsia="en-US"/>
        </w:rPr>
        <w:t xml:space="preserve"> that is approved by the </w:t>
      </w:r>
      <w:r>
        <w:rPr>
          <w:lang w:val="en-US" w:eastAsia="en-US"/>
        </w:rPr>
        <w:t>Steering Committee</w:t>
      </w:r>
      <w:r w:rsidRPr="0093435D">
        <w:rPr>
          <w:lang w:val="en-US" w:eastAsia="en-US"/>
        </w:rPr>
        <w:t xml:space="preserve"> and endorsed by </w:t>
      </w:r>
      <w:proofErr w:type="spellStart"/>
      <w:r w:rsidRPr="0093435D">
        <w:rPr>
          <w:lang w:val="en-US" w:eastAsia="en-US"/>
        </w:rPr>
        <w:t>MoF</w:t>
      </w:r>
      <w:proofErr w:type="spellEnd"/>
      <w:r w:rsidRPr="0093435D">
        <w:rPr>
          <w:lang w:val="en-US" w:eastAsia="en-US"/>
        </w:rPr>
        <w:t xml:space="preserve"> and </w:t>
      </w:r>
      <w:proofErr w:type="spellStart"/>
      <w:r w:rsidRPr="0093435D">
        <w:rPr>
          <w:lang w:val="en-US" w:eastAsia="en-US"/>
        </w:rPr>
        <w:t>GoA</w:t>
      </w:r>
      <w:proofErr w:type="spellEnd"/>
      <w:r w:rsidRPr="0093435D">
        <w:rPr>
          <w:lang w:val="en-US" w:eastAsia="en-US"/>
        </w:rPr>
        <w:t xml:space="preserve">”. </w:t>
      </w:r>
    </w:p>
    <w:p w:rsidR="008C4FDE" w:rsidRPr="009B1288" w:rsidRDefault="008C4FDE" w:rsidP="008C4FDE">
      <w:pPr>
        <w:rPr>
          <w:lang w:eastAsia="en-US"/>
        </w:rPr>
      </w:pPr>
      <w:r>
        <w:rPr>
          <w:lang w:val="en-US" w:eastAsia="en-US"/>
        </w:rPr>
        <w:t xml:space="preserve">The requirement for reprioritization wasn’t well understood by the Steering Committee. Consequently, it was breached when </w:t>
      </w:r>
      <w:r w:rsidR="000F67C7" w:rsidRPr="006E6F43">
        <w:t>the Australian Government</w:t>
      </w:r>
      <w:r w:rsidR="000F67C7">
        <w:t xml:space="preserve"> </w:t>
      </w:r>
      <w:r>
        <w:rPr>
          <w:lang w:val="en-US" w:eastAsia="en-US"/>
        </w:rPr>
        <w:t xml:space="preserve">did not attend a Steering Committee meeting which reprioritized activities. </w:t>
      </w:r>
      <w:r>
        <w:rPr>
          <w:lang w:eastAsia="en-US"/>
        </w:rPr>
        <w:t xml:space="preserve">However, at a practical level this is more ambiguous. More </w:t>
      </w:r>
      <w:r>
        <w:rPr>
          <w:lang w:val="en-US" w:eastAsia="en-US"/>
        </w:rPr>
        <w:t xml:space="preserve">broadly, there were specific problems with Clause 16 and 17. These include: </w:t>
      </w:r>
    </w:p>
    <w:p w:rsidR="008C4FDE" w:rsidRPr="009529F9" w:rsidRDefault="008C4FDE" w:rsidP="008C4FDE">
      <w:pPr>
        <w:pStyle w:val="Bullet"/>
        <w:rPr>
          <w:lang w:val="en-US"/>
        </w:rPr>
      </w:pPr>
      <w:r w:rsidRPr="009529F9">
        <w:t xml:space="preserve">The criteria for determining projects </w:t>
      </w:r>
      <w:r>
        <w:t xml:space="preserve">that </w:t>
      </w:r>
      <w:r w:rsidRPr="009529F9">
        <w:t>could be funded were unclear</w:t>
      </w:r>
      <w:r w:rsidRPr="009529F9">
        <w:rPr>
          <w:rStyle w:val="EndnoteReference"/>
        </w:rPr>
        <w:endnoteReference w:id="74"/>
      </w:r>
      <w:r w:rsidRPr="009529F9">
        <w:t xml:space="preserve">.  </w:t>
      </w:r>
    </w:p>
    <w:p w:rsidR="008C4FDE" w:rsidRPr="0093435D" w:rsidRDefault="008C4FDE" w:rsidP="008C4FDE">
      <w:pPr>
        <w:pStyle w:val="Bullet"/>
        <w:rPr>
          <w:lang w:val="en-US"/>
        </w:rPr>
      </w:pPr>
      <w:r w:rsidRPr="0093435D">
        <w:rPr>
          <w:lang w:val="en-US"/>
        </w:rPr>
        <w:t xml:space="preserve">The Annual Work Plan was </w:t>
      </w:r>
      <w:r>
        <w:rPr>
          <w:lang w:val="en-US"/>
        </w:rPr>
        <w:t>very general</w:t>
      </w:r>
      <w:r w:rsidRPr="0093435D">
        <w:rPr>
          <w:lang w:val="en-US"/>
        </w:rPr>
        <w:t xml:space="preserve">. It did not set out the </w:t>
      </w:r>
      <w:r w:rsidR="00490077">
        <w:rPr>
          <w:lang w:val="en-US"/>
        </w:rPr>
        <w:t xml:space="preserve">items to be </w:t>
      </w:r>
      <w:r w:rsidRPr="0093435D">
        <w:rPr>
          <w:lang w:val="en-US"/>
        </w:rPr>
        <w:t>procur</w:t>
      </w:r>
      <w:r w:rsidR="00490077">
        <w:rPr>
          <w:lang w:val="en-US"/>
        </w:rPr>
        <w:t>ed</w:t>
      </w:r>
      <w:r w:rsidRPr="0093435D">
        <w:rPr>
          <w:lang w:val="en-US"/>
        </w:rPr>
        <w:t xml:space="preserve"> within each project. </w:t>
      </w:r>
      <w:r>
        <w:rPr>
          <w:lang w:val="en-US"/>
        </w:rPr>
        <w:t>Because of the lack of detail in the Annual Work Plan, this review did not identify a</w:t>
      </w:r>
      <w:r w:rsidRPr="0093435D">
        <w:rPr>
          <w:lang w:val="en-US"/>
        </w:rPr>
        <w:t xml:space="preserve">ny procurement undertaken that would be considered too clearly fall outside the items in the </w:t>
      </w:r>
      <w:r>
        <w:rPr>
          <w:lang w:val="en-US"/>
        </w:rPr>
        <w:t>Plan</w:t>
      </w:r>
      <w:r w:rsidRPr="0093435D">
        <w:rPr>
          <w:lang w:val="en-US"/>
        </w:rPr>
        <w:t xml:space="preserve">. </w:t>
      </w:r>
    </w:p>
    <w:p w:rsidR="008C4FDE" w:rsidRPr="0093435D" w:rsidRDefault="008C4FDE" w:rsidP="008C4FDE">
      <w:pPr>
        <w:pStyle w:val="Bullet"/>
        <w:rPr>
          <w:lang w:val="en-US"/>
        </w:rPr>
      </w:pPr>
      <w:r>
        <w:rPr>
          <w:lang w:val="en-US"/>
        </w:rPr>
        <w:t>No specification of the</w:t>
      </w:r>
      <w:r w:rsidRPr="0093435D">
        <w:rPr>
          <w:lang w:val="en-US"/>
        </w:rPr>
        <w:t xml:space="preserve"> </w:t>
      </w:r>
      <w:proofErr w:type="spellStart"/>
      <w:r w:rsidRPr="0093435D">
        <w:rPr>
          <w:lang w:val="en-US"/>
        </w:rPr>
        <w:t>M</w:t>
      </w:r>
      <w:r>
        <w:rPr>
          <w:lang w:val="en-US"/>
        </w:rPr>
        <w:t>o</w:t>
      </w:r>
      <w:r w:rsidRPr="0093435D">
        <w:rPr>
          <w:lang w:val="en-US"/>
        </w:rPr>
        <w:t>F</w:t>
      </w:r>
      <w:proofErr w:type="spellEnd"/>
      <w:r w:rsidRPr="0093435D">
        <w:rPr>
          <w:lang w:val="en-US"/>
        </w:rPr>
        <w:t xml:space="preserve"> and </w:t>
      </w:r>
      <w:r w:rsidR="000F67C7" w:rsidRPr="006E6F43">
        <w:t>Australian Government</w:t>
      </w:r>
      <w:r w:rsidR="000F67C7">
        <w:t xml:space="preserve"> </w:t>
      </w:r>
      <w:r w:rsidRPr="0093435D">
        <w:rPr>
          <w:lang w:val="en-US"/>
        </w:rPr>
        <w:t xml:space="preserve">endorsement of changes required. </w:t>
      </w:r>
      <w:r w:rsidR="000F67C7">
        <w:rPr>
          <w:lang w:val="en-US"/>
        </w:rPr>
        <w:t>T</w:t>
      </w:r>
      <w:r w:rsidR="000F67C7" w:rsidRPr="006E6F43">
        <w:t xml:space="preserve">he </w:t>
      </w:r>
      <w:r w:rsidR="000F67C7">
        <w:t>Samoan</w:t>
      </w:r>
      <w:r w:rsidR="000F67C7" w:rsidRPr="006E6F43">
        <w:t xml:space="preserve"> Government</w:t>
      </w:r>
      <w:r w:rsidR="000F67C7">
        <w:t xml:space="preserve"> </w:t>
      </w:r>
      <w:r>
        <w:rPr>
          <w:lang w:val="en-US"/>
        </w:rPr>
        <w:t xml:space="preserve">could reasonably have </w:t>
      </w:r>
      <w:r w:rsidRPr="0093435D">
        <w:rPr>
          <w:lang w:val="en-US"/>
        </w:rPr>
        <w:t xml:space="preserve">assumed </w:t>
      </w:r>
      <w:r>
        <w:rPr>
          <w:lang w:val="en-US"/>
        </w:rPr>
        <w:t xml:space="preserve">that lack of </w:t>
      </w:r>
      <w:proofErr w:type="spellStart"/>
      <w:r w:rsidRPr="0093435D">
        <w:rPr>
          <w:lang w:val="en-US"/>
        </w:rPr>
        <w:t>M</w:t>
      </w:r>
      <w:r>
        <w:rPr>
          <w:lang w:val="en-US"/>
        </w:rPr>
        <w:t>o</w:t>
      </w:r>
      <w:r w:rsidRPr="0093435D">
        <w:rPr>
          <w:lang w:val="en-US"/>
        </w:rPr>
        <w:t>F</w:t>
      </w:r>
      <w:proofErr w:type="spellEnd"/>
      <w:r w:rsidRPr="0093435D">
        <w:rPr>
          <w:lang w:val="en-US"/>
        </w:rPr>
        <w:t xml:space="preserve"> and </w:t>
      </w:r>
      <w:r w:rsidR="000F67C7" w:rsidRPr="006E6F43">
        <w:t>Australian Government</w:t>
      </w:r>
      <w:r w:rsidR="000F67C7">
        <w:t xml:space="preserve"> </w:t>
      </w:r>
      <w:r>
        <w:rPr>
          <w:lang w:val="en-US"/>
        </w:rPr>
        <w:t>objection to a change at the</w:t>
      </w:r>
      <w:r w:rsidRPr="0093435D">
        <w:rPr>
          <w:lang w:val="en-US"/>
        </w:rPr>
        <w:t xml:space="preserve"> </w:t>
      </w:r>
      <w:r>
        <w:rPr>
          <w:lang w:val="en-US"/>
        </w:rPr>
        <w:t>Steering Committee</w:t>
      </w:r>
      <w:r w:rsidRPr="0093435D">
        <w:rPr>
          <w:lang w:val="en-US"/>
        </w:rPr>
        <w:t xml:space="preserve"> was adequate endorsement.</w:t>
      </w:r>
    </w:p>
    <w:p w:rsidR="008C4FDE" w:rsidRDefault="008C4FDE" w:rsidP="008C4FDE">
      <w:pPr>
        <w:pStyle w:val="Bullet"/>
        <w:rPr>
          <w:lang w:val="en-US"/>
        </w:rPr>
      </w:pPr>
      <w:r w:rsidRPr="0093435D">
        <w:rPr>
          <w:lang w:val="en-US"/>
        </w:rPr>
        <w:t>The Agreement was never updated to reflect subsequent Annual Work Plans. Ideally, the Agreement should have stated “current approved” (or similar) rather than a specific year.</w:t>
      </w:r>
      <w:r w:rsidR="0060799D">
        <w:rPr>
          <w:lang w:val="en-US"/>
        </w:rPr>
        <w:t xml:space="preserve"> </w:t>
      </w:r>
      <w:r w:rsidR="000F67C7">
        <w:t>T</w:t>
      </w:r>
      <w:r w:rsidR="000F67C7" w:rsidRPr="006E6F43">
        <w:t>he Australian Government</w:t>
      </w:r>
      <w:r w:rsidR="000F67C7">
        <w:t xml:space="preserve"> </w:t>
      </w:r>
      <w:r w:rsidR="0060799D">
        <w:rPr>
          <w:lang w:val="en-US"/>
        </w:rPr>
        <w:t xml:space="preserve">advised that </w:t>
      </w:r>
      <w:r w:rsidR="005D159D">
        <w:rPr>
          <w:lang w:val="en-US"/>
        </w:rPr>
        <w:t xml:space="preserve">in subsequent years, </w:t>
      </w:r>
      <w:r w:rsidR="0060799D">
        <w:rPr>
          <w:lang w:val="en-US"/>
        </w:rPr>
        <w:t xml:space="preserve">the High Level Consultation </w:t>
      </w:r>
      <w:r w:rsidR="0060799D">
        <w:rPr>
          <w:lang w:val="en-US"/>
        </w:rPr>
        <w:lastRenderedPageBreak/>
        <w:t xml:space="preserve">(HLC) Implementation Schedule provided guidance. In this case, </w:t>
      </w:r>
      <w:r w:rsidR="005D159D">
        <w:rPr>
          <w:lang w:val="en-US"/>
        </w:rPr>
        <w:t>the HLC Implementation Schedule</w:t>
      </w:r>
      <w:r w:rsidR="0060799D">
        <w:rPr>
          <w:lang w:val="en-US"/>
        </w:rPr>
        <w:t xml:space="preserve"> should have been referred to in the Agreement. </w:t>
      </w:r>
      <w:r w:rsidR="005D159D">
        <w:rPr>
          <w:lang w:val="en-US"/>
        </w:rPr>
        <w:t xml:space="preserve">These documents were not reviewed as part of this review and therefore the level of guidance provided </w:t>
      </w:r>
      <w:r w:rsidR="000F67C7">
        <w:rPr>
          <w:lang w:val="en-US"/>
        </w:rPr>
        <w:t>cannot</w:t>
      </w:r>
      <w:r w:rsidR="005D159D">
        <w:rPr>
          <w:lang w:val="en-US"/>
        </w:rPr>
        <w:t xml:space="preserve"> be commented upon. </w:t>
      </w:r>
    </w:p>
    <w:p w:rsidR="008C4FDE" w:rsidRPr="00F958F5" w:rsidRDefault="008C4FDE" w:rsidP="00482197">
      <w:pPr>
        <w:pStyle w:val="ListParagraph"/>
        <w:numPr>
          <w:ilvl w:val="0"/>
          <w:numId w:val="39"/>
        </w:numPr>
        <w:spacing w:before="0" w:after="160" w:line="259" w:lineRule="auto"/>
        <w:rPr>
          <w:vanish/>
        </w:rPr>
      </w:pPr>
      <w:r w:rsidRPr="00F958F5">
        <w:rPr>
          <w:vanish/>
        </w:rPr>
        <w:t>During 2011 – 12, Australia adopted a very hands off management style</w:t>
      </w:r>
      <w:r w:rsidRPr="00F958F5">
        <w:rPr>
          <w:rStyle w:val="EndnoteReference"/>
          <w:vanish/>
        </w:rPr>
        <w:endnoteReference w:id="75"/>
      </w:r>
      <w:r w:rsidRPr="00F958F5">
        <w:rPr>
          <w:vanish/>
        </w:rPr>
        <w:t xml:space="preserve">. </w:t>
      </w:r>
    </w:p>
    <w:p w:rsidR="008C4FDE" w:rsidRPr="0093435D" w:rsidRDefault="008C4FDE" w:rsidP="00FB28DF">
      <w:pPr>
        <w:pStyle w:val="Heading3"/>
        <w:numPr>
          <w:ilvl w:val="0"/>
          <w:numId w:val="0"/>
        </w:numPr>
        <w:rPr>
          <w:lang w:val="en-US" w:eastAsia="en-US"/>
        </w:rPr>
      </w:pPr>
      <w:r w:rsidRPr="0093435D">
        <w:rPr>
          <w:lang w:val="en-US" w:eastAsia="en-US"/>
        </w:rPr>
        <w:t xml:space="preserve">Funding </w:t>
      </w:r>
    </w:p>
    <w:p w:rsidR="008C4FDE" w:rsidRDefault="008C4FDE" w:rsidP="008C4FDE">
      <w:pPr>
        <w:rPr>
          <w:lang w:val="en-US" w:eastAsia="en-US"/>
        </w:rPr>
      </w:pPr>
      <w:r>
        <w:rPr>
          <w:lang w:val="en-US" w:eastAsia="en-US"/>
        </w:rPr>
        <w:t xml:space="preserve">Numerous inefficiencies were introduced as a consequence of the timing of provision of funding. Many of these are not unique to this initiative with </w:t>
      </w:r>
      <w:proofErr w:type="spellStart"/>
      <w:r>
        <w:rPr>
          <w:lang w:val="en-US" w:eastAsia="en-US"/>
        </w:rPr>
        <w:t>MoF</w:t>
      </w:r>
      <w:proofErr w:type="spellEnd"/>
      <w:r>
        <w:rPr>
          <w:lang w:val="en-US" w:eastAsia="en-US"/>
        </w:rPr>
        <w:t xml:space="preserve"> identifying</w:t>
      </w:r>
      <w:r w:rsidRPr="0093435D">
        <w:rPr>
          <w:lang w:val="en-US" w:eastAsia="en-US"/>
        </w:rPr>
        <w:t xml:space="preserve"> that across many sectors, lack of predictability of donor funds is a major challenge.</w:t>
      </w:r>
    </w:p>
    <w:p w:rsidR="008C4FDE" w:rsidRPr="0093435D" w:rsidRDefault="008C4FDE" w:rsidP="008C4FDE">
      <w:pPr>
        <w:rPr>
          <w:lang w:val="en-US" w:eastAsia="en-US"/>
        </w:rPr>
      </w:pPr>
      <w:r>
        <w:rPr>
          <w:lang w:val="en-US" w:eastAsia="en-US"/>
        </w:rPr>
        <w:t xml:space="preserve">When the sector was established, the discussions between </w:t>
      </w:r>
      <w:r w:rsidR="000F67C7" w:rsidRPr="006E6F43">
        <w:t>the Australian Government</w:t>
      </w:r>
      <w:r w:rsidR="000F67C7">
        <w:t xml:space="preserve"> </w:t>
      </w:r>
      <w:r>
        <w:rPr>
          <w:lang w:val="en-US" w:eastAsia="en-US"/>
        </w:rPr>
        <w:t>and SLJS indicated that funding of up to $20m would be provided over an extended period</w:t>
      </w:r>
      <w:r w:rsidR="00442D7F">
        <w:rPr>
          <w:rStyle w:val="EndnoteReference"/>
          <w:lang w:val="en-US" w:eastAsia="en-US"/>
        </w:rPr>
        <w:endnoteReference w:id="76"/>
      </w:r>
      <w:r>
        <w:rPr>
          <w:lang w:val="en-US" w:eastAsia="en-US"/>
        </w:rPr>
        <w:t>. This provided a significant carrot for the establishment of the sector. Even in September 2012, reports indicated provision of $8m over the next four years (</w:t>
      </w:r>
      <w:r w:rsidR="000F67C7">
        <w:rPr>
          <w:lang w:val="en-US" w:eastAsia="en-US"/>
        </w:rPr>
        <w:t>AusAID</w:t>
      </w:r>
      <w:r>
        <w:rPr>
          <w:lang w:val="en-US" w:eastAsia="en-US"/>
        </w:rPr>
        <w:t>, 2012). However, as a result of c</w:t>
      </w:r>
      <w:r w:rsidRPr="0093435D">
        <w:rPr>
          <w:lang w:val="en-US" w:eastAsia="en-US"/>
        </w:rPr>
        <w:t>hanges in Australian government priorities</w:t>
      </w:r>
      <w:r>
        <w:rPr>
          <w:lang w:val="en-US" w:eastAsia="en-US"/>
        </w:rPr>
        <w:t xml:space="preserve">, support was not continued and ultimately ceased at some $4m. This caused difficulty </w:t>
      </w:r>
      <w:r w:rsidRPr="0093435D">
        <w:rPr>
          <w:lang w:val="en-US" w:eastAsia="en-US"/>
        </w:rPr>
        <w:t>for sectoral planning and adversely impact</w:t>
      </w:r>
      <w:r>
        <w:rPr>
          <w:lang w:val="en-US" w:eastAsia="en-US"/>
        </w:rPr>
        <w:t>ed</w:t>
      </w:r>
      <w:r w:rsidRPr="0093435D">
        <w:rPr>
          <w:lang w:val="en-US" w:eastAsia="en-US"/>
        </w:rPr>
        <w:t xml:space="preserve"> </w:t>
      </w:r>
      <w:r>
        <w:rPr>
          <w:lang w:val="en-US" w:eastAsia="en-US"/>
        </w:rPr>
        <w:t xml:space="preserve">the perception of Australia among some in the SLJS. </w:t>
      </w:r>
    </w:p>
    <w:p w:rsidR="008C4FDE" w:rsidRDefault="008C4FDE" w:rsidP="008C4FDE">
      <w:pPr>
        <w:rPr>
          <w:lang w:val="en-US" w:eastAsia="en-US"/>
        </w:rPr>
      </w:pPr>
      <w:r>
        <w:rPr>
          <w:lang w:val="en-US" w:eastAsia="en-US"/>
        </w:rPr>
        <w:t>Delays in payment</w:t>
      </w:r>
      <w:r w:rsidRPr="0093435D">
        <w:rPr>
          <w:lang w:val="en-US" w:eastAsia="en-US"/>
        </w:rPr>
        <w:t xml:space="preserve"> of funds associated with the Direct Funding Agreement</w:t>
      </w:r>
      <w:r>
        <w:rPr>
          <w:lang w:val="en-US" w:eastAsia="en-US"/>
        </w:rPr>
        <w:t xml:space="preserve"> also caused inefficiencies. A delay of almost five months,</w:t>
      </w:r>
      <w:r w:rsidRPr="0093435D">
        <w:rPr>
          <w:lang w:val="en-US" w:eastAsia="en-US"/>
        </w:rPr>
        <w:t xml:space="preserve"> dela</w:t>
      </w:r>
      <w:r>
        <w:rPr>
          <w:lang w:val="en-US" w:eastAsia="en-US"/>
        </w:rPr>
        <w:t xml:space="preserve">yed implementation of projects identified in the second SLJS Strategic Plan. The impact of the delay in payment was exacerbated by </w:t>
      </w:r>
      <w:r w:rsidRPr="0093435D">
        <w:rPr>
          <w:lang w:val="en-US" w:eastAsia="en-US"/>
        </w:rPr>
        <w:t xml:space="preserve">the short period of time </w:t>
      </w:r>
      <w:r>
        <w:rPr>
          <w:lang w:val="en-US" w:eastAsia="en-US"/>
        </w:rPr>
        <w:t xml:space="preserve">after receipt of funds </w:t>
      </w:r>
      <w:r w:rsidRPr="0093435D">
        <w:rPr>
          <w:lang w:val="en-US" w:eastAsia="en-US"/>
        </w:rPr>
        <w:t xml:space="preserve">to the end </w:t>
      </w:r>
      <w:r>
        <w:rPr>
          <w:lang w:val="en-US" w:eastAsia="en-US"/>
        </w:rPr>
        <w:t xml:space="preserve">of the </w:t>
      </w:r>
      <w:proofErr w:type="spellStart"/>
      <w:r w:rsidR="000F67C7">
        <w:rPr>
          <w:lang w:val="en-US" w:eastAsia="en-US"/>
        </w:rPr>
        <w:t>Samo</w:t>
      </w:r>
      <w:proofErr w:type="spellEnd"/>
      <w:r w:rsidR="000F67C7" w:rsidRPr="006E6F43">
        <w:t>an Government</w:t>
      </w:r>
      <w:r w:rsidR="000F67C7">
        <w:t xml:space="preserve"> </w:t>
      </w:r>
      <w:r>
        <w:rPr>
          <w:lang w:val="en-US" w:eastAsia="en-US"/>
        </w:rPr>
        <w:t xml:space="preserve">financial year. </w:t>
      </w:r>
    </w:p>
    <w:p w:rsidR="008C4FDE" w:rsidRDefault="008C4FDE" w:rsidP="008C4FDE">
      <w:pPr>
        <w:rPr>
          <w:lang w:val="en-US" w:eastAsia="en-US"/>
        </w:rPr>
      </w:pPr>
      <w:r>
        <w:rPr>
          <w:lang w:val="en-US" w:eastAsia="en-US"/>
        </w:rPr>
        <w:t>Efficiency was also adversely impacted by the lack of congruence in planning and fundi</w:t>
      </w:r>
      <w:r w:rsidR="00E57128">
        <w:rPr>
          <w:lang w:val="en-US" w:eastAsia="en-US"/>
        </w:rPr>
        <w:t>n</w:t>
      </w:r>
      <w:r>
        <w:rPr>
          <w:lang w:val="en-US" w:eastAsia="en-US"/>
        </w:rPr>
        <w:t>g periods. The planning</w:t>
      </w:r>
      <w:r w:rsidRPr="0093435D">
        <w:rPr>
          <w:lang w:val="en-US" w:eastAsia="en-US"/>
        </w:rPr>
        <w:t xml:space="preserve"> period for </w:t>
      </w:r>
      <w:r>
        <w:rPr>
          <w:lang w:val="en-US" w:eastAsia="en-US"/>
        </w:rPr>
        <w:t>S</w:t>
      </w:r>
      <w:r w:rsidRPr="0093435D">
        <w:rPr>
          <w:lang w:val="en-US" w:eastAsia="en-US"/>
        </w:rPr>
        <w:t xml:space="preserve">LJS </w:t>
      </w:r>
      <w:r>
        <w:rPr>
          <w:lang w:val="en-US" w:eastAsia="en-US"/>
        </w:rPr>
        <w:t xml:space="preserve"> was July </w:t>
      </w:r>
      <w:r w:rsidRPr="0093435D">
        <w:rPr>
          <w:lang w:val="en-US" w:eastAsia="en-US"/>
        </w:rPr>
        <w:t xml:space="preserve">2012 – </w:t>
      </w:r>
      <w:r>
        <w:rPr>
          <w:lang w:val="en-US" w:eastAsia="en-US"/>
        </w:rPr>
        <w:t xml:space="preserve">June </w:t>
      </w:r>
      <w:r w:rsidRPr="0093435D">
        <w:rPr>
          <w:lang w:val="en-US" w:eastAsia="en-US"/>
        </w:rPr>
        <w:t>2016</w:t>
      </w:r>
      <w:r>
        <w:rPr>
          <w:lang w:val="en-US" w:eastAsia="en-US"/>
        </w:rPr>
        <w:t>, whic</w:t>
      </w:r>
      <w:r w:rsidR="00E57128">
        <w:rPr>
          <w:lang w:val="en-US" w:eastAsia="en-US"/>
        </w:rPr>
        <w:t>h</w:t>
      </w:r>
      <w:r w:rsidRPr="0093435D">
        <w:rPr>
          <w:lang w:val="en-US" w:eastAsia="en-US"/>
        </w:rPr>
        <w:t xml:space="preserve"> did not coincide with </w:t>
      </w:r>
      <w:r>
        <w:rPr>
          <w:lang w:val="en-US" w:eastAsia="en-US"/>
        </w:rPr>
        <w:t xml:space="preserve">the </w:t>
      </w:r>
      <w:r w:rsidRPr="0093435D">
        <w:rPr>
          <w:lang w:val="en-US" w:eastAsia="en-US"/>
        </w:rPr>
        <w:t xml:space="preserve">Australian funding </w:t>
      </w:r>
      <w:r>
        <w:rPr>
          <w:lang w:val="en-US" w:eastAsia="en-US"/>
        </w:rPr>
        <w:t xml:space="preserve">period </w:t>
      </w:r>
      <w:r w:rsidRPr="0093435D">
        <w:rPr>
          <w:lang w:val="en-US" w:eastAsia="en-US"/>
        </w:rPr>
        <w:t>(Mar</w:t>
      </w:r>
      <w:r>
        <w:rPr>
          <w:lang w:val="en-US" w:eastAsia="en-US"/>
        </w:rPr>
        <w:t>ch</w:t>
      </w:r>
      <w:r w:rsidRPr="0093435D">
        <w:rPr>
          <w:lang w:val="en-US" w:eastAsia="en-US"/>
        </w:rPr>
        <w:t xml:space="preserve"> 2012 – Sep</w:t>
      </w:r>
      <w:r>
        <w:rPr>
          <w:lang w:val="en-US" w:eastAsia="en-US"/>
        </w:rPr>
        <w:t>tember</w:t>
      </w:r>
      <w:r w:rsidRPr="0093435D">
        <w:rPr>
          <w:lang w:val="en-US" w:eastAsia="en-US"/>
        </w:rPr>
        <w:t xml:space="preserve"> 2013). This </w:t>
      </w:r>
      <w:r>
        <w:rPr>
          <w:lang w:val="en-US" w:eastAsia="en-US"/>
        </w:rPr>
        <w:t>lack of alignment of planning periods made</w:t>
      </w:r>
      <w:r w:rsidRPr="0093435D">
        <w:rPr>
          <w:lang w:val="en-US" w:eastAsia="en-US"/>
        </w:rPr>
        <w:t xml:space="preserve"> planning</w:t>
      </w:r>
      <w:r>
        <w:rPr>
          <w:lang w:val="en-US" w:eastAsia="en-US"/>
        </w:rPr>
        <w:t xml:space="preserve"> and reporting</w:t>
      </w:r>
      <w:r w:rsidRPr="0093435D">
        <w:rPr>
          <w:lang w:val="en-US" w:eastAsia="en-US"/>
        </w:rPr>
        <w:t xml:space="preserve"> </w:t>
      </w:r>
      <w:r>
        <w:rPr>
          <w:lang w:val="en-US" w:eastAsia="en-US"/>
        </w:rPr>
        <w:t xml:space="preserve">more </w:t>
      </w:r>
      <w:r w:rsidRPr="0093435D">
        <w:rPr>
          <w:lang w:val="en-US" w:eastAsia="en-US"/>
        </w:rPr>
        <w:t>difficult for the SC</w:t>
      </w:r>
      <w:r>
        <w:rPr>
          <w:lang w:val="en-US" w:eastAsia="en-US"/>
        </w:rPr>
        <w:t xml:space="preserve">. In addition, initiatives were commenced </w:t>
      </w:r>
      <w:r w:rsidRPr="0093435D">
        <w:rPr>
          <w:lang w:val="en-US" w:eastAsia="en-US"/>
        </w:rPr>
        <w:t xml:space="preserve"> </w:t>
      </w:r>
      <w:r>
        <w:rPr>
          <w:lang w:val="en-US" w:eastAsia="en-US"/>
        </w:rPr>
        <w:t>with the reasonable expectation that funds would be forthcoming to complete these projects in subsequent periods. When subsequent funding was not available, the initiative was not able to be completed. This results in inefficient use of the original funds.</w:t>
      </w:r>
    </w:p>
    <w:p w:rsidR="008C4FDE" w:rsidRPr="0093435D" w:rsidRDefault="008C4FDE" w:rsidP="00FB28DF">
      <w:pPr>
        <w:pStyle w:val="Heading3"/>
        <w:numPr>
          <w:ilvl w:val="0"/>
          <w:numId w:val="0"/>
        </w:numPr>
        <w:rPr>
          <w:lang w:val="en-US" w:eastAsia="en-US"/>
        </w:rPr>
      </w:pPr>
      <w:r w:rsidRPr="0093435D">
        <w:rPr>
          <w:lang w:val="en-US" w:eastAsia="en-US"/>
        </w:rPr>
        <w:t xml:space="preserve">Design </w:t>
      </w:r>
      <w:r>
        <w:rPr>
          <w:lang w:val="en-US" w:eastAsia="en-US"/>
        </w:rPr>
        <w:t>of support to the SLJS</w:t>
      </w:r>
    </w:p>
    <w:p w:rsidR="008C4FDE" w:rsidRDefault="008C4FDE" w:rsidP="008C4FDE">
      <w:pPr>
        <w:rPr>
          <w:lang w:val="en-US" w:eastAsia="en-US"/>
        </w:rPr>
      </w:pPr>
      <w:r>
        <w:rPr>
          <w:lang w:val="en-US" w:eastAsia="en-US"/>
        </w:rPr>
        <w:t xml:space="preserve">Both the absence of a design (or more specifically, the lack of agreement on boundaries and process) and the approach used to develop a design for support to the second SLJS Strategic Plan created significant inefficiencies. </w:t>
      </w:r>
    </w:p>
    <w:p w:rsidR="008C4FDE" w:rsidRDefault="008C4FDE" w:rsidP="008C4FDE">
      <w:pPr>
        <w:rPr>
          <w:lang w:val="en-US" w:eastAsia="en-US"/>
        </w:rPr>
      </w:pPr>
      <w:r>
        <w:rPr>
          <w:lang w:val="en-US" w:eastAsia="en-US"/>
        </w:rPr>
        <w:t>All support to the SLJS was provided without a design. As discussed in Section 3, the decision to provide support without a design reflected a lack of a clear understanding of sectoral support combined with</w:t>
      </w:r>
      <w:r w:rsidRPr="008C602C">
        <w:rPr>
          <w:lang w:val="en-US" w:eastAsia="en-US"/>
        </w:rPr>
        <w:t xml:space="preserve"> </w:t>
      </w:r>
      <w:r>
        <w:rPr>
          <w:lang w:val="en-US" w:eastAsia="en-US"/>
        </w:rPr>
        <w:t xml:space="preserve">a desire to quickly progress provision of support. There was a sense that partners needed to implement and experience sectoral support before they could properly design it. Given the information available to partners at that time, this thinking </w:t>
      </w:r>
      <w:r w:rsidR="000F67C7">
        <w:rPr>
          <w:lang w:val="en-US" w:eastAsia="en-US"/>
        </w:rPr>
        <w:t>cannot</w:t>
      </w:r>
      <w:r>
        <w:rPr>
          <w:lang w:val="en-US" w:eastAsia="en-US"/>
        </w:rPr>
        <w:t xml:space="preserve"> be refuted; it is likely that the production of a traditional design may well have slowed support to the sector and not produced significant benefit given that the design template used at that time was not suited to sectoral support. </w:t>
      </w:r>
    </w:p>
    <w:p w:rsidR="008C4FDE" w:rsidRDefault="008C4FDE" w:rsidP="008C4FDE">
      <w:pPr>
        <w:rPr>
          <w:lang w:val="en-US" w:eastAsia="en-US"/>
        </w:rPr>
      </w:pPr>
      <w:r>
        <w:rPr>
          <w:lang w:val="en-US" w:eastAsia="en-US"/>
        </w:rPr>
        <w:t xml:space="preserve">However, the absence of a design created a number of inefficiencies consequent on the lack of agreement on many of the details included in a design. For example, the agreed outcomes, criteria for applying </w:t>
      </w:r>
      <w:r w:rsidR="000F67C7" w:rsidRPr="006E6F43">
        <w:t>Australian Government</w:t>
      </w:r>
      <w:r w:rsidR="000F67C7">
        <w:t xml:space="preserve"> </w:t>
      </w:r>
      <w:r>
        <w:rPr>
          <w:lang w:val="en-US" w:eastAsia="en-US"/>
        </w:rPr>
        <w:t xml:space="preserve">funds to projects and </w:t>
      </w:r>
      <w:r w:rsidR="000F67C7" w:rsidRPr="006E6F43">
        <w:t>the Australian Government</w:t>
      </w:r>
      <w:r w:rsidR="000F67C7">
        <w:t xml:space="preserve">’s </w:t>
      </w:r>
      <w:r>
        <w:rPr>
          <w:lang w:val="en-US" w:eastAsia="en-US"/>
        </w:rPr>
        <w:lastRenderedPageBreak/>
        <w:t>role (what is the role of an observer SC member). Had these issues been discussed, agreed and documented, it may have prevented the subsequent issues that emerged to adversely affect relationships.</w:t>
      </w:r>
    </w:p>
    <w:p w:rsidR="008C4FDE" w:rsidRPr="00A2202F" w:rsidRDefault="008C4FDE" w:rsidP="008C4FDE">
      <w:pPr>
        <w:rPr>
          <w:lang w:val="en-US" w:eastAsia="en-US"/>
        </w:rPr>
      </w:pPr>
      <w:r>
        <w:rPr>
          <w:lang w:val="en-US" w:eastAsia="en-US"/>
        </w:rPr>
        <w:t xml:space="preserve">Finding a balance in these two perspectives (valid reasons why a design was not developed and the need for agreed boundaries) in providing future support, particularly to new </w:t>
      </w:r>
      <w:r w:rsidRPr="00A2202F">
        <w:rPr>
          <w:lang w:val="en-US" w:eastAsia="en-US"/>
        </w:rPr>
        <w:t xml:space="preserve">modalities, is essential. Possible approaches to this are presented in Section 9. </w:t>
      </w:r>
    </w:p>
    <w:p w:rsidR="008C4FDE" w:rsidRDefault="008C4FDE" w:rsidP="008C4FDE">
      <w:pPr>
        <w:rPr>
          <w:lang w:val="en-US" w:eastAsia="en-US"/>
        </w:rPr>
      </w:pPr>
      <w:r>
        <w:rPr>
          <w:lang w:val="en-US" w:eastAsia="en-US"/>
        </w:rPr>
        <w:t xml:space="preserve">There was an intention that a design would underpin the support provided to implement the second Strategic Plan. However this did not occur, fundamentally due to poor initial planning leading to misunderstandings (Appendix </w:t>
      </w:r>
      <w:r w:rsidR="008D7761">
        <w:rPr>
          <w:lang w:val="en-US" w:eastAsia="en-US"/>
        </w:rPr>
        <w:t>J</w:t>
      </w:r>
      <w:r>
        <w:rPr>
          <w:lang w:val="en-US" w:eastAsia="en-US"/>
        </w:rPr>
        <w:t xml:space="preserve">). The Steering Committee did not </w:t>
      </w:r>
      <w:r w:rsidRPr="008C602C">
        <w:rPr>
          <w:lang w:val="en-US" w:eastAsia="en-US"/>
        </w:rPr>
        <w:t xml:space="preserve">understand the purpose of </w:t>
      </w:r>
      <w:r>
        <w:rPr>
          <w:lang w:val="en-US" w:eastAsia="en-US"/>
        </w:rPr>
        <w:t>the</w:t>
      </w:r>
      <w:r w:rsidRPr="008C602C">
        <w:rPr>
          <w:lang w:val="en-US" w:eastAsia="en-US"/>
        </w:rPr>
        <w:t xml:space="preserve"> design</w:t>
      </w:r>
      <w:r>
        <w:rPr>
          <w:lang w:val="en-US" w:eastAsia="en-US"/>
        </w:rPr>
        <w:t>, were</w:t>
      </w:r>
      <w:r w:rsidRPr="008C602C">
        <w:rPr>
          <w:lang w:val="en-US" w:eastAsia="en-US"/>
        </w:rPr>
        <w:t xml:space="preserve"> </w:t>
      </w:r>
      <w:r>
        <w:rPr>
          <w:lang w:val="en-US" w:eastAsia="en-US"/>
        </w:rPr>
        <w:t>concerned that the design may require changes to the Strategic Plan, were not involved in selecting the design team  and consequently, had no ownership of the design process. This was compounded by the Steering Committee perceiving</w:t>
      </w:r>
      <w:r w:rsidRPr="008C602C">
        <w:rPr>
          <w:lang w:val="en-US" w:eastAsia="en-US"/>
        </w:rPr>
        <w:t xml:space="preserve"> </w:t>
      </w:r>
      <w:r>
        <w:rPr>
          <w:lang w:val="en-US" w:eastAsia="en-US"/>
        </w:rPr>
        <w:t xml:space="preserve">some design team members had </w:t>
      </w:r>
      <w:r w:rsidRPr="008C602C">
        <w:rPr>
          <w:lang w:val="en-US" w:eastAsia="en-US"/>
        </w:rPr>
        <w:t xml:space="preserve">a significant conflict of interest. </w:t>
      </w:r>
      <w:r>
        <w:rPr>
          <w:lang w:val="en-US" w:eastAsia="en-US"/>
        </w:rPr>
        <w:t>Combined, these factors</w:t>
      </w:r>
      <w:r w:rsidRPr="008C602C">
        <w:rPr>
          <w:lang w:val="en-US" w:eastAsia="en-US"/>
        </w:rPr>
        <w:t xml:space="preserve"> established a poor foundation for the design</w:t>
      </w:r>
      <w:r>
        <w:rPr>
          <w:lang w:val="en-US" w:eastAsia="en-US"/>
        </w:rPr>
        <w:t>.</w:t>
      </w:r>
    </w:p>
    <w:p w:rsidR="008C4FDE" w:rsidRDefault="008C4FDE" w:rsidP="008C4FDE">
      <w:pPr>
        <w:rPr>
          <w:lang w:val="en-US" w:eastAsia="en-US"/>
        </w:rPr>
      </w:pPr>
      <w:r>
        <w:rPr>
          <w:lang w:val="en-US" w:eastAsia="en-US"/>
        </w:rPr>
        <w:t>With this base, developing a design was always going to be difficult. However, the approach adopted by the</w:t>
      </w:r>
      <w:r w:rsidRPr="008C602C">
        <w:rPr>
          <w:lang w:val="en-US" w:eastAsia="en-US"/>
        </w:rPr>
        <w:t xml:space="preserve"> design team </w:t>
      </w:r>
      <w:r>
        <w:rPr>
          <w:lang w:val="en-US" w:eastAsia="en-US"/>
        </w:rPr>
        <w:t>exacerbated this further. The SC did not consider</w:t>
      </w:r>
      <w:r w:rsidRPr="008C602C">
        <w:rPr>
          <w:lang w:val="en-US" w:eastAsia="en-US"/>
        </w:rPr>
        <w:t xml:space="preserve"> </w:t>
      </w:r>
      <w:r>
        <w:rPr>
          <w:lang w:val="en-US" w:eastAsia="en-US"/>
        </w:rPr>
        <w:t xml:space="preserve">the approach </w:t>
      </w:r>
      <w:r w:rsidRPr="008C602C">
        <w:rPr>
          <w:lang w:val="en-US" w:eastAsia="en-US"/>
        </w:rPr>
        <w:t xml:space="preserve">collegial </w:t>
      </w:r>
      <w:r>
        <w:rPr>
          <w:lang w:val="en-US" w:eastAsia="en-US"/>
        </w:rPr>
        <w:t>n</w:t>
      </w:r>
      <w:r w:rsidRPr="008C602C">
        <w:rPr>
          <w:lang w:val="en-US" w:eastAsia="en-US"/>
        </w:rPr>
        <w:t xml:space="preserve">or </w:t>
      </w:r>
      <w:r>
        <w:rPr>
          <w:lang w:val="en-US" w:eastAsia="en-US"/>
        </w:rPr>
        <w:t xml:space="preserve">to </w:t>
      </w:r>
      <w:r w:rsidRPr="008C602C">
        <w:rPr>
          <w:lang w:val="en-US" w:eastAsia="en-US"/>
        </w:rPr>
        <w:t xml:space="preserve">consider adequately the Samoan perspective: the context, </w:t>
      </w:r>
      <w:r>
        <w:rPr>
          <w:lang w:val="en-US" w:eastAsia="en-US"/>
        </w:rPr>
        <w:t>achievements or</w:t>
      </w:r>
      <w:r w:rsidRPr="008C602C">
        <w:rPr>
          <w:lang w:val="en-US" w:eastAsia="en-US"/>
        </w:rPr>
        <w:t xml:space="preserve"> and feedback provided</w:t>
      </w:r>
      <w:r>
        <w:rPr>
          <w:lang w:val="en-US" w:eastAsia="en-US"/>
        </w:rPr>
        <w:t xml:space="preserve"> by the SC</w:t>
      </w:r>
      <w:r w:rsidRPr="008C602C">
        <w:rPr>
          <w:lang w:val="en-US" w:eastAsia="en-US"/>
        </w:rPr>
        <w:t xml:space="preserve">. </w:t>
      </w:r>
      <w:r>
        <w:rPr>
          <w:lang w:val="en-US" w:eastAsia="en-US"/>
        </w:rPr>
        <w:t xml:space="preserve">The design team did not provide a </w:t>
      </w:r>
      <w:r w:rsidRPr="008C602C">
        <w:rPr>
          <w:lang w:val="en-US" w:eastAsia="en-US"/>
        </w:rPr>
        <w:t xml:space="preserve">written aide memoir </w:t>
      </w:r>
      <w:r>
        <w:rPr>
          <w:lang w:val="en-US" w:eastAsia="en-US"/>
        </w:rPr>
        <w:t xml:space="preserve">while in-country </w:t>
      </w:r>
      <w:r w:rsidRPr="008C602C">
        <w:rPr>
          <w:lang w:val="en-US" w:eastAsia="en-US"/>
        </w:rPr>
        <w:t xml:space="preserve">and it is unclear whether there was a verbal debrief for the SC. </w:t>
      </w:r>
    </w:p>
    <w:p w:rsidR="008C4FDE" w:rsidRDefault="008C4FDE" w:rsidP="008C4FDE">
      <w:pPr>
        <w:rPr>
          <w:lang w:val="en-US" w:eastAsia="en-US"/>
        </w:rPr>
      </w:pPr>
      <w:r>
        <w:rPr>
          <w:lang w:val="en-US" w:eastAsia="en-US"/>
        </w:rPr>
        <w:t xml:space="preserve">As a consequence of dissatisfaction and misunderstandings flowing from planning and implementation of the process to develop the design, the design process was not completed. Thus, the support provided to implement the second Strategic Plan was also without a design. More significantly, this process adversely impacted the relationship between </w:t>
      </w:r>
      <w:r w:rsidR="000F67C7" w:rsidRPr="006E6F43">
        <w:t>the Australian Government</w:t>
      </w:r>
      <w:r w:rsidR="000F67C7">
        <w:t xml:space="preserve"> </w:t>
      </w:r>
      <w:r>
        <w:rPr>
          <w:lang w:val="en-US" w:eastAsia="en-US"/>
        </w:rPr>
        <w:t>and the SLJS for an extended period. Entrenched positions were established quickly and n</w:t>
      </w:r>
      <w:r w:rsidRPr="0093435D">
        <w:rPr>
          <w:lang w:val="en-US" w:eastAsia="en-US"/>
        </w:rPr>
        <w:t xml:space="preserve">either </w:t>
      </w:r>
      <w:r w:rsidR="000F67C7" w:rsidRPr="006E6F43">
        <w:t>the Australian Government</w:t>
      </w:r>
      <w:r w:rsidR="000F67C7">
        <w:t xml:space="preserve"> </w:t>
      </w:r>
      <w:r w:rsidRPr="0093435D">
        <w:rPr>
          <w:lang w:val="en-US" w:eastAsia="en-US"/>
        </w:rPr>
        <w:t>nor the SC seems to have ‘stood in the shoes’ of the other to consider how the other would interpret the situation.</w:t>
      </w:r>
      <w:r>
        <w:rPr>
          <w:lang w:val="en-US" w:eastAsia="en-US"/>
        </w:rPr>
        <w:t xml:space="preserve"> Significant work on both sides was required to restore a positive relationship, and those who contributed to this should be commended for their efforts.   </w:t>
      </w:r>
      <w:r w:rsidR="000F67C7">
        <w:rPr>
          <w:lang w:val="en-US" w:eastAsia="en-US"/>
        </w:rPr>
        <w:t xml:space="preserve"> </w:t>
      </w:r>
    </w:p>
    <w:p w:rsidR="008C4FDE" w:rsidRPr="00A2202F" w:rsidRDefault="008C4FDE" w:rsidP="008C4FDE">
      <w:pPr>
        <w:rPr>
          <w:lang w:val="en-US" w:eastAsia="en-US"/>
        </w:rPr>
      </w:pPr>
      <w:r>
        <w:rPr>
          <w:lang w:val="en-US" w:eastAsia="en-US"/>
        </w:rPr>
        <w:t xml:space="preserve">Thus, as a consequence of poor planning and the lack of a collegial implementation approach, the design process was not efficient. As described by members of the SC, this was </w:t>
      </w:r>
      <w:r w:rsidRPr="0093435D">
        <w:rPr>
          <w:lang w:val="en-US" w:eastAsia="en-US"/>
        </w:rPr>
        <w:t xml:space="preserve">“a problem with the </w:t>
      </w:r>
      <w:r>
        <w:rPr>
          <w:lang w:val="en-US" w:eastAsia="en-US"/>
        </w:rPr>
        <w:t>process rather than the content</w:t>
      </w:r>
      <w:r w:rsidRPr="0093435D">
        <w:rPr>
          <w:lang w:val="en-US" w:eastAsia="en-US"/>
        </w:rPr>
        <w:t>”</w:t>
      </w:r>
      <w:r>
        <w:rPr>
          <w:lang w:val="en-US" w:eastAsia="en-US"/>
        </w:rPr>
        <w:t xml:space="preserve">. To be both effective and efficient, the design should not have proceeded without the full involvement and ownership of the process by the SLJS. There exclusion from the selection process should have halted the process. If this did not occur, the SLJS written advice that they did not understand the purpose of the design, should, as a minimum, have delayed the process.  With the lack of SLJS ownership, any design produced was likely to be unsuccessful. Thus, efforts to resurrect </w:t>
      </w:r>
      <w:r w:rsidRPr="00A2202F">
        <w:rPr>
          <w:lang w:val="en-US" w:eastAsia="en-US"/>
        </w:rPr>
        <w:t>the design process were unlikely to be effective in the long term. This is discussed further in Section 9.</w:t>
      </w:r>
    </w:p>
    <w:p w:rsidR="008C4FDE" w:rsidRDefault="008C4FDE" w:rsidP="00FB28DF">
      <w:pPr>
        <w:pStyle w:val="Heading2"/>
        <w:numPr>
          <w:ilvl w:val="0"/>
          <w:numId w:val="0"/>
        </w:numPr>
      </w:pPr>
      <w:bookmarkStart w:id="95" w:name="_Toc427011861"/>
      <w:bookmarkStart w:id="96" w:name="_Toc427238950"/>
      <w:bookmarkStart w:id="97" w:name="_Toc431223180"/>
      <w:bookmarkStart w:id="98" w:name="_Toc431828814"/>
      <w:r>
        <w:t>SLJS Management</w:t>
      </w:r>
      <w:bookmarkEnd w:id="95"/>
      <w:bookmarkEnd w:id="96"/>
      <w:bookmarkEnd w:id="97"/>
      <w:bookmarkEnd w:id="98"/>
    </w:p>
    <w:p w:rsidR="008C4FDE" w:rsidRDefault="008C4FDE" w:rsidP="00FB28DF">
      <w:pPr>
        <w:pStyle w:val="Heading3"/>
        <w:numPr>
          <w:ilvl w:val="0"/>
          <w:numId w:val="0"/>
        </w:numPr>
      </w:pPr>
      <w:r>
        <w:t>The Secretariat</w:t>
      </w:r>
    </w:p>
    <w:p w:rsidR="008C4FDE" w:rsidRDefault="008C4FDE" w:rsidP="008C4FDE">
      <w:r>
        <w:t xml:space="preserve">Operation of the Secretariat used approximately 9% of the funding allocated to support the second SLJS Strategic Plan. However, increased expenditure on the Secretariat would have improved efficiency through enabling timely establishment of a database and strategic. </w:t>
      </w:r>
    </w:p>
    <w:p w:rsidR="008C4FDE" w:rsidRDefault="008C4FDE" w:rsidP="008C4FDE">
      <w:r>
        <w:lastRenderedPageBreak/>
        <w:t>Those interviewed with experience of other sectors identified that the SLJS was more effective and more efficient than those sectors. This was reflected in clear, simple processes and procedures for proposing a project and the Steering Committee assessing proposals through the Working Group and then debating (rather than rubber stamping) projects</w:t>
      </w:r>
      <w:r>
        <w:rPr>
          <w:rStyle w:val="EndnoteReference"/>
        </w:rPr>
        <w:endnoteReference w:id="77"/>
      </w:r>
      <w:r>
        <w:t>. In addition, a number of stakeholders commended the SLJS for housing the Secretariat outside (under a different roof) to sector agencies so that there is no perceived conflict of interest. They believed this was a better approach than housing the Secretariat within one of the SA as standard practice in all other sectors, and recently adopted within the SLJS</w:t>
      </w:r>
      <w:r>
        <w:rPr>
          <w:rStyle w:val="EndnoteReference"/>
        </w:rPr>
        <w:endnoteReference w:id="78"/>
      </w:r>
      <w:r>
        <w:t xml:space="preserve">. However, there are a number of areas in which significant improvements in efficiency could have been achieved with greater support. These are discussed below. </w:t>
      </w:r>
    </w:p>
    <w:p w:rsidR="008C4FDE" w:rsidRDefault="008C4FDE" w:rsidP="005B74A0">
      <w:r>
        <w:t>T</w:t>
      </w:r>
      <w:r w:rsidR="007B42D3">
        <w:t>h</w:t>
      </w:r>
      <w:r>
        <w:t xml:space="preserve">e SLJS Strategic Plan </w:t>
      </w:r>
      <w:r w:rsidR="005B74A0">
        <w:t>identified</w:t>
      </w:r>
      <w:r>
        <w:t xml:space="preserve"> the Steering Committee’s role </w:t>
      </w:r>
      <w:r w:rsidR="005B74A0">
        <w:t>a</w:t>
      </w:r>
      <w:r>
        <w:t>s one of leadership within the Sector. As such, it is tasked to provide strategic advice, support and advocate for appropriate interventions across the Sector. The Secretariat’s role is identified as assisting the Steering Committee in the coordination of Sector programmes and activities, with responsibility for planning, budgeting and moni</w:t>
      </w:r>
      <w:r w:rsidR="007B42D3">
        <w:t>toring. The more detail</w:t>
      </w:r>
      <w:r>
        <w:t xml:space="preserve">ed descriptions </w:t>
      </w:r>
      <w:r w:rsidR="005B74A0">
        <w:t xml:space="preserve">available </w:t>
      </w:r>
      <w:r w:rsidR="007B42D3">
        <w:t>of the Secretariat’s role (SLJS, 2012d) are focussed at the project level and do not include supporting strategic level monitoring or planning.</w:t>
      </w:r>
      <w:r w:rsidR="005B74A0">
        <w:t xml:space="preserve"> They also don’t clearly identify the Secretariat’s authority to act without specific direction.</w:t>
      </w:r>
      <w:r>
        <w:t xml:space="preserve"> </w:t>
      </w:r>
      <w:r w:rsidR="005B74A0">
        <w:t>Consequently</w:t>
      </w:r>
      <w:r>
        <w:t>,</w:t>
      </w:r>
      <w:r w:rsidR="005B74A0">
        <w:t xml:space="preserve"> the Secretariat has not supported the strategic level and</w:t>
      </w:r>
      <w:r>
        <w:t xml:space="preserve"> there was some confusion among members of the Steering Committee and Secretariat on specific responsibilities</w:t>
      </w:r>
      <w:r w:rsidR="005B74A0">
        <w:t xml:space="preserve"> and authority</w:t>
      </w:r>
      <w:r>
        <w:t>. For example, who had responsibility for ensuring regulatory compliance and whether the Secretariat could act without specific direction from the Steering Committee</w:t>
      </w:r>
      <w:r>
        <w:rPr>
          <w:rStyle w:val="EndnoteReference"/>
        </w:rPr>
        <w:endnoteReference w:id="79"/>
      </w:r>
      <w:r>
        <w:t xml:space="preserve">. This may have contributed to some of the issues identified later in relation to procurement. </w:t>
      </w:r>
    </w:p>
    <w:p w:rsidR="008C4FDE" w:rsidRDefault="008C4FDE" w:rsidP="008C4FDE">
      <w:r>
        <w:t>The Secretariat has responsibility for monitoring. To support this, an effective sector database is critical. While the sector database (</w:t>
      </w:r>
      <w:proofErr w:type="spellStart"/>
      <w:r>
        <w:t>Auafa</w:t>
      </w:r>
      <w:proofErr w:type="spellEnd"/>
      <w:r>
        <w:t xml:space="preserve"> May) has been developed, it is not operational,</w:t>
      </w:r>
      <w:r w:rsidRPr="00D55002">
        <w:t xml:space="preserve"> </w:t>
      </w:r>
      <w:r>
        <w:t xml:space="preserve">apparently due to a small error in coding. As an Australian volunteer developed the database (but did not fully test it before finishing), there was no contractual mechanism to ensure it was completed as scheduled. Engaging a Samoan firm to develop the database using an output based contract with a maintenance period would have been more efficient, even though more costly. The firm would not be paid until the database was operating successfully. </w:t>
      </w:r>
    </w:p>
    <w:p w:rsidR="008C4FDE" w:rsidRDefault="008C4FDE" w:rsidP="008C4FDE">
      <w:r>
        <w:t xml:space="preserve">In addition, the Secretariat staffing did not include team members with the capacity to support the monitoring role (and perhaps planning) effectively, particularly at the strategic level. As the development of the database progressed, inclusion of a person with IT skills to manage the database would have been beneficial. We strongly support the Steering Committee’s current proposal to include such a person within the Secretariat. </w:t>
      </w:r>
    </w:p>
    <w:p w:rsidR="008C4FDE" w:rsidRPr="0093435D" w:rsidRDefault="008C4FDE" w:rsidP="00055EC8">
      <w:pPr>
        <w:pStyle w:val="Heading3"/>
        <w:numPr>
          <w:ilvl w:val="0"/>
          <w:numId w:val="0"/>
        </w:numPr>
        <w:rPr>
          <w:lang w:val="en-US" w:eastAsia="en-US"/>
        </w:rPr>
      </w:pPr>
      <w:r w:rsidRPr="0093435D">
        <w:rPr>
          <w:lang w:val="en-US" w:eastAsia="en-US"/>
        </w:rPr>
        <w:t xml:space="preserve">Application of </w:t>
      </w:r>
      <w:proofErr w:type="spellStart"/>
      <w:r w:rsidRPr="0093435D">
        <w:rPr>
          <w:lang w:val="en-US" w:eastAsia="en-US"/>
        </w:rPr>
        <w:t>GoS</w:t>
      </w:r>
      <w:proofErr w:type="spellEnd"/>
      <w:r w:rsidRPr="0093435D">
        <w:rPr>
          <w:lang w:val="en-US" w:eastAsia="en-US"/>
        </w:rPr>
        <w:t xml:space="preserve"> procurement process</w:t>
      </w:r>
    </w:p>
    <w:p w:rsidR="008C4FDE" w:rsidRPr="0093435D" w:rsidRDefault="008C4FDE" w:rsidP="008C4FDE">
      <w:pPr>
        <w:rPr>
          <w:lang w:val="en-US" w:eastAsia="en-US"/>
        </w:rPr>
      </w:pPr>
      <w:r>
        <w:rPr>
          <w:lang w:val="en-US" w:eastAsia="en-US"/>
        </w:rPr>
        <w:t xml:space="preserve">As noted in Section </w:t>
      </w:r>
      <w:r w:rsidR="00A2202F">
        <w:rPr>
          <w:lang w:val="en-US" w:eastAsia="en-US"/>
        </w:rPr>
        <w:t>6</w:t>
      </w:r>
      <w:r>
        <w:rPr>
          <w:lang w:val="en-US" w:eastAsia="en-US"/>
        </w:rPr>
        <w:t>.1.1, the Agreement required that SLJS SC apply t</w:t>
      </w:r>
      <w:r w:rsidRPr="0093435D">
        <w:rPr>
          <w:lang w:val="en-US" w:eastAsia="en-US"/>
        </w:rPr>
        <w:t xml:space="preserve">he </w:t>
      </w:r>
      <w:proofErr w:type="spellStart"/>
      <w:r w:rsidRPr="0093435D">
        <w:rPr>
          <w:lang w:val="en-US" w:eastAsia="en-US"/>
        </w:rPr>
        <w:t>GoS</w:t>
      </w:r>
      <w:proofErr w:type="spellEnd"/>
      <w:r w:rsidRPr="0093435D">
        <w:rPr>
          <w:lang w:val="en-US" w:eastAsia="en-US"/>
        </w:rPr>
        <w:t xml:space="preserve"> procurement process</w:t>
      </w:r>
      <w:r>
        <w:rPr>
          <w:lang w:val="en-US" w:eastAsia="en-US"/>
        </w:rPr>
        <w:t xml:space="preserve">. However, although the procurement process was well documented and transparent, procurement did not always comply with the </w:t>
      </w:r>
      <w:proofErr w:type="spellStart"/>
      <w:r>
        <w:rPr>
          <w:lang w:val="en-US" w:eastAsia="en-US"/>
        </w:rPr>
        <w:t>GoS</w:t>
      </w:r>
      <w:proofErr w:type="spellEnd"/>
      <w:r>
        <w:rPr>
          <w:lang w:val="en-US" w:eastAsia="en-US"/>
        </w:rPr>
        <w:t xml:space="preserve"> </w:t>
      </w:r>
      <w:r w:rsidRPr="0093435D">
        <w:rPr>
          <w:lang w:val="en-US" w:eastAsia="en-US"/>
        </w:rPr>
        <w:t>procurement process.</w:t>
      </w:r>
      <w:r>
        <w:rPr>
          <w:lang w:val="en-US" w:eastAsia="en-US"/>
        </w:rPr>
        <w:t xml:space="preserve"> </w:t>
      </w:r>
      <w:r w:rsidRPr="0093435D">
        <w:rPr>
          <w:lang w:val="en-US" w:eastAsia="en-US"/>
        </w:rPr>
        <w:t xml:space="preserve"> </w:t>
      </w:r>
    </w:p>
    <w:p w:rsidR="008C4FDE" w:rsidRDefault="008C4FDE" w:rsidP="008C4FDE">
      <w:pPr>
        <w:rPr>
          <w:lang w:val="en-US" w:eastAsia="en-US"/>
        </w:rPr>
      </w:pPr>
      <w:r>
        <w:rPr>
          <w:lang w:val="en-US" w:eastAsia="en-US"/>
        </w:rPr>
        <w:t xml:space="preserve">Two cases of procurement that did not adhere to the </w:t>
      </w:r>
      <w:proofErr w:type="spellStart"/>
      <w:r>
        <w:rPr>
          <w:lang w:val="en-US" w:eastAsia="en-US"/>
        </w:rPr>
        <w:t>GoS</w:t>
      </w:r>
      <w:proofErr w:type="spellEnd"/>
      <w:r>
        <w:rPr>
          <w:lang w:val="en-US" w:eastAsia="en-US"/>
        </w:rPr>
        <w:t xml:space="preserve"> process were identified. Both cases occurred at the start of funding projects. In part, both were a consequence of attempting to establish activities as quickly as possible. In one case (digitization of LTC records), lack of full-compliance with the </w:t>
      </w:r>
      <w:proofErr w:type="spellStart"/>
      <w:r>
        <w:rPr>
          <w:lang w:val="en-US" w:eastAsia="en-US"/>
        </w:rPr>
        <w:t>GoS</w:t>
      </w:r>
      <w:proofErr w:type="spellEnd"/>
      <w:r>
        <w:rPr>
          <w:lang w:val="en-US" w:eastAsia="en-US"/>
        </w:rPr>
        <w:t xml:space="preserve"> procurement procedure did not adversely affect either quality or cost of the work</w:t>
      </w:r>
      <w:r>
        <w:rPr>
          <w:rStyle w:val="EndnoteReference"/>
          <w:lang w:val="en-US" w:eastAsia="en-US"/>
        </w:rPr>
        <w:endnoteReference w:id="80"/>
      </w:r>
      <w:r>
        <w:rPr>
          <w:lang w:val="en-US" w:eastAsia="en-US"/>
        </w:rPr>
        <w:t>.  In the other case (</w:t>
      </w:r>
      <w:r w:rsidRPr="0093435D">
        <w:rPr>
          <w:lang w:val="en-US" w:eastAsia="en-US"/>
        </w:rPr>
        <w:t xml:space="preserve">construction of female inmates </w:t>
      </w:r>
      <w:r>
        <w:rPr>
          <w:lang w:val="en-US" w:eastAsia="en-US"/>
        </w:rPr>
        <w:t xml:space="preserve">cells), the Steering </w:t>
      </w:r>
      <w:r>
        <w:rPr>
          <w:lang w:val="en-US" w:eastAsia="en-US"/>
        </w:rPr>
        <w:lastRenderedPageBreak/>
        <w:t xml:space="preserve">Committee </w:t>
      </w:r>
      <w:r w:rsidRPr="0093435D">
        <w:rPr>
          <w:lang w:val="en-US" w:eastAsia="en-US"/>
        </w:rPr>
        <w:t>identified</w:t>
      </w:r>
      <w:r>
        <w:rPr>
          <w:lang w:val="en-US" w:eastAsia="en-US"/>
        </w:rPr>
        <w:t xml:space="preserve"> numerous quality and cost issues resulting from not contracting the works. The Steering Committee increased their own supervision of the works to try to address these problems.</w:t>
      </w:r>
      <w:r w:rsidRPr="0093435D">
        <w:rPr>
          <w:lang w:val="en-US" w:eastAsia="en-US"/>
        </w:rPr>
        <w:t xml:space="preserve"> </w:t>
      </w:r>
      <w:r>
        <w:rPr>
          <w:lang w:val="en-US" w:eastAsia="en-US"/>
        </w:rPr>
        <w:t xml:space="preserve">As a consequence, the Steering Committee concluded that </w:t>
      </w:r>
      <w:r w:rsidRPr="0093435D">
        <w:rPr>
          <w:lang w:val="en-US" w:eastAsia="en-US"/>
        </w:rPr>
        <w:t xml:space="preserve">all construction works </w:t>
      </w:r>
      <w:r>
        <w:rPr>
          <w:lang w:val="en-US" w:eastAsia="en-US"/>
        </w:rPr>
        <w:t xml:space="preserve">should be contracted </w:t>
      </w:r>
      <w:r w:rsidRPr="0093435D">
        <w:rPr>
          <w:lang w:val="en-US" w:eastAsia="en-US"/>
        </w:rPr>
        <w:t>in future regardless</w:t>
      </w:r>
      <w:r>
        <w:rPr>
          <w:lang w:val="en-US" w:eastAsia="en-US"/>
        </w:rPr>
        <w:t xml:space="preserve"> </w:t>
      </w:r>
      <w:r w:rsidRPr="0093435D">
        <w:rPr>
          <w:lang w:val="en-US" w:eastAsia="en-US"/>
        </w:rPr>
        <w:t xml:space="preserve">of </w:t>
      </w:r>
      <w:r>
        <w:rPr>
          <w:lang w:val="en-US" w:eastAsia="en-US"/>
        </w:rPr>
        <w:t>perceived benefits of one agency undertaking the work themselves</w:t>
      </w:r>
      <w:r>
        <w:rPr>
          <w:rStyle w:val="EndnoteReference"/>
          <w:lang w:val="en-US" w:eastAsia="en-US"/>
        </w:rPr>
        <w:endnoteReference w:id="81"/>
      </w:r>
      <w:r w:rsidRPr="0093435D">
        <w:rPr>
          <w:lang w:val="en-US" w:eastAsia="en-US"/>
        </w:rPr>
        <w:t xml:space="preserve">. </w:t>
      </w:r>
    </w:p>
    <w:p w:rsidR="008C4FDE" w:rsidRDefault="008C4FDE" w:rsidP="008C4FDE">
      <w:pPr>
        <w:rPr>
          <w:lang w:eastAsia="en-US"/>
        </w:rPr>
      </w:pPr>
      <w:r>
        <w:rPr>
          <w:lang w:val="en-US" w:eastAsia="en-US"/>
        </w:rPr>
        <w:t xml:space="preserve">In both cases, there has been no suggestion of fraud or misappropriation associated with these activities. This is supported by the </w:t>
      </w:r>
      <w:proofErr w:type="spellStart"/>
      <w:r>
        <w:rPr>
          <w:lang w:eastAsia="en-US"/>
        </w:rPr>
        <w:t>GoS</w:t>
      </w:r>
      <w:proofErr w:type="spellEnd"/>
      <w:r>
        <w:rPr>
          <w:lang w:eastAsia="en-US"/>
        </w:rPr>
        <w:t xml:space="preserve"> Audit not identifying concerns with this expenditure. The process applied was clear in documents available at SC meetings and minutes. The breach in </w:t>
      </w:r>
      <w:proofErr w:type="spellStart"/>
      <w:r>
        <w:rPr>
          <w:lang w:eastAsia="en-US"/>
        </w:rPr>
        <w:t>GoS</w:t>
      </w:r>
      <w:proofErr w:type="spellEnd"/>
      <w:r>
        <w:rPr>
          <w:lang w:eastAsia="en-US"/>
        </w:rPr>
        <w:t xml:space="preserve"> procedures could have been identified by DFAT had they attended and actively participated in SC meetings regularly. Both cases were a learning experience for members of the Secretariat and SC. Both could have been avoided by improved practice from the commencement of </w:t>
      </w:r>
      <w:r w:rsidR="000F67C7" w:rsidRPr="006E6F43">
        <w:t>Australian Government</w:t>
      </w:r>
      <w:r w:rsidR="000F67C7">
        <w:t xml:space="preserve"> </w:t>
      </w:r>
      <w:r>
        <w:rPr>
          <w:lang w:eastAsia="en-US"/>
        </w:rPr>
        <w:t xml:space="preserve">funding project support. Therefore, this review considers that while a breach of process, the focus should be on learning  to avoid similar situations in the future. On this basis, a series of recommendations follow to help avoid this situation. </w:t>
      </w:r>
    </w:p>
    <w:p w:rsidR="008C4FDE" w:rsidRDefault="008C4FDE" w:rsidP="008C4FDE">
      <w:pPr>
        <w:rPr>
          <w:lang w:eastAsia="en-US"/>
        </w:rPr>
      </w:pPr>
      <w:r>
        <w:rPr>
          <w:lang w:eastAsia="en-US"/>
        </w:rPr>
        <w:t xml:space="preserve">When the breaches of procedure were identified, this was not communicated effectively with the SLJS SC. As a result, this contributed to a loss of trust for both </w:t>
      </w:r>
      <w:r w:rsidR="000F67C7" w:rsidRPr="006E6F43">
        <w:t>the Australian Government</w:t>
      </w:r>
      <w:r w:rsidR="000F67C7">
        <w:t xml:space="preserve"> </w:t>
      </w:r>
      <w:r>
        <w:rPr>
          <w:lang w:eastAsia="en-US"/>
        </w:rPr>
        <w:t xml:space="preserve">and the SLJS SC and adversely impacted their relationship. </w:t>
      </w:r>
    </w:p>
    <w:p w:rsidR="008C4FDE" w:rsidRDefault="008C4FDE" w:rsidP="00FB28DF">
      <w:pPr>
        <w:pStyle w:val="Heading2"/>
        <w:numPr>
          <w:ilvl w:val="0"/>
          <w:numId w:val="0"/>
        </w:numPr>
      </w:pPr>
      <w:bookmarkStart w:id="99" w:name="_Toc427011862"/>
      <w:bookmarkStart w:id="100" w:name="_Toc427238951"/>
      <w:bookmarkStart w:id="101" w:name="_Toc431223181"/>
      <w:bookmarkStart w:id="102" w:name="_Toc431828815"/>
      <w:r>
        <w:t>Projects</w:t>
      </w:r>
      <w:bookmarkEnd w:id="99"/>
      <w:bookmarkEnd w:id="100"/>
      <w:bookmarkEnd w:id="101"/>
      <w:bookmarkEnd w:id="102"/>
    </w:p>
    <w:p w:rsidR="008C4FDE" w:rsidRDefault="008C4FDE" w:rsidP="00FB28DF">
      <w:pPr>
        <w:pStyle w:val="Heading3"/>
        <w:numPr>
          <w:ilvl w:val="0"/>
          <w:numId w:val="0"/>
        </w:numPr>
      </w:pPr>
      <w:r>
        <w:t>Project proposal assessment</w:t>
      </w:r>
    </w:p>
    <w:p w:rsidR="008C4FDE" w:rsidRPr="0093435D" w:rsidRDefault="008C4FDE" w:rsidP="008C4FDE">
      <w:pPr>
        <w:rPr>
          <w:lang w:val="en-US" w:eastAsia="en-US"/>
        </w:rPr>
      </w:pPr>
      <w:r>
        <w:rPr>
          <w:lang w:val="en-US" w:eastAsia="en-US"/>
        </w:rPr>
        <w:t xml:space="preserve">The Steering Committee applied a clear (though undocumented) procedure for assessment of proposals. The information submitted for each proposal was included in a very detailed, thorough form. Consequently, there was adequate information available to assess proposals. DFAT considered </w:t>
      </w:r>
      <w:r w:rsidRPr="0093435D">
        <w:rPr>
          <w:lang w:val="en-US" w:eastAsia="en-US"/>
        </w:rPr>
        <w:t xml:space="preserve">most of the projects proposed were sound and appropriate. </w:t>
      </w:r>
      <w:r>
        <w:rPr>
          <w:lang w:val="en-US" w:eastAsia="en-US"/>
        </w:rPr>
        <w:t>However, there was</w:t>
      </w:r>
      <w:r w:rsidRPr="0093435D">
        <w:rPr>
          <w:lang w:val="en-US" w:eastAsia="en-US"/>
        </w:rPr>
        <w:t xml:space="preserve"> </w:t>
      </w:r>
      <w:r>
        <w:rPr>
          <w:lang w:val="en-US" w:eastAsia="en-US"/>
        </w:rPr>
        <w:t>no</w:t>
      </w:r>
      <w:r w:rsidRPr="0093435D">
        <w:rPr>
          <w:lang w:val="en-US" w:eastAsia="en-US"/>
        </w:rPr>
        <w:t xml:space="preserve"> specific set of </w:t>
      </w:r>
      <w:r>
        <w:rPr>
          <w:lang w:val="en-US" w:eastAsia="en-US"/>
        </w:rPr>
        <w:t xml:space="preserve">agreed </w:t>
      </w:r>
      <w:r w:rsidRPr="0093435D">
        <w:rPr>
          <w:lang w:val="en-US" w:eastAsia="en-US"/>
        </w:rPr>
        <w:t xml:space="preserve">criteria against which to assess or </w:t>
      </w:r>
      <w:r w:rsidR="000F67C7" w:rsidRPr="0093435D">
        <w:rPr>
          <w:lang w:val="en-US" w:eastAsia="en-US"/>
        </w:rPr>
        <w:t>prioritize</w:t>
      </w:r>
      <w:r w:rsidRPr="0093435D">
        <w:rPr>
          <w:lang w:val="en-US" w:eastAsia="en-US"/>
        </w:rPr>
        <w:t xml:space="preserve"> proposals. </w:t>
      </w:r>
    </w:p>
    <w:p w:rsidR="008C4FDE" w:rsidRDefault="008C4FDE" w:rsidP="008C4FDE">
      <w:pPr>
        <w:rPr>
          <w:lang w:val="en-US" w:eastAsia="en-US"/>
        </w:rPr>
      </w:pPr>
      <w:r>
        <w:rPr>
          <w:lang w:val="en-US" w:eastAsia="en-US"/>
        </w:rPr>
        <w:t xml:space="preserve">There was an undocumented general understanding that </w:t>
      </w:r>
      <w:r w:rsidR="000F67C7" w:rsidRPr="006E6F43">
        <w:t>Australian Government</w:t>
      </w:r>
      <w:r w:rsidR="000F67C7">
        <w:t xml:space="preserve"> </w:t>
      </w:r>
      <w:r>
        <w:rPr>
          <w:lang w:val="en-US" w:eastAsia="en-US"/>
        </w:rPr>
        <w:t xml:space="preserve">funding was </w:t>
      </w:r>
      <w:r w:rsidRPr="0093435D">
        <w:rPr>
          <w:lang w:val="en-US" w:eastAsia="en-US"/>
        </w:rPr>
        <w:t>for activities that benefit the whole sector (usually multi-agency responsibility) rather than single agency benefit (and usually responsibility).</w:t>
      </w:r>
      <w:r>
        <w:rPr>
          <w:lang w:val="en-US" w:eastAsia="en-US"/>
        </w:rPr>
        <w:t xml:space="preserve"> This understanding was reflected in the projects on which expenditure occurred (Appendix </w:t>
      </w:r>
      <w:r w:rsidR="008D7761">
        <w:rPr>
          <w:lang w:val="en-US" w:eastAsia="en-US"/>
        </w:rPr>
        <w:t>K</w:t>
      </w:r>
      <w:r>
        <w:rPr>
          <w:lang w:val="en-US" w:eastAsia="en-US"/>
        </w:rPr>
        <w:t>). Significantly, projects included in</w:t>
      </w:r>
      <w:r w:rsidRPr="0093435D">
        <w:rPr>
          <w:lang w:val="en-US" w:eastAsia="en-US"/>
        </w:rPr>
        <w:t xml:space="preserve"> the </w:t>
      </w:r>
      <w:r>
        <w:rPr>
          <w:lang w:val="en-US" w:eastAsia="en-US"/>
        </w:rPr>
        <w:t>second</w:t>
      </w:r>
      <w:r w:rsidRPr="0093435D">
        <w:rPr>
          <w:lang w:val="en-US" w:eastAsia="en-US"/>
        </w:rPr>
        <w:t xml:space="preserve"> Sector Plan period were </w:t>
      </w:r>
      <w:r>
        <w:rPr>
          <w:lang w:val="en-US" w:eastAsia="en-US"/>
        </w:rPr>
        <w:t xml:space="preserve">more </w:t>
      </w:r>
      <w:r w:rsidRPr="0093435D">
        <w:rPr>
          <w:lang w:val="en-US" w:eastAsia="en-US"/>
        </w:rPr>
        <w:t xml:space="preserve">often </w:t>
      </w:r>
      <w:r>
        <w:rPr>
          <w:lang w:val="en-US" w:eastAsia="en-US"/>
        </w:rPr>
        <w:t xml:space="preserve">cross agency than those included in the first Sector Plan. This reflects a growing acceptance of a sectoral rather than agency approach. </w:t>
      </w:r>
    </w:p>
    <w:p w:rsidR="008C4FDE" w:rsidRDefault="008C4FDE" w:rsidP="008C4FDE">
      <w:pPr>
        <w:rPr>
          <w:lang w:val="en-US" w:eastAsia="en-US"/>
        </w:rPr>
      </w:pPr>
      <w:r>
        <w:rPr>
          <w:lang w:val="en-US" w:eastAsia="en-US"/>
        </w:rPr>
        <w:t xml:space="preserve">Despite this, a number of people interviewed </w:t>
      </w:r>
      <w:r w:rsidRPr="0093435D">
        <w:rPr>
          <w:lang w:val="en-US" w:eastAsia="en-US"/>
        </w:rPr>
        <w:t xml:space="preserve">expected that the funding was </w:t>
      </w:r>
      <w:r>
        <w:rPr>
          <w:lang w:val="en-US" w:eastAsia="en-US"/>
        </w:rPr>
        <w:t xml:space="preserve">largely </w:t>
      </w:r>
      <w:r w:rsidRPr="0093435D">
        <w:rPr>
          <w:lang w:val="en-US" w:eastAsia="en-US"/>
        </w:rPr>
        <w:t>available to support activities related to a single agency</w:t>
      </w:r>
      <w:r>
        <w:rPr>
          <w:lang w:val="en-US" w:eastAsia="en-US"/>
        </w:rPr>
        <w:t xml:space="preserve">. In all cases, this applied to the smaller stakeholders within the sector. In some cases, where the agency did not obtain significant funding for their proposed projects, this led to a perception of bias in the selection process.  Other </w:t>
      </w:r>
      <w:proofErr w:type="spellStart"/>
      <w:r>
        <w:rPr>
          <w:lang w:val="en-US" w:eastAsia="en-US"/>
        </w:rPr>
        <w:t>organisations</w:t>
      </w:r>
      <w:proofErr w:type="spellEnd"/>
      <w:r>
        <w:rPr>
          <w:lang w:val="en-US" w:eastAsia="en-US"/>
        </w:rPr>
        <w:t xml:space="preserve"> were unclear whether CBO could propose projects. The establishment and communication of selection criteria would help avoid this situation. </w:t>
      </w:r>
    </w:p>
    <w:p w:rsidR="008C4FDE" w:rsidRPr="0093435D" w:rsidRDefault="008C4FDE" w:rsidP="00FB28DF">
      <w:pPr>
        <w:pStyle w:val="Heading3"/>
        <w:numPr>
          <w:ilvl w:val="0"/>
          <w:numId w:val="0"/>
        </w:numPr>
      </w:pPr>
      <w:r w:rsidRPr="0093435D">
        <w:t xml:space="preserve">Activities seen to be initiated by </w:t>
      </w:r>
      <w:r w:rsidR="00B3702C" w:rsidRPr="00B3702C">
        <w:t>the Australian Government</w:t>
      </w:r>
    </w:p>
    <w:p w:rsidR="008C4FDE" w:rsidRDefault="008C4FDE" w:rsidP="008C4FDE">
      <w:pPr>
        <w:rPr>
          <w:lang w:val="en-US" w:eastAsia="en-US"/>
        </w:rPr>
      </w:pPr>
      <w:r>
        <w:rPr>
          <w:lang w:val="en-US" w:eastAsia="en-US"/>
        </w:rPr>
        <w:t xml:space="preserve">Most activities were identified, planned, implemented and driven by the SLJS. However, some were seen to be driven by </w:t>
      </w:r>
      <w:r w:rsidR="00B3702C" w:rsidRPr="006E6F43">
        <w:t>the Australian Government</w:t>
      </w:r>
      <w:r>
        <w:rPr>
          <w:lang w:val="en-US" w:eastAsia="en-US"/>
        </w:rPr>
        <w:t xml:space="preserve">. These were either activities seen as </w:t>
      </w:r>
      <w:r>
        <w:rPr>
          <w:lang w:val="en-US" w:eastAsia="en-US"/>
        </w:rPr>
        <w:lastRenderedPageBreak/>
        <w:t xml:space="preserve">critical for the new sector or for the development of the new design. These activities were not efficient. </w:t>
      </w:r>
    </w:p>
    <w:p w:rsidR="008C4FDE" w:rsidRDefault="008C4FDE" w:rsidP="008C4FDE">
      <w:pPr>
        <w:rPr>
          <w:lang w:val="en-US" w:eastAsia="en-US"/>
        </w:rPr>
      </w:pPr>
      <w:r>
        <w:rPr>
          <w:lang w:val="en-US" w:eastAsia="en-US"/>
        </w:rPr>
        <w:t>A series of studies were undertaken when the sector was formally established to support its implementation. These included development of a baseline, a Performance Management Framework, Communication Strategy, Information Technology Plan and Human Resources Plan. Each was developed by a short term specialist. While they worked with SLJS agencies, the agencies did not develop the documents. As a result, there was no ownership of the documents produced. In some cases, while the quality of the document was excellent, but they were unnecessarily complex (</w:t>
      </w:r>
      <w:r w:rsidR="00B3702C">
        <w:rPr>
          <w:lang w:val="en-US" w:eastAsia="en-US"/>
        </w:rPr>
        <w:t>AusAID</w:t>
      </w:r>
      <w:r>
        <w:rPr>
          <w:lang w:val="en-US" w:eastAsia="en-US"/>
        </w:rPr>
        <w:t>, 2012, p. 21) and the SLJS did not know how to apply it. As a consequence, none of these documents have been used. In contrast, SLJS has used all outputs they initiated and directed.</w:t>
      </w:r>
    </w:p>
    <w:p w:rsidR="008C4FDE" w:rsidRPr="0093435D" w:rsidRDefault="008C4FDE" w:rsidP="008C4FDE">
      <w:pPr>
        <w:rPr>
          <w:lang w:val="en-US" w:eastAsia="en-US"/>
        </w:rPr>
      </w:pPr>
      <w:r>
        <w:rPr>
          <w:lang w:val="en-US" w:eastAsia="en-US"/>
        </w:rPr>
        <w:t>Similarly, s</w:t>
      </w:r>
      <w:r w:rsidRPr="0093435D">
        <w:rPr>
          <w:lang w:val="en-US" w:eastAsia="en-US"/>
        </w:rPr>
        <w:t xml:space="preserve">takeholders did not understand the purpose </w:t>
      </w:r>
      <w:r>
        <w:rPr>
          <w:lang w:val="en-US" w:eastAsia="en-US"/>
        </w:rPr>
        <w:t xml:space="preserve">of the activities </w:t>
      </w:r>
      <w:r w:rsidR="00B3702C" w:rsidRPr="006E6F43">
        <w:t>the Australian Government</w:t>
      </w:r>
      <w:r w:rsidR="00B3702C">
        <w:t xml:space="preserve"> </w:t>
      </w:r>
      <w:r>
        <w:rPr>
          <w:lang w:val="en-US" w:eastAsia="en-US"/>
        </w:rPr>
        <w:t>initiated related to development of the design. This includes the</w:t>
      </w:r>
      <w:r w:rsidRPr="0093435D">
        <w:rPr>
          <w:lang w:val="en-US" w:eastAsia="en-US"/>
        </w:rPr>
        <w:t xml:space="preserve"> </w:t>
      </w:r>
      <w:proofErr w:type="spellStart"/>
      <w:r w:rsidRPr="0093435D">
        <w:rPr>
          <w:lang w:val="en-US" w:eastAsia="en-US"/>
        </w:rPr>
        <w:t>ToC</w:t>
      </w:r>
      <w:proofErr w:type="spellEnd"/>
      <w:r w:rsidRPr="0093435D">
        <w:rPr>
          <w:lang w:val="en-US" w:eastAsia="en-US"/>
        </w:rPr>
        <w:t xml:space="preserve"> Workshop, </w:t>
      </w:r>
      <w:r>
        <w:rPr>
          <w:lang w:val="en-US" w:eastAsia="en-US"/>
        </w:rPr>
        <w:t>assessment of the public financial management and the procurement review</w:t>
      </w:r>
      <w:r w:rsidRPr="0093435D">
        <w:rPr>
          <w:lang w:val="en-US" w:eastAsia="en-US"/>
        </w:rPr>
        <w:t xml:space="preserve">. </w:t>
      </w:r>
      <w:r>
        <w:rPr>
          <w:lang w:val="en-US" w:eastAsia="en-US"/>
        </w:rPr>
        <w:t>In one case (</w:t>
      </w:r>
      <w:proofErr w:type="spellStart"/>
      <w:r>
        <w:rPr>
          <w:lang w:val="en-US" w:eastAsia="en-US"/>
        </w:rPr>
        <w:t>ToC</w:t>
      </w:r>
      <w:proofErr w:type="spellEnd"/>
      <w:r>
        <w:rPr>
          <w:lang w:val="en-US" w:eastAsia="en-US"/>
        </w:rPr>
        <w:t xml:space="preserve"> report), the diagram of the </w:t>
      </w:r>
      <w:proofErr w:type="spellStart"/>
      <w:r>
        <w:rPr>
          <w:lang w:val="en-US" w:eastAsia="en-US"/>
        </w:rPr>
        <w:t>ToC</w:t>
      </w:r>
      <w:proofErr w:type="spellEnd"/>
      <w:r>
        <w:rPr>
          <w:lang w:val="en-US" w:eastAsia="en-US"/>
        </w:rPr>
        <w:t xml:space="preserve"> is unreadable which </w:t>
      </w:r>
      <w:r w:rsidRPr="0093435D">
        <w:rPr>
          <w:lang w:val="en-US" w:eastAsia="en-US"/>
        </w:rPr>
        <w:t>limits efficiency</w:t>
      </w:r>
      <w:r>
        <w:rPr>
          <w:lang w:val="en-US" w:eastAsia="en-US"/>
        </w:rPr>
        <w:t xml:space="preserve">. In another (assessment of the PFM), the wording and formatting of the Executive Summary is likely to cause offence to any Samoan reader. This is also likely to have contributed to the poor foundation for undertaking the design.  It is important to recognize that the same message could have been conveyed in a manner which would not create offence and would encourage positive action. </w:t>
      </w:r>
    </w:p>
    <w:p w:rsidR="00DF054E" w:rsidRDefault="00DF054E" w:rsidP="004902E0">
      <w:pPr>
        <w:pStyle w:val="AppendixHeading1"/>
      </w:pPr>
      <w:bookmarkStart w:id="103" w:name="_Toc431828816"/>
      <w:r>
        <w:lastRenderedPageBreak/>
        <w:t>Lessons Learnt</w:t>
      </w:r>
      <w:bookmarkEnd w:id="103"/>
    </w:p>
    <w:p w:rsidR="00DF054E" w:rsidRDefault="00DF054E" w:rsidP="00DF054E">
      <w:pPr>
        <w:pStyle w:val="Heading2"/>
        <w:numPr>
          <w:ilvl w:val="0"/>
          <w:numId w:val="0"/>
        </w:numPr>
      </w:pPr>
      <w:bookmarkStart w:id="104" w:name="_Toc431828817"/>
      <w:r>
        <w:t>Relationship</w:t>
      </w:r>
      <w:bookmarkEnd w:id="104"/>
    </w:p>
    <w:p w:rsidR="00DF054E" w:rsidRDefault="00DF054E" w:rsidP="00DF054E">
      <w:r>
        <w:t xml:space="preserve">Relationships matter. A sound relationship based on mutual respect and understanding will support change and resolution of difficulties. Consequently, there is probably nothing more important to the provision of successful development assistance. The establishment of a “sound relationship based on mutual respect and understanding” takes time, it must be well established before it needs to be ‘used’. </w:t>
      </w:r>
    </w:p>
    <w:p w:rsidR="00DF054E" w:rsidRDefault="00DF054E" w:rsidP="00DF054E">
      <w:r>
        <w:t>To establish mutual understanding all parties must meet regularly and discuss progress, challenges and opportunities. This did not occur. Australia attended less than 30% of the Steering Committee meetings in the first year and 57% of meetings overall</w:t>
      </w:r>
      <w:r>
        <w:rPr>
          <w:rStyle w:val="EndnoteReference"/>
        </w:rPr>
        <w:endnoteReference w:id="82"/>
      </w:r>
      <w:r>
        <w:t xml:space="preserve">. Consequently, </w:t>
      </w:r>
      <w:r w:rsidR="00B3702C">
        <w:t>Australia</w:t>
      </w:r>
      <w:r>
        <w:t xml:space="preserve"> did not develop an understanding of partner’s needs and expectations, at a sector, organisation or individual basis.  It also allowed a divergence of understanding to develop.</w:t>
      </w:r>
    </w:p>
    <w:p w:rsidR="00DF054E" w:rsidRDefault="00DF054E" w:rsidP="00DF054E">
      <w:r>
        <w:t>More significantly, Australia’s absence from these meetings conveyed several unintended messages; that the sector was not important to Australia and that Australia was happy for the SLJS to use the funds as the SLJS saw fit. This created a misunderstanding of Australia’s position within the SLJS. In addition, it does not contribute to development of mutual respect. The lack of engaging the SLJS in the planning of the design also undermines mutual understanding and does not demonstrate or build respect</w:t>
      </w:r>
      <w:r>
        <w:rPr>
          <w:rStyle w:val="EndnoteReference"/>
        </w:rPr>
        <w:endnoteReference w:id="83"/>
      </w:r>
      <w:r>
        <w:t xml:space="preserve">. </w:t>
      </w:r>
    </w:p>
    <w:p w:rsidR="00DF054E" w:rsidRDefault="00DF054E" w:rsidP="00DF054E">
      <w:r>
        <w:t>Respect (</w:t>
      </w:r>
      <w:proofErr w:type="spellStart"/>
      <w:r>
        <w:t>Fa’aaloalo</w:t>
      </w:r>
      <w:proofErr w:type="spellEnd"/>
      <w:r>
        <w:t>) underpins Samoan culture, determining much of what is culturally appropriate and inappropriate. Thus, actions which reflect disrespect, undermine relationships, and will always adversely impact development assistance outcomes. For example, adopting a policing rather than a collaborative approach to audits is likely to convey disrespect. Similarly, while the content of reports completed by technical specialists may be correct, the tone (conveyed through words, punctuation and formatting) often unintentionally conveyed disrespect.  This is particularly evident in the executive summary of the assessment of both the law and justice secretariat public financial management and procurement systems</w:t>
      </w:r>
      <w:r>
        <w:rPr>
          <w:rStyle w:val="EndnoteReference"/>
        </w:rPr>
        <w:endnoteReference w:id="84"/>
      </w:r>
      <w:r>
        <w:t>. The approach adopted to planning and implementing the design, and the tone of the design aide memoire was also interpreted as a lack of respect for Samoa</w:t>
      </w:r>
      <w:r>
        <w:rPr>
          <w:rStyle w:val="EndnoteReference"/>
        </w:rPr>
        <w:endnoteReference w:id="85"/>
      </w:r>
      <w:r w:rsidR="00B63747">
        <w:t>.</w:t>
      </w:r>
      <w:r>
        <w:t xml:space="preserve"> </w:t>
      </w:r>
    </w:p>
    <w:p w:rsidR="00DF054E" w:rsidRDefault="00DF054E" w:rsidP="00DF054E">
      <w:pPr>
        <w:tabs>
          <w:tab w:val="left" w:pos="4253"/>
        </w:tabs>
      </w:pPr>
      <w:r>
        <w:t>The reverse also applied. When the SLJS repeatedly did not provide the agreed monitoring information or comply with all elements of the procurement process, this was interpreted as a lack of respect for Australia.  The perception by both partners of a lack of respect adversely affected the relationship</w:t>
      </w:r>
      <w:r>
        <w:rPr>
          <w:rStyle w:val="EndnoteReference"/>
        </w:rPr>
        <w:endnoteReference w:id="86"/>
      </w:r>
      <w:r>
        <w:t xml:space="preserve">. </w:t>
      </w:r>
    </w:p>
    <w:p w:rsidR="00DF054E" w:rsidRPr="00700A9B" w:rsidRDefault="00DF054E" w:rsidP="00DF054E">
      <w:r>
        <w:t>When differences emerge, a relationship based on understanding and respect is more likely to lead to resolution of these differences through discussion. In the case of support provided through this initiative, differences that emerged appear to have immediately led to written rather than verbal communication. This did not assist to clarify each partner’s situation or resolve differences. Instead, it led each party to adopt an entrenched position and differences escalated</w:t>
      </w:r>
      <w:r>
        <w:rPr>
          <w:rStyle w:val="EndnoteReference"/>
        </w:rPr>
        <w:endnoteReference w:id="87"/>
      </w:r>
      <w:r>
        <w:t xml:space="preserve">. Significantly, neither </w:t>
      </w:r>
      <w:r w:rsidR="00B3702C" w:rsidRPr="006E6F43">
        <w:t>the Australian Government</w:t>
      </w:r>
      <w:r w:rsidR="00B3702C">
        <w:t xml:space="preserve"> </w:t>
      </w:r>
      <w:r>
        <w:t xml:space="preserve">nor the SLJS appears to have stood in the shoes of the other and considered the situation from their perspective. </w:t>
      </w:r>
    </w:p>
    <w:p w:rsidR="00DF054E" w:rsidRDefault="00DF054E" w:rsidP="00DF054E">
      <w:r w:rsidRPr="002F7C43">
        <w:rPr>
          <w:b/>
        </w:rPr>
        <w:lastRenderedPageBreak/>
        <w:t>Lesson:</w:t>
      </w:r>
      <w:r>
        <w:t xml:space="preserve"> Establishing and maintaining a relationship based on understanding and respect is critical. This requires a commitment of time and </w:t>
      </w:r>
      <w:r w:rsidRPr="00B12D43">
        <w:t xml:space="preserve">each partner </w:t>
      </w:r>
      <w:r>
        <w:t>to develop a</w:t>
      </w:r>
      <w:r w:rsidRPr="00B12D43">
        <w:t>n understanding of the other’s culture and needs</w:t>
      </w:r>
      <w:r>
        <w:t xml:space="preserve">. </w:t>
      </w:r>
    </w:p>
    <w:p w:rsidR="00DF054E" w:rsidRPr="00B31E12" w:rsidRDefault="00DF054E" w:rsidP="00DF054E">
      <w:pPr>
        <w:pStyle w:val="Heading2"/>
        <w:numPr>
          <w:ilvl w:val="0"/>
          <w:numId w:val="0"/>
        </w:numPr>
      </w:pPr>
      <w:bookmarkStart w:id="105" w:name="_Toc431828818"/>
      <w:r w:rsidRPr="00B31E12">
        <w:t>Design</w:t>
      </w:r>
      <w:bookmarkEnd w:id="105"/>
    </w:p>
    <w:p w:rsidR="00DF054E" w:rsidRDefault="00DF054E" w:rsidP="00DF054E">
      <w:r>
        <w:t xml:space="preserve">Shared understanding of needs and boundaries is essential. In general, the design process and facilitates this. Thus, it is important to develop the design through a participatory process in which all partners openly discuss and agree matters such as needs, expectations and boundaries. Without an open and frank discussion, differences are unlikely to be surfaced, potentially resulting in subsequent conflict. </w:t>
      </w:r>
    </w:p>
    <w:p w:rsidR="00DF054E" w:rsidRDefault="00DF054E" w:rsidP="00DF054E">
      <w:r>
        <w:t xml:space="preserve">Where there is no design, these discussions remain critical. Following discussion, partners should document the agreed position and discuss it regularly. This discussion should also consider emerging issues. The discussions may be every three months during the first year and then six monthly until a design is developed. In addition, where a partner representative changes, the agreed positions should be reviewed. Changes should only be made where there is mutual agreement to the new position, rather than the preference of an individual. </w:t>
      </w:r>
    </w:p>
    <w:p w:rsidR="00DF054E" w:rsidRDefault="00DF054E" w:rsidP="00DF054E">
      <w:r w:rsidRPr="002F7C43">
        <w:rPr>
          <w:b/>
        </w:rPr>
        <w:t>Lesson:</w:t>
      </w:r>
      <w:r>
        <w:t xml:space="preserve"> Shared understanding of needs and boundaries must be established, documented, regularly reviewed and updated through a process of respectful discussion.</w:t>
      </w:r>
    </w:p>
    <w:p w:rsidR="00DF054E" w:rsidRDefault="00DF054E" w:rsidP="00DF054E">
      <w:pPr>
        <w:pStyle w:val="Heading2"/>
        <w:numPr>
          <w:ilvl w:val="0"/>
          <w:numId w:val="0"/>
        </w:numPr>
      </w:pPr>
      <w:bookmarkStart w:id="106" w:name="_Toc431828819"/>
      <w:r>
        <w:t>Sector wide approach</w:t>
      </w:r>
      <w:bookmarkEnd w:id="106"/>
      <w:r>
        <w:t xml:space="preserve"> </w:t>
      </w:r>
    </w:p>
    <w:p w:rsidR="00DF054E" w:rsidRDefault="00B3702C" w:rsidP="00DF054E">
      <w:r>
        <w:t>The Samo</w:t>
      </w:r>
      <w:r w:rsidRPr="006E6F43">
        <w:t>an Government</w:t>
      </w:r>
      <w:r w:rsidR="00DF054E">
        <w:t xml:space="preserve"> drove development of sectoral approach as part of their public sector reform process. Australia provided funding to support </w:t>
      </w:r>
      <w:r>
        <w:t>the Samo</w:t>
      </w:r>
      <w:r w:rsidRPr="006E6F43">
        <w:t>an Government</w:t>
      </w:r>
      <w:r>
        <w:t xml:space="preserve"> </w:t>
      </w:r>
      <w:r w:rsidR="00DF054E">
        <w:t xml:space="preserve">implement this reform. However, Australia was the only funder of the SLJS, there was no funding from </w:t>
      </w:r>
      <w:r>
        <w:t>the Samo</w:t>
      </w:r>
      <w:r w:rsidRPr="006E6F43">
        <w:t>an Government</w:t>
      </w:r>
      <w:r>
        <w:t xml:space="preserve"> </w:t>
      </w:r>
      <w:r w:rsidR="00DF054E">
        <w:t xml:space="preserve">or other donors. This created many misperceptions and challenges including the perception among some that Australia, rather than </w:t>
      </w:r>
      <w:r>
        <w:t>the Samo</w:t>
      </w:r>
      <w:r w:rsidRPr="006E6F43">
        <w:t>an Government</w:t>
      </w:r>
      <w:r w:rsidR="00DF054E">
        <w:t xml:space="preserve">, was driving establishment of a SLJS. This misperception had to be overcome before these stakeholders began to own the changes. Consequently, it is likely that the pace of initial change was slower than may have occurred had there been visible </w:t>
      </w:r>
      <w:r>
        <w:t>Samo</w:t>
      </w:r>
      <w:r w:rsidRPr="006E6F43">
        <w:t>an Government</w:t>
      </w:r>
      <w:r>
        <w:t xml:space="preserve"> </w:t>
      </w:r>
      <w:r w:rsidR="00DF054E">
        <w:t xml:space="preserve">support. </w:t>
      </w:r>
    </w:p>
    <w:p w:rsidR="00DF054E" w:rsidRDefault="00DF054E" w:rsidP="00DF054E">
      <w:r>
        <w:t>A sole funder presents challenges to sustainability; what happens when Australian funding ceases? In this case, the SLJS sector agencies funded priority activities, demonstrating strong ownership of the sector. However, had strong ownership not been quickly established, these funds would not have been available and the sector would have collapsed.</w:t>
      </w:r>
    </w:p>
    <w:p w:rsidR="00DF054E" w:rsidRDefault="00DF054E" w:rsidP="00DF054E">
      <w:r w:rsidRPr="002F7C43">
        <w:rPr>
          <w:b/>
        </w:rPr>
        <w:t>Lesson:</w:t>
      </w:r>
      <w:r>
        <w:t xml:space="preserve"> Sector based approaches should be funded by multiple agencies, including the partner government, to maximise sustainability. </w:t>
      </w:r>
    </w:p>
    <w:p w:rsidR="00DF054E" w:rsidRDefault="00DF054E" w:rsidP="00DF054E">
      <w:pPr>
        <w:pStyle w:val="Heading2"/>
        <w:numPr>
          <w:ilvl w:val="0"/>
          <w:numId w:val="0"/>
        </w:numPr>
      </w:pPr>
      <w:bookmarkStart w:id="107" w:name="_Toc431828820"/>
      <w:r>
        <w:t>What works</w:t>
      </w:r>
      <w:bookmarkEnd w:id="107"/>
    </w:p>
    <w:p w:rsidR="00DF054E" w:rsidRDefault="00B3702C" w:rsidP="00DF054E">
      <w:r>
        <w:t>The Australian Government’s</w:t>
      </w:r>
      <w:r w:rsidR="00DF054E">
        <w:t xml:space="preserve"> review of law and justice sectors (2012) identified that establishment of sectors is generally not effective and that “</w:t>
      </w:r>
      <w:r w:rsidR="00DF054E" w:rsidRPr="001356D3">
        <w:t>sectoral aid coordination structures may not be the right mechanism for addressing fragmented law and justice systems</w:t>
      </w:r>
      <w:r w:rsidR="00DF054E">
        <w:t xml:space="preserve">”. However, in the SLJS, the Steering Committee was successfully established and has increased coordination across the sector. Given the more widespread lack of success of this approach, the factors that have facilitated success in Samoa are important. </w:t>
      </w:r>
    </w:p>
    <w:p w:rsidR="00DF054E" w:rsidRDefault="00DF054E" w:rsidP="00DF054E">
      <w:r>
        <w:lastRenderedPageBreak/>
        <w:t>There appear to be five critical factors that have underpinned the success of the sectoral based approach in Samoa:</w:t>
      </w:r>
    </w:p>
    <w:p w:rsidR="00DF054E" w:rsidRDefault="00DF054E" w:rsidP="005D159D">
      <w:pPr>
        <w:numPr>
          <w:ilvl w:val="0"/>
          <w:numId w:val="55"/>
        </w:numPr>
        <w:spacing w:before="120"/>
      </w:pPr>
      <w:r>
        <w:t xml:space="preserve">Strong leadership from Chairman and other SLJS sector agency CEO. This leadership has consistently emphasised that the focus is on the sector and that projects funded must benefit the sector as a whole rather than individual agencies. This strongly contrasts </w:t>
      </w:r>
      <w:r w:rsidR="00B3702C">
        <w:t xml:space="preserve">the Australian Government’s </w:t>
      </w:r>
      <w:r>
        <w:t xml:space="preserve">findings in countries where sectoral approaches were ineffective (AusAID, 2012). </w:t>
      </w:r>
    </w:p>
    <w:p w:rsidR="00DF054E" w:rsidRDefault="00DF054E" w:rsidP="005D159D">
      <w:pPr>
        <w:numPr>
          <w:ilvl w:val="0"/>
          <w:numId w:val="55"/>
        </w:numPr>
        <w:spacing w:before="120"/>
        <w:ind w:left="357" w:hanging="357"/>
      </w:pPr>
      <w:r>
        <w:t xml:space="preserve">Samoan ownership. This is a result of the strong Samoan leadership and the donor not taking a directive role during establishment.  </w:t>
      </w:r>
    </w:p>
    <w:p w:rsidR="00DF054E" w:rsidRPr="002857E4" w:rsidRDefault="00DF054E" w:rsidP="005D159D">
      <w:pPr>
        <w:numPr>
          <w:ilvl w:val="0"/>
          <w:numId w:val="55"/>
        </w:numPr>
        <w:spacing w:before="120"/>
        <w:ind w:left="357" w:hanging="357"/>
      </w:pPr>
      <w:r>
        <w:t xml:space="preserve">Focussing on some big activities that needed the support of all sector agencies, in particular the Village </w:t>
      </w:r>
      <w:proofErr w:type="spellStart"/>
      <w:r>
        <w:t>Fono</w:t>
      </w:r>
      <w:proofErr w:type="spellEnd"/>
      <w:r>
        <w:t xml:space="preserve"> Act. This reflects the suggestion of </w:t>
      </w:r>
      <w:r w:rsidR="00B3702C">
        <w:t xml:space="preserve">the Australian Government </w:t>
      </w:r>
      <w:r>
        <w:t>review (AusAID, 2012) that sectoral based approaches may be most effective where</w:t>
      </w:r>
      <w:r w:rsidRPr="008E361D">
        <w:t xml:space="preserve"> law and justice agencies </w:t>
      </w:r>
      <w:r>
        <w:t>work together on a concrete, practical issue whose resolution requires the c</w:t>
      </w:r>
      <w:r w:rsidRPr="008E361D">
        <w:t xml:space="preserve">ooperation </w:t>
      </w:r>
      <w:r>
        <w:t>of all</w:t>
      </w:r>
      <w:r w:rsidRPr="008E361D">
        <w:t xml:space="preserve"> agencies. </w:t>
      </w:r>
      <w:r>
        <w:t xml:space="preserve">It also aligns with their finding that success was more likely where support focussed </w:t>
      </w:r>
      <w:r w:rsidRPr="002857E4">
        <w:t xml:space="preserve">on </w:t>
      </w:r>
      <w:r>
        <w:t>“</w:t>
      </w:r>
      <w:r w:rsidRPr="002857E4">
        <w:t>issues for which there were local constituencies for change, who could be mobilised and supported</w:t>
      </w:r>
      <w:r>
        <w:t>” (AusAID, 2012, p. 9).</w:t>
      </w:r>
    </w:p>
    <w:p w:rsidR="00DF054E" w:rsidRPr="002857E4" w:rsidRDefault="00DF054E" w:rsidP="005D159D">
      <w:pPr>
        <w:numPr>
          <w:ilvl w:val="0"/>
          <w:numId w:val="55"/>
        </w:numPr>
        <w:spacing w:before="120"/>
        <w:ind w:left="357" w:hanging="357"/>
      </w:pPr>
      <w:r>
        <w:t xml:space="preserve">Support focusing on improved practice rather than best practice. This also aligns with the findings of </w:t>
      </w:r>
      <w:r w:rsidR="00B3702C">
        <w:t xml:space="preserve">the Australian Government </w:t>
      </w:r>
      <w:r>
        <w:t>review which concluded that implementing</w:t>
      </w:r>
      <w:r w:rsidRPr="002857E4">
        <w:t xml:space="preserve"> </w:t>
      </w:r>
      <w:r>
        <w:t>“</w:t>
      </w:r>
      <w:r w:rsidRPr="002857E4">
        <w:t>flexible, localised, 'good enough' solutions</w:t>
      </w:r>
      <w:r>
        <w:t>”</w:t>
      </w:r>
      <w:r w:rsidRPr="002857E4">
        <w:t xml:space="preserve"> rather </w:t>
      </w:r>
      <w:r>
        <w:t xml:space="preserve">international best practice was likely to be more effective (AusAID, 2012, p. 9). </w:t>
      </w:r>
      <w:r w:rsidRPr="002857E4">
        <w:t xml:space="preserve"> </w:t>
      </w:r>
    </w:p>
    <w:p w:rsidR="00DF054E" w:rsidRDefault="00DF054E" w:rsidP="005D159D">
      <w:pPr>
        <w:numPr>
          <w:ilvl w:val="0"/>
          <w:numId w:val="55"/>
        </w:numPr>
        <w:spacing w:before="120"/>
        <w:ind w:left="357" w:hanging="357"/>
      </w:pPr>
      <w:r>
        <w:t xml:space="preserve">The commitment of money by </w:t>
      </w:r>
      <w:r w:rsidR="00B3702C">
        <w:t xml:space="preserve">the Australian Government </w:t>
      </w:r>
      <w:r>
        <w:t xml:space="preserve">to support activities through the SLJS Strategic Plan.  </w:t>
      </w:r>
    </w:p>
    <w:p w:rsidR="00DF054E" w:rsidRDefault="00DF054E" w:rsidP="00DF054E">
      <w:r>
        <w:t xml:space="preserve">At a project level, support provided by </w:t>
      </w:r>
      <w:r w:rsidR="00B3702C">
        <w:t xml:space="preserve">the Australian Government </w:t>
      </w:r>
      <w:r>
        <w:t xml:space="preserve">through the SLJS generally made a significant difference where the project met one of three criteria. These were that the planned change: </w:t>
      </w:r>
    </w:p>
    <w:p w:rsidR="00DF054E" w:rsidRDefault="00DF054E" w:rsidP="00482197">
      <w:pPr>
        <w:numPr>
          <w:ilvl w:val="0"/>
          <w:numId w:val="48"/>
        </w:numPr>
        <w:spacing w:before="120"/>
      </w:pPr>
      <w:r>
        <w:t xml:space="preserve">Was too hard to achieve without the support of all agencies in the sector. This was due to: the extreme range of perspectives on the change (the amendments to the Village </w:t>
      </w:r>
      <w:proofErr w:type="spellStart"/>
      <w:r>
        <w:t>Fono</w:t>
      </w:r>
      <w:proofErr w:type="spellEnd"/>
      <w:r>
        <w:t xml:space="preserve"> Act Box 1), potential conflict of interest (establishment of the Community Law Centre), need for all agencies to address in a consistent manner for success (Crime Prevention Strategy) or lack of willingness to allocate an agencies resources to something seen as a sector benefit (Human Rights Institute). </w:t>
      </w:r>
    </w:p>
    <w:p w:rsidR="00DF054E" w:rsidRDefault="00DF054E" w:rsidP="00482197">
      <w:pPr>
        <w:numPr>
          <w:ilvl w:val="0"/>
          <w:numId w:val="48"/>
        </w:numPr>
        <w:spacing w:before="120"/>
        <w:ind w:left="357" w:hanging="357"/>
      </w:pPr>
      <w:r>
        <w:t xml:space="preserve">Was a prioritised and well researched item, but the sector agency had insufficient funds to undertake the work. The digitisation of records at the LTC was an example of this (Box 3). </w:t>
      </w:r>
    </w:p>
    <w:p w:rsidR="00DF054E" w:rsidRDefault="00DF054E" w:rsidP="00482197">
      <w:pPr>
        <w:numPr>
          <w:ilvl w:val="0"/>
          <w:numId w:val="48"/>
        </w:numPr>
        <w:spacing w:before="120"/>
        <w:ind w:left="357" w:hanging="357"/>
      </w:pPr>
      <w:r>
        <w:t>Was critical but not publically popular. For example, the support established for returnees (people deported from other countries back to Samoa for an offence) (Box 4).</w:t>
      </w:r>
    </w:p>
    <w:p w:rsidR="00DF054E" w:rsidRDefault="00DF054E" w:rsidP="00DF054E">
      <w:r>
        <w:t xml:space="preserve">In each case, because the SLJS spoke with one voice, change was possible. It is questionable whether any of these changes could have been achieved where there was disunity in the proposed position. </w:t>
      </w:r>
    </w:p>
    <w:p w:rsidR="00DF054E" w:rsidRDefault="00DF054E" w:rsidP="00DF054E">
      <w:pPr>
        <w:pStyle w:val="BodyTextnumbered"/>
      </w:pPr>
    </w:p>
    <w:p w:rsidR="00E57128" w:rsidRDefault="00E57128" w:rsidP="004902E0">
      <w:pPr>
        <w:pStyle w:val="AppendixHeading1"/>
      </w:pPr>
      <w:bookmarkStart w:id="108" w:name="_Toc431828821"/>
      <w:r>
        <w:lastRenderedPageBreak/>
        <w:t>Summary of Projects</w:t>
      </w:r>
      <w:bookmarkEnd w:id="108"/>
    </w:p>
    <w:p w:rsidR="00456E00" w:rsidRPr="00456E00" w:rsidRDefault="00456E00" w:rsidP="005F55FA">
      <w:r w:rsidRPr="00456E00">
        <w:t>SLJS Secretariat summary of status of implementation of projects in the 2012 – 2016 Strategic Plan</w:t>
      </w:r>
      <w:r w:rsidR="00F70BF1">
        <w:t xml:space="preserve"> (as at 30 June 2015)</w:t>
      </w:r>
      <w:r w:rsidRPr="00456E00">
        <w:t xml:space="preserve">. </w:t>
      </w:r>
    </w:p>
    <w:p w:rsidR="00456E00" w:rsidRDefault="00456E00" w:rsidP="005F55FA">
      <w:pPr>
        <w:rPr>
          <w:color w:val="FF0000"/>
        </w:rPr>
      </w:pPr>
    </w:p>
    <w:tbl>
      <w:tblPr>
        <w:tblW w:w="12819" w:type="dxa"/>
        <w:tblLayout w:type="fixed"/>
        <w:tblCellMar>
          <w:left w:w="30" w:type="dxa"/>
          <w:right w:w="30" w:type="dxa"/>
        </w:tblCellMar>
        <w:tblLook w:val="0000" w:firstRow="0" w:lastRow="0" w:firstColumn="0" w:lastColumn="0" w:noHBand="0" w:noVBand="0"/>
      </w:tblPr>
      <w:tblGrid>
        <w:gridCol w:w="804"/>
        <w:gridCol w:w="408"/>
        <w:gridCol w:w="595"/>
        <w:gridCol w:w="468"/>
        <w:gridCol w:w="1611"/>
        <w:gridCol w:w="4649"/>
        <w:gridCol w:w="1949"/>
        <w:gridCol w:w="1063"/>
        <w:gridCol w:w="677"/>
        <w:gridCol w:w="595"/>
      </w:tblGrid>
      <w:tr w:rsidR="00456E00" w:rsidTr="00456E00">
        <w:trPr>
          <w:trHeight w:val="194"/>
        </w:trPr>
        <w:tc>
          <w:tcPr>
            <w:tcW w:w="804" w:type="dxa"/>
            <w:tcBorders>
              <w:top w:val="nil"/>
              <w:left w:val="nil"/>
              <w:bottom w:val="nil"/>
              <w:right w:val="nil"/>
            </w:tcBorders>
          </w:tcPr>
          <w:p w:rsidR="00456E00" w:rsidRDefault="00456E00" w:rsidP="00A24710">
            <w:pPr>
              <w:autoSpaceDE w:val="0"/>
              <w:autoSpaceDN w:val="0"/>
              <w:adjustRightInd w:val="0"/>
              <w:spacing w:before="0"/>
              <w:jc w:val="right"/>
              <w:rPr>
                <w:rFonts w:ascii="Arial" w:hAnsi="Arial" w:cs="Arial"/>
                <w:color w:val="000000"/>
                <w:sz w:val="20"/>
                <w:szCs w:val="20"/>
                <w:lang w:eastAsia="en-AU"/>
              </w:rPr>
            </w:pPr>
          </w:p>
        </w:tc>
        <w:tc>
          <w:tcPr>
            <w:tcW w:w="408" w:type="dxa"/>
            <w:tcBorders>
              <w:top w:val="nil"/>
              <w:left w:val="nil"/>
              <w:bottom w:val="nil"/>
              <w:right w:val="nil"/>
            </w:tcBorders>
          </w:tcPr>
          <w:p w:rsidR="00456E00" w:rsidRDefault="00456E00" w:rsidP="00A24710">
            <w:pPr>
              <w:autoSpaceDE w:val="0"/>
              <w:autoSpaceDN w:val="0"/>
              <w:adjustRightInd w:val="0"/>
              <w:spacing w:before="0"/>
              <w:jc w:val="right"/>
              <w:rPr>
                <w:rFonts w:ascii="Arial" w:hAnsi="Arial" w:cs="Arial"/>
                <w:color w:val="000000"/>
                <w:sz w:val="20"/>
                <w:szCs w:val="20"/>
                <w:lang w:eastAsia="en-AU"/>
              </w:rPr>
            </w:pPr>
          </w:p>
        </w:tc>
        <w:tc>
          <w:tcPr>
            <w:tcW w:w="595" w:type="dxa"/>
            <w:tcBorders>
              <w:top w:val="nil"/>
              <w:left w:val="nil"/>
              <w:bottom w:val="nil"/>
              <w:right w:val="nil"/>
            </w:tcBorders>
          </w:tcPr>
          <w:p w:rsidR="00456E00" w:rsidRDefault="00456E00" w:rsidP="00A24710">
            <w:pPr>
              <w:autoSpaceDE w:val="0"/>
              <w:autoSpaceDN w:val="0"/>
              <w:adjustRightInd w:val="0"/>
              <w:spacing w:before="0"/>
              <w:jc w:val="right"/>
              <w:rPr>
                <w:rFonts w:ascii="Arial" w:hAnsi="Arial" w:cs="Arial"/>
                <w:color w:val="000000"/>
                <w:sz w:val="20"/>
                <w:szCs w:val="20"/>
                <w:lang w:eastAsia="en-AU"/>
              </w:rPr>
            </w:pPr>
          </w:p>
        </w:tc>
        <w:tc>
          <w:tcPr>
            <w:tcW w:w="468" w:type="dxa"/>
            <w:tcBorders>
              <w:top w:val="nil"/>
              <w:left w:val="nil"/>
              <w:bottom w:val="nil"/>
              <w:right w:val="nil"/>
            </w:tcBorders>
          </w:tcPr>
          <w:p w:rsidR="00456E00" w:rsidRDefault="00456E00" w:rsidP="00A24710">
            <w:pPr>
              <w:autoSpaceDE w:val="0"/>
              <w:autoSpaceDN w:val="0"/>
              <w:adjustRightInd w:val="0"/>
              <w:spacing w:before="0"/>
              <w:jc w:val="right"/>
              <w:rPr>
                <w:rFonts w:ascii="Arial" w:hAnsi="Arial" w:cs="Arial"/>
                <w:color w:val="000000"/>
                <w:sz w:val="20"/>
                <w:szCs w:val="20"/>
                <w:lang w:eastAsia="en-AU"/>
              </w:rPr>
            </w:pPr>
          </w:p>
        </w:tc>
        <w:tc>
          <w:tcPr>
            <w:tcW w:w="1611" w:type="dxa"/>
            <w:tcBorders>
              <w:top w:val="nil"/>
              <w:left w:val="nil"/>
              <w:bottom w:val="nil"/>
              <w:right w:val="nil"/>
            </w:tcBorders>
          </w:tcPr>
          <w:p w:rsidR="00456E00" w:rsidRDefault="00456E00" w:rsidP="00A24710">
            <w:pPr>
              <w:autoSpaceDE w:val="0"/>
              <w:autoSpaceDN w:val="0"/>
              <w:adjustRightInd w:val="0"/>
              <w:spacing w:before="0"/>
              <w:jc w:val="right"/>
              <w:rPr>
                <w:rFonts w:ascii="Arial" w:hAnsi="Arial" w:cs="Arial"/>
                <w:color w:val="000000"/>
                <w:sz w:val="20"/>
                <w:szCs w:val="20"/>
                <w:lang w:eastAsia="en-AU"/>
              </w:rPr>
            </w:pPr>
          </w:p>
        </w:tc>
        <w:tc>
          <w:tcPr>
            <w:tcW w:w="4649" w:type="dxa"/>
            <w:tcBorders>
              <w:top w:val="nil"/>
              <w:left w:val="nil"/>
              <w:bottom w:val="nil"/>
              <w:right w:val="nil"/>
            </w:tcBorders>
          </w:tcPr>
          <w:p w:rsidR="00456E00" w:rsidRDefault="00456E00" w:rsidP="00A24710">
            <w:pPr>
              <w:autoSpaceDE w:val="0"/>
              <w:autoSpaceDN w:val="0"/>
              <w:adjustRightInd w:val="0"/>
              <w:spacing w:before="0"/>
              <w:jc w:val="right"/>
              <w:rPr>
                <w:rFonts w:ascii="Arial" w:hAnsi="Arial" w:cs="Arial"/>
                <w:color w:val="000000"/>
                <w:sz w:val="20"/>
                <w:szCs w:val="20"/>
                <w:lang w:eastAsia="en-AU"/>
              </w:rPr>
            </w:pPr>
          </w:p>
        </w:tc>
        <w:tc>
          <w:tcPr>
            <w:tcW w:w="1949" w:type="dxa"/>
            <w:tcBorders>
              <w:top w:val="nil"/>
              <w:left w:val="nil"/>
              <w:bottom w:val="nil"/>
              <w:right w:val="nil"/>
            </w:tcBorders>
          </w:tcPr>
          <w:p w:rsidR="00456E00" w:rsidRDefault="00456E00" w:rsidP="00A24710">
            <w:pPr>
              <w:autoSpaceDE w:val="0"/>
              <w:autoSpaceDN w:val="0"/>
              <w:adjustRightInd w:val="0"/>
              <w:spacing w:before="0"/>
              <w:jc w:val="right"/>
              <w:rPr>
                <w:rFonts w:ascii="Arial" w:hAnsi="Arial" w:cs="Arial"/>
                <w:color w:val="000000"/>
                <w:sz w:val="20"/>
                <w:szCs w:val="20"/>
                <w:lang w:eastAsia="en-AU"/>
              </w:rPr>
            </w:pPr>
          </w:p>
        </w:tc>
        <w:tc>
          <w:tcPr>
            <w:tcW w:w="1063" w:type="dxa"/>
            <w:tcBorders>
              <w:top w:val="nil"/>
              <w:left w:val="nil"/>
              <w:bottom w:val="nil"/>
              <w:right w:val="nil"/>
            </w:tcBorders>
          </w:tcPr>
          <w:p w:rsidR="00456E00" w:rsidRDefault="00456E00" w:rsidP="00A24710">
            <w:pPr>
              <w:autoSpaceDE w:val="0"/>
              <w:autoSpaceDN w:val="0"/>
              <w:adjustRightInd w:val="0"/>
              <w:spacing w:before="0"/>
              <w:jc w:val="right"/>
              <w:rPr>
                <w:rFonts w:ascii="Arial" w:hAnsi="Arial" w:cs="Arial"/>
                <w:color w:val="000000"/>
                <w:sz w:val="20"/>
                <w:szCs w:val="20"/>
                <w:lang w:eastAsia="en-AU"/>
              </w:rPr>
            </w:pPr>
          </w:p>
        </w:tc>
        <w:tc>
          <w:tcPr>
            <w:tcW w:w="677" w:type="dxa"/>
            <w:tcBorders>
              <w:top w:val="nil"/>
              <w:left w:val="nil"/>
              <w:bottom w:val="nil"/>
              <w:right w:val="nil"/>
            </w:tcBorders>
          </w:tcPr>
          <w:p w:rsidR="00456E00" w:rsidRDefault="00456E00" w:rsidP="00A24710">
            <w:pPr>
              <w:autoSpaceDE w:val="0"/>
              <w:autoSpaceDN w:val="0"/>
              <w:adjustRightInd w:val="0"/>
              <w:spacing w:before="0"/>
              <w:jc w:val="right"/>
              <w:rPr>
                <w:rFonts w:ascii="Arial" w:hAnsi="Arial" w:cs="Arial"/>
                <w:color w:val="000000"/>
                <w:sz w:val="20"/>
                <w:szCs w:val="20"/>
                <w:lang w:eastAsia="en-AU"/>
              </w:rPr>
            </w:pPr>
          </w:p>
        </w:tc>
        <w:tc>
          <w:tcPr>
            <w:tcW w:w="595" w:type="dxa"/>
            <w:tcBorders>
              <w:top w:val="nil"/>
              <w:left w:val="nil"/>
              <w:bottom w:val="nil"/>
              <w:right w:val="nil"/>
            </w:tcBorders>
          </w:tcPr>
          <w:p w:rsidR="00456E00" w:rsidRDefault="00456E00" w:rsidP="00A24710">
            <w:pPr>
              <w:autoSpaceDE w:val="0"/>
              <w:autoSpaceDN w:val="0"/>
              <w:adjustRightInd w:val="0"/>
              <w:spacing w:before="0"/>
              <w:jc w:val="right"/>
              <w:rPr>
                <w:rFonts w:ascii="Arial" w:hAnsi="Arial" w:cs="Arial"/>
                <w:color w:val="000000"/>
                <w:sz w:val="20"/>
                <w:szCs w:val="20"/>
                <w:lang w:eastAsia="en-AU"/>
              </w:rPr>
            </w:pPr>
          </w:p>
        </w:tc>
      </w:tr>
      <w:tr w:rsidR="00456E00" w:rsidTr="00456E00">
        <w:trPr>
          <w:trHeight w:val="646"/>
        </w:trPr>
        <w:tc>
          <w:tcPr>
            <w:tcW w:w="1212" w:type="dxa"/>
            <w:gridSpan w:val="2"/>
            <w:tcBorders>
              <w:top w:val="nil"/>
              <w:left w:val="nil"/>
              <w:bottom w:val="nil"/>
              <w:right w:val="nil"/>
            </w:tcBorders>
            <w:shd w:val="solid" w:color="99CC00" w:fill="auto"/>
          </w:tcPr>
          <w:p w:rsidR="00456E00" w:rsidRDefault="00456E00" w:rsidP="00A24710">
            <w:pPr>
              <w:autoSpaceDE w:val="0"/>
              <w:autoSpaceDN w:val="0"/>
              <w:adjustRightInd w:val="0"/>
              <w:spacing w:before="0"/>
              <w:rPr>
                <w:rFonts w:cs="Calibri"/>
                <w:color w:val="000000"/>
                <w:sz w:val="22"/>
                <w:szCs w:val="22"/>
                <w:lang w:eastAsia="en-AU"/>
              </w:rPr>
            </w:pPr>
            <w:r>
              <w:rPr>
                <w:rFonts w:cs="Calibri"/>
                <w:color w:val="000000"/>
                <w:sz w:val="22"/>
                <w:szCs w:val="22"/>
                <w:lang w:eastAsia="en-AU"/>
              </w:rPr>
              <w:t>Completed/ Achieved</w:t>
            </w:r>
          </w:p>
        </w:tc>
        <w:tc>
          <w:tcPr>
            <w:tcW w:w="7323" w:type="dxa"/>
            <w:gridSpan w:val="4"/>
            <w:tcBorders>
              <w:top w:val="nil"/>
              <w:left w:val="nil"/>
              <w:bottom w:val="nil"/>
              <w:right w:val="nil"/>
            </w:tcBorders>
          </w:tcPr>
          <w:p w:rsidR="00456E00" w:rsidRDefault="00456E00" w:rsidP="00A24710">
            <w:pPr>
              <w:autoSpaceDE w:val="0"/>
              <w:autoSpaceDN w:val="0"/>
              <w:adjustRightInd w:val="0"/>
              <w:spacing w:before="0"/>
              <w:rPr>
                <w:rFonts w:cs="Calibri"/>
                <w:color w:val="000000"/>
                <w:sz w:val="22"/>
                <w:szCs w:val="22"/>
                <w:lang w:eastAsia="en-AU"/>
              </w:rPr>
            </w:pPr>
            <w:r>
              <w:rPr>
                <w:rFonts w:cs="Calibri"/>
                <w:color w:val="000000"/>
                <w:sz w:val="22"/>
                <w:szCs w:val="22"/>
                <w:lang w:eastAsia="en-AU"/>
              </w:rPr>
              <w:t xml:space="preserve">Target or standard has already been achieved </w:t>
            </w:r>
          </w:p>
        </w:tc>
        <w:tc>
          <w:tcPr>
            <w:tcW w:w="1949" w:type="dxa"/>
            <w:tcBorders>
              <w:top w:val="nil"/>
              <w:left w:val="nil"/>
              <w:bottom w:val="nil"/>
              <w:right w:val="nil"/>
            </w:tcBorders>
          </w:tcPr>
          <w:p w:rsidR="00456E00" w:rsidRDefault="00456E00" w:rsidP="00A24710">
            <w:pPr>
              <w:autoSpaceDE w:val="0"/>
              <w:autoSpaceDN w:val="0"/>
              <w:adjustRightInd w:val="0"/>
              <w:spacing w:before="0"/>
              <w:jc w:val="right"/>
              <w:rPr>
                <w:rFonts w:ascii="Arial" w:hAnsi="Arial" w:cs="Arial"/>
                <w:color w:val="000000"/>
                <w:sz w:val="20"/>
                <w:szCs w:val="20"/>
                <w:lang w:eastAsia="en-AU"/>
              </w:rPr>
            </w:pPr>
          </w:p>
        </w:tc>
        <w:tc>
          <w:tcPr>
            <w:tcW w:w="1063" w:type="dxa"/>
            <w:tcBorders>
              <w:top w:val="nil"/>
              <w:left w:val="nil"/>
              <w:bottom w:val="nil"/>
              <w:right w:val="nil"/>
            </w:tcBorders>
          </w:tcPr>
          <w:p w:rsidR="00456E00" w:rsidRDefault="00456E00" w:rsidP="00A24710">
            <w:pPr>
              <w:autoSpaceDE w:val="0"/>
              <w:autoSpaceDN w:val="0"/>
              <w:adjustRightInd w:val="0"/>
              <w:spacing w:before="0"/>
              <w:jc w:val="right"/>
              <w:rPr>
                <w:rFonts w:ascii="Arial" w:hAnsi="Arial" w:cs="Arial"/>
                <w:color w:val="000000"/>
                <w:sz w:val="20"/>
                <w:szCs w:val="20"/>
                <w:lang w:eastAsia="en-AU"/>
              </w:rPr>
            </w:pPr>
          </w:p>
        </w:tc>
        <w:tc>
          <w:tcPr>
            <w:tcW w:w="677" w:type="dxa"/>
            <w:tcBorders>
              <w:top w:val="nil"/>
              <w:left w:val="nil"/>
              <w:bottom w:val="nil"/>
              <w:right w:val="nil"/>
            </w:tcBorders>
          </w:tcPr>
          <w:p w:rsidR="00456E00" w:rsidRDefault="00456E00" w:rsidP="00A24710">
            <w:pPr>
              <w:autoSpaceDE w:val="0"/>
              <w:autoSpaceDN w:val="0"/>
              <w:adjustRightInd w:val="0"/>
              <w:spacing w:before="0"/>
              <w:jc w:val="right"/>
              <w:rPr>
                <w:rFonts w:ascii="Arial" w:hAnsi="Arial" w:cs="Arial"/>
                <w:color w:val="000000"/>
                <w:sz w:val="20"/>
                <w:szCs w:val="20"/>
                <w:lang w:eastAsia="en-AU"/>
              </w:rPr>
            </w:pPr>
          </w:p>
        </w:tc>
        <w:tc>
          <w:tcPr>
            <w:tcW w:w="595" w:type="dxa"/>
            <w:tcBorders>
              <w:top w:val="nil"/>
              <w:left w:val="nil"/>
              <w:bottom w:val="nil"/>
              <w:right w:val="nil"/>
            </w:tcBorders>
          </w:tcPr>
          <w:p w:rsidR="00456E00" w:rsidRDefault="00456E00" w:rsidP="00A24710">
            <w:pPr>
              <w:autoSpaceDE w:val="0"/>
              <w:autoSpaceDN w:val="0"/>
              <w:adjustRightInd w:val="0"/>
              <w:spacing w:before="0"/>
              <w:jc w:val="right"/>
              <w:rPr>
                <w:rFonts w:ascii="Arial" w:hAnsi="Arial" w:cs="Arial"/>
                <w:color w:val="000000"/>
                <w:sz w:val="20"/>
                <w:szCs w:val="20"/>
                <w:lang w:eastAsia="en-AU"/>
              </w:rPr>
            </w:pPr>
          </w:p>
        </w:tc>
      </w:tr>
      <w:tr w:rsidR="00456E00" w:rsidTr="00456E00">
        <w:trPr>
          <w:trHeight w:val="646"/>
        </w:trPr>
        <w:tc>
          <w:tcPr>
            <w:tcW w:w="1212" w:type="dxa"/>
            <w:gridSpan w:val="2"/>
            <w:tcBorders>
              <w:top w:val="nil"/>
              <w:left w:val="nil"/>
              <w:bottom w:val="nil"/>
              <w:right w:val="nil"/>
            </w:tcBorders>
            <w:shd w:val="solid" w:color="00CCFF" w:fill="auto"/>
          </w:tcPr>
          <w:p w:rsidR="00456E00" w:rsidRDefault="00456E00" w:rsidP="00A24710">
            <w:pPr>
              <w:autoSpaceDE w:val="0"/>
              <w:autoSpaceDN w:val="0"/>
              <w:adjustRightInd w:val="0"/>
              <w:spacing w:before="0"/>
              <w:rPr>
                <w:rFonts w:cs="Calibri"/>
                <w:color w:val="000000"/>
                <w:sz w:val="22"/>
                <w:szCs w:val="22"/>
                <w:lang w:eastAsia="en-AU"/>
              </w:rPr>
            </w:pPr>
            <w:r>
              <w:rPr>
                <w:rFonts w:cs="Calibri"/>
                <w:color w:val="000000"/>
                <w:sz w:val="22"/>
                <w:szCs w:val="22"/>
                <w:lang w:eastAsia="en-AU"/>
              </w:rPr>
              <w:t>On Schedule/ Target</w:t>
            </w:r>
          </w:p>
        </w:tc>
        <w:tc>
          <w:tcPr>
            <w:tcW w:w="10335" w:type="dxa"/>
            <w:gridSpan w:val="6"/>
            <w:tcBorders>
              <w:top w:val="nil"/>
              <w:left w:val="nil"/>
              <w:bottom w:val="nil"/>
              <w:right w:val="nil"/>
            </w:tcBorders>
          </w:tcPr>
          <w:p w:rsidR="00456E00" w:rsidRDefault="00456E00" w:rsidP="00A24710">
            <w:pPr>
              <w:autoSpaceDE w:val="0"/>
              <w:autoSpaceDN w:val="0"/>
              <w:adjustRightInd w:val="0"/>
              <w:spacing w:before="0"/>
              <w:rPr>
                <w:rFonts w:cs="Calibri"/>
                <w:color w:val="000000"/>
                <w:sz w:val="22"/>
                <w:szCs w:val="22"/>
                <w:lang w:eastAsia="en-AU"/>
              </w:rPr>
            </w:pPr>
            <w:r>
              <w:rPr>
                <w:rFonts w:cs="Calibri"/>
                <w:color w:val="000000"/>
                <w:sz w:val="22"/>
                <w:szCs w:val="22"/>
                <w:lang w:eastAsia="en-AU"/>
              </w:rPr>
              <w:t>Target or standard has not yet been achieved, but is on schedule to be achieved</w:t>
            </w:r>
          </w:p>
        </w:tc>
        <w:tc>
          <w:tcPr>
            <w:tcW w:w="677" w:type="dxa"/>
            <w:tcBorders>
              <w:top w:val="nil"/>
              <w:left w:val="nil"/>
              <w:bottom w:val="nil"/>
              <w:right w:val="nil"/>
            </w:tcBorders>
          </w:tcPr>
          <w:p w:rsidR="00456E00" w:rsidRDefault="00456E00" w:rsidP="00A24710">
            <w:pPr>
              <w:autoSpaceDE w:val="0"/>
              <w:autoSpaceDN w:val="0"/>
              <w:adjustRightInd w:val="0"/>
              <w:spacing w:before="0"/>
              <w:jc w:val="right"/>
              <w:rPr>
                <w:rFonts w:ascii="Arial" w:hAnsi="Arial" w:cs="Arial"/>
                <w:color w:val="000000"/>
                <w:sz w:val="20"/>
                <w:szCs w:val="20"/>
                <w:lang w:eastAsia="en-AU"/>
              </w:rPr>
            </w:pPr>
          </w:p>
        </w:tc>
        <w:tc>
          <w:tcPr>
            <w:tcW w:w="595" w:type="dxa"/>
            <w:tcBorders>
              <w:top w:val="nil"/>
              <w:left w:val="nil"/>
              <w:bottom w:val="nil"/>
              <w:right w:val="nil"/>
            </w:tcBorders>
          </w:tcPr>
          <w:p w:rsidR="00456E00" w:rsidRDefault="00456E00" w:rsidP="00A24710">
            <w:pPr>
              <w:autoSpaceDE w:val="0"/>
              <w:autoSpaceDN w:val="0"/>
              <w:adjustRightInd w:val="0"/>
              <w:spacing w:before="0"/>
              <w:jc w:val="right"/>
              <w:rPr>
                <w:rFonts w:ascii="Arial" w:hAnsi="Arial" w:cs="Arial"/>
                <w:color w:val="000000"/>
                <w:sz w:val="20"/>
                <w:szCs w:val="20"/>
                <w:lang w:eastAsia="en-AU"/>
              </w:rPr>
            </w:pPr>
          </w:p>
        </w:tc>
      </w:tr>
      <w:tr w:rsidR="00456E00" w:rsidTr="00456E00">
        <w:trPr>
          <w:trHeight w:val="430"/>
        </w:trPr>
        <w:tc>
          <w:tcPr>
            <w:tcW w:w="1212" w:type="dxa"/>
            <w:gridSpan w:val="2"/>
            <w:tcBorders>
              <w:top w:val="nil"/>
              <w:left w:val="nil"/>
              <w:bottom w:val="nil"/>
              <w:right w:val="nil"/>
            </w:tcBorders>
            <w:shd w:val="solid" w:color="FFCC00" w:fill="auto"/>
          </w:tcPr>
          <w:p w:rsidR="00456E00" w:rsidRDefault="00456E00" w:rsidP="00A24710">
            <w:pPr>
              <w:autoSpaceDE w:val="0"/>
              <w:autoSpaceDN w:val="0"/>
              <w:adjustRightInd w:val="0"/>
              <w:spacing w:before="0"/>
              <w:rPr>
                <w:rFonts w:cs="Calibri"/>
                <w:color w:val="000000"/>
                <w:sz w:val="22"/>
                <w:szCs w:val="22"/>
                <w:lang w:eastAsia="en-AU"/>
              </w:rPr>
            </w:pPr>
            <w:r>
              <w:rPr>
                <w:rFonts w:cs="Calibri"/>
                <w:color w:val="000000"/>
                <w:sz w:val="22"/>
                <w:szCs w:val="22"/>
                <w:lang w:eastAsia="en-AU"/>
              </w:rPr>
              <w:t>Behind Schedule</w:t>
            </w:r>
          </w:p>
        </w:tc>
        <w:tc>
          <w:tcPr>
            <w:tcW w:w="9272" w:type="dxa"/>
            <w:gridSpan w:val="5"/>
            <w:tcBorders>
              <w:top w:val="nil"/>
              <w:left w:val="nil"/>
              <w:bottom w:val="nil"/>
              <w:right w:val="nil"/>
            </w:tcBorders>
          </w:tcPr>
          <w:p w:rsidR="00456E00" w:rsidRDefault="00456E00" w:rsidP="00A24710">
            <w:pPr>
              <w:autoSpaceDE w:val="0"/>
              <w:autoSpaceDN w:val="0"/>
              <w:adjustRightInd w:val="0"/>
              <w:spacing w:before="0"/>
              <w:rPr>
                <w:rFonts w:cs="Calibri"/>
                <w:color w:val="000000"/>
                <w:sz w:val="22"/>
                <w:szCs w:val="22"/>
                <w:lang w:eastAsia="en-AU"/>
              </w:rPr>
            </w:pPr>
            <w:r>
              <w:rPr>
                <w:rFonts w:cs="Calibri"/>
                <w:color w:val="000000"/>
                <w:sz w:val="22"/>
                <w:szCs w:val="22"/>
                <w:lang w:eastAsia="en-AU"/>
              </w:rPr>
              <w:t>Target or standard has not yet been achieved and is behind schedule</w:t>
            </w:r>
          </w:p>
        </w:tc>
        <w:tc>
          <w:tcPr>
            <w:tcW w:w="1063" w:type="dxa"/>
            <w:tcBorders>
              <w:top w:val="nil"/>
              <w:left w:val="nil"/>
              <w:bottom w:val="nil"/>
              <w:right w:val="nil"/>
            </w:tcBorders>
          </w:tcPr>
          <w:p w:rsidR="00456E00" w:rsidRDefault="00456E00" w:rsidP="00A24710">
            <w:pPr>
              <w:autoSpaceDE w:val="0"/>
              <w:autoSpaceDN w:val="0"/>
              <w:adjustRightInd w:val="0"/>
              <w:spacing w:before="0"/>
              <w:jc w:val="right"/>
              <w:rPr>
                <w:rFonts w:ascii="Arial" w:hAnsi="Arial" w:cs="Arial"/>
                <w:color w:val="000000"/>
                <w:sz w:val="20"/>
                <w:szCs w:val="20"/>
                <w:lang w:eastAsia="en-AU"/>
              </w:rPr>
            </w:pPr>
          </w:p>
        </w:tc>
        <w:tc>
          <w:tcPr>
            <w:tcW w:w="677" w:type="dxa"/>
            <w:tcBorders>
              <w:top w:val="nil"/>
              <w:left w:val="nil"/>
              <w:bottom w:val="nil"/>
              <w:right w:val="nil"/>
            </w:tcBorders>
          </w:tcPr>
          <w:p w:rsidR="00456E00" w:rsidRDefault="00456E00" w:rsidP="00A24710">
            <w:pPr>
              <w:autoSpaceDE w:val="0"/>
              <w:autoSpaceDN w:val="0"/>
              <w:adjustRightInd w:val="0"/>
              <w:spacing w:before="0"/>
              <w:jc w:val="right"/>
              <w:rPr>
                <w:rFonts w:ascii="Arial" w:hAnsi="Arial" w:cs="Arial"/>
                <w:color w:val="000000"/>
                <w:sz w:val="20"/>
                <w:szCs w:val="20"/>
                <w:lang w:eastAsia="en-AU"/>
              </w:rPr>
            </w:pPr>
          </w:p>
        </w:tc>
        <w:tc>
          <w:tcPr>
            <w:tcW w:w="595" w:type="dxa"/>
            <w:tcBorders>
              <w:top w:val="nil"/>
              <w:left w:val="nil"/>
              <w:bottom w:val="nil"/>
              <w:right w:val="nil"/>
            </w:tcBorders>
          </w:tcPr>
          <w:p w:rsidR="00456E00" w:rsidRDefault="00456E00" w:rsidP="00A24710">
            <w:pPr>
              <w:autoSpaceDE w:val="0"/>
              <w:autoSpaceDN w:val="0"/>
              <w:adjustRightInd w:val="0"/>
              <w:spacing w:before="0"/>
              <w:jc w:val="right"/>
              <w:rPr>
                <w:rFonts w:ascii="Arial" w:hAnsi="Arial" w:cs="Arial"/>
                <w:color w:val="000000"/>
                <w:sz w:val="20"/>
                <w:szCs w:val="20"/>
                <w:lang w:eastAsia="en-AU"/>
              </w:rPr>
            </w:pPr>
          </w:p>
        </w:tc>
      </w:tr>
      <w:tr w:rsidR="00456E00" w:rsidTr="00456E00">
        <w:trPr>
          <w:trHeight w:val="646"/>
        </w:trPr>
        <w:tc>
          <w:tcPr>
            <w:tcW w:w="1212" w:type="dxa"/>
            <w:gridSpan w:val="2"/>
            <w:tcBorders>
              <w:top w:val="nil"/>
              <w:left w:val="nil"/>
              <w:bottom w:val="nil"/>
              <w:right w:val="nil"/>
            </w:tcBorders>
            <w:shd w:val="solid" w:color="FF0000" w:fill="auto"/>
          </w:tcPr>
          <w:p w:rsidR="00456E00" w:rsidRDefault="00456E00" w:rsidP="00A24710">
            <w:pPr>
              <w:autoSpaceDE w:val="0"/>
              <w:autoSpaceDN w:val="0"/>
              <w:adjustRightInd w:val="0"/>
              <w:spacing w:before="0"/>
              <w:rPr>
                <w:rFonts w:cs="Calibri"/>
                <w:color w:val="000000"/>
                <w:sz w:val="22"/>
                <w:szCs w:val="22"/>
                <w:lang w:eastAsia="en-AU"/>
              </w:rPr>
            </w:pPr>
            <w:r>
              <w:rPr>
                <w:rFonts w:cs="Calibri"/>
                <w:color w:val="000000"/>
                <w:sz w:val="22"/>
                <w:szCs w:val="22"/>
                <w:lang w:eastAsia="en-AU"/>
              </w:rPr>
              <w:t>Critical Shortfall/ Delay</w:t>
            </w:r>
          </w:p>
        </w:tc>
        <w:tc>
          <w:tcPr>
            <w:tcW w:w="11607" w:type="dxa"/>
            <w:gridSpan w:val="8"/>
            <w:tcBorders>
              <w:top w:val="nil"/>
              <w:left w:val="nil"/>
              <w:bottom w:val="nil"/>
              <w:right w:val="nil"/>
            </w:tcBorders>
          </w:tcPr>
          <w:p w:rsidR="00456E00" w:rsidRDefault="00456E00" w:rsidP="00456E00">
            <w:pPr>
              <w:autoSpaceDE w:val="0"/>
              <w:autoSpaceDN w:val="0"/>
              <w:adjustRightInd w:val="0"/>
              <w:spacing w:before="0"/>
              <w:ind w:right="3687"/>
              <w:rPr>
                <w:rFonts w:cs="Calibri"/>
                <w:color w:val="000000"/>
                <w:sz w:val="22"/>
                <w:szCs w:val="22"/>
                <w:lang w:eastAsia="en-AU"/>
              </w:rPr>
            </w:pPr>
            <w:r>
              <w:rPr>
                <w:rFonts w:cs="Calibri"/>
                <w:color w:val="000000"/>
                <w:sz w:val="22"/>
                <w:szCs w:val="22"/>
                <w:lang w:eastAsia="en-AU"/>
              </w:rPr>
              <w:t>Target or standard will not be achieved unless corrective action is taken by management team of relevant Agency</w:t>
            </w:r>
          </w:p>
        </w:tc>
      </w:tr>
    </w:tbl>
    <w:p w:rsidR="00456E00" w:rsidRPr="005F55FA" w:rsidRDefault="00456E00" w:rsidP="005F55FA">
      <w:pPr>
        <w:rPr>
          <w:color w:val="FF0000"/>
        </w:rPr>
      </w:pPr>
    </w:p>
    <w:tbl>
      <w:tblPr>
        <w:tblW w:w="9254" w:type="dxa"/>
        <w:tblLayout w:type="fixed"/>
        <w:tblCellMar>
          <w:left w:w="30" w:type="dxa"/>
          <w:right w:w="30" w:type="dxa"/>
        </w:tblCellMar>
        <w:tblLook w:val="0000" w:firstRow="0" w:lastRow="0" w:firstColumn="0" w:lastColumn="0" w:noHBand="0" w:noVBand="0"/>
      </w:tblPr>
      <w:tblGrid>
        <w:gridCol w:w="804"/>
        <w:gridCol w:w="408"/>
        <w:gridCol w:w="595"/>
        <w:gridCol w:w="468"/>
        <w:gridCol w:w="1611"/>
        <w:gridCol w:w="1084"/>
        <w:gridCol w:w="1949"/>
        <w:gridCol w:w="1063"/>
        <w:gridCol w:w="677"/>
        <w:gridCol w:w="595"/>
      </w:tblGrid>
      <w:tr w:rsidR="00456E00" w:rsidTr="00D46309">
        <w:trPr>
          <w:trHeight w:val="194"/>
        </w:trPr>
        <w:tc>
          <w:tcPr>
            <w:tcW w:w="2275" w:type="dxa"/>
            <w:gridSpan w:val="4"/>
            <w:tcBorders>
              <w:top w:val="single" w:sz="12" w:space="0" w:color="auto"/>
              <w:left w:val="single" w:sz="12" w:space="0" w:color="auto"/>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color w:val="000000"/>
                <w:sz w:val="18"/>
                <w:szCs w:val="18"/>
                <w:lang w:eastAsia="en-AU"/>
              </w:rPr>
            </w:pPr>
            <w:r>
              <w:rPr>
                <w:rFonts w:ascii="Arial" w:hAnsi="Arial" w:cs="Arial"/>
                <w:b/>
                <w:bCs/>
                <w:color w:val="000000"/>
                <w:sz w:val="18"/>
                <w:szCs w:val="18"/>
                <w:lang w:eastAsia="en-AU"/>
              </w:rPr>
              <w:t>Goal 1: Community Safety</w:t>
            </w:r>
          </w:p>
        </w:tc>
        <w:tc>
          <w:tcPr>
            <w:tcW w:w="1611" w:type="dxa"/>
            <w:tcBorders>
              <w:top w:val="single" w:sz="12" w:space="0" w:color="auto"/>
              <w:left w:val="nil"/>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color w:val="000000"/>
                <w:sz w:val="18"/>
                <w:szCs w:val="18"/>
                <w:lang w:eastAsia="en-AU"/>
              </w:rPr>
            </w:pPr>
          </w:p>
        </w:tc>
        <w:tc>
          <w:tcPr>
            <w:tcW w:w="1084" w:type="dxa"/>
            <w:tcBorders>
              <w:top w:val="single" w:sz="12" w:space="0" w:color="auto"/>
              <w:left w:val="nil"/>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color w:val="000000"/>
                <w:sz w:val="18"/>
                <w:szCs w:val="18"/>
                <w:lang w:eastAsia="en-AU"/>
              </w:rPr>
            </w:pPr>
          </w:p>
        </w:tc>
        <w:tc>
          <w:tcPr>
            <w:tcW w:w="1949" w:type="dxa"/>
            <w:tcBorders>
              <w:top w:val="single" w:sz="12" w:space="0" w:color="auto"/>
              <w:left w:val="nil"/>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color w:val="000000"/>
                <w:sz w:val="18"/>
                <w:szCs w:val="18"/>
                <w:lang w:eastAsia="en-AU"/>
              </w:rPr>
            </w:pPr>
          </w:p>
        </w:tc>
        <w:tc>
          <w:tcPr>
            <w:tcW w:w="1063" w:type="dxa"/>
            <w:tcBorders>
              <w:top w:val="single" w:sz="12" w:space="0" w:color="auto"/>
              <w:left w:val="nil"/>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color w:val="000000"/>
                <w:sz w:val="18"/>
                <w:szCs w:val="18"/>
                <w:lang w:eastAsia="en-AU"/>
              </w:rPr>
            </w:pPr>
          </w:p>
        </w:tc>
        <w:tc>
          <w:tcPr>
            <w:tcW w:w="677" w:type="dxa"/>
            <w:tcBorders>
              <w:top w:val="single" w:sz="12" w:space="0" w:color="auto"/>
              <w:left w:val="nil"/>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color w:val="000000"/>
                <w:sz w:val="18"/>
                <w:szCs w:val="18"/>
                <w:lang w:eastAsia="en-AU"/>
              </w:rPr>
            </w:pPr>
          </w:p>
        </w:tc>
        <w:tc>
          <w:tcPr>
            <w:tcW w:w="595" w:type="dxa"/>
            <w:tcBorders>
              <w:top w:val="single" w:sz="12" w:space="0" w:color="auto"/>
              <w:left w:val="nil"/>
              <w:bottom w:val="double" w:sz="6" w:space="0" w:color="auto"/>
              <w:right w:val="single" w:sz="12" w:space="0" w:color="auto"/>
            </w:tcBorders>
            <w:shd w:val="solid" w:color="FFCC00" w:fill="auto"/>
          </w:tcPr>
          <w:p w:rsidR="00456E00" w:rsidRDefault="00456E00">
            <w:pPr>
              <w:autoSpaceDE w:val="0"/>
              <w:autoSpaceDN w:val="0"/>
              <w:adjustRightInd w:val="0"/>
              <w:spacing w:before="0"/>
              <w:jc w:val="center"/>
              <w:rPr>
                <w:rFonts w:ascii="Arial" w:hAnsi="Arial" w:cs="Arial"/>
                <w:b/>
                <w:bCs/>
                <w:color w:val="000000"/>
                <w:sz w:val="18"/>
                <w:szCs w:val="18"/>
                <w:lang w:eastAsia="en-AU"/>
              </w:rPr>
            </w:pPr>
          </w:p>
        </w:tc>
      </w:tr>
      <w:tr w:rsidR="00456E00" w:rsidTr="00D46309">
        <w:trPr>
          <w:trHeight w:val="204"/>
        </w:trPr>
        <w:tc>
          <w:tcPr>
            <w:tcW w:w="7982" w:type="dxa"/>
            <w:gridSpan w:val="8"/>
            <w:tcBorders>
              <w:top w:val="double" w:sz="6" w:space="0" w:color="auto"/>
              <w:left w:val="single" w:sz="12" w:space="0" w:color="auto"/>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i/>
                <w:iCs/>
                <w:color w:val="000000"/>
                <w:sz w:val="18"/>
                <w:szCs w:val="18"/>
                <w:lang w:eastAsia="en-AU"/>
              </w:rPr>
            </w:pPr>
            <w:r>
              <w:rPr>
                <w:rFonts w:ascii="Arial" w:hAnsi="Arial" w:cs="Arial"/>
                <w:b/>
                <w:bCs/>
                <w:i/>
                <w:iCs/>
                <w:color w:val="000000"/>
                <w:sz w:val="18"/>
                <w:szCs w:val="18"/>
                <w:lang w:eastAsia="en-AU"/>
              </w:rPr>
              <w:t>Strategy 1.1 Raise Community Safety through improved crime management and crime prevention</w:t>
            </w:r>
          </w:p>
        </w:tc>
        <w:tc>
          <w:tcPr>
            <w:tcW w:w="677" w:type="dxa"/>
            <w:tcBorders>
              <w:top w:val="double" w:sz="6" w:space="0" w:color="auto"/>
              <w:left w:val="nil"/>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i/>
                <w:iCs/>
                <w:color w:val="000000"/>
                <w:sz w:val="18"/>
                <w:szCs w:val="18"/>
                <w:lang w:eastAsia="en-AU"/>
              </w:rPr>
            </w:pPr>
          </w:p>
        </w:tc>
        <w:tc>
          <w:tcPr>
            <w:tcW w:w="595" w:type="dxa"/>
            <w:tcBorders>
              <w:top w:val="double" w:sz="6" w:space="0" w:color="auto"/>
              <w:left w:val="nil"/>
              <w:bottom w:val="double" w:sz="6" w:space="0" w:color="auto"/>
              <w:right w:val="single" w:sz="12" w:space="0" w:color="auto"/>
            </w:tcBorders>
            <w:shd w:val="solid" w:color="FFCC00" w:fill="auto"/>
          </w:tcPr>
          <w:p w:rsidR="00456E00" w:rsidRDefault="00456E00">
            <w:pPr>
              <w:autoSpaceDE w:val="0"/>
              <w:autoSpaceDN w:val="0"/>
              <w:adjustRightInd w:val="0"/>
              <w:spacing w:before="0"/>
              <w:jc w:val="center"/>
              <w:rPr>
                <w:rFonts w:ascii="Arial" w:hAnsi="Arial" w:cs="Arial"/>
                <w:b/>
                <w:bCs/>
                <w:i/>
                <w:iCs/>
                <w:color w:val="000000"/>
                <w:sz w:val="18"/>
                <w:szCs w:val="18"/>
                <w:lang w:eastAsia="en-AU"/>
              </w:rPr>
            </w:pPr>
          </w:p>
        </w:tc>
      </w:tr>
      <w:tr w:rsidR="00456E00" w:rsidTr="00D46309">
        <w:trPr>
          <w:trHeight w:val="204"/>
        </w:trPr>
        <w:tc>
          <w:tcPr>
            <w:tcW w:w="6919" w:type="dxa"/>
            <w:gridSpan w:val="7"/>
            <w:tcBorders>
              <w:top w:val="double" w:sz="6" w:space="0" w:color="auto"/>
              <w:left w:val="single" w:sz="12" w:space="0" w:color="auto"/>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18"/>
                <w:szCs w:val="18"/>
                <w:lang w:eastAsia="en-AU"/>
              </w:rPr>
            </w:pPr>
            <w:r>
              <w:rPr>
                <w:rFonts w:ascii="Arial" w:hAnsi="Arial" w:cs="Arial"/>
                <w:color w:val="000000"/>
                <w:sz w:val="18"/>
                <w:szCs w:val="18"/>
                <w:lang w:eastAsia="en-AU"/>
              </w:rPr>
              <w:t>Outcome: To improve Measures that promote Community Safety and Manage Crime</w:t>
            </w:r>
          </w:p>
        </w:tc>
        <w:tc>
          <w:tcPr>
            <w:tcW w:w="1063" w:type="dxa"/>
            <w:tcBorders>
              <w:top w:val="double" w:sz="6" w:space="0" w:color="auto"/>
              <w:left w:val="nil"/>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18"/>
                <w:szCs w:val="18"/>
                <w:lang w:eastAsia="en-AU"/>
              </w:rPr>
            </w:pPr>
          </w:p>
        </w:tc>
        <w:tc>
          <w:tcPr>
            <w:tcW w:w="677" w:type="dxa"/>
            <w:tcBorders>
              <w:top w:val="double" w:sz="6" w:space="0" w:color="auto"/>
              <w:left w:val="nil"/>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18"/>
                <w:szCs w:val="18"/>
                <w:lang w:eastAsia="en-AU"/>
              </w:rPr>
            </w:pPr>
          </w:p>
        </w:tc>
        <w:tc>
          <w:tcPr>
            <w:tcW w:w="595" w:type="dxa"/>
            <w:tcBorders>
              <w:top w:val="double" w:sz="6" w:space="0" w:color="auto"/>
              <w:left w:val="nil"/>
              <w:bottom w:val="double" w:sz="6" w:space="0" w:color="auto"/>
              <w:right w:val="single" w:sz="12" w:space="0" w:color="auto"/>
            </w:tcBorders>
            <w:shd w:val="solid" w:color="969696" w:fill="auto"/>
          </w:tcPr>
          <w:p w:rsidR="00456E00" w:rsidRDefault="00456E00">
            <w:pPr>
              <w:autoSpaceDE w:val="0"/>
              <w:autoSpaceDN w:val="0"/>
              <w:adjustRightInd w:val="0"/>
              <w:spacing w:before="0"/>
              <w:jc w:val="center"/>
              <w:rPr>
                <w:rFonts w:ascii="Arial" w:hAnsi="Arial" w:cs="Arial"/>
                <w:color w:val="000000"/>
                <w:sz w:val="18"/>
                <w:szCs w:val="18"/>
                <w:lang w:eastAsia="en-AU"/>
              </w:rPr>
            </w:pPr>
          </w:p>
        </w:tc>
      </w:tr>
      <w:tr w:rsidR="00456E00" w:rsidTr="00D46309">
        <w:trPr>
          <w:trHeight w:val="204"/>
        </w:trPr>
        <w:tc>
          <w:tcPr>
            <w:tcW w:w="3886" w:type="dxa"/>
            <w:gridSpan w:val="5"/>
            <w:tcBorders>
              <w:top w:val="double" w:sz="6" w:space="0" w:color="auto"/>
              <w:left w:val="single" w:sz="12" w:space="0" w:color="auto"/>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18"/>
                <w:szCs w:val="18"/>
                <w:lang w:eastAsia="en-AU"/>
              </w:rPr>
            </w:pPr>
            <w:r>
              <w:rPr>
                <w:rFonts w:ascii="Arial" w:hAnsi="Arial" w:cs="Arial"/>
                <w:color w:val="000000"/>
                <w:sz w:val="18"/>
                <w:szCs w:val="18"/>
                <w:lang w:eastAsia="en-AU"/>
              </w:rPr>
              <w:t>Sub Strategy  1.1.1 – Community Policing</w:t>
            </w:r>
          </w:p>
        </w:tc>
        <w:tc>
          <w:tcPr>
            <w:tcW w:w="1084" w:type="dxa"/>
            <w:tcBorders>
              <w:top w:val="double" w:sz="6" w:space="0" w:color="auto"/>
              <w:left w:val="nil"/>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18"/>
                <w:szCs w:val="18"/>
                <w:lang w:eastAsia="en-AU"/>
              </w:rPr>
            </w:pPr>
          </w:p>
        </w:tc>
        <w:tc>
          <w:tcPr>
            <w:tcW w:w="1949" w:type="dxa"/>
            <w:tcBorders>
              <w:top w:val="double" w:sz="6" w:space="0" w:color="auto"/>
              <w:left w:val="nil"/>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18"/>
                <w:szCs w:val="18"/>
                <w:lang w:eastAsia="en-AU"/>
              </w:rPr>
            </w:pPr>
          </w:p>
        </w:tc>
        <w:tc>
          <w:tcPr>
            <w:tcW w:w="1063" w:type="dxa"/>
            <w:tcBorders>
              <w:top w:val="double" w:sz="6" w:space="0" w:color="auto"/>
              <w:left w:val="nil"/>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18"/>
                <w:szCs w:val="18"/>
                <w:lang w:eastAsia="en-AU"/>
              </w:rPr>
            </w:pPr>
          </w:p>
        </w:tc>
        <w:tc>
          <w:tcPr>
            <w:tcW w:w="677" w:type="dxa"/>
            <w:tcBorders>
              <w:top w:val="double" w:sz="6" w:space="0" w:color="auto"/>
              <w:left w:val="nil"/>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18"/>
                <w:szCs w:val="18"/>
                <w:lang w:eastAsia="en-AU"/>
              </w:rPr>
            </w:pPr>
          </w:p>
        </w:tc>
        <w:tc>
          <w:tcPr>
            <w:tcW w:w="595" w:type="dxa"/>
            <w:tcBorders>
              <w:top w:val="double" w:sz="6" w:space="0" w:color="auto"/>
              <w:left w:val="nil"/>
              <w:bottom w:val="double" w:sz="6" w:space="0" w:color="auto"/>
              <w:right w:val="single" w:sz="12" w:space="0" w:color="auto"/>
            </w:tcBorders>
            <w:shd w:val="solid" w:color="969696" w:fill="auto"/>
          </w:tcPr>
          <w:p w:rsidR="00456E00" w:rsidRDefault="00456E00">
            <w:pPr>
              <w:autoSpaceDE w:val="0"/>
              <w:autoSpaceDN w:val="0"/>
              <w:adjustRightInd w:val="0"/>
              <w:spacing w:before="0"/>
              <w:jc w:val="center"/>
              <w:rPr>
                <w:rFonts w:ascii="Arial" w:hAnsi="Arial" w:cs="Arial"/>
                <w:color w:val="000000"/>
                <w:sz w:val="18"/>
                <w:szCs w:val="18"/>
                <w:lang w:eastAsia="en-AU"/>
              </w:rPr>
            </w:pPr>
          </w:p>
        </w:tc>
      </w:tr>
      <w:tr w:rsidR="00456E00" w:rsidTr="00D46309">
        <w:trPr>
          <w:trHeight w:val="1054"/>
        </w:trPr>
        <w:tc>
          <w:tcPr>
            <w:tcW w:w="804" w:type="dxa"/>
            <w:tcBorders>
              <w:top w:val="double" w:sz="6" w:space="0" w:color="auto"/>
              <w:left w:val="single" w:sz="12" w:space="0" w:color="auto"/>
              <w:bottom w:val="double" w:sz="6" w:space="0" w:color="auto"/>
              <w:right w:val="nil"/>
            </w:tcBorders>
            <w:shd w:val="solid" w:color="C0C0C0" w:fill="auto"/>
          </w:tcPr>
          <w:p w:rsidR="00456E00" w:rsidRDefault="00456E00">
            <w:pPr>
              <w:autoSpaceDE w:val="0"/>
              <w:autoSpaceDN w:val="0"/>
              <w:adjustRightInd w:val="0"/>
              <w:spacing w:before="0"/>
              <w:jc w:val="center"/>
              <w:rPr>
                <w:rFonts w:cs="Calibri"/>
                <w:b/>
                <w:bCs/>
                <w:color w:val="000000"/>
                <w:sz w:val="18"/>
                <w:szCs w:val="18"/>
                <w:lang w:eastAsia="en-AU"/>
              </w:rPr>
            </w:pPr>
            <w:r>
              <w:rPr>
                <w:rFonts w:cs="Calibri"/>
                <w:b/>
                <w:bCs/>
                <w:color w:val="000000"/>
                <w:sz w:val="18"/>
                <w:szCs w:val="18"/>
                <w:lang w:eastAsia="en-AU"/>
              </w:rPr>
              <w:t>Projects</w:t>
            </w:r>
          </w:p>
        </w:tc>
        <w:tc>
          <w:tcPr>
            <w:tcW w:w="408" w:type="dxa"/>
            <w:tcBorders>
              <w:top w:val="double" w:sz="6" w:space="0" w:color="auto"/>
              <w:left w:val="double" w:sz="6" w:space="0" w:color="auto"/>
              <w:bottom w:val="double" w:sz="6" w:space="0" w:color="auto"/>
              <w:right w:val="double" w:sz="6" w:space="0" w:color="auto"/>
            </w:tcBorders>
            <w:shd w:val="solid" w:color="C0C0C0" w:fill="auto"/>
          </w:tcPr>
          <w:p w:rsidR="00456E00" w:rsidRDefault="00456E00">
            <w:pPr>
              <w:autoSpaceDE w:val="0"/>
              <w:autoSpaceDN w:val="0"/>
              <w:adjustRightInd w:val="0"/>
              <w:spacing w:before="0"/>
              <w:jc w:val="center"/>
              <w:rPr>
                <w:rFonts w:cs="Calibri"/>
                <w:b/>
                <w:bCs/>
                <w:color w:val="000000"/>
                <w:sz w:val="18"/>
                <w:szCs w:val="18"/>
                <w:lang w:eastAsia="en-AU"/>
              </w:rPr>
            </w:pPr>
            <w:r>
              <w:rPr>
                <w:rFonts w:cs="Calibri"/>
                <w:b/>
                <w:bCs/>
                <w:color w:val="000000"/>
                <w:sz w:val="18"/>
                <w:szCs w:val="18"/>
                <w:lang w:eastAsia="en-AU"/>
              </w:rPr>
              <w:t>Project Reference Number</w:t>
            </w:r>
          </w:p>
        </w:tc>
        <w:tc>
          <w:tcPr>
            <w:tcW w:w="595" w:type="dxa"/>
            <w:tcBorders>
              <w:top w:val="double" w:sz="6" w:space="0" w:color="auto"/>
              <w:left w:val="nil"/>
              <w:bottom w:val="double" w:sz="6" w:space="0" w:color="auto"/>
              <w:right w:val="double" w:sz="6" w:space="0" w:color="auto"/>
            </w:tcBorders>
            <w:shd w:val="solid" w:color="C0C0C0" w:fill="auto"/>
          </w:tcPr>
          <w:p w:rsidR="00456E00" w:rsidRDefault="00456E00">
            <w:pPr>
              <w:autoSpaceDE w:val="0"/>
              <w:autoSpaceDN w:val="0"/>
              <w:adjustRightInd w:val="0"/>
              <w:spacing w:before="0"/>
              <w:jc w:val="center"/>
              <w:rPr>
                <w:rFonts w:cs="Calibri"/>
                <w:b/>
                <w:bCs/>
                <w:color w:val="000000"/>
                <w:sz w:val="18"/>
                <w:szCs w:val="18"/>
                <w:lang w:eastAsia="en-AU"/>
              </w:rPr>
            </w:pPr>
            <w:r>
              <w:rPr>
                <w:rFonts w:cs="Calibri"/>
                <w:b/>
                <w:bCs/>
                <w:color w:val="000000"/>
                <w:sz w:val="18"/>
                <w:szCs w:val="18"/>
                <w:lang w:eastAsia="en-AU"/>
              </w:rPr>
              <w:t>Implemented Agency</w:t>
            </w:r>
          </w:p>
        </w:tc>
        <w:tc>
          <w:tcPr>
            <w:tcW w:w="468" w:type="dxa"/>
            <w:tcBorders>
              <w:top w:val="double" w:sz="6" w:space="0" w:color="auto"/>
              <w:left w:val="nil"/>
              <w:bottom w:val="double" w:sz="6" w:space="0" w:color="auto"/>
              <w:right w:val="double" w:sz="6" w:space="0" w:color="auto"/>
            </w:tcBorders>
            <w:shd w:val="solid" w:color="C0C0C0" w:fill="auto"/>
          </w:tcPr>
          <w:p w:rsidR="00456E00" w:rsidRDefault="00456E00">
            <w:pPr>
              <w:autoSpaceDE w:val="0"/>
              <w:autoSpaceDN w:val="0"/>
              <w:adjustRightInd w:val="0"/>
              <w:spacing w:before="0"/>
              <w:jc w:val="center"/>
              <w:rPr>
                <w:rFonts w:cs="Calibri"/>
                <w:b/>
                <w:bCs/>
                <w:color w:val="000000"/>
                <w:sz w:val="18"/>
                <w:szCs w:val="18"/>
                <w:lang w:eastAsia="en-AU"/>
              </w:rPr>
            </w:pPr>
            <w:r>
              <w:rPr>
                <w:rFonts w:cs="Calibri"/>
                <w:b/>
                <w:bCs/>
                <w:color w:val="000000"/>
                <w:sz w:val="18"/>
                <w:szCs w:val="18"/>
                <w:lang w:eastAsia="en-AU"/>
              </w:rPr>
              <w:t>Year Implemented</w:t>
            </w:r>
          </w:p>
        </w:tc>
        <w:tc>
          <w:tcPr>
            <w:tcW w:w="1611" w:type="dxa"/>
            <w:tcBorders>
              <w:top w:val="double" w:sz="6" w:space="0" w:color="auto"/>
              <w:left w:val="nil"/>
              <w:bottom w:val="double" w:sz="6" w:space="0" w:color="auto"/>
              <w:right w:val="double" w:sz="6" w:space="0" w:color="auto"/>
            </w:tcBorders>
            <w:shd w:val="solid" w:color="C0C0C0" w:fill="auto"/>
          </w:tcPr>
          <w:p w:rsidR="00456E00" w:rsidRDefault="00456E00">
            <w:pPr>
              <w:autoSpaceDE w:val="0"/>
              <w:autoSpaceDN w:val="0"/>
              <w:adjustRightInd w:val="0"/>
              <w:spacing w:before="0"/>
              <w:jc w:val="center"/>
              <w:rPr>
                <w:rFonts w:cs="Calibri"/>
                <w:b/>
                <w:bCs/>
                <w:color w:val="000000"/>
                <w:sz w:val="18"/>
                <w:szCs w:val="18"/>
                <w:lang w:eastAsia="en-AU"/>
              </w:rPr>
            </w:pPr>
            <w:r>
              <w:rPr>
                <w:rFonts w:cs="Calibri"/>
                <w:b/>
                <w:bCs/>
                <w:color w:val="000000"/>
                <w:sz w:val="18"/>
                <w:szCs w:val="18"/>
                <w:lang w:eastAsia="en-AU"/>
              </w:rPr>
              <w:t>Key Performance Indicators (KPI's)</w:t>
            </w:r>
          </w:p>
        </w:tc>
        <w:tc>
          <w:tcPr>
            <w:tcW w:w="1084" w:type="dxa"/>
            <w:tcBorders>
              <w:top w:val="double" w:sz="6" w:space="0" w:color="auto"/>
              <w:left w:val="double" w:sz="6" w:space="0" w:color="auto"/>
              <w:bottom w:val="double" w:sz="6" w:space="0" w:color="auto"/>
              <w:right w:val="double" w:sz="6" w:space="0" w:color="auto"/>
            </w:tcBorders>
            <w:shd w:val="solid" w:color="C0C0C0" w:fill="auto"/>
          </w:tcPr>
          <w:p w:rsidR="00456E00" w:rsidRDefault="00456E00">
            <w:pPr>
              <w:autoSpaceDE w:val="0"/>
              <w:autoSpaceDN w:val="0"/>
              <w:adjustRightInd w:val="0"/>
              <w:spacing w:before="0"/>
              <w:jc w:val="center"/>
              <w:rPr>
                <w:rFonts w:cs="Calibri"/>
                <w:b/>
                <w:bCs/>
                <w:color w:val="000000"/>
                <w:sz w:val="18"/>
                <w:szCs w:val="18"/>
                <w:lang w:eastAsia="en-AU"/>
              </w:rPr>
            </w:pPr>
            <w:r>
              <w:rPr>
                <w:rFonts w:cs="Calibri"/>
                <w:b/>
                <w:bCs/>
                <w:color w:val="000000"/>
                <w:sz w:val="18"/>
                <w:szCs w:val="18"/>
                <w:lang w:eastAsia="en-AU"/>
              </w:rPr>
              <w:t>Traffic Light Progress Indicator</w:t>
            </w:r>
          </w:p>
        </w:tc>
        <w:tc>
          <w:tcPr>
            <w:tcW w:w="1949" w:type="dxa"/>
            <w:tcBorders>
              <w:top w:val="double" w:sz="6" w:space="0" w:color="auto"/>
              <w:left w:val="double" w:sz="6" w:space="0" w:color="auto"/>
              <w:bottom w:val="double" w:sz="6" w:space="0" w:color="auto"/>
              <w:right w:val="nil"/>
            </w:tcBorders>
            <w:shd w:val="solid" w:color="FFFFFF" w:fill="auto"/>
          </w:tcPr>
          <w:p w:rsidR="00456E00" w:rsidRDefault="00456E00">
            <w:pPr>
              <w:autoSpaceDE w:val="0"/>
              <w:autoSpaceDN w:val="0"/>
              <w:adjustRightInd w:val="0"/>
              <w:spacing w:before="0"/>
              <w:jc w:val="center"/>
              <w:rPr>
                <w:rFonts w:cs="Calibri"/>
                <w:b/>
                <w:bCs/>
                <w:color w:val="000000"/>
                <w:sz w:val="18"/>
                <w:szCs w:val="18"/>
                <w:lang w:eastAsia="en-AU"/>
              </w:rPr>
            </w:pPr>
            <w:r>
              <w:rPr>
                <w:rFonts w:cs="Calibri"/>
                <w:b/>
                <w:bCs/>
                <w:color w:val="000000"/>
                <w:sz w:val="18"/>
                <w:szCs w:val="18"/>
                <w:lang w:eastAsia="en-AU"/>
              </w:rPr>
              <w:t>Outcome</w:t>
            </w:r>
          </w:p>
        </w:tc>
        <w:tc>
          <w:tcPr>
            <w:tcW w:w="1063" w:type="dxa"/>
            <w:tcBorders>
              <w:top w:val="double" w:sz="6" w:space="0" w:color="auto"/>
              <w:left w:val="double" w:sz="6" w:space="0" w:color="auto"/>
              <w:bottom w:val="double" w:sz="6" w:space="0" w:color="auto"/>
              <w:right w:val="nil"/>
            </w:tcBorders>
            <w:shd w:val="solid" w:color="FFFFFF" w:fill="auto"/>
          </w:tcPr>
          <w:p w:rsidR="00456E00" w:rsidRDefault="00456E00">
            <w:pPr>
              <w:autoSpaceDE w:val="0"/>
              <w:autoSpaceDN w:val="0"/>
              <w:adjustRightInd w:val="0"/>
              <w:spacing w:before="0"/>
              <w:jc w:val="center"/>
              <w:rPr>
                <w:rFonts w:cs="Calibri"/>
                <w:b/>
                <w:bCs/>
                <w:color w:val="000000"/>
                <w:sz w:val="18"/>
                <w:szCs w:val="18"/>
                <w:lang w:eastAsia="en-AU"/>
              </w:rPr>
            </w:pPr>
            <w:r>
              <w:rPr>
                <w:rFonts w:cs="Calibri"/>
                <w:b/>
                <w:bCs/>
                <w:color w:val="000000"/>
                <w:sz w:val="18"/>
                <w:szCs w:val="18"/>
                <w:lang w:eastAsia="en-AU"/>
              </w:rPr>
              <w:t>Comments</w:t>
            </w:r>
          </w:p>
        </w:tc>
        <w:tc>
          <w:tcPr>
            <w:tcW w:w="677" w:type="dxa"/>
            <w:tcBorders>
              <w:top w:val="double" w:sz="6" w:space="0" w:color="auto"/>
              <w:left w:val="nil"/>
              <w:bottom w:val="double" w:sz="6" w:space="0" w:color="auto"/>
              <w:right w:val="nil"/>
            </w:tcBorders>
            <w:shd w:val="solid" w:color="FFFFFF" w:fill="auto"/>
          </w:tcPr>
          <w:p w:rsidR="00456E00" w:rsidRDefault="00456E00">
            <w:pPr>
              <w:autoSpaceDE w:val="0"/>
              <w:autoSpaceDN w:val="0"/>
              <w:adjustRightInd w:val="0"/>
              <w:spacing w:before="0"/>
              <w:jc w:val="center"/>
              <w:rPr>
                <w:rFonts w:cs="Calibri"/>
                <w:b/>
                <w:bCs/>
                <w:color w:val="000000"/>
                <w:sz w:val="18"/>
                <w:szCs w:val="18"/>
                <w:lang w:eastAsia="en-AU"/>
              </w:rPr>
            </w:pPr>
          </w:p>
        </w:tc>
        <w:tc>
          <w:tcPr>
            <w:tcW w:w="595" w:type="dxa"/>
            <w:tcBorders>
              <w:top w:val="double" w:sz="6" w:space="0" w:color="auto"/>
              <w:left w:val="nil"/>
              <w:bottom w:val="double" w:sz="6" w:space="0" w:color="auto"/>
              <w:right w:val="single" w:sz="12" w:space="0" w:color="auto"/>
            </w:tcBorders>
            <w:shd w:val="solid" w:color="FFFFFF" w:fill="auto"/>
          </w:tcPr>
          <w:p w:rsidR="00456E00" w:rsidRDefault="00456E00">
            <w:pPr>
              <w:autoSpaceDE w:val="0"/>
              <w:autoSpaceDN w:val="0"/>
              <w:adjustRightInd w:val="0"/>
              <w:spacing w:before="0"/>
              <w:jc w:val="center"/>
              <w:rPr>
                <w:rFonts w:cs="Calibri"/>
                <w:b/>
                <w:bCs/>
                <w:color w:val="000000"/>
                <w:sz w:val="18"/>
                <w:szCs w:val="18"/>
                <w:lang w:eastAsia="en-AU"/>
              </w:rPr>
            </w:pPr>
          </w:p>
        </w:tc>
      </w:tr>
      <w:tr w:rsidR="00456E00" w:rsidTr="00D46309">
        <w:trPr>
          <w:trHeight w:val="2777"/>
        </w:trPr>
        <w:tc>
          <w:tcPr>
            <w:tcW w:w="804" w:type="dxa"/>
            <w:tcBorders>
              <w:top w:val="double" w:sz="6" w:space="0" w:color="auto"/>
              <w:left w:val="single" w:sz="12" w:space="0" w:color="auto"/>
              <w:bottom w:val="double" w:sz="6" w:space="0" w:color="auto"/>
              <w:right w:val="double" w:sz="6" w:space="0" w:color="auto"/>
            </w:tcBorders>
          </w:tcPr>
          <w:p w:rsidR="00456E00" w:rsidRDefault="00456E00">
            <w:pPr>
              <w:autoSpaceDE w:val="0"/>
              <w:autoSpaceDN w:val="0"/>
              <w:adjustRightInd w:val="0"/>
              <w:spacing w:before="0"/>
              <w:rPr>
                <w:rFonts w:cs="Calibri"/>
                <w:b/>
                <w:bCs/>
                <w:color w:val="000000"/>
                <w:sz w:val="18"/>
                <w:szCs w:val="18"/>
                <w:lang w:eastAsia="en-AU"/>
              </w:rPr>
            </w:pPr>
            <w:r>
              <w:rPr>
                <w:rFonts w:cs="Calibri"/>
                <w:b/>
                <w:bCs/>
                <w:color w:val="000000"/>
                <w:sz w:val="18"/>
                <w:szCs w:val="18"/>
                <w:lang w:eastAsia="en-AU"/>
              </w:rPr>
              <w:t>Neighbour-hood Watch Project (NWP) Phase II</w:t>
            </w:r>
          </w:p>
        </w:tc>
        <w:tc>
          <w:tcPr>
            <w:tcW w:w="408" w:type="dxa"/>
            <w:tcBorders>
              <w:top w:val="double" w:sz="6" w:space="0" w:color="auto"/>
              <w:left w:val="double" w:sz="6" w:space="0" w:color="auto"/>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18"/>
                <w:szCs w:val="18"/>
                <w:lang w:eastAsia="en-AU"/>
              </w:rPr>
            </w:pPr>
            <w:r>
              <w:rPr>
                <w:rFonts w:cs="Calibri"/>
                <w:color w:val="000000"/>
                <w:sz w:val="18"/>
                <w:szCs w:val="18"/>
                <w:lang w:eastAsia="en-AU"/>
              </w:rPr>
              <w:t>1.1.1.1</w:t>
            </w:r>
          </w:p>
        </w:tc>
        <w:tc>
          <w:tcPr>
            <w:tcW w:w="595"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18"/>
                <w:szCs w:val="18"/>
                <w:lang w:eastAsia="en-AU"/>
              </w:rPr>
            </w:pPr>
            <w:r>
              <w:rPr>
                <w:rFonts w:cs="Calibri"/>
                <w:color w:val="000000"/>
                <w:sz w:val="18"/>
                <w:szCs w:val="18"/>
                <w:lang w:eastAsia="en-AU"/>
              </w:rPr>
              <w:t>MOPP</w:t>
            </w:r>
          </w:p>
        </w:tc>
        <w:tc>
          <w:tcPr>
            <w:tcW w:w="468"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18"/>
                <w:szCs w:val="18"/>
                <w:lang w:eastAsia="en-AU"/>
              </w:rPr>
            </w:pPr>
            <w:r>
              <w:rPr>
                <w:rFonts w:cs="Calibri"/>
                <w:color w:val="000000"/>
                <w:sz w:val="18"/>
                <w:szCs w:val="18"/>
                <w:lang w:eastAsia="en-AU"/>
              </w:rPr>
              <w:t>2012/13</w:t>
            </w:r>
          </w:p>
        </w:tc>
        <w:tc>
          <w:tcPr>
            <w:tcW w:w="1611" w:type="dxa"/>
            <w:tcBorders>
              <w:top w:val="double" w:sz="6" w:space="0" w:color="auto"/>
              <w:left w:val="nil"/>
              <w:bottom w:val="double" w:sz="6" w:space="0" w:color="auto"/>
              <w:right w:val="double" w:sz="6" w:space="0" w:color="auto"/>
            </w:tcBorders>
            <w:shd w:val="solid" w:color="FFFFFF" w:fill="auto"/>
          </w:tcPr>
          <w:p w:rsidR="00456E00" w:rsidRDefault="00456E00">
            <w:pPr>
              <w:autoSpaceDE w:val="0"/>
              <w:autoSpaceDN w:val="0"/>
              <w:adjustRightInd w:val="0"/>
              <w:spacing w:before="0"/>
              <w:rPr>
                <w:rFonts w:cs="Calibri"/>
                <w:color w:val="000000"/>
                <w:sz w:val="18"/>
                <w:szCs w:val="18"/>
                <w:lang w:eastAsia="en-AU"/>
              </w:rPr>
            </w:pPr>
            <w:r>
              <w:rPr>
                <w:rFonts w:cs="Calibri"/>
                <w:color w:val="000000"/>
                <w:sz w:val="18"/>
                <w:szCs w:val="18"/>
                <w:lang w:eastAsia="en-AU"/>
              </w:rPr>
              <w:t xml:space="preserve">Strengthened community engagement to reduce fear of crime </w:t>
            </w:r>
          </w:p>
          <w:p w:rsidR="00456E00" w:rsidRDefault="00456E00">
            <w:pPr>
              <w:autoSpaceDE w:val="0"/>
              <w:autoSpaceDN w:val="0"/>
              <w:adjustRightInd w:val="0"/>
              <w:spacing w:before="0"/>
              <w:rPr>
                <w:rFonts w:cs="Calibri"/>
                <w:color w:val="000000"/>
                <w:sz w:val="18"/>
                <w:szCs w:val="18"/>
                <w:lang w:eastAsia="en-AU"/>
              </w:rPr>
            </w:pPr>
            <w:r>
              <w:rPr>
                <w:rFonts w:cs="Calibri"/>
                <w:color w:val="000000"/>
                <w:sz w:val="18"/>
                <w:szCs w:val="18"/>
                <w:lang w:eastAsia="en-AU"/>
              </w:rPr>
              <w:t>• Increased number of people reporting they feel safe in NWP area through three (3) yearly community perception surveys</w:t>
            </w:r>
          </w:p>
          <w:p w:rsidR="00456E00" w:rsidRDefault="00456E00">
            <w:pPr>
              <w:autoSpaceDE w:val="0"/>
              <w:autoSpaceDN w:val="0"/>
              <w:adjustRightInd w:val="0"/>
              <w:spacing w:before="0"/>
              <w:rPr>
                <w:rFonts w:cs="Calibri"/>
                <w:color w:val="000000"/>
                <w:sz w:val="18"/>
                <w:szCs w:val="18"/>
                <w:lang w:eastAsia="en-AU"/>
              </w:rPr>
            </w:pPr>
            <w:r>
              <w:rPr>
                <w:rFonts w:cs="Calibri"/>
                <w:color w:val="000000"/>
                <w:sz w:val="18"/>
                <w:szCs w:val="18"/>
                <w:lang w:eastAsia="en-AU"/>
              </w:rPr>
              <w:t xml:space="preserve">• Increased reporting of crime </w:t>
            </w:r>
          </w:p>
          <w:p w:rsidR="00456E00" w:rsidRDefault="00456E00">
            <w:pPr>
              <w:autoSpaceDE w:val="0"/>
              <w:autoSpaceDN w:val="0"/>
              <w:adjustRightInd w:val="0"/>
              <w:spacing w:before="0"/>
              <w:rPr>
                <w:rFonts w:cs="Calibri"/>
                <w:color w:val="000000"/>
                <w:sz w:val="18"/>
                <w:szCs w:val="18"/>
                <w:lang w:eastAsia="en-AU"/>
              </w:rPr>
            </w:pPr>
            <w:r>
              <w:rPr>
                <w:rFonts w:cs="Calibri"/>
                <w:color w:val="000000"/>
                <w:sz w:val="18"/>
                <w:szCs w:val="18"/>
                <w:lang w:eastAsia="en-AU"/>
              </w:rPr>
              <w:t>• Reduction of crime over 3 years from implementation</w:t>
            </w:r>
          </w:p>
          <w:p w:rsidR="00456E00" w:rsidRDefault="00456E00">
            <w:pPr>
              <w:autoSpaceDE w:val="0"/>
              <w:autoSpaceDN w:val="0"/>
              <w:adjustRightInd w:val="0"/>
              <w:spacing w:before="0"/>
              <w:rPr>
                <w:rFonts w:cs="Calibri"/>
                <w:color w:val="000000"/>
                <w:sz w:val="18"/>
                <w:szCs w:val="18"/>
                <w:lang w:eastAsia="en-AU"/>
              </w:rPr>
            </w:pPr>
          </w:p>
        </w:tc>
        <w:tc>
          <w:tcPr>
            <w:tcW w:w="1084" w:type="dxa"/>
            <w:tcBorders>
              <w:top w:val="double" w:sz="6" w:space="0" w:color="auto"/>
              <w:left w:val="double" w:sz="6" w:space="0" w:color="auto"/>
              <w:bottom w:val="double" w:sz="6" w:space="0" w:color="auto"/>
              <w:right w:val="double" w:sz="6" w:space="0" w:color="auto"/>
            </w:tcBorders>
            <w:shd w:val="solid" w:color="99CC00" w:fill="auto"/>
          </w:tcPr>
          <w:p w:rsidR="00456E00" w:rsidRDefault="00456E00">
            <w:pPr>
              <w:autoSpaceDE w:val="0"/>
              <w:autoSpaceDN w:val="0"/>
              <w:adjustRightInd w:val="0"/>
              <w:spacing w:before="0"/>
              <w:rPr>
                <w:rFonts w:cs="Calibri"/>
                <w:color w:val="800080"/>
                <w:sz w:val="18"/>
                <w:szCs w:val="18"/>
                <w:lang w:eastAsia="en-AU"/>
              </w:rPr>
            </w:pPr>
            <w:r>
              <w:rPr>
                <w:rFonts w:cs="Calibri"/>
                <w:color w:val="800080"/>
                <w:sz w:val="18"/>
                <w:szCs w:val="18"/>
                <w:lang w:eastAsia="en-AU"/>
              </w:rPr>
              <w:t>Completed/ Achieved</w:t>
            </w:r>
          </w:p>
        </w:tc>
        <w:tc>
          <w:tcPr>
            <w:tcW w:w="1949" w:type="dxa"/>
            <w:tcBorders>
              <w:top w:val="double" w:sz="6" w:space="0" w:color="auto"/>
              <w:left w:val="double" w:sz="6" w:space="0" w:color="auto"/>
              <w:bottom w:val="double" w:sz="6" w:space="0" w:color="auto"/>
              <w:right w:val="nil"/>
            </w:tcBorders>
            <w:shd w:val="solid" w:color="FFFFFF" w:fill="auto"/>
          </w:tcPr>
          <w:p w:rsidR="00456E00" w:rsidRDefault="00456E00">
            <w:pPr>
              <w:autoSpaceDE w:val="0"/>
              <w:autoSpaceDN w:val="0"/>
              <w:adjustRightInd w:val="0"/>
              <w:spacing w:before="0"/>
              <w:rPr>
                <w:rFonts w:cs="Calibri"/>
                <w:color w:val="000000"/>
                <w:sz w:val="18"/>
                <w:szCs w:val="18"/>
                <w:lang w:eastAsia="en-AU"/>
              </w:rPr>
            </w:pPr>
            <w:r>
              <w:rPr>
                <w:rFonts w:cs="Calibri"/>
                <w:color w:val="000000"/>
                <w:sz w:val="18"/>
                <w:szCs w:val="18"/>
                <w:lang w:eastAsia="en-AU"/>
              </w:rPr>
              <w:t>*Increase domestic violence issues pertains to public awareness.                                                                 *Increase partnership between community pilot areas/police and between community and community</w:t>
            </w:r>
          </w:p>
        </w:tc>
        <w:tc>
          <w:tcPr>
            <w:tcW w:w="2335" w:type="dxa"/>
            <w:gridSpan w:val="3"/>
            <w:tcBorders>
              <w:top w:val="double" w:sz="6" w:space="0" w:color="auto"/>
              <w:left w:val="double" w:sz="6" w:space="0" w:color="auto"/>
              <w:bottom w:val="double" w:sz="6" w:space="0" w:color="auto"/>
              <w:right w:val="single" w:sz="12" w:space="0" w:color="auto"/>
            </w:tcBorders>
            <w:shd w:val="solid" w:color="FFFFFF" w:fill="auto"/>
          </w:tcPr>
          <w:p w:rsidR="00456E00" w:rsidRDefault="00456E00">
            <w:pPr>
              <w:autoSpaceDE w:val="0"/>
              <w:autoSpaceDN w:val="0"/>
              <w:adjustRightInd w:val="0"/>
              <w:spacing w:before="0"/>
              <w:rPr>
                <w:rFonts w:cs="Calibri"/>
                <w:color w:val="000000"/>
                <w:sz w:val="18"/>
                <w:szCs w:val="18"/>
                <w:lang w:eastAsia="en-AU"/>
              </w:rPr>
            </w:pPr>
            <w:r>
              <w:rPr>
                <w:rFonts w:cs="Calibri"/>
                <w:color w:val="000000"/>
                <w:sz w:val="18"/>
                <w:szCs w:val="18"/>
                <w:lang w:eastAsia="en-AU"/>
              </w:rPr>
              <w:t xml:space="preserve">*Phase II has now been completed and working towards Phase III The main goal of the </w:t>
            </w:r>
            <w:proofErr w:type="spellStart"/>
            <w:r>
              <w:rPr>
                <w:rFonts w:cs="Calibri"/>
                <w:color w:val="000000"/>
                <w:sz w:val="18"/>
                <w:szCs w:val="18"/>
                <w:lang w:eastAsia="en-AU"/>
              </w:rPr>
              <w:t>MoPP</w:t>
            </w:r>
            <w:proofErr w:type="spellEnd"/>
            <w:r>
              <w:rPr>
                <w:rFonts w:cs="Calibri"/>
                <w:color w:val="000000"/>
                <w:sz w:val="18"/>
                <w:szCs w:val="18"/>
                <w:lang w:eastAsia="en-AU"/>
              </w:rPr>
              <w:t xml:space="preserve"> is to act proactively to reduce crime by means of the project Neighbourhood</w:t>
            </w:r>
            <w:r w:rsidR="00B3702C">
              <w:rPr>
                <w:rFonts w:cs="Calibri"/>
                <w:color w:val="000000"/>
                <w:sz w:val="18"/>
                <w:szCs w:val="18"/>
                <w:lang w:eastAsia="en-AU"/>
              </w:rPr>
              <w:t xml:space="preserve"> </w:t>
            </w:r>
            <w:r>
              <w:rPr>
                <w:rFonts w:cs="Calibri"/>
                <w:color w:val="000000"/>
                <w:sz w:val="18"/>
                <w:szCs w:val="18"/>
                <w:lang w:eastAsia="en-AU"/>
              </w:rPr>
              <w:t>watch programme the positive approach of the public that they look after each other to prevent crimes and help each other.                                                                      *The project has other advantages for the community to be helpful to thy neighbours and to keep them safe and secure at all times that is by reporting any crime to police on a timely manner.</w:t>
            </w:r>
          </w:p>
        </w:tc>
      </w:tr>
      <w:tr w:rsidR="00456E00" w:rsidTr="00D46309">
        <w:trPr>
          <w:trHeight w:val="204"/>
        </w:trPr>
        <w:tc>
          <w:tcPr>
            <w:tcW w:w="4970" w:type="dxa"/>
            <w:gridSpan w:val="6"/>
            <w:tcBorders>
              <w:top w:val="double" w:sz="6" w:space="0" w:color="auto"/>
              <w:left w:val="single" w:sz="12" w:space="0" w:color="auto"/>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18"/>
                <w:szCs w:val="18"/>
                <w:lang w:eastAsia="en-AU"/>
              </w:rPr>
            </w:pPr>
            <w:r>
              <w:rPr>
                <w:rFonts w:ascii="Arial" w:hAnsi="Arial" w:cs="Arial"/>
                <w:color w:val="000000"/>
                <w:sz w:val="18"/>
                <w:szCs w:val="18"/>
                <w:lang w:eastAsia="en-AU"/>
              </w:rPr>
              <w:t>Sub Strategy  1.1.2 –  Implement Crime Management Processes and Systems</w:t>
            </w:r>
          </w:p>
        </w:tc>
        <w:tc>
          <w:tcPr>
            <w:tcW w:w="1949" w:type="dxa"/>
            <w:tcBorders>
              <w:top w:val="double" w:sz="6" w:space="0" w:color="auto"/>
              <w:left w:val="nil"/>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18"/>
                <w:szCs w:val="18"/>
                <w:lang w:eastAsia="en-AU"/>
              </w:rPr>
            </w:pPr>
          </w:p>
        </w:tc>
        <w:tc>
          <w:tcPr>
            <w:tcW w:w="1063" w:type="dxa"/>
            <w:tcBorders>
              <w:top w:val="double" w:sz="6" w:space="0" w:color="auto"/>
              <w:left w:val="nil"/>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18"/>
                <w:szCs w:val="18"/>
                <w:lang w:eastAsia="en-AU"/>
              </w:rPr>
            </w:pPr>
          </w:p>
        </w:tc>
        <w:tc>
          <w:tcPr>
            <w:tcW w:w="677" w:type="dxa"/>
            <w:tcBorders>
              <w:top w:val="double" w:sz="6" w:space="0" w:color="auto"/>
              <w:left w:val="nil"/>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18"/>
                <w:szCs w:val="18"/>
                <w:lang w:eastAsia="en-AU"/>
              </w:rPr>
            </w:pPr>
          </w:p>
        </w:tc>
        <w:tc>
          <w:tcPr>
            <w:tcW w:w="595" w:type="dxa"/>
            <w:tcBorders>
              <w:top w:val="double" w:sz="6" w:space="0" w:color="auto"/>
              <w:left w:val="nil"/>
              <w:bottom w:val="double" w:sz="6" w:space="0" w:color="auto"/>
              <w:right w:val="single" w:sz="12" w:space="0" w:color="auto"/>
            </w:tcBorders>
            <w:shd w:val="solid" w:color="969696" w:fill="auto"/>
          </w:tcPr>
          <w:p w:rsidR="00456E00" w:rsidRDefault="00456E00">
            <w:pPr>
              <w:autoSpaceDE w:val="0"/>
              <w:autoSpaceDN w:val="0"/>
              <w:adjustRightInd w:val="0"/>
              <w:spacing w:before="0"/>
              <w:jc w:val="center"/>
              <w:rPr>
                <w:rFonts w:ascii="Arial" w:hAnsi="Arial" w:cs="Arial"/>
                <w:color w:val="000000"/>
                <w:sz w:val="18"/>
                <w:szCs w:val="18"/>
                <w:lang w:eastAsia="en-AU"/>
              </w:rPr>
            </w:pPr>
          </w:p>
        </w:tc>
      </w:tr>
      <w:tr w:rsidR="00456E00" w:rsidTr="00D46309">
        <w:trPr>
          <w:trHeight w:val="3638"/>
        </w:trPr>
        <w:tc>
          <w:tcPr>
            <w:tcW w:w="804" w:type="dxa"/>
            <w:tcBorders>
              <w:top w:val="double" w:sz="6" w:space="0" w:color="auto"/>
              <w:left w:val="single" w:sz="12" w:space="0" w:color="auto"/>
              <w:bottom w:val="double" w:sz="6" w:space="0" w:color="auto"/>
              <w:right w:val="double" w:sz="6" w:space="0" w:color="auto"/>
            </w:tcBorders>
          </w:tcPr>
          <w:p w:rsidR="00456E00" w:rsidRDefault="00456E00">
            <w:pPr>
              <w:autoSpaceDE w:val="0"/>
              <w:autoSpaceDN w:val="0"/>
              <w:adjustRightInd w:val="0"/>
              <w:spacing w:before="0"/>
              <w:rPr>
                <w:rFonts w:cs="Calibri"/>
                <w:b/>
                <w:bCs/>
                <w:color w:val="000000"/>
                <w:sz w:val="18"/>
                <w:szCs w:val="18"/>
                <w:lang w:eastAsia="en-AU"/>
              </w:rPr>
            </w:pPr>
            <w:r>
              <w:rPr>
                <w:rFonts w:cs="Calibri"/>
                <w:b/>
                <w:bCs/>
                <w:color w:val="000000"/>
                <w:sz w:val="18"/>
                <w:szCs w:val="18"/>
                <w:lang w:eastAsia="en-AU"/>
              </w:rPr>
              <w:lastRenderedPageBreak/>
              <w:t>Narcotics Lab Testing at SROS</w:t>
            </w:r>
          </w:p>
        </w:tc>
        <w:tc>
          <w:tcPr>
            <w:tcW w:w="408" w:type="dxa"/>
            <w:tcBorders>
              <w:top w:val="double" w:sz="6" w:space="0" w:color="auto"/>
              <w:left w:val="double" w:sz="6" w:space="0" w:color="auto"/>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18"/>
                <w:szCs w:val="18"/>
                <w:lang w:eastAsia="en-AU"/>
              </w:rPr>
            </w:pPr>
            <w:r>
              <w:rPr>
                <w:rFonts w:cs="Calibri"/>
                <w:color w:val="000000"/>
                <w:sz w:val="18"/>
                <w:szCs w:val="18"/>
                <w:lang w:eastAsia="en-AU"/>
              </w:rPr>
              <w:t>1.1.2.1</w:t>
            </w:r>
          </w:p>
        </w:tc>
        <w:tc>
          <w:tcPr>
            <w:tcW w:w="595"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18"/>
                <w:szCs w:val="18"/>
                <w:lang w:eastAsia="en-AU"/>
              </w:rPr>
            </w:pPr>
            <w:r>
              <w:rPr>
                <w:rFonts w:cs="Calibri"/>
                <w:color w:val="000000"/>
                <w:sz w:val="18"/>
                <w:szCs w:val="18"/>
                <w:lang w:eastAsia="en-AU"/>
              </w:rPr>
              <w:t>AGO</w:t>
            </w:r>
          </w:p>
        </w:tc>
        <w:tc>
          <w:tcPr>
            <w:tcW w:w="468"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18"/>
                <w:szCs w:val="18"/>
                <w:lang w:eastAsia="en-AU"/>
              </w:rPr>
            </w:pPr>
            <w:r>
              <w:rPr>
                <w:rFonts w:cs="Calibri"/>
                <w:color w:val="000000"/>
                <w:sz w:val="18"/>
                <w:szCs w:val="18"/>
                <w:lang w:eastAsia="en-AU"/>
              </w:rPr>
              <w:t>2012/13</w:t>
            </w:r>
          </w:p>
        </w:tc>
        <w:tc>
          <w:tcPr>
            <w:tcW w:w="1611" w:type="dxa"/>
            <w:tcBorders>
              <w:top w:val="double" w:sz="6" w:space="0" w:color="auto"/>
              <w:left w:val="nil"/>
              <w:bottom w:val="double" w:sz="6" w:space="0" w:color="auto"/>
              <w:right w:val="double" w:sz="6" w:space="0" w:color="auto"/>
            </w:tcBorders>
            <w:shd w:val="solid" w:color="FFFFFF" w:fill="auto"/>
          </w:tcPr>
          <w:p w:rsidR="00456E00" w:rsidRDefault="00456E00">
            <w:pPr>
              <w:autoSpaceDE w:val="0"/>
              <w:autoSpaceDN w:val="0"/>
              <w:adjustRightInd w:val="0"/>
              <w:spacing w:before="0"/>
              <w:rPr>
                <w:rFonts w:cs="Calibri"/>
                <w:color w:val="000000"/>
                <w:sz w:val="18"/>
                <w:szCs w:val="18"/>
                <w:lang w:eastAsia="en-AU"/>
              </w:rPr>
            </w:pPr>
            <w:r>
              <w:rPr>
                <w:rFonts w:cs="Calibri"/>
                <w:color w:val="000000"/>
                <w:sz w:val="18"/>
                <w:szCs w:val="18"/>
                <w:lang w:eastAsia="en-AU"/>
              </w:rPr>
              <w:t>• Lab established by 2013</w:t>
            </w:r>
          </w:p>
          <w:p w:rsidR="00456E00" w:rsidRDefault="00456E00">
            <w:pPr>
              <w:autoSpaceDE w:val="0"/>
              <w:autoSpaceDN w:val="0"/>
              <w:adjustRightInd w:val="0"/>
              <w:spacing w:before="0"/>
              <w:rPr>
                <w:rFonts w:cs="Calibri"/>
                <w:color w:val="000000"/>
                <w:sz w:val="18"/>
                <w:szCs w:val="18"/>
                <w:lang w:eastAsia="en-AU"/>
              </w:rPr>
            </w:pPr>
            <w:r>
              <w:rPr>
                <w:rFonts w:cs="Calibri"/>
                <w:color w:val="000000"/>
                <w:sz w:val="18"/>
                <w:szCs w:val="18"/>
                <w:lang w:eastAsia="en-AU"/>
              </w:rPr>
              <w:t>• Training of personnel at SROS</w:t>
            </w:r>
          </w:p>
          <w:p w:rsidR="00456E00" w:rsidRDefault="00456E00">
            <w:pPr>
              <w:autoSpaceDE w:val="0"/>
              <w:autoSpaceDN w:val="0"/>
              <w:adjustRightInd w:val="0"/>
              <w:spacing w:before="0"/>
              <w:rPr>
                <w:rFonts w:cs="Calibri"/>
                <w:color w:val="000000"/>
                <w:sz w:val="18"/>
                <w:szCs w:val="18"/>
                <w:lang w:eastAsia="en-AU"/>
              </w:rPr>
            </w:pPr>
            <w:r>
              <w:rPr>
                <w:rFonts w:cs="Calibri"/>
                <w:color w:val="000000"/>
                <w:sz w:val="18"/>
                <w:szCs w:val="18"/>
                <w:lang w:eastAsia="en-AU"/>
              </w:rPr>
              <w:t>• Numbers of exhibits tested</w:t>
            </w:r>
          </w:p>
          <w:p w:rsidR="00456E00" w:rsidRDefault="00456E00">
            <w:pPr>
              <w:autoSpaceDE w:val="0"/>
              <w:autoSpaceDN w:val="0"/>
              <w:adjustRightInd w:val="0"/>
              <w:spacing w:before="0"/>
              <w:rPr>
                <w:rFonts w:cs="Calibri"/>
                <w:color w:val="000000"/>
                <w:sz w:val="18"/>
                <w:szCs w:val="18"/>
                <w:lang w:eastAsia="en-AU"/>
              </w:rPr>
            </w:pPr>
          </w:p>
        </w:tc>
        <w:tc>
          <w:tcPr>
            <w:tcW w:w="1084" w:type="dxa"/>
            <w:tcBorders>
              <w:top w:val="double" w:sz="6" w:space="0" w:color="auto"/>
              <w:left w:val="double" w:sz="6" w:space="0" w:color="auto"/>
              <w:bottom w:val="double" w:sz="6" w:space="0" w:color="auto"/>
              <w:right w:val="double" w:sz="6" w:space="0" w:color="auto"/>
            </w:tcBorders>
            <w:shd w:val="solid" w:color="99CC00" w:fill="auto"/>
          </w:tcPr>
          <w:p w:rsidR="00456E00" w:rsidRDefault="00456E00">
            <w:pPr>
              <w:autoSpaceDE w:val="0"/>
              <w:autoSpaceDN w:val="0"/>
              <w:adjustRightInd w:val="0"/>
              <w:spacing w:before="0"/>
              <w:rPr>
                <w:rFonts w:cs="Calibri"/>
                <w:color w:val="800080"/>
                <w:sz w:val="18"/>
                <w:szCs w:val="18"/>
                <w:lang w:eastAsia="en-AU"/>
              </w:rPr>
            </w:pPr>
            <w:r>
              <w:rPr>
                <w:rFonts w:cs="Calibri"/>
                <w:color w:val="800080"/>
                <w:sz w:val="18"/>
                <w:szCs w:val="18"/>
                <w:lang w:eastAsia="en-AU"/>
              </w:rPr>
              <w:t>Completed/ Achieved</w:t>
            </w:r>
          </w:p>
        </w:tc>
        <w:tc>
          <w:tcPr>
            <w:tcW w:w="1949" w:type="dxa"/>
            <w:tcBorders>
              <w:top w:val="double" w:sz="6" w:space="0" w:color="auto"/>
              <w:left w:val="double" w:sz="6" w:space="0" w:color="auto"/>
              <w:bottom w:val="double" w:sz="6" w:space="0" w:color="auto"/>
              <w:right w:val="nil"/>
            </w:tcBorders>
            <w:shd w:val="solid" w:color="FFFFFF" w:fill="auto"/>
          </w:tcPr>
          <w:p w:rsidR="00456E00" w:rsidRDefault="00456E00">
            <w:pPr>
              <w:autoSpaceDE w:val="0"/>
              <w:autoSpaceDN w:val="0"/>
              <w:adjustRightInd w:val="0"/>
              <w:spacing w:before="0"/>
              <w:rPr>
                <w:rFonts w:cs="Calibri"/>
                <w:color w:val="000000"/>
                <w:sz w:val="18"/>
                <w:szCs w:val="18"/>
                <w:lang w:eastAsia="en-AU"/>
              </w:rPr>
            </w:pPr>
            <w:r>
              <w:rPr>
                <w:rFonts w:cs="Calibri"/>
                <w:color w:val="000000"/>
                <w:sz w:val="18"/>
                <w:szCs w:val="18"/>
                <w:lang w:eastAsia="en-AU"/>
              </w:rPr>
              <w:t xml:space="preserve">*Improve efficiency in obtaining analysis reports of testing narcotics.                                                *Improvement in prosecutions in narcotics related </w:t>
            </w:r>
            <w:proofErr w:type="spellStart"/>
            <w:r>
              <w:rPr>
                <w:rFonts w:cs="Calibri"/>
                <w:color w:val="000000"/>
                <w:sz w:val="18"/>
                <w:szCs w:val="18"/>
                <w:lang w:eastAsia="en-AU"/>
              </w:rPr>
              <w:t>offendings</w:t>
            </w:r>
            <w:proofErr w:type="spellEnd"/>
            <w:r>
              <w:rPr>
                <w:rFonts w:cs="Calibri"/>
                <w:color w:val="000000"/>
                <w:sz w:val="18"/>
                <w:szCs w:val="18"/>
                <w:lang w:eastAsia="en-AU"/>
              </w:rPr>
              <w:t>.                                                                         *Less delay in court hearings for matter relating to narcotics.                                                                  *Improved law enforcement decision making on charges due to readily available forensic evidence. *Improve court decision makings on bail applications due to readily available forensic evidence.                                                                    *Trained local scientists to ensure long term sustainability of the testing services.</w:t>
            </w:r>
          </w:p>
        </w:tc>
        <w:tc>
          <w:tcPr>
            <w:tcW w:w="2335" w:type="dxa"/>
            <w:gridSpan w:val="3"/>
            <w:tcBorders>
              <w:top w:val="double" w:sz="6" w:space="0" w:color="auto"/>
              <w:left w:val="double" w:sz="6" w:space="0" w:color="auto"/>
              <w:bottom w:val="double" w:sz="6" w:space="0" w:color="auto"/>
              <w:right w:val="single" w:sz="12" w:space="0" w:color="auto"/>
            </w:tcBorders>
            <w:shd w:val="solid" w:color="FFFFFF" w:fill="auto"/>
          </w:tcPr>
          <w:p w:rsidR="00456E00" w:rsidRDefault="00456E00">
            <w:pPr>
              <w:autoSpaceDE w:val="0"/>
              <w:autoSpaceDN w:val="0"/>
              <w:adjustRightInd w:val="0"/>
              <w:spacing w:before="0"/>
              <w:rPr>
                <w:rFonts w:cs="Calibri"/>
                <w:color w:val="000000"/>
                <w:sz w:val="18"/>
                <w:szCs w:val="18"/>
                <w:lang w:eastAsia="en-AU"/>
              </w:rPr>
            </w:pPr>
            <w:r>
              <w:rPr>
                <w:rFonts w:cs="Calibri"/>
                <w:color w:val="000000"/>
                <w:sz w:val="18"/>
                <w:szCs w:val="18"/>
                <w:lang w:eastAsia="en-AU"/>
              </w:rPr>
              <w:t xml:space="preserve">We have basically completed Phase 2 of the Narcotics Lab. Working together with SROS has helped progress this project quickly. The second phase training of the scientists are completed. The AG’s Office had to go and seek NZAID assistance to complete the second phase of the lab. NZAID and NZ Police were the main supporters for this second phase of the lab. </w:t>
            </w:r>
          </w:p>
        </w:tc>
      </w:tr>
      <w:tr w:rsidR="00456E00" w:rsidTr="00D46309">
        <w:trPr>
          <w:trHeight w:val="204"/>
        </w:trPr>
        <w:tc>
          <w:tcPr>
            <w:tcW w:w="4970" w:type="dxa"/>
            <w:gridSpan w:val="6"/>
            <w:tcBorders>
              <w:top w:val="double" w:sz="6" w:space="0" w:color="auto"/>
              <w:left w:val="single" w:sz="12" w:space="0" w:color="auto"/>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18"/>
                <w:szCs w:val="18"/>
                <w:lang w:eastAsia="en-AU"/>
              </w:rPr>
            </w:pPr>
            <w:r>
              <w:rPr>
                <w:rFonts w:ascii="Arial" w:hAnsi="Arial" w:cs="Arial"/>
                <w:color w:val="000000"/>
                <w:sz w:val="18"/>
                <w:szCs w:val="18"/>
                <w:lang w:eastAsia="en-AU"/>
              </w:rPr>
              <w:t>Sub Strategy  1.1.3 – Offender Rehabilitation and reducing re-offending.</w:t>
            </w:r>
          </w:p>
        </w:tc>
        <w:tc>
          <w:tcPr>
            <w:tcW w:w="1949" w:type="dxa"/>
            <w:tcBorders>
              <w:top w:val="double" w:sz="6" w:space="0" w:color="auto"/>
              <w:left w:val="nil"/>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18"/>
                <w:szCs w:val="18"/>
                <w:lang w:eastAsia="en-AU"/>
              </w:rPr>
            </w:pPr>
          </w:p>
        </w:tc>
        <w:tc>
          <w:tcPr>
            <w:tcW w:w="1063" w:type="dxa"/>
            <w:tcBorders>
              <w:top w:val="double" w:sz="6" w:space="0" w:color="auto"/>
              <w:left w:val="nil"/>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18"/>
                <w:szCs w:val="18"/>
                <w:lang w:eastAsia="en-AU"/>
              </w:rPr>
            </w:pPr>
          </w:p>
        </w:tc>
        <w:tc>
          <w:tcPr>
            <w:tcW w:w="677" w:type="dxa"/>
            <w:tcBorders>
              <w:top w:val="double" w:sz="6" w:space="0" w:color="auto"/>
              <w:left w:val="nil"/>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18"/>
                <w:szCs w:val="18"/>
                <w:lang w:eastAsia="en-AU"/>
              </w:rPr>
            </w:pPr>
          </w:p>
        </w:tc>
        <w:tc>
          <w:tcPr>
            <w:tcW w:w="595" w:type="dxa"/>
            <w:tcBorders>
              <w:top w:val="double" w:sz="6" w:space="0" w:color="auto"/>
              <w:left w:val="nil"/>
              <w:bottom w:val="double" w:sz="6" w:space="0" w:color="auto"/>
              <w:right w:val="single" w:sz="12" w:space="0" w:color="auto"/>
            </w:tcBorders>
            <w:shd w:val="solid" w:color="969696" w:fill="auto"/>
          </w:tcPr>
          <w:p w:rsidR="00456E00" w:rsidRDefault="00456E00">
            <w:pPr>
              <w:autoSpaceDE w:val="0"/>
              <w:autoSpaceDN w:val="0"/>
              <w:adjustRightInd w:val="0"/>
              <w:spacing w:before="0"/>
              <w:jc w:val="center"/>
              <w:rPr>
                <w:rFonts w:ascii="Arial" w:hAnsi="Arial" w:cs="Arial"/>
                <w:color w:val="000000"/>
                <w:sz w:val="18"/>
                <w:szCs w:val="18"/>
                <w:lang w:eastAsia="en-AU"/>
              </w:rPr>
            </w:pPr>
          </w:p>
        </w:tc>
      </w:tr>
      <w:tr w:rsidR="00456E00" w:rsidTr="00D46309">
        <w:trPr>
          <w:trHeight w:val="710"/>
        </w:trPr>
        <w:tc>
          <w:tcPr>
            <w:tcW w:w="804" w:type="dxa"/>
            <w:tcBorders>
              <w:top w:val="double" w:sz="6" w:space="0" w:color="auto"/>
              <w:left w:val="single" w:sz="12" w:space="0" w:color="auto"/>
              <w:bottom w:val="double" w:sz="6" w:space="0" w:color="auto"/>
              <w:right w:val="double" w:sz="6" w:space="0" w:color="auto"/>
            </w:tcBorders>
          </w:tcPr>
          <w:p w:rsidR="00456E00" w:rsidRDefault="00456E00">
            <w:pPr>
              <w:autoSpaceDE w:val="0"/>
              <w:autoSpaceDN w:val="0"/>
              <w:adjustRightInd w:val="0"/>
              <w:spacing w:before="0"/>
              <w:rPr>
                <w:rFonts w:cs="Calibri"/>
                <w:b/>
                <w:bCs/>
                <w:color w:val="000000"/>
                <w:sz w:val="18"/>
                <w:szCs w:val="18"/>
                <w:lang w:eastAsia="en-AU"/>
              </w:rPr>
            </w:pPr>
            <w:r>
              <w:rPr>
                <w:rFonts w:cs="Calibri"/>
                <w:b/>
                <w:bCs/>
                <w:color w:val="000000"/>
                <w:sz w:val="18"/>
                <w:szCs w:val="18"/>
                <w:lang w:eastAsia="en-AU"/>
              </w:rPr>
              <w:t xml:space="preserve">Leadership Samoa Rehabilitation Program </w:t>
            </w:r>
          </w:p>
        </w:tc>
        <w:tc>
          <w:tcPr>
            <w:tcW w:w="408" w:type="dxa"/>
            <w:tcBorders>
              <w:top w:val="double" w:sz="6" w:space="0" w:color="auto"/>
              <w:left w:val="double" w:sz="6" w:space="0" w:color="auto"/>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18"/>
                <w:szCs w:val="18"/>
                <w:lang w:eastAsia="en-AU"/>
              </w:rPr>
            </w:pPr>
            <w:r>
              <w:rPr>
                <w:rFonts w:cs="Calibri"/>
                <w:color w:val="000000"/>
                <w:sz w:val="18"/>
                <w:szCs w:val="18"/>
                <w:lang w:eastAsia="en-AU"/>
              </w:rPr>
              <w:t>1.1.3.2</w:t>
            </w:r>
          </w:p>
        </w:tc>
        <w:tc>
          <w:tcPr>
            <w:tcW w:w="595"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18"/>
                <w:szCs w:val="18"/>
                <w:lang w:eastAsia="en-AU"/>
              </w:rPr>
            </w:pPr>
            <w:r>
              <w:rPr>
                <w:rFonts w:cs="Calibri"/>
                <w:color w:val="000000"/>
                <w:sz w:val="18"/>
                <w:szCs w:val="18"/>
                <w:lang w:eastAsia="en-AU"/>
              </w:rPr>
              <w:t>MOPP/Leadership Samoa</w:t>
            </w:r>
          </w:p>
        </w:tc>
        <w:tc>
          <w:tcPr>
            <w:tcW w:w="468"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18"/>
                <w:szCs w:val="18"/>
                <w:lang w:eastAsia="en-AU"/>
              </w:rPr>
            </w:pPr>
            <w:r>
              <w:rPr>
                <w:rFonts w:cs="Calibri"/>
                <w:color w:val="000000"/>
                <w:sz w:val="18"/>
                <w:szCs w:val="18"/>
                <w:lang w:eastAsia="en-AU"/>
              </w:rPr>
              <w:t>2012/13</w:t>
            </w:r>
          </w:p>
        </w:tc>
        <w:tc>
          <w:tcPr>
            <w:tcW w:w="1611" w:type="dxa"/>
            <w:tcBorders>
              <w:top w:val="double" w:sz="6" w:space="0" w:color="auto"/>
              <w:left w:val="nil"/>
              <w:bottom w:val="double" w:sz="6" w:space="0" w:color="auto"/>
              <w:right w:val="double" w:sz="6" w:space="0" w:color="auto"/>
            </w:tcBorders>
            <w:shd w:val="solid" w:color="FFFFFF" w:fill="auto"/>
          </w:tcPr>
          <w:p w:rsidR="00456E00" w:rsidRDefault="00456E00">
            <w:pPr>
              <w:autoSpaceDE w:val="0"/>
              <w:autoSpaceDN w:val="0"/>
              <w:adjustRightInd w:val="0"/>
              <w:spacing w:before="0"/>
              <w:rPr>
                <w:rFonts w:cs="Calibri"/>
                <w:color w:val="000000"/>
                <w:sz w:val="18"/>
                <w:szCs w:val="18"/>
                <w:lang w:eastAsia="en-AU"/>
              </w:rPr>
            </w:pPr>
            <w:r>
              <w:rPr>
                <w:rFonts w:cs="Calibri"/>
                <w:color w:val="000000"/>
                <w:sz w:val="18"/>
                <w:szCs w:val="18"/>
                <w:lang w:eastAsia="en-AU"/>
              </w:rPr>
              <w:t xml:space="preserve">*Increased number of intervention programs prevent further offending.                                                                                </w:t>
            </w:r>
          </w:p>
        </w:tc>
        <w:tc>
          <w:tcPr>
            <w:tcW w:w="1084" w:type="dxa"/>
            <w:tcBorders>
              <w:top w:val="double" w:sz="6" w:space="0" w:color="auto"/>
              <w:left w:val="double" w:sz="6" w:space="0" w:color="auto"/>
              <w:bottom w:val="double" w:sz="6" w:space="0" w:color="auto"/>
              <w:right w:val="double" w:sz="6" w:space="0" w:color="auto"/>
            </w:tcBorders>
            <w:shd w:val="solid" w:color="99CC00" w:fill="auto"/>
          </w:tcPr>
          <w:p w:rsidR="00456E00" w:rsidRDefault="00456E00">
            <w:pPr>
              <w:autoSpaceDE w:val="0"/>
              <w:autoSpaceDN w:val="0"/>
              <w:adjustRightInd w:val="0"/>
              <w:spacing w:before="0"/>
              <w:rPr>
                <w:rFonts w:cs="Calibri"/>
                <w:color w:val="800080"/>
                <w:sz w:val="18"/>
                <w:szCs w:val="18"/>
                <w:lang w:eastAsia="en-AU"/>
              </w:rPr>
            </w:pPr>
            <w:r>
              <w:rPr>
                <w:rFonts w:cs="Calibri"/>
                <w:color w:val="800080"/>
                <w:sz w:val="18"/>
                <w:szCs w:val="18"/>
                <w:lang w:eastAsia="en-AU"/>
              </w:rPr>
              <w:t>Completed/ Achieved</w:t>
            </w:r>
          </w:p>
        </w:tc>
        <w:tc>
          <w:tcPr>
            <w:tcW w:w="1949" w:type="dxa"/>
            <w:tcBorders>
              <w:top w:val="double" w:sz="6" w:space="0" w:color="auto"/>
              <w:left w:val="double" w:sz="6" w:space="0" w:color="auto"/>
              <w:bottom w:val="double" w:sz="6" w:space="0" w:color="auto"/>
              <w:right w:val="nil"/>
            </w:tcBorders>
            <w:shd w:val="solid" w:color="FFFFFF" w:fill="auto"/>
          </w:tcPr>
          <w:p w:rsidR="00456E00" w:rsidRDefault="00456E00">
            <w:pPr>
              <w:autoSpaceDE w:val="0"/>
              <w:autoSpaceDN w:val="0"/>
              <w:adjustRightInd w:val="0"/>
              <w:spacing w:before="0"/>
              <w:rPr>
                <w:rFonts w:cs="Calibri"/>
                <w:color w:val="000000"/>
                <w:sz w:val="18"/>
                <w:szCs w:val="18"/>
                <w:lang w:eastAsia="en-AU"/>
              </w:rPr>
            </w:pPr>
            <w:r>
              <w:rPr>
                <w:rFonts w:cs="Calibri"/>
                <w:color w:val="000000"/>
                <w:sz w:val="18"/>
                <w:szCs w:val="18"/>
                <w:lang w:eastAsia="en-AU"/>
              </w:rPr>
              <w:t>*Less or No reoffending</w:t>
            </w:r>
          </w:p>
        </w:tc>
        <w:tc>
          <w:tcPr>
            <w:tcW w:w="2335" w:type="dxa"/>
            <w:gridSpan w:val="3"/>
            <w:tcBorders>
              <w:top w:val="double" w:sz="6" w:space="0" w:color="auto"/>
              <w:left w:val="double" w:sz="6" w:space="0" w:color="auto"/>
              <w:bottom w:val="double" w:sz="6" w:space="0" w:color="auto"/>
              <w:right w:val="single" w:sz="12" w:space="0" w:color="auto"/>
            </w:tcBorders>
            <w:shd w:val="solid" w:color="FFFFFF" w:fill="auto"/>
          </w:tcPr>
          <w:p w:rsidR="00456E00" w:rsidRDefault="00456E00">
            <w:pPr>
              <w:autoSpaceDE w:val="0"/>
              <w:autoSpaceDN w:val="0"/>
              <w:adjustRightInd w:val="0"/>
              <w:spacing w:before="0"/>
              <w:rPr>
                <w:rFonts w:cs="Calibri"/>
                <w:color w:val="000000"/>
                <w:sz w:val="18"/>
                <w:szCs w:val="18"/>
                <w:lang w:eastAsia="en-AU"/>
              </w:rPr>
            </w:pPr>
            <w:r>
              <w:rPr>
                <w:rFonts w:cs="Calibri"/>
                <w:color w:val="000000"/>
                <w:sz w:val="18"/>
                <w:szCs w:val="18"/>
                <w:lang w:eastAsia="en-AU"/>
              </w:rPr>
              <w:t xml:space="preserve">Programs involving honey making, </w:t>
            </w:r>
            <w:proofErr w:type="spellStart"/>
            <w:r>
              <w:rPr>
                <w:rFonts w:cs="Calibri"/>
                <w:color w:val="000000"/>
                <w:sz w:val="18"/>
                <w:szCs w:val="18"/>
                <w:lang w:eastAsia="en-AU"/>
              </w:rPr>
              <w:t>elei</w:t>
            </w:r>
            <w:proofErr w:type="spellEnd"/>
            <w:r>
              <w:rPr>
                <w:rFonts w:cs="Calibri"/>
                <w:color w:val="000000"/>
                <w:sz w:val="18"/>
                <w:szCs w:val="18"/>
                <w:lang w:eastAsia="en-AU"/>
              </w:rPr>
              <w:t xml:space="preserve"> and tilapia farming completed. Conducting these programs have helped develop skills for young offenders at </w:t>
            </w:r>
            <w:proofErr w:type="spellStart"/>
            <w:r>
              <w:rPr>
                <w:rFonts w:cs="Calibri"/>
                <w:color w:val="000000"/>
                <w:sz w:val="18"/>
                <w:szCs w:val="18"/>
                <w:lang w:eastAsia="en-AU"/>
              </w:rPr>
              <w:t>Olomanu</w:t>
            </w:r>
            <w:proofErr w:type="spellEnd"/>
            <w:r>
              <w:rPr>
                <w:rFonts w:cs="Calibri"/>
                <w:color w:val="000000"/>
                <w:sz w:val="18"/>
                <w:szCs w:val="18"/>
                <w:lang w:eastAsia="en-AU"/>
              </w:rPr>
              <w:t>.</w:t>
            </w:r>
          </w:p>
        </w:tc>
      </w:tr>
      <w:tr w:rsidR="00456E00" w:rsidTr="00D46309">
        <w:trPr>
          <w:trHeight w:val="204"/>
        </w:trPr>
        <w:tc>
          <w:tcPr>
            <w:tcW w:w="3886" w:type="dxa"/>
            <w:gridSpan w:val="5"/>
            <w:tcBorders>
              <w:top w:val="double" w:sz="6" w:space="0" w:color="auto"/>
              <w:left w:val="single" w:sz="12" w:space="0" w:color="auto"/>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18"/>
                <w:szCs w:val="18"/>
                <w:lang w:eastAsia="en-AU"/>
              </w:rPr>
            </w:pPr>
            <w:r>
              <w:rPr>
                <w:rFonts w:ascii="Arial" w:hAnsi="Arial" w:cs="Arial"/>
                <w:color w:val="000000"/>
                <w:sz w:val="18"/>
                <w:szCs w:val="18"/>
                <w:lang w:eastAsia="en-AU"/>
              </w:rPr>
              <w:t>Sub Strategy  1.1.4 – Crime Prevention Activities</w:t>
            </w:r>
          </w:p>
        </w:tc>
        <w:tc>
          <w:tcPr>
            <w:tcW w:w="1084" w:type="dxa"/>
            <w:tcBorders>
              <w:top w:val="double" w:sz="6" w:space="0" w:color="auto"/>
              <w:left w:val="nil"/>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18"/>
                <w:szCs w:val="18"/>
                <w:lang w:eastAsia="en-AU"/>
              </w:rPr>
            </w:pPr>
          </w:p>
        </w:tc>
        <w:tc>
          <w:tcPr>
            <w:tcW w:w="1949" w:type="dxa"/>
            <w:tcBorders>
              <w:top w:val="double" w:sz="6" w:space="0" w:color="auto"/>
              <w:left w:val="nil"/>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18"/>
                <w:szCs w:val="18"/>
                <w:lang w:eastAsia="en-AU"/>
              </w:rPr>
            </w:pPr>
          </w:p>
        </w:tc>
        <w:tc>
          <w:tcPr>
            <w:tcW w:w="1063" w:type="dxa"/>
            <w:tcBorders>
              <w:top w:val="double" w:sz="6" w:space="0" w:color="auto"/>
              <w:left w:val="nil"/>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18"/>
                <w:szCs w:val="18"/>
                <w:lang w:eastAsia="en-AU"/>
              </w:rPr>
            </w:pPr>
          </w:p>
        </w:tc>
        <w:tc>
          <w:tcPr>
            <w:tcW w:w="677" w:type="dxa"/>
            <w:tcBorders>
              <w:top w:val="double" w:sz="6" w:space="0" w:color="auto"/>
              <w:left w:val="nil"/>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18"/>
                <w:szCs w:val="18"/>
                <w:lang w:eastAsia="en-AU"/>
              </w:rPr>
            </w:pPr>
          </w:p>
        </w:tc>
        <w:tc>
          <w:tcPr>
            <w:tcW w:w="595" w:type="dxa"/>
            <w:tcBorders>
              <w:top w:val="double" w:sz="6" w:space="0" w:color="auto"/>
              <w:left w:val="nil"/>
              <w:bottom w:val="double" w:sz="6" w:space="0" w:color="auto"/>
              <w:right w:val="single" w:sz="12" w:space="0" w:color="auto"/>
            </w:tcBorders>
            <w:shd w:val="solid" w:color="969696" w:fill="auto"/>
          </w:tcPr>
          <w:p w:rsidR="00456E00" w:rsidRDefault="00456E00">
            <w:pPr>
              <w:autoSpaceDE w:val="0"/>
              <w:autoSpaceDN w:val="0"/>
              <w:adjustRightInd w:val="0"/>
              <w:spacing w:before="0"/>
              <w:jc w:val="center"/>
              <w:rPr>
                <w:rFonts w:ascii="Arial" w:hAnsi="Arial" w:cs="Arial"/>
                <w:color w:val="000000"/>
                <w:sz w:val="18"/>
                <w:szCs w:val="18"/>
                <w:lang w:eastAsia="en-AU"/>
              </w:rPr>
            </w:pPr>
          </w:p>
        </w:tc>
      </w:tr>
      <w:tr w:rsidR="00456E00" w:rsidTr="00D46309">
        <w:trPr>
          <w:trHeight w:val="2258"/>
        </w:trPr>
        <w:tc>
          <w:tcPr>
            <w:tcW w:w="804" w:type="dxa"/>
            <w:tcBorders>
              <w:top w:val="double" w:sz="6" w:space="0" w:color="auto"/>
              <w:left w:val="single" w:sz="12" w:space="0" w:color="auto"/>
              <w:bottom w:val="double" w:sz="6" w:space="0" w:color="auto"/>
              <w:right w:val="double" w:sz="6" w:space="0" w:color="auto"/>
            </w:tcBorders>
          </w:tcPr>
          <w:p w:rsidR="00456E00" w:rsidRDefault="00456E00">
            <w:pPr>
              <w:autoSpaceDE w:val="0"/>
              <w:autoSpaceDN w:val="0"/>
              <w:adjustRightInd w:val="0"/>
              <w:spacing w:before="0"/>
              <w:rPr>
                <w:rFonts w:cs="Calibri"/>
                <w:b/>
                <w:bCs/>
                <w:color w:val="000000"/>
                <w:sz w:val="18"/>
                <w:szCs w:val="18"/>
                <w:lang w:eastAsia="en-AU"/>
              </w:rPr>
            </w:pPr>
            <w:r>
              <w:rPr>
                <w:rFonts w:cs="Calibri"/>
                <w:b/>
                <w:bCs/>
                <w:color w:val="000000"/>
                <w:sz w:val="18"/>
                <w:szCs w:val="18"/>
                <w:lang w:eastAsia="en-AU"/>
              </w:rPr>
              <w:t>Development of National Crime Prevention Policy</w:t>
            </w:r>
          </w:p>
        </w:tc>
        <w:tc>
          <w:tcPr>
            <w:tcW w:w="408" w:type="dxa"/>
            <w:tcBorders>
              <w:top w:val="double" w:sz="6" w:space="0" w:color="auto"/>
              <w:left w:val="double" w:sz="6" w:space="0" w:color="auto"/>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18"/>
                <w:szCs w:val="18"/>
                <w:lang w:eastAsia="en-AU"/>
              </w:rPr>
            </w:pPr>
            <w:r>
              <w:rPr>
                <w:rFonts w:cs="Calibri"/>
                <w:color w:val="000000"/>
                <w:sz w:val="18"/>
                <w:szCs w:val="18"/>
                <w:lang w:eastAsia="en-AU"/>
              </w:rPr>
              <w:t>1.1.4.1</w:t>
            </w:r>
          </w:p>
        </w:tc>
        <w:tc>
          <w:tcPr>
            <w:tcW w:w="595"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18"/>
                <w:szCs w:val="18"/>
                <w:lang w:eastAsia="en-AU"/>
              </w:rPr>
            </w:pPr>
            <w:r>
              <w:rPr>
                <w:rFonts w:cs="Calibri"/>
                <w:color w:val="000000"/>
                <w:sz w:val="18"/>
                <w:szCs w:val="18"/>
                <w:lang w:eastAsia="en-AU"/>
              </w:rPr>
              <w:t>MJCA</w:t>
            </w:r>
          </w:p>
        </w:tc>
        <w:tc>
          <w:tcPr>
            <w:tcW w:w="468"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18"/>
                <w:szCs w:val="18"/>
                <w:lang w:eastAsia="en-AU"/>
              </w:rPr>
            </w:pPr>
            <w:r>
              <w:rPr>
                <w:rFonts w:cs="Calibri"/>
                <w:color w:val="000000"/>
                <w:sz w:val="18"/>
                <w:szCs w:val="18"/>
                <w:lang w:eastAsia="en-AU"/>
              </w:rPr>
              <w:t>2012/13</w:t>
            </w:r>
          </w:p>
        </w:tc>
        <w:tc>
          <w:tcPr>
            <w:tcW w:w="1611" w:type="dxa"/>
            <w:tcBorders>
              <w:top w:val="double" w:sz="6" w:space="0" w:color="auto"/>
              <w:left w:val="nil"/>
              <w:bottom w:val="double" w:sz="6" w:space="0" w:color="auto"/>
              <w:right w:val="double" w:sz="6" w:space="0" w:color="auto"/>
            </w:tcBorders>
            <w:shd w:val="solid" w:color="FFFFFF" w:fill="auto"/>
          </w:tcPr>
          <w:p w:rsidR="00456E00" w:rsidRDefault="00456E00">
            <w:pPr>
              <w:autoSpaceDE w:val="0"/>
              <w:autoSpaceDN w:val="0"/>
              <w:adjustRightInd w:val="0"/>
              <w:spacing w:before="0"/>
              <w:rPr>
                <w:rFonts w:cs="Calibri"/>
                <w:color w:val="000000"/>
                <w:sz w:val="18"/>
                <w:szCs w:val="18"/>
                <w:lang w:eastAsia="en-AU"/>
              </w:rPr>
            </w:pPr>
            <w:r>
              <w:rPr>
                <w:rFonts w:cs="Calibri"/>
                <w:color w:val="000000"/>
                <w:sz w:val="18"/>
                <w:szCs w:val="18"/>
                <w:lang w:eastAsia="en-AU"/>
              </w:rPr>
              <w:t>*Set up Inter-Sectoral Crime Prevention Taskforce.                                                                                  *Policy drafted and finalised.                                        *Policy launched by June 2013.                             *Increase coordination of programmes and activities for crime prevention.                                *Review of Criminal related legislation</w:t>
            </w:r>
          </w:p>
        </w:tc>
        <w:tc>
          <w:tcPr>
            <w:tcW w:w="1084" w:type="dxa"/>
            <w:tcBorders>
              <w:top w:val="double" w:sz="6" w:space="0" w:color="auto"/>
              <w:left w:val="double" w:sz="6" w:space="0" w:color="auto"/>
              <w:bottom w:val="double" w:sz="6" w:space="0" w:color="auto"/>
              <w:right w:val="double" w:sz="6" w:space="0" w:color="auto"/>
            </w:tcBorders>
            <w:shd w:val="solid" w:color="FFCC00" w:fill="auto"/>
          </w:tcPr>
          <w:p w:rsidR="00456E00" w:rsidRDefault="00456E00">
            <w:pPr>
              <w:autoSpaceDE w:val="0"/>
              <w:autoSpaceDN w:val="0"/>
              <w:adjustRightInd w:val="0"/>
              <w:spacing w:before="0"/>
              <w:rPr>
                <w:rFonts w:cs="Calibri"/>
                <w:color w:val="000000"/>
                <w:sz w:val="18"/>
                <w:szCs w:val="18"/>
                <w:lang w:eastAsia="en-AU"/>
              </w:rPr>
            </w:pPr>
            <w:r>
              <w:rPr>
                <w:rFonts w:cs="Calibri"/>
                <w:color w:val="000000"/>
                <w:sz w:val="18"/>
                <w:szCs w:val="18"/>
                <w:lang w:eastAsia="en-AU"/>
              </w:rPr>
              <w:t>Behind Schedule</w:t>
            </w:r>
          </w:p>
        </w:tc>
        <w:tc>
          <w:tcPr>
            <w:tcW w:w="1949" w:type="dxa"/>
            <w:tcBorders>
              <w:top w:val="double" w:sz="6" w:space="0" w:color="auto"/>
              <w:left w:val="double" w:sz="6" w:space="0" w:color="auto"/>
              <w:bottom w:val="double" w:sz="6" w:space="0" w:color="auto"/>
              <w:right w:val="nil"/>
            </w:tcBorders>
            <w:shd w:val="solid" w:color="FFFFFF" w:fill="auto"/>
          </w:tcPr>
          <w:p w:rsidR="00456E00" w:rsidRDefault="00456E00">
            <w:pPr>
              <w:autoSpaceDE w:val="0"/>
              <w:autoSpaceDN w:val="0"/>
              <w:adjustRightInd w:val="0"/>
              <w:spacing w:before="0"/>
              <w:rPr>
                <w:rFonts w:cs="Calibri"/>
                <w:color w:val="000000"/>
                <w:sz w:val="18"/>
                <w:szCs w:val="18"/>
                <w:lang w:eastAsia="en-AU"/>
              </w:rPr>
            </w:pPr>
            <w:r>
              <w:rPr>
                <w:rFonts w:cs="Calibri"/>
                <w:color w:val="000000"/>
                <w:sz w:val="18"/>
                <w:szCs w:val="18"/>
                <w:lang w:eastAsia="en-AU"/>
              </w:rPr>
              <w:t>*Development of a Crime Prevention policy will help guide, control and monitor crime rates in Samoa.</w:t>
            </w:r>
          </w:p>
        </w:tc>
        <w:tc>
          <w:tcPr>
            <w:tcW w:w="2335" w:type="dxa"/>
            <w:gridSpan w:val="3"/>
            <w:tcBorders>
              <w:top w:val="double" w:sz="6" w:space="0" w:color="auto"/>
              <w:left w:val="double" w:sz="6" w:space="0" w:color="auto"/>
              <w:bottom w:val="double" w:sz="6" w:space="0" w:color="auto"/>
              <w:right w:val="single" w:sz="12" w:space="0" w:color="auto"/>
            </w:tcBorders>
            <w:shd w:val="solid" w:color="FFFFFF" w:fill="auto"/>
          </w:tcPr>
          <w:p w:rsidR="00456E00" w:rsidRDefault="00456E00">
            <w:pPr>
              <w:autoSpaceDE w:val="0"/>
              <w:autoSpaceDN w:val="0"/>
              <w:adjustRightInd w:val="0"/>
              <w:spacing w:before="0"/>
              <w:rPr>
                <w:rFonts w:cs="Calibri"/>
                <w:color w:val="000000"/>
                <w:sz w:val="18"/>
                <w:szCs w:val="18"/>
                <w:lang w:eastAsia="en-AU"/>
              </w:rPr>
            </w:pPr>
            <w:r>
              <w:rPr>
                <w:rFonts w:cs="Calibri"/>
                <w:color w:val="000000"/>
                <w:sz w:val="18"/>
                <w:szCs w:val="18"/>
                <w:lang w:eastAsia="en-AU"/>
              </w:rPr>
              <w:t>Project Deferred to FY 14/15. There is a taskforce already established with a Draft of the Policy in place. Review of Criminal Related Legislation already completed in 2012.</w:t>
            </w:r>
          </w:p>
        </w:tc>
      </w:tr>
      <w:tr w:rsidR="00456E00" w:rsidTr="00D46309">
        <w:trPr>
          <w:trHeight w:val="1915"/>
        </w:trPr>
        <w:tc>
          <w:tcPr>
            <w:tcW w:w="804" w:type="dxa"/>
            <w:tcBorders>
              <w:top w:val="double" w:sz="6" w:space="0" w:color="auto"/>
              <w:left w:val="single" w:sz="12" w:space="0" w:color="auto"/>
              <w:bottom w:val="double" w:sz="6" w:space="0" w:color="auto"/>
              <w:right w:val="double" w:sz="6" w:space="0" w:color="auto"/>
            </w:tcBorders>
          </w:tcPr>
          <w:p w:rsidR="00456E00" w:rsidRDefault="00456E00">
            <w:pPr>
              <w:autoSpaceDE w:val="0"/>
              <w:autoSpaceDN w:val="0"/>
              <w:adjustRightInd w:val="0"/>
              <w:spacing w:before="0"/>
              <w:rPr>
                <w:rFonts w:cs="Calibri"/>
                <w:b/>
                <w:bCs/>
                <w:color w:val="000000"/>
                <w:sz w:val="18"/>
                <w:szCs w:val="18"/>
                <w:lang w:eastAsia="en-AU"/>
              </w:rPr>
            </w:pPr>
            <w:r>
              <w:rPr>
                <w:rFonts w:cs="Calibri"/>
                <w:b/>
                <w:bCs/>
                <w:color w:val="000000"/>
                <w:sz w:val="18"/>
                <w:szCs w:val="18"/>
                <w:lang w:eastAsia="en-AU"/>
              </w:rPr>
              <w:t>Samoa Returnees Charitable Trust</w:t>
            </w:r>
          </w:p>
        </w:tc>
        <w:tc>
          <w:tcPr>
            <w:tcW w:w="408" w:type="dxa"/>
            <w:tcBorders>
              <w:top w:val="double" w:sz="6" w:space="0" w:color="auto"/>
              <w:left w:val="double" w:sz="6" w:space="0" w:color="auto"/>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18"/>
                <w:szCs w:val="18"/>
                <w:lang w:eastAsia="en-AU"/>
              </w:rPr>
            </w:pPr>
            <w:r>
              <w:rPr>
                <w:rFonts w:cs="Calibri"/>
                <w:color w:val="000000"/>
                <w:sz w:val="18"/>
                <w:szCs w:val="18"/>
                <w:lang w:eastAsia="en-AU"/>
              </w:rPr>
              <w:t>1.1.4.2</w:t>
            </w:r>
          </w:p>
        </w:tc>
        <w:tc>
          <w:tcPr>
            <w:tcW w:w="595"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18"/>
                <w:szCs w:val="18"/>
                <w:lang w:eastAsia="en-AU"/>
              </w:rPr>
            </w:pPr>
            <w:r>
              <w:rPr>
                <w:rFonts w:cs="Calibri"/>
                <w:color w:val="000000"/>
                <w:sz w:val="18"/>
                <w:szCs w:val="18"/>
                <w:lang w:eastAsia="en-AU"/>
              </w:rPr>
              <w:t>AGO</w:t>
            </w:r>
          </w:p>
        </w:tc>
        <w:tc>
          <w:tcPr>
            <w:tcW w:w="468"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18"/>
                <w:szCs w:val="18"/>
                <w:lang w:eastAsia="en-AU"/>
              </w:rPr>
            </w:pPr>
            <w:r>
              <w:rPr>
                <w:rFonts w:cs="Calibri"/>
                <w:color w:val="000000"/>
                <w:sz w:val="18"/>
                <w:szCs w:val="18"/>
                <w:lang w:eastAsia="en-AU"/>
              </w:rPr>
              <w:t>2013/14</w:t>
            </w:r>
          </w:p>
        </w:tc>
        <w:tc>
          <w:tcPr>
            <w:tcW w:w="1611" w:type="dxa"/>
            <w:tcBorders>
              <w:top w:val="double" w:sz="6" w:space="0" w:color="auto"/>
              <w:left w:val="nil"/>
              <w:bottom w:val="double" w:sz="6" w:space="0" w:color="auto"/>
              <w:right w:val="double" w:sz="6" w:space="0" w:color="auto"/>
            </w:tcBorders>
            <w:shd w:val="solid" w:color="FFFFFF" w:fill="auto"/>
          </w:tcPr>
          <w:p w:rsidR="00456E00" w:rsidRDefault="00456E00">
            <w:pPr>
              <w:autoSpaceDE w:val="0"/>
              <w:autoSpaceDN w:val="0"/>
              <w:adjustRightInd w:val="0"/>
              <w:spacing w:before="0"/>
              <w:rPr>
                <w:rFonts w:cs="Calibri"/>
                <w:color w:val="000000"/>
                <w:sz w:val="18"/>
                <w:szCs w:val="18"/>
                <w:lang w:eastAsia="en-AU"/>
              </w:rPr>
            </w:pPr>
            <w:r>
              <w:rPr>
                <w:rFonts w:cs="Calibri"/>
                <w:color w:val="000000"/>
                <w:sz w:val="18"/>
                <w:szCs w:val="18"/>
                <w:lang w:eastAsia="en-AU"/>
              </w:rPr>
              <w:t>*Number of cases processed/criminal deportees registered in the trust and re integrated successfully in the trust.                                      *Reduction in number of registered deportees reoffending.</w:t>
            </w:r>
          </w:p>
        </w:tc>
        <w:tc>
          <w:tcPr>
            <w:tcW w:w="1084" w:type="dxa"/>
            <w:tcBorders>
              <w:top w:val="double" w:sz="6" w:space="0" w:color="auto"/>
              <w:left w:val="double" w:sz="6" w:space="0" w:color="auto"/>
              <w:bottom w:val="double" w:sz="6" w:space="0" w:color="auto"/>
              <w:right w:val="double" w:sz="6" w:space="0" w:color="auto"/>
            </w:tcBorders>
            <w:shd w:val="solid" w:color="00CCFF" w:fill="auto"/>
          </w:tcPr>
          <w:p w:rsidR="00456E00" w:rsidRDefault="00456E00">
            <w:pPr>
              <w:autoSpaceDE w:val="0"/>
              <w:autoSpaceDN w:val="0"/>
              <w:adjustRightInd w:val="0"/>
              <w:spacing w:before="0"/>
              <w:rPr>
                <w:rFonts w:cs="Calibri"/>
                <w:color w:val="000000"/>
                <w:sz w:val="18"/>
                <w:szCs w:val="18"/>
                <w:lang w:eastAsia="en-AU"/>
              </w:rPr>
            </w:pPr>
            <w:r>
              <w:rPr>
                <w:rFonts w:cs="Calibri"/>
                <w:color w:val="000000"/>
                <w:sz w:val="18"/>
                <w:szCs w:val="18"/>
                <w:lang w:eastAsia="en-AU"/>
              </w:rPr>
              <w:t>On Schedule/ Target</w:t>
            </w:r>
          </w:p>
        </w:tc>
        <w:tc>
          <w:tcPr>
            <w:tcW w:w="1949" w:type="dxa"/>
            <w:tcBorders>
              <w:top w:val="double" w:sz="6" w:space="0" w:color="auto"/>
              <w:left w:val="double" w:sz="6" w:space="0" w:color="auto"/>
              <w:bottom w:val="double" w:sz="6" w:space="0" w:color="auto"/>
              <w:right w:val="nil"/>
            </w:tcBorders>
            <w:shd w:val="solid" w:color="FFFFFF" w:fill="auto"/>
          </w:tcPr>
          <w:p w:rsidR="00456E00" w:rsidRDefault="00456E00">
            <w:pPr>
              <w:autoSpaceDE w:val="0"/>
              <w:autoSpaceDN w:val="0"/>
              <w:adjustRightInd w:val="0"/>
              <w:spacing w:before="0"/>
              <w:rPr>
                <w:rFonts w:cs="Calibri"/>
                <w:color w:val="000000"/>
                <w:sz w:val="18"/>
                <w:szCs w:val="18"/>
                <w:lang w:eastAsia="en-AU"/>
              </w:rPr>
            </w:pPr>
            <w:r>
              <w:rPr>
                <w:rFonts w:cs="Calibri"/>
                <w:color w:val="000000"/>
                <w:sz w:val="18"/>
                <w:szCs w:val="18"/>
                <w:lang w:eastAsia="en-AU"/>
              </w:rPr>
              <w:t>*Successful transitional process into adequate housing for criminal deportees in the facility. *Adequate links with family and/or social services.                                                                          *Successful reintegration into the Samoan Community leading to a reduction in the risk of criminal activity by deportees.</w:t>
            </w:r>
          </w:p>
        </w:tc>
        <w:tc>
          <w:tcPr>
            <w:tcW w:w="2335" w:type="dxa"/>
            <w:gridSpan w:val="3"/>
            <w:tcBorders>
              <w:top w:val="double" w:sz="6" w:space="0" w:color="auto"/>
              <w:left w:val="double" w:sz="6" w:space="0" w:color="auto"/>
              <w:bottom w:val="double" w:sz="6" w:space="0" w:color="auto"/>
              <w:right w:val="single" w:sz="12" w:space="0" w:color="auto"/>
            </w:tcBorders>
            <w:shd w:val="solid" w:color="FFFFFF" w:fill="auto"/>
          </w:tcPr>
          <w:p w:rsidR="00456E00" w:rsidRDefault="00456E00">
            <w:pPr>
              <w:autoSpaceDE w:val="0"/>
              <w:autoSpaceDN w:val="0"/>
              <w:adjustRightInd w:val="0"/>
              <w:spacing w:before="0"/>
              <w:rPr>
                <w:rFonts w:cs="Calibri"/>
                <w:color w:val="000000"/>
                <w:sz w:val="18"/>
                <w:szCs w:val="18"/>
                <w:lang w:eastAsia="en-AU"/>
              </w:rPr>
            </w:pPr>
            <w:r>
              <w:rPr>
                <w:rFonts w:cs="Calibri"/>
                <w:color w:val="000000"/>
                <w:sz w:val="18"/>
                <w:szCs w:val="18"/>
                <w:lang w:eastAsia="en-AU"/>
              </w:rPr>
              <w:t xml:space="preserve">Registry of Deportees already in place. On-going Rehabilitation programs to community and outreach awareness programs to schools. </w:t>
            </w:r>
          </w:p>
        </w:tc>
      </w:tr>
      <w:tr w:rsidR="00456E00" w:rsidTr="00D46309">
        <w:trPr>
          <w:trHeight w:val="235"/>
        </w:trPr>
        <w:tc>
          <w:tcPr>
            <w:tcW w:w="804" w:type="dxa"/>
            <w:tcBorders>
              <w:top w:val="nil"/>
              <w:left w:val="single" w:sz="12" w:space="0" w:color="auto"/>
              <w:bottom w:val="nil"/>
              <w:right w:val="nil"/>
            </w:tcBorders>
          </w:tcPr>
          <w:p w:rsidR="00456E00" w:rsidRDefault="00456E00">
            <w:pPr>
              <w:autoSpaceDE w:val="0"/>
              <w:autoSpaceDN w:val="0"/>
              <w:adjustRightInd w:val="0"/>
              <w:spacing w:before="0"/>
              <w:jc w:val="right"/>
              <w:rPr>
                <w:rFonts w:ascii="Arial" w:hAnsi="Arial" w:cs="Arial"/>
                <w:b/>
                <w:bCs/>
                <w:color w:val="000000"/>
                <w:sz w:val="22"/>
                <w:szCs w:val="22"/>
                <w:lang w:eastAsia="en-AU"/>
              </w:rPr>
            </w:pPr>
          </w:p>
        </w:tc>
        <w:tc>
          <w:tcPr>
            <w:tcW w:w="408"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595" w:type="dxa"/>
            <w:tcBorders>
              <w:top w:val="nil"/>
              <w:left w:val="nil"/>
              <w:bottom w:val="nil"/>
              <w:right w:val="nil"/>
            </w:tcBorders>
          </w:tcPr>
          <w:p w:rsidR="00456E00" w:rsidRDefault="00456E00">
            <w:pPr>
              <w:autoSpaceDE w:val="0"/>
              <w:autoSpaceDN w:val="0"/>
              <w:adjustRightInd w:val="0"/>
              <w:spacing w:before="0"/>
              <w:jc w:val="center"/>
              <w:rPr>
                <w:rFonts w:ascii="Arial" w:hAnsi="Arial" w:cs="Arial"/>
                <w:color w:val="000000"/>
                <w:sz w:val="22"/>
                <w:szCs w:val="22"/>
                <w:lang w:eastAsia="en-AU"/>
              </w:rPr>
            </w:pPr>
          </w:p>
        </w:tc>
        <w:tc>
          <w:tcPr>
            <w:tcW w:w="468"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1611"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1084"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1949" w:type="dxa"/>
            <w:tcBorders>
              <w:top w:val="nil"/>
              <w:left w:val="nil"/>
              <w:bottom w:val="nil"/>
              <w:right w:val="nil"/>
            </w:tcBorders>
            <w:shd w:val="solid" w:color="FFFFFF" w:fill="auto"/>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1063" w:type="dxa"/>
            <w:tcBorders>
              <w:top w:val="nil"/>
              <w:left w:val="nil"/>
              <w:bottom w:val="nil"/>
              <w:right w:val="nil"/>
            </w:tcBorders>
            <w:shd w:val="solid" w:color="FFFFFF" w:fill="auto"/>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677" w:type="dxa"/>
            <w:tcBorders>
              <w:top w:val="nil"/>
              <w:left w:val="nil"/>
              <w:bottom w:val="nil"/>
              <w:right w:val="nil"/>
            </w:tcBorders>
            <w:shd w:val="solid" w:color="FFFFFF" w:fill="auto"/>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595" w:type="dxa"/>
            <w:tcBorders>
              <w:top w:val="double" w:sz="6" w:space="0" w:color="auto"/>
              <w:left w:val="nil"/>
              <w:bottom w:val="double" w:sz="6" w:space="0" w:color="auto"/>
              <w:right w:val="single" w:sz="12" w:space="0" w:color="auto"/>
            </w:tcBorders>
            <w:shd w:val="solid" w:color="FFFFFF" w:fill="auto"/>
          </w:tcPr>
          <w:p w:rsidR="00456E00" w:rsidRDefault="00456E00">
            <w:pPr>
              <w:autoSpaceDE w:val="0"/>
              <w:autoSpaceDN w:val="0"/>
              <w:adjustRightInd w:val="0"/>
              <w:spacing w:before="0"/>
              <w:jc w:val="right"/>
              <w:rPr>
                <w:rFonts w:ascii="Arial" w:hAnsi="Arial" w:cs="Arial"/>
                <w:color w:val="000000"/>
                <w:sz w:val="22"/>
                <w:szCs w:val="22"/>
                <w:lang w:eastAsia="en-AU"/>
              </w:rPr>
            </w:pPr>
          </w:p>
        </w:tc>
      </w:tr>
      <w:tr w:rsidR="00456E00" w:rsidTr="00D46309">
        <w:trPr>
          <w:trHeight w:val="235"/>
        </w:trPr>
        <w:tc>
          <w:tcPr>
            <w:tcW w:w="2275" w:type="dxa"/>
            <w:gridSpan w:val="4"/>
            <w:tcBorders>
              <w:top w:val="double" w:sz="6" w:space="0" w:color="auto"/>
              <w:left w:val="single" w:sz="12" w:space="0" w:color="auto"/>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color w:val="000000"/>
                <w:sz w:val="22"/>
                <w:szCs w:val="22"/>
                <w:lang w:eastAsia="en-AU"/>
              </w:rPr>
            </w:pPr>
            <w:r>
              <w:rPr>
                <w:rFonts w:ascii="Arial" w:hAnsi="Arial" w:cs="Arial"/>
                <w:b/>
                <w:bCs/>
                <w:color w:val="000000"/>
                <w:sz w:val="22"/>
                <w:szCs w:val="22"/>
                <w:lang w:eastAsia="en-AU"/>
              </w:rPr>
              <w:t>Goal 2: Access to Justice</w:t>
            </w:r>
          </w:p>
        </w:tc>
        <w:tc>
          <w:tcPr>
            <w:tcW w:w="1611" w:type="dxa"/>
            <w:tcBorders>
              <w:top w:val="double" w:sz="6" w:space="0" w:color="auto"/>
              <w:left w:val="nil"/>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color w:val="000000"/>
                <w:sz w:val="22"/>
                <w:szCs w:val="22"/>
                <w:lang w:eastAsia="en-AU"/>
              </w:rPr>
            </w:pPr>
          </w:p>
        </w:tc>
        <w:tc>
          <w:tcPr>
            <w:tcW w:w="1084" w:type="dxa"/>
            <w:tcBorders>
              <w:top w:val="double" w:sz="6" w:space="0" w:color="auto"/>
              <w:left w:val="nil"/>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color w:val="000000"/>
                <w:sz w:val="22"/>
                <w:szCs w:val="22"/>
                <w:lang w:eastAsia="en-AU"/>
              </w:rPr>
            </w:pPr>
          </w:p>
        </w:tc>
        <w:tc>
          <w:tcPr>
            <w:tcW w:w="1949" w:type="dxa"/>
            <w:tcBorders>
              <w:top w:val="double" w:sz="6" w:space="0" w:color="auto"/>
              <w:left w:val="nil"/>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color w:val="000000"/>
                <w:sz w:val="22"/>
                <w:szCs w:val="22"/>
                <w:lang w:eastAsia="en-AU"/>
              </w:rPr>
            </w:pPr>
          </w:p>
        </w:tc>
        <w:tc>
          <w:tcPr>
            <w:tcW w:w="1063" w:type="dxa"/>
            <w:tcBorders>
              <w:top w:val="double" w:sz="6" w:space="0" w:color="auto"/>
              <w:left w:val="nil"/>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color w:val="000000"/>
                <w:sz w:val="22"/>
                <w:szCs w:val="22"/>
                <w:lang w:eastAsia="en-AU"/>
              </w:rPr>
            </w:pPr>
          </w:p>
        </w:tc>
        <w:tc>
          <w:tcPr>
            <w:tcW w:w="677" w:type="dxa"/>
            <w:tcBorders>
              <w:top w:val="double" w:sz="6" w:space="0" w:color="auto"/>
              <w:left w:val="nil"/>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color w:val="000000"/>
                <w:sz w:val="22"/>
                <w:szCs w:val="22"/>
                <w:lang w:eastAsia="en-AU"/>
              </w:rPr>
            </w:pPr>
          </w:p>
        </w:tc>
        <w:tc>
          <w:tcPr>
            <w:tcW w:w="595" w:type="dxa"/>
            <w:tcBorders>
              <w:top w:val="double" w:sz="6" w:space="0" w:color="auto"/>
              <w:left w:val="nil"/>
              <w:bottom w:val="double" w:sz="6" w:space="0" w:color="auto"/>
              <w:right w:val="single" w:sz="12" w:space="0" w:color="auto"/>
            </w:tcBorders>
            <w:shd w:val="solid" w:color="FFCC00" w:fill="auto"/>
          </w:tcPr>
          <w:p w:rsidR="00456E00" w:rsidRDefault="00456E00">
            <w:pPr>
              <w:autoSpaceDE w:val="0"/>
              <w:autoSpaceDN w:val="0"/>
              <w:adjustRightInd w:val="0"/>
              <w:spacing w:before="0"/>
              <w:jc w:val="center"/>
              <w:rPr>
                <w:rFonts w:ascii="Arial" w:hAnsi="Arial" w:cs="Arial"/>
                <w:b/>
                <w:bCs/>
                <w:color w:val="000000"/>
                <w:sz w:val="22"/>
                <w:szCs w:val="22"/>
                <w:lang w:eastAsia="en-AU"/>
              </w:rPr>
            </w:pPr>
          </w:p>
        </w:tc>
      </w:tr>
      <w:tr w:rsidR="00456E00" w:rsidTr="00D46309">
        <w:trPr>
          <w:trHeight w:val="226"/>
        </w:trPr>
        <w:tc>
          <w:tcPr>
            <w:tcW w:w="6919" w:type="dxa"/>
            <w:gridSpan w:val="7"/>
            <w:tcBorders>
              <w:top w:val="double" w:sz="6" w:space="0" w:color="auto"/>
              <w:left w:val="single" w:sz="12" w:space="0" w:color="auto"/>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i/>
                <w:iCs/>
                <w:color w:val="000000"/>
                <w:sz w:val="22"/>
                <w:szCs w:val="22"/>
                <w:lang w:eastAsia="en-AU"/>
              </w:rPr>
            </w:pPr>
            <w:r>
              <w:rPr>
                <w:rFonts w:ascii="Arial" w:hAnsi="Arial" w:cs="Arial"/>
                <w:b/>
                <w:bCs/>
                <w:i/>
                <w:iCs/>
                <w:color w:val="000000"/>
                <w:sz w:val="22"/>
                <w:szCs w:val="22"/>
                <w:lang w:eastAsia="en-AU"/>
              </w:rPr>
              <w:lastRenderedPageBreak/>
              <w:t>Strategy 2.1:Improve access to justice, law and legal services</w:t>
            </w:r>
          </w:p>
        </w:tc>
        <w:tc>
          <w:tcPr>
            <w:tcW w:w="1063" w:type="dxa"/>
            <w:tcBorders>
              <w:top w:val="double" w:sz="6" w:space="0" w:color="auto"/>
              <w:left w:val="nil"/>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i/>
                <w:iCs/>
                <w:color w:val="000000"/>
                <w:sz w:val="22"/>
                <w:szCs w:val="22"/>
                <w:lang w:eastAsia="en-AU"/>
              </w:rPr>
            </w:pPr>
          </w:p>
        </w:tc>
        <w:tc>
          <w:tcPr>
            <w:tcW w:w="677" w:type="dxa"/>
            <w:tcBorders>
              <w:top w:val="double" w:sz="6" w:space="0" w:color="auto"/>
              <w:left w:val="nil"/>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i/>
                <w:iCs/>
                <w:color w:val="000000"/>
                <w:sz w:val="22"/>
                <w:szCs w:val="22"/>
                <w:lang w:eastAsia="en-AU"/>
              </w:rPr>
            </w:pPr>
          </w:p>
        </w:tc>
        <w:tc>
          <w:tcPr>
            <w:tcW w:w="595" w:type="dxa"/>
            <w:tcBorders>
              <w:top w:val="double" w:sz="6" w:space="0" w:color="auto"/>
              <w:left w:val="nil"/>
              <w:bottom w:val="double" w:sz="6" w:space="0" w:color="auto"/>
              <w:right w:val="single" w:sz="12" w:space="0" w:color="auto"/>
            </w:tcBorders>
            <w:shd w:val="solid" w:color="FFCC00" w:fill="auto"/>
          </w:tcPr>
          <w:p w:rsidR="00456E00" w:rsidRDefault="00456E00">
            <w:pPr>
              <w:autoSpaceDE w:val="0"/>
              <w:autoSpaceDN w:val="0"/>
              <w:adjustRightInd w:val="0"/>
              <w:spacing w:before="0"/>
              <w:jc w:val="center"/>
              <w:rPr>
                <w:rFonts w:ascii="Arial" w:hAnsi="Arial" w:cs="Arial"/>
                <w:b/>
                <w:bCs/>
                <w:i/>
                <w:iCs/>
                <w:color w:val="000000"/>
                <w:sz w:val="22"/>
                <w:szCs w:val="22"/>
                <w:lang w:eastAsia="en-AU"/>
              </w:rPr>
            </w:pPr>
          </w:p>
        </w:tc>
      </w:tr>
      <w:tr w:rsidR="00456E00" w:rsidTr="00D46309">
        <w:trPr>
          <w:trHeight w:val="226"/>
        </w:trPr>
        <w:tc>
          <w:tcPr>
            <w:tcW w:w="9254" w:type="dxa"/>
            <w:gridSpan w:val="10"/>
            <w:tcBorders>
              <w:top w:val="double" w:sz="6" w:space="0" w:color="auto"/>
              <w:left w:val="single" w:sz="12" w:space="0" w:color="auto"/>
              <w:bottom w:val="double" w:sz="6" w:space="0" w:color="auto"/>
              <w:right w:val="single" w:sz="12" w:space="0" w:color="auto"/>
            </w:tcBorders>
            <w:shd w:val="solid" w:color="969696" w:fill="auto"/>
          </w:tcPr>
          <w:p w:rsidR="00456E00" w:rsidRDefault="00456E00">
            <w:pPr>
              <w:autoSpaceDE w:val="0"/>
              <w:autoSpaceDN w:val="0"/>
              <w:adjustRightInd w:val="0"/>
              <w:spacing w:before="0"/>
              <w:jc w:val="center"/>
              <w:rPr>
                <w:rFonts w:ascii="Arial" w:hAnsi="Arial" w:cs="Arial"/>
                <w:color w:val="000000"/>
                <w:sz w:val="22"/>
                <w:szCs w:val="22"/>
                <w:lang w:eastAsia="en-AU"/>
              </w:rPr>
            </w:pPr>
            <w:r>
              <w:rPr>
                <w:rFonts w:ascii="Arial" w:hAnsi="Arial" w:cs="Arial"/>
                <w:color w:val="000000"/>
                <w:sz w:val="22"/>
                <w:szCs w:val="22"/>
                <w:lang w:eastAsia="en-AU"/>
              </w:rPr>
              <w:t>Outcome: Increased awareness of the community of their legal rights all available legal services and how they can be accessed.</w:t>
            </w:r>
          </w:p>
        </w:tc>
      </w:tr>
      <w:tr w:rsidR="00456E00" w:rsidTr="00D46309">
        <w:trPr>
          <w:trHeight w:val="226"/>
        </w:trPr>
        <w:tc>
          <w:tcPr>
            <w:tcW w:w="4970" w:type="dxa"/>
            <w:gridSpan w:val="6"/>
            <w:tcBorders>
              <w:top w:val="double" w:sz="6" w:space="0" w:color="auto"/>
              <w:left w:val="single" w:sz="12" w:space="0" w:color="auto"/>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22"/>
                <w:szCs w:val="22"/>
                <w:lang w:eastAsia="en-AU"/>
              </w:rPr>
            </w:pPr>
            <w:r>
              <w:rPr>
                <w:rFonts w:ascii="Arial" w:hAnsi="Arial" w:cs="Arial"/>
                <w:color w:val="000000"/>
                <w:sz w:val="22"/>
                <w:szCs w:val="22"/>
                <w:lang w:eastAsia="en-AU"/>
              </w:rPr>
              <w:t>Sub Strategy  2.1.1 – Increase Legal services to the public</w:t>
            </w:r>
          </w:p>
        </w:tc>
        <w:tc>
          <w:tcPr>
            <w:tcW w:w="1949" w:type="dxa"/>
            <w:tcBorders>
              <w:top w:val="double" w:sz="6" w:space="0" w:color="auto"/>
              <w:left w:val="nil"/>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22"/>
                <w:szCs w:val="22"/>
                <w:lang w:eastAsia="en-AU"/>
              </w:rPr>
            </w:pPr>
          </w:p>
        </w:tc>
        <w:tc>
          <w:tcPr>
            <w:tcW w:w="1063" w:type="dxa"/>
            <w:tcBorders>
              <w:top w:val="double" w:sz="6" w:space="0" w:color="auto"/>
              <w:left w:val="nil"/>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22"/>
                <w:szCs w:val="22"/>
                <w:lang w:eastAsia="en-AU"/>
              </w:rPr>
            </w:pPr>
          </w:p>
        </w:tc>
        <w:tc>
          <w:tcPr>
            <w:tcW w:w="677" w:type="dxa"/>
            <w:tcBorders>
              <w:top w:val="double" w:sz="6" w:space="0" w:color="auto"/>
              <w:left w:val="nil"/>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22"/>
                <w:szCs w:val="22"/>
                <w:lang w:eastAsia="en-AU"/>
              </w:rPr>
            </w:pPr>
          </w:p>
        </w:tc>
        <w:tc>
          <w:tcPr>
            <w:tcW w:w="595" w:type="dxa"/>
            <w:tcBorders>
              <w:top w:val="double" w:sz="6" w:space="0" w:color="auto"/>
              <w:left w:val="nil"/>
              <w:bottom w:val="double" w:sz="6" w:space="0" w:color="auto"/>
              <w:right w:val="single" w:sz="12" w:space="0" w:color="auto"/>
            </w:tcBorders>
            <w:shd w:val="solid" w:color="969696" w:fill="auto"/>
          </w:tcPr>
          <w:p w:rsidR="00456E00" w:rsidRDefault="00456E00">
            <w:pPr>
              <w:autoSpaceDE w:val="0"/>
              <w:autoSpaceDN w:val="0"/>
              <w:adjustRightInd w:val="0"/>
              <w:spacing w:before="0"/>
              <w:jc w:val="center"/>
              <w:rPr>
                <w:rFonts w:ascii="Arial" w:hAnsi="Arial" w:cs="Arial"/>
                <w:color w:val="000000"/>
                <w:sz w:val="22"/>
                <w:szCs w:val="22"/>
                <w:lang w:eastAsia="en-AU"/>
              </w:rPr>
            </w:pPr>
          </w:p>
        </w:tc>
      </w:tr>
      <w:tr w:rsidR="00456E00" w:rsidTr="00D46309">
        <w:trPr>
          <w:trHeight w:val="1742"/>
        </w:trPr>
        <w:tc>
          <w:tcPr>
            <w:tcW w:w="804" w:type="dxa"/>
            <w:tcBorders>
              <w:top w:val="double" w:sz="6" w:space="0" w:color="auto"/>
              <w:left w:val="single" w:sz="12" w:space="0" w:color="auto"/>
              <w:bottom w:val="double" w:sz="6" w:space="0" w:color="auto"/>
              <w:right w:val="nil"/>
            </w:tcBorders>
            <w:shd w:val="solid" w:color="C0C0C0" w:fill="auto"/>
          </w:tcPr>
          <w:p w:rsidR="00456E00" w:rsidRDefault="00456E00">
            <w:pPr>
              <w:autoSpaceDE w:val="0"/>
              <w:autoSpaceDN w:val="0"/>
              <w:adjustRightInd w:val="0"/>
              <w:spacing w:before="0"/>
              <w:jc w:val="center"/>
              <w:rPr>
                <w:rFonts w:cs="Calibri"/>
                <w:b/>
                <w:bCs/>
                <w:color w:val="000000"/>
                <w:sz w:val="22"/>
                <w:szCs w:val="22"/>
                <w:lang w:eastAsia="en-AU"/>
              </w:rPr>
            </w:pPr>
            <w:r>
              <w:rPr>
                <w:rFonts w:cs="Calibri"/>
                <w:b/>
                <w:bCs/>
                <w:color w:val="000000"/>
                <w:sz w:val="22"/>
                <w:szCs w:val="22"/>
                <w:lang w:eastAsia="en-AU"/>
              </w:rPr>
              <w:t>Projects</w:t>
            </w:r>
          </w:p>
        </w:tc>
        <w:tc>
          <w:tcPr>
            <w:tcW w:w="408" w:type="dxa"/>
            <w:tcBorders>
              <w:top w:val="double" w:sz="6" w:space="0" w:color="auto"/>
              <w:left w:val="double" w:sz="6" w:space="0" w:color="auto"/>
              <w:bottom w:val="double" w:sz="6" w:space="0" w:color="auto"/>
              <w:right w:val="double" w:sz="6" w:space="0" w:color="auto"/>
            </w:tcBorders>
            <w:shd w:val="solid" w:color="C0C0C0" w:fill="auto"/>
          </w:tcPr>
          <w:p w:rsidR="00456E00" w:rsidRDefault="00456E00">
            <w:pPr>
              <w:autoSpaceDE w:val="0"/>
              <w:autoSpaceDN w:val="0"/>
              <w:adjustRightInd w:val="0"/>
              <w:spacing w:before="0"/>
              <w:jc w:val="center"/>
              <w:rPr>
                <w:rFonts w:cs="Calibri"/>
                <w:b/>
                <w:bCs/>
                <w:color w:val="000000"/>
                <w:sz w:val="22"/>
                <w:szCs w:val="22"/>
                <w:lang w:eastAsia="en-AU"/>
              </w:rPr>
            </w:pPr>
            <w:r>
              <w:rPr>
                <w:rFonts w:cs="Calibri"/>
                <w:b/>
                <w:bCs/>
                <w:color w:val="000000"/>
                <w:sz w:val="22"/>
                <w:szCs w:val="22"/>
                <w:lang w:eastAsia="en-AU"/>
              </w:rPr>
              <w:t>Project Reference Number</w:t>
            </w:r>
          </w:p>
        </w:tc>
        <w:tc>
          <w:tcPr>
            <w:tcW w:w="595" w:type="dxa"/>
            <w:tcBorders>
              <w:top w:val="double" w:sz="6" w:space="0" w:color="auto"/>
              <w:left w:val="nil"/>
              <w:bottom w:val="double" w:sz="6" w:space="0" w:color="auto"/>
              <w:right w:val="double" w:sz="6" w:space="0" w:color="auto"/>
            </w:tcBorders>
            <w:shd w:val="solid" w:color="C0C0C0" w:fill="auto"/>
          </w:tcPr>
          <w:p w:rsidR="00456E00" w:rsidRDefault="00456E00">
            <w:pPr>
              <w:autoSpaceDE w:val="0"/>
              <w:autoSpaceDN w:val="0"/>
              <w:adjustRightInd w:val="0"/>
              <w:spacing w:before="0"/>
              <w:jc w:val="center"/>
              <w:rPr>
                <w:rFonts w:cs="Calibri"/>
                <w:b/>
                <w:bCs/>
                <w:color w:val="000000"/>
                <w:sz w:val="22"/>
                <w:szCs w:val="22"/>
                <w:lang w:eastAsia="en-AU"/>
              </w:rPr>
            </w:pPr>
            <w:r>
              <w:rPr>
                <w:rFonts w:cs="Calibri"/>
                <w:b/>
                <w:bCs/>
                <w:color w:val="000000"/>
                <w:sz w:val="22"/>
                <w:szCs w:val="22"/>
                <w:lang w:eastAsia="en-AU"/>
              </w:rPr>
              <w:t>Implemented Agency</w:t>
            </w:r>
          </w:p>
        </w:tc>
        <w:tc>
          <w:tcPr>
            <w:tcW w:w="468" w:type="dxa"/>
            <w:tcBorders>
              <w:top w:val="double" w:sz="6" w:space="0" w:color="auto"/>
              <w:left w:val="nil"/>
              <w:bottom w:val="double" w:sz="6" w:space="0" w:color="auto"/>
              <w:right w:val="double" w:sz="6" w:space="0" w:color="auto"/>
            </w:tcBorders>
            <w:shd w:val="solid" w:color="C0C0C0" w:fill="auto"/>
          </w:tcPr>
          <w:p w:rsidR="00456E00" w:rsidRDefault="00456E00">
            <w:pPr>
              <w:autoSpaceDE w:val="0"/>
              <w:autoSpaceDN w:val="0"/>
              <w:adjustRightInd w:val="0"/>
              <w:spacing w:before="0"/>
              <w:jc w:val="center"/>
              <w:rPr>
                <w:rFonts w:cs="Calibri"/>
                <w:b/>
                <w:bCs/>
                <w:color w:val="000000"/>
                <w:sz w:val="22"/>
                <w:szCs w:val="22"/>
                <w:lang w:eastAsia="en-AU"/>
              </w:rPr>
            </w:pPr>
            <w:r>
              <w:rPr>
                <w:rFonts w:cs="Calibri"/>
                <w:b/>
                <w:bCs/>
                <w:color w:val="000000"/>
                <w:sz w:val="22"/>
                <w:szCs w:val="22"/>
                <w:lang w:eastAsia="en-AU"/>
              </w:rPr>
              <w:t>Year Implemented</w:t>
            </w:r>
          </w:p>
        </w:tc>
        <w:tc>
          <w:tcPr>
            <w:tcW w:w="1611" w:type="dxa"/>
            <w:tcBorders>
              <w:top w:val="double" w:sz="6" w:space="0" w:color="auto"/>
              <w:left w:val="nil"/>
              <w:bottom w:val="double" w:sz="6" w:space="0" w:color="auto"/>
              <w:right w:val="double" w:sz="6" w:space="0" w:color="auto"/>
            </w:tcBorders>
            <w:shd w:val="solid" w:color="C0C0C0" w:fill="auto"/>
          </w:tcPr>
          <w:p w:rsidR="00456E00" w:rsidRDefault="00456E00">
            <w:pPr>
              <w:autoSpaceDE w:val="0"/>
              <w:autoSpaceDN w:val="0"/>
              <w:adjustRightInd w:val="0"/>
              <w:spacing w:before="0"/>
              <w:jc w:val="center"/>
              <w:rPr>
                <w:rFonts w:cs="Calibri"/>
                <w:b/>
                <w:bCs/>
                <w:color w:val="000000"/>
                <w:sz w:val="22"/>
                <w:szCs w:val="22"/>
                <w:lang w:eastAsia="en-AU"/>
              </w:rPr>
            </w:pPr>
            <w:r>
              <w:rPr>
                <w:rFonts w:cs="Calibri"/>
                <w:b/>
                <w:bCs/>
                <w:color w:val="000000"/>
                <w:sz w:val="22"/>
                <w:szCs w:val="22"/>
                <w:lang w:eastAsia="en-AU"/>
              </w:rPr>
              <w:t>Key Performance Indicators (KPI's)</w:t>
            </w:r>
          </w:p>
        </w:tc>
        <w:tc>
          <w:tcPr>
            <w:tcW w:w="1084" w:type="dxa"/>
            <w:tcBorders>
              <w:top w:val="double" w:sz="6" w:space="0" w:color="auto"/>
              <w:left w:val="double" w:sz="6" w:space="0" w:color="auto"/>
              <w:bottom w:val="double" w:sz="6" w:space="0" w:color="auto"/>
              <w:right w:val="double" w:sz="6" w:space="0" w:color="auto"/>
            </w:tcBorders>
            <w:shd w:val="solid" w:color="C0C0C0" w:fill="auto"/>
          </w:tcPr>
          <w:p w:rsidR="00456E00" w:rsidRDefault="00456E00">
            <w:pPr>
              <w:autoSpaceDE w:val="0"/>
              <w:autoSpaceDN w:val="0"/>
              <w:adjustRightInd w:val="0"/>
              <w:spacing w:before="0"/>
              <w:jc w:val="center"/>
              <w:rPr>
                <w:rFonts w:cs="Calibri"/>
                <w:b/>
                <w:bCs/>
                <w:color w:val="000000"/>
                <w:sz w:val="22"/>
                <w:szCs w:val="22"/>
                <w:lang w:eastAsia="en-AU"/>
              </w:rPr>
            </w:pPr>
            <w:r>
              <w:rPr>
                <w:rFonts w:cs="Calibri"/>
                <w:b/>
                <w:bCs/>
                <w:color w:val="000000"/>
                <w:sz w:val="22"/>
                <w:szCs w:val="22"/>
                <w:lang w:eastAsia="en-AU"/>
              </w:rPr>
              <w:t>Traffic Light Progress Indicator</w:t>
            </w:r>
          </w:p>
        </w:tc>
        <w:tc>
          <w:tcPr>
            <w:tcW w:w="1949" w:type="dxa"/>
            <w:tcBorders>
              <w:top w:val="double" w:sz="6" w:space="0" w:color="auto"/>
              <w:left w:val="double" w:sz="6" w:space="0" w:color="auto"/>
              <w:bottom w:val="double" w:sz="6" w:space="0" w:color="auto"/>
              <w:right w:val="nil"/>
            </w:tcBorders>
            <w:shd w:val="solid" w:color="FFFFFF" w:fill="auto"/>
          </w:tcPr>
          <w:p w:rsidR="00456E00" w:rsidRDefault="00456E00">
            <w:pPr>
              <w:autoSpaceDE w:val="0"/>
              <w:autoSpaceDN w:val="0"/>
              <w:adjustRightInd w:val="0"/>
              <w:spacing w:before="0"/>
              <w:jc w:val="center"/>
              <w:rPr>
                <w:rFonts w:cs="Calibri"/>
                <w:b/>
                <w:bCs/>
                <w:color w:val="000000"/>
                <w:sz w:val="22"/>
                <w:szCs w:val="22"/>
                <w:lang w:eastAsia="en-AU"/>
              </w:rPr>
            </w:pPr>
            <w:r>
              <w:rPr>
                <w:rFonts w:cs="Calibri"/>
                <w:b/>
                <w:bCs/>
                <w:color w:val="000000"/>
                <w:sz w:val="22"/>
                <w:szCs w:val="22"/>
                <w:lang w:eastAsia="en-AU"/>
              </w:rPr>
              <w:t>Outcome</w:t>
            </w:r>
          </w:p>
        </w:tc>
        <w:tc>
          <w:tcPr>
            <w:tcW w:w="1063" w:type="dxa"/>
            <w:tcBorders>
              <w:top w:val="double" w:sz="6" w:space="0" w:color="auto"/>
              <w:left w:val="double" w:sz="6" w:space="0" w:color="auto"/>
              <w:bottom w:val="double" w:sz="6" w:space="0" w:color="auto"/>
              <w:right w:val="nil"/>
            </w:tcBorders>
            <w:shd w:val="solid" w:color="FFFFFF" w:fill="auto"/>
          </w:tcPr>
          <w:p w:rsidR="00456E00" w:rsidRDefault="00456E00">
            <w:pPr>
              <w:autoSpaceDE w:val="0"/>
              <w:autoSpaceDN w:val="0"/>
              <w:adjustRightInd w:val="0"/>
              <w:spacing w:before="0"/>
              <w:jc w:val="center"/>
              <w:rPr>
                <w:rFonts w:cs="Calibri"/>
                <w:b/>
                <w:bCs/>
                <w:color w:val="000000"/>
                <w:sz w:val="22"/>
                <w:szCs w:val="22"/>
                <w:lang w:eastAsia="en-AU"/>
              </w:rPr>
            </w:pPr>
            <w:r>
              <w:rPr>
                <w:rFonts w:cs="Calibri"/>
                <w:b/>
                <w:bCs/>
                <w:color w:val="000000"/>
                <w:sz w:val="22"/>
                <w:szCs w:val="22"/>
                <w:lang w:eastAsia="en-AU"/>
              </w:rPr>
              <w:t>Comments</w:t>
            </w:r>
          </w:p>
        </w:tc>
        <w:tc>
          <w:tcPr>
            <w:tcW w:w="677" w:type="dxa"/>
            <w:tcBorders>
              <w:top w:val="double" w:sz="6" w:space="0" w:color="auto"/>
              <w:left w:val="nil"/>
              <w:bottom w:val="double" w:sz="6" w:space="0" w:color="auto"/>
              <w:right w:val="nil"/>
            </w:tcBorders>
            <w:shd w:val="solid" w:color="FFFFFF" w:fill="auto"/>
          </w:tcPr>
          <w:p w:rsidR="00456E00" w:rsidRDefault="00456E00">
            <w:pPr>
              <w:autoSpaceDE w:val="0"/>
              <w:autoSpaceDN w:val="0"/>
              <w:adjustRightInd w:val="0"/>
              <w:spacing w:before="0"/>
              <w:jc w:val="center"/>
              <w:rPr>
                <w:rFonts w:cs="Calibri"/>
                <w:b/>
                <w:bCs/>
                <w:color w:val="000000"/>
                <w:sz w:val="22"/>
                <w:szCs w:val="22"/>
                <w:lang w:eastAsia="en-AU"/>
              </w:rPr>
            </w:pPr>
          </w:p>
        </w:tc>
        <w:tc>
          <w:tcPr>
            <w:tcW w:w="595" w:type="dxa"/>
            <w:tcBorders>
              <w:top w:val="double" w:sz="6" w:space="0" w:color="auto"/>
              <w:left w:val="nil"/>
              <w:bottom w:val="double" w:sz="6" w:space="0" w:color="auto"/>
              <w:right w:val="single" w:sz="12" w:space="0" w:color="auto"/>
            </w:tcBorders>
            <w:shd w:val="solid" w:color="FFFFFF" w:fill="auto"/>
          </w:tcPr>
          <w:p w:rsidR="00456E00" w:rsidRDefault="00456E00">
            <w:pPr>
              <w:autoSpaceDE w:val="0"/>
              <w:autoSpaceDN w:val="0"/>
              <w:adjustRightInd w:val="0"/>
              <w:spacing w:before="0"/>
              <w:jc w:val="center"/>
              <w:rPr>
                <w:rFonts w:cs="Calibri"/>
                <w:b/>
                <w:bCs/>
                <w:color w:val="000000"/>
                <w:sz w:val="22"/>
                <w:szCs w:val="22"/>
                <w:lang w:eastAsia="en-AU"/>
              </w:rPr>
            </w:pPr>
          </w:p>
        </w:tc>
      </w:tr>
      <w:tr w:rsidR="00456E00" w:rsidTr="00D46309">
        <w:trPr>
          <w:trHeight w:val="667"/>
        </w:trPr>
        <w:tc>
          <w:tcPr>
            <w:tcW w:w="804" w:type="dxa"/>
            <w:tcBorders>
              <w:top w:val="double" w:sz="6" w:space="0" w:color="auto"/>
              <w:left w:val="single" w:sz="12" w:space="0" w:color="auto"/>
              <w:bottom w:val="double" w:sz="6" w:space="0" w:color="auto"/>
              <w:right w:val="double" w:sz="6" w:space="0" w:color="auto"/>
            </w:tcBorders>
          </w:tcPr>
          <w:p w:rsidR="00456E00" w:rsidRDefault="00456E00">
            <w:pPr>
              <w:autoSpaceDE w:val="0"/>
              <w:autoSpaceDN w:val="0"/>
              <w:adjustRightInd w:val="0"/>
              <w:spacing w:before="0"/>
              <w:rPr>
                <w:rFonts w:cs="Calibri"/>
                <w:b/>
                <w:bCs/>
                <w:color w:val="000000"/>
                <w:sz w:val="22"/>
                <w:szCs w:val="22"/>
                <w:lang w:eastAsia="en-AU"/>
              </w:rPr>
            </w:pPr>
            <w:r>
              <w:rPr>
                <w:rFonts w:cs="Calibri"/>
                <w:b/>
                <w:bCs/>
                <w:color w:val="000000"/>
                <w:sz w:val="22"/>
                <w:szCs w:val="22"/>
                <w:lang w:eastAsia="en-AU"/>
              </w:rPr>
              <w:t>Community Law Centre</w:t>
            </w:r>
          </w:p>
        </w:tc>
        <w:tc>
          <w:tcPr>
            <w:tcW w:w="408" w:type="dxa"/>
            <w:tcBorders>
              <w:top w:val="double" w:sz="6" w:space="0" w:color="auto"/>
              <w:left w:val="double" w:sz="6" w:space="0" w:color="auto"/>
              <w:bottom w:val="double" w:sz="6" w:space="0" w:color="auto"/>
              <w:right w:val="double" w:sz="6" w:space="0" w:color="auto"/>
            </w:tcBorders>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2.1.1.1</w:t>
            </w:r>
          </w:p>
        </w:tc>
        <w:tc>
          <w:tcPr>
            <w:tcW w:w="595"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MJCA</w:t>
            </w:r>
          </w:p>
        </w:tc>
        <w:tc>
          <w:tcPr>
            <w:tcW w:w="468"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2012/13</w:t>
            </w:r>
          </w:p>
        </w:tc>
        <w:tc>
          <w:tcPr>
            <w:tcW w:w="1611" w:type="dxa"/>
            <w:tcBorders>
              <w:top w:val="double" w:sz="6" w:space="0" w:color="auto"/>
              <w:left w:val="nil"/>
              <w:bottom w:val="double" w:sz="6" w:space="0" w:color="auto"/>
              <w:right w:val="double" w:sz="6"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*Community Law Centre Established by June 2013</w:t>
            </w:r>
          </w:p>
        </w:tc>
        <w:tc>
          <w:tcPr>
            <w:tcW w:w="1084" w:type="dxa"/>
            <w:tcBorders>
              <w:top w:val="double" w:sz="6" w:space="0" w:color="auto"/>
              <w:left w:val="double" w:sz="6" w:space="0" w:color="auto"/>
              <w:bottom w:val="double" w:sz="6" w:space="0" w:color="auto"/>
              <w:right w:val="double" w:sz="6" w:space="0" w:color="auto"/>
            </w:tcBorders>
            <w:shd w:val="solid" w:color="FF0000"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Critical Shortfall/ Delay</w:t>
            </w:r>
          </w:p>
        </w:tc>
        <w:tc>
          <w:tcPr>
            <w:tcW w:w="1949" w:type="dxa"/>
            <w:tcBorders>
              <w:top w:val="double" w:sz="6" w:space="0" w:color="auto"/>
              <w:left w:val="double" w:sz="6" w:space="0" w:color="auto"/>
              <w:bottom w:val="double" w:sz="6" w:space="0" w:color="auto"/>
              <w:right w:val="nil"/>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*Free or easier Public access to legal services/advice.</w:t>
            </w:r>
          </w:p>
        </w:tc>
        <w:tc>
          <w:tcPr>
            <w:tcW w:w="2335" w:type="dxa"/>
            <w:gridSpan w:val="3"/>
            <w:tcBorders>
              <w:top w:val="double" w:sz="6" w:space="0" w:color="auto"/>
              <w:left w:val="double" w:sz="6" w:space="0" w:color="auto"/>
              <w:bottom w:val="double" w:sz="6" w:space="0" w:color="auto"/>
              <w:right w:val="single" w:sz="12"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 xml:space="preserve">The community Law Centre Bill has been referred to the Select Committee after its second reading in Parliament in October 2014. It is currently open for public comments and submissions. Any changes that arise will be done to the Bill before its third reading and passing this year 2015. The process of setting up of Community Law </w:t>
            </w:r>
            <w:r w:rsidR="00E46172">
              <w:rPr>
                <w:rFonts w:cs="Calibri"/>
                <w:color w:val="000000"/>
                <w:sz w:val="22"/>
                <w:szCs w:val="22"/>
                <w:lang w:eastAsia="en-AU"/>
              </w:rPr>
              <w:t>Centre</w:t>
            </w:r>
            <w:r>
              <w:rPr>
                <w:rFonts w:cs="Calibri"/>
                <w:color w:val="000000"/>
                <w:sz w:val="22"/>
                <w:szCs w:val="22"/>
                <w:lang w:eastAsia="en-AU"/>
              </w:rPr>
              <w:t xml:space="preserve"> is currently in progress.</w:t>
            </w:r>
          </w:p>
        </w:tc>
      </w:tr>
      <w:tr w:rsidR="00456E00" w:rsidTr="00D46309">
        <w:trPr>
          <w:trHeight w:val="1742"/>
        </w:trPr>
        <w:tc>
          <w:tcPr>
            <w:tcW w:w="804" w:type="dxa"/>
            <w:tcBorders>
              <w:top w:val="double" w:sz="6" w:space="0" w:color="auto"/>
              <w:left w:val="single" w:sz="12" w:space="0" w:color="auto"/>
              <w:bottom w:val="double" w:sz="6" w:space="0" w:color="auto"/>
              <w:right w:val="double" w:sz="6" w:space="0" w:color="auto"/>
            </w:tcBorders>
          </w:tcPr>
          <w:p w:rsidR="00456E00" w:rsidRDefault="00456E00">
            <w:pPr>
              <w:autoSpaceDE w:val="0"/>
              <w:autoSpaceDN w:val="0"/>
              <w:adjustRightInd w:val="0"/>
              <w:spacing w:before="0"/>
              <w:rPr>
                <w:rFonts w:cs="Calibri"/>
                <w:b/>
                <w:bCs/>
                <w:color w:val="000000"/>
                <w:sz w:val="22"/>
                <w:szCs w:val="22"/>
                <w:lang w:eastAsia="en-AU"/>
              </w:rPr>
            </w:pPr>
            <w:r>
              <w:rPr>
                <w:rFonts w:cs="Calibri"/>
                <w:b/>
                <w:bCs/>
                <w:color w:val="000000"/>
                <w:sz w:val="22"/>
                <w:szCs w:val="22"/>
                <w:lang w:eastAsia="en-AU"/>
              </w:rPr>
              <w:t>SVSG Personalised Support Officer at Courts</w:t>
            </w:r>
          </w:p>
        </w:tc>
        <w:tc>
          <w:tcPr>
            <w:tcW w:w="408" w:type="dxa"/>
            <w:tcBorders>
              <w:top w:val="double" w:sz="6" w:space="0" w:color="auto"/>
              <w:left w:val="double" w:sz="6" w:space="0" w:color="auto"/>
              <w:bottom w:val="double" w:sz="6" w:space="0" w:color="auto"/>
              <w:right w:val="double" w:sz="6" w:space="0" w:color="auto"/>
            </w:tcBorders>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2.1.1.3</w:t>
            </w:r>
          </w:p>
        </w:tc>
        <w:tc>
          <w:tcPr>
            <w:tcW w:w="595"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SVSG</w:t>
            </w:r>
          </w:p>
        </w:tc>
        <w:tc>
          <w:tcPr>
            <w:tcW w:w="468"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2012/13</w:t>
            </w:r>
          </w:p>
        </w:tc>
        <w:tc>
          <w:tcPr>
            <w:tcW w:w="1611" w:type="dxa"/>
            <w:tcBorders>
              <w:top w:val="double" w:sz="6" w:space="0" w:color="auto"/>
              <w:left w:val="nil"/>
              <w:bottom w:val="double" w:sz="6" w:space="0" w:color="auto"/>
              <w:right w:val="double" w:sz="6"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*A new service for victims available January 2013.                                                                                   *Officer to be recruited by December 2012. *Number of users of the new service.</w:t>
            </w:r>
          </w:p>
        </w:tc>
        <w:tc>
          <w:tcPr>
            <w:tcW w:w="1084" w:type="dxa"/>
            <w:tcBorders>
              <w:top w:val="double" w:sz="6" w:space="0" w:color="auto"/>
              <w:left w:val="double" w:sz="6" w:space="0" w:color="auto"/>
              <w:bottom w:val="double" w:sz="6" w:space="0" w:color="auto"/>
              <w:right w:val="double" w:sz="6" w:space="0" w:color="auto"/>
            </w:tcBorders>
            <w:shd w:val="solid" w:color="99CC00" w:fill="auto"/>
          </w:tcPr>
          <w:p w:rsidR="00456E00" w:rsidRDefault="00456E00">
            <w:pPr>
              <w:autoSpaceDE w:val="0"/>
              <w:autoSpaceDN w:val="0"/>
              <w:adjustRightInd w:val="0"/>
              <w:spacing w:before="0"/>
              <w:rPr>
                <w:rFonts w:cs="Calibri"/>
                <w:color w:val="800080"/>
                <w:sz w:val="22"/>
                <w:szCs w:val="22"/>
                <w:lang w:eastAsia="en-AU"/>
              </w:rPr>
            </w:pPr>
            <w:r>
              <w:rPr>
                <w:rFonts w:cs="Calibri"/>
                <w:color w:val="800080"/>
                <w:sz w:val="22"/>
                <w:szCs w:val="22"/>
                <w:lang w:eastAsia="en-AU"/>
              </w:rPr>
              <w:t>Completed/ Achieved</w:t>
            </w:r>
          </w:p>
        </w:tc>
        <w:tc>
          <w:tcPr>
            <w:tcW w:w="1949" w:type="dxa"/>
            <w:tcBorders>
              <w:top w:val="double" w:sz="6" w:space="0" w:color="auto"/>
              <w:left w:val="double" w:sz="6" w:space="0" w:color="auto"/>
              <w:bottom w:val="double" w:sz="6" w:space="0" w:color="auto"/>
              <w:right w:val="nil"/>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Victims are well supported at Courts.</w:t>
            </w:r>
          </w:p>
        </w:tc>
        <w:tc>
          <w:tcPr>
            <w:tcW w:w="2335" w:type="dxa"/>
            <w:gridSpan w:val="3"/>
            <w:tcBorders>
              <w:top w:val="double" w:sz="6" w:space="0" w:color="auto"/>
              <w:left w:val="double" w:sz="6" w:space="0" w:color="auto"/>
              <w:bottom w:val="double" w:sz="6" w:space="0" w:color="auto"/>
              <w:right w:val="single" w:sz="12"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Full time Court Support Officer recruited in April 2013. Court support accessible 5 days a week at the court. A total number of 1,170 users of this service since the project began.</w:t>
            </w:r>
          </w:p>
        </w:tc>
      </w:tr>
      <w:tr w:rsidR="00456E00" w:rsidTr="00D46309">
        <w:trPr>
          <w:trHeight w:val="226"/>
        </w:trPr>
        <w:tc>
          <w:tcPr>
            <w:tcW w:w="4970" w:type="dxa"/>
            <w:gridSpan w:val="6"/>
            <w:tcBorders>
              <w:top w:val="double" w:sz="6" w:space="0" w:color="auto"/>
              <w:left w:val="single" w:sz="12" w:space="0" w:color="auto"/>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22"/>
                <w:szCs w:val="22"/>
                <w:lang w:eastAsia="en-AU"/>
              </w:rPr>
            </w:pPr>
            <w:r>
              <w:rPr>
                <w:rFonts w:ascii="Arial" w:hAnsi="Arial" w:cs="Arial"/>
                <w:color w:val="000000"/>
                <w:sz w:val="22"/>
                <w:szCs w:val="22"/>
                <w:lang w:eastAsia="en-AU"/>
              </w:rPr>
              <w:t>Sub Strategy  2.1.2 – Strengthen Systems and Processes</w:t>
            </w:r>
          </w:p>
        </w:tc>
        <w:tc>
          <w:tcPr>
            <w:tcW w:w="1949" w:type="dxa"/>
            <w:tcBorders>
              <w:top w:val="double" w:sz="6" w:space="0" w:color="auto"/>
              <w:left w:val="nil"/>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22"/>
                <w:szCs w:val="22"/>
                <w:lang w:eastAsia="en-AU"/>
              </w:rPr>
            </w:pPr>
          </w:p>
        </w:tc>
        <w:tc>
          <w:tcPr>
            <w:tcW w:w="1063" w:type="dxa"/>
            <w:tcBorders>
              <w:top w:val="double" w:sz="6" w:space="0" w:color="auto"/>
              <w:left w:val="nil"/>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22"/>
                <w:szCs w:val="22"/>
                <w:lang w:eastAsia="en-AU"/>
              </w:rPr>
            </w:pPr>
          </w:p>
        </w:tc>
        <w:tc>
          <w:tcPr>
            <w:tcW w:w="677" w:type="dxa"/>
            <w:tcBorders>
              <w:top w:val="double" w:sz="6" w:space="0" w:color="auto"/>
              <w:left w:val="nil"/>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22"/>
                <w:szCs w:val="22"/>
                <w:lang w:eastAsia="en-AU"/>
              </w:rPr>
            </w:pPr>
          </w:p>
        </w:tc>
        <w:tc>
          <w:tcPr>
            <w:tcW w:w="595" w:type="dxa"/>
            <w:tcBorders>
              <w:top w:val="double" w:sz="6" w:space="0" w:color="auto"/>
              <w:left w:val="nil"/>
              <w:bottom w:val="double" w:sz="6" w:space="0" w:color="auto"/>
              <w:right w:val="single" w:sz="12" w:space="0" w:color="auto"/>
            </w:tcBorders>
            <w:shd w:val="solid" w:color="969696" w:fill="auto"/>
          </w:tcPr>
          <w:p w:rsidR="00456E00" w:rsidRDefault="00456E00">
            <w:pPr>
              <w:autoSpaceDE w:val="0"/>
              <w:autoSpaceDN w:val="0"/>
              <w:adjustRightInd w:val="0"/>
              <w:spacing w:before="0"/>
              <w:jc w:val="center"/>
              <w:rPr>
                <w:rFonts w:ascii="Arial" w:hAnsi="Arial" w:cs="Arial"/>
                <w:color w:val="000000"/>
                <w:sz w:val="22"/>
                <w:szCs w:val="22"/>
                <w:lang w:eastAsia="en-AU"/>
              </w:rPr>
            </w:pPr>
          </w:p>
        </w:tc>
      </w:tr>
      <w:tr w:rsidR="00456E00" w:rsidTr="00D46309">
        <w:trPr>
          <w:trHeight w:val="2818"/>
        </w:trPr>
        <w:tc>
          <w:tcPr>
            <w:tcW w:w="804" w:type="dxa"/>
            <w:tcBorders>
              <w:top w:val="double" w:sz="6" w:space="0" w:color="auto"/>
              <w:left w:val="single" w:sz="12" w:space="0" w:color="auto"/>
              <w:bottom w:val="double" w:sz="6" w:space="0" w:color="auto"/>
              <w:right w:val="double" w:sz="6" w:space="0" w:color="auto"/>
            </w:tcBorders>
          </w:tcPr>
          <w:p w:rsidR="00456E00" w:rsidRDefault="00456E00">
            <w:pPr>
              <w:autoSpaceDE w:val="0"/>
              <w:autoSpaceDN w:val="0"/>
              <w:adjustRightInd w:val="0"/>
              <w:spacing w:before="0"/>
              <w:rPr>
                <w:rFonts w:cs="Calibri"/>
                <w:b/>
                <w:bCs/>
                <w:color w:val="000000"/>
                <w:sz w:val="22"/>
                <w:szCs w:val="22"/>
                <w:lang w:eastAsia="en-AU"/>
              </w:rPr>
            </w:pPr>
            <w:r>
              <w:rPr>
                <w:rFonts w:cs="Calibri"/>
                <w:b/>
                <w:bCs/>
                <w:color w:val="000000"/>
                <w:sz w:val="22"/>
                <w:szCs w:val="22"/>
                <w:lang w:eastAsia="en-AU"/>
              </w:rPr>
              <w:t xml:space="preserve">Review of Traditional Knowledge and Expressions of Nature                                Legislative </w:t>
            </w:r>
            <w:r>
              <w:rPr>
                <w:rFonts w:cs="Calibri"/>
                <w:b/>
                <w:bCs/>
                <w:color w:val="000000"/>
                <w:sz w:val="22"/>
                <w:szCs w:val="22"/>
                <w:lang w:eastAsia="en-AU"/>
              </w:rPr>
              <w:lastRenderedPageBreak/>
              <w:t xml:space="preserve">Review                                           Draft Legislation          </w:t>
            </w:r>
          </w:p>
        </w:tc>
        <w:tc>
          <w:tcPr>
            <w:tcW w:w="408" w:type="dxa"/>
            <w:tcBorders>
              <w:top w:val="double" w:sz="6" w:space="0" w:color="auto"/>
              <w:left w:val="double" w:sz="6" w:space="0" w:color="auto"/>
              <w:bottom w:val="double" w:sz="6" w:space="0" w:color="auto"/>
              <w:right w:val="double" w:sz="6" w:space="0" w:color="auto"/>
            </w:tcBorders>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lastRenderedPageBreak/>
              <w:t>2.1.2.1</w:t>
            </w:r>
          </w:p>
        </w:tc>
        <w:tc>
          <w:tcPr>
            <w:tcW w:w="595"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SLRC</w:t>
            </w:r>
          </w:p>
        </w:tc>
        <w:tc>
          <w:tcPr>
            <w:tcW w:w="468"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2012/13</w:t>
            </w:r>
          </w:p>
        </w:tc>
        <w:tc>
          <w:tcPr>
            <w:tcW w:w="1611" w:type="dxa"/>
            <w:tcBorders>
              <w:top w:val="double" w:sz="6" w:space="0" w:color="auto"/>
              <w:left w:val="nil"/>
              <w:bottom w:val="double" w:sz="6" w:space="0" w:color="auto"/>
              <w:right w:val="double" w:sz="6"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 xml:space="preserve">*Carry out relevant legislative review.                    *Draft necessary new or </w:t>
            </w:r>
            <w:proofErr w:type="spellStart"/>
            <w:r>
              <w:rPr>
                <w:rFonts w:cs="Calibri"/>
                <w:color w:val="000000"/>
                <w:sz w:val="22"/>
                <w:szCs w:val="22"/>
                <w:lang w:eastAsia="en-AU"/>
              </w:rPr>
              <w:t>ammended</w:t>
            </w:r>
            <w:proofErr w:type="spellEnd"/>
            <w:r>
              <w:rPr>
                <w:rFonts w:cs="Calibri"/>
                <w:color w:val="000000"/>
                <w:sz w:val="22"/>
                <w:szCs w:val="22"/>
                <w:lang w:eastAsia="en-AU"/>
              </w:rPr>
              <w:t xml:space="preserve"> legislation.                                                               *Number of new legislation amended and </w:t>
            </w:r>
            <w:r>
              <w:rPr>
                <w:rFonts w:cs="Calibri"/>
                <w:color w:val="000000"/>
                <w:sz w:val="22"/>
                <w:szCs w:val="22"/>
                <w:lang w:eastAsia="en-AU"/>
              </w:rPr>
              <w:lastRenderedPageBreak/>
              <w:t>new legislation drafted.</w:t>
            </w:r>
          </w:p>
        </w:tc>
        <w:tc>
          <w:tcPr>
            <w:tcW w:w="1084" w:type="dxa"/>
            <w:tcBorders>
              <w:top w:val="double" w:sz="6" w:space="0" w:color="auto"/>
              <w:left w:val="double" w:sz="6" w:space="0" w:color="auto"/>
              <w:bottom w:val="double" w:sz="6" w:space="0" w:color="auto"/>
              <w:right w:val="double" w:sz="6" w:space="0" w:color="auto"/>
            </w:tcBorders>
            <w:shd w:val="solid" w:color="FFCC00"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lastRenderedPageBreak/>
              <w:t>Behind Schedule</w:t>
            </w:r>
          </w:p>
        </w:tc>
        <w:tc>
          <w:tcPr>
            <w:tcW w:w="1949" w:type="dxa"/>
            <w:tcBorders>
              <w:top w:val="single" w:sz="12" w:space="0" w:color="000000"/>
              <w:left w:val="single" w:sz="12" w:space="0" w:color="000000"/>
              <w:bottom w:val="single" w:sz="12" w:space="0" w:color="000000"/>
              <w:right w:val="nil"/>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 xml:space="preserve">An appropriate  legal framework for the protection of the traditional knowledge and expressions of culture for Samoa </w:t>
            </w:r>
          </w:p>
        </w:tc>
        <w:tc>
          <w:tcPr>
            <w:tcW w:w="2335" w:type="dxa"/>
            <w:gridSpan w:val="3"/>
            <w:tcBorders>
              <w:top w:val="double" w:sz="6" w:space="0" w:color="auto"/>
              <w:left w:val="double" w:sz="6" w:space="0" w:color="auto"/>
              <w:bottom w:val="double" w:sz="6" w:space="0" w:color="auto"/>
              <w:right w:val="single" w:sz="12"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Final Report to be completed 2014/2015   to determine whether a new legislation is drafted</w:t>
            </w:r>
          </w:p>
        </w:tc>
      </w:tr>
      <w:tr w:rsidR="00456E00" w:rsidTr="00D46309">
        <w:trPr>
          <w:trHeight w:val="5897"/>
        </w:trPr>
        <w:tc>
          <w:tcPr>
            <w:tcW w:w="804" w:type="dxa"/>
            <w:tcBorders>
              <w:top w:val="double" w:sz="6" w:space="0" w:color="auto"/>
              <w:left w:val="single" w:sz="12" w:space="0" w:color="auto"/>
              <w:bottom w:val="double" w:sz="6" w:space="0" w:color="auto"/>
              <w:right w:val="double" w:sz="6" w:space="0" w:color="auto"/>
            </w:tcBorders>
          </w:tcPr>
          <w:p w:rsidR="00456E00" w:rsidRDefault="00456E00">
            <w:pPr>
              <w:autoSpaceDE w:val="0"/>
              <w:autoSpaceDN w:val="0"/>
              <w:adjustRightInd w:val="0"/>
              <w:spacing w:before="0"/>
              <w:rPr>
                <w:rFonts w:cs="Calibri"/>
                <w:b/>
                <w:bCs/>
                <w:color w:val="000000"/>
                <w:sz w:val="22"/>
                <w:szCs w:val="22"/>
                <w:lang w:eastAsia="en-AU"/>
              </w:rPr>
            </w:pPr>
            <w:r>
              <w:rPr>
                <w:rFonts w:cs="Calibri"/>
                <w:b/>
                <w:bCs/>
                <w:color w:val="000000"/>
                <w:sz w:val="22"/>
                <w:szCs w:val="22"/>
                <w:lang w:eastAsia="en-AU"/>
              </w:rPr>
              <w:lastRenderedPageBreak/>
              <w:t>Digitization of the Land and Titles Court Records</w:t>
            </w:r>
          </w:p>
        </w:tc>
        <w:tc>
          <w:tcPr>
            <w:tcW w:w="408" w:type="dxa"/>
            <w:tcBorders>
              <w:top w:val="double" w:sz="6" w:space="0" w:color="auto"/>
              <w:left w:val="double" w:sz="6" w:space="0" w:color="auto"/>
              <w:bottom w:val="double" w:sz="6" w:space="0" w:color="auto"/>
              <w:right w:val="double" w:sz="6" w:space="0" w:color="auto"/>
            </w:tcBorders>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2.1.2.4</w:t>
            </w:r>
          </w:p>
        </w:tc>
        <w:tc>
          <w:tcPr>
            <w:tcW w:w="595"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MJCA</w:t>
            </w:r>
          </w:p>
        </w:tc>
        <w:tc>
          <w:tcPr>
            <w:tcW w:w="468"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2012/13 to 2015/16</w:t>
            </w:r>
          </w:p>
        </w:tc>
        <w:tc>
          <w:tcPr>
            <w:tcW w:w="1611" w:type="dxa"/>
            <w:tcBorders>
              <w:top w:val="double" w:sz="6" w:space="0" w:color="auto"/>
              <w:left w:val="nil"/>
              <w:bottom w:val="double" w:sz="6" w:space="0" w:color="auto"/>
              <w:right w:val="double" w:sz="6"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*Information Management System Established.                                            *Number of digitised records.                            *Number of Records and Reports accessed via computerised integrated information system.                                                                   * Recruitment &amp; Selection of additional and new staff.                                                                                  *Digitization project established in Savaii by December 2013</w:t>
            </w:r>
          </w:p>
        </w:tc>
        <w:tc>
          <w:tcPr>
            <w:tcW w:w="1084" w:type="dxa"/>
            <w:tcBorders>
              <w:top w:val="double" w:sz="6" w:space="0" w:color="auto"/>
              <w:left w:val="double" w:sz="6" w:space="0" w:color="auto"/>
              <w:bottom w:val="double" w:sz="6" w:space="0" w:color="auto"/>
              <w:right w:val="double" w:sz="6" w:space="0" w:color="auto"/>
            </w:tcBorders>
            <w:shd w:val="solid" w:color="99CC00" w:fill="auto"/>
          </w:tcPr>
          <w:p w:rsidR="00456E00" w:rsidRDefault="00456E00">
            <w:pPr>
              <w:autoSpaceDE w:val="0"/>
              <w:autoSpaceDN w:val="0"/>
              <w:adjustRightInd w:val="0"/>
              <w:spacing w:before="0"/>
              <w:rPr>
                <w:rFonts w:cs="Calibri"/>
                <w:color w:val="800080"/>
                <w:sz w:val="22"/>
                <w:szCs w:val="22"/>
                <w:lang w:eastAsia="en-AU"/>
              </w:rPr>
            </w:pPr>
            <w:r>
              <w:rPr>
                <w:rFonts w:cs="Calibri"/>
                <w:color w:val="800080"/>
                <w:sz w:val="22"/>
                <w:szCs w:val="22"/>
                <w:lang w:eastAsia="en-AU"/>
              </w:rPr>
              <w:t>Completed/ Achieved</w:t>
            </w:r>
          </w:p>
        </w:tc>
        <w:tc>
          <w:tcPr>
            <w:tcW w:w="1949" w:type="dxa"/>
            <w:tcBorders>
              <w:top w:val="double" w:sz="6" w:space="0" w:color="auto"/>
              <w:left w:val="double" w:sz="6" w:space="0" w:color="auto"/>
              <w:bottom w:val="double" w:sz="6" w:space="0" w:color="auto"/>
              <w:right w:val="nil"/>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*Proper Index library of Records that will assist with timely provision of records and information to the Samoan Judges for their work as well as to staff and members of public request copies.                                                                      *Secured records of the Land &amp; Titles Court as in Electronic form the Ministry will be able to make back-up copies for storage, preservation and future usage.                                                                                     *Improved public access to the Land &amp; Titles Court records as public will be able to view scanned images of records on computer monitor and make copies if need to.                                                                                        * Increase productivity of Records staff in searching files, retrieving information and making records of the Land &amp; Titles Court available in a timely manner unlike the previous practice.</w:t>
            </w:r>
          </w:p>
        </w:tc>
        <w:tc>
          <w:tcPr>
            <w:tcW w:w="2335" w:type="dxa"/>
            <w:gridSpan w:val="3"/>
            <w:tcBorders>
              <w:top w:val="double" w:sz="6" w:space="0" w:color="auto"/>
              <w:left w:val="double" w:sz="6" w:space="0" w:color="auto"/>
              <w:bottom w:val="double" w:sz="6" w:space="0" w:color="auto"/>
              <w:right w:val="single" w:sz="12" w:space="0" w:color="auto"/>
            </w:tcBorders>
            <w:shd w:val="solid" w:color="FFFFFF" w:fill="auto"/>
          </w:tcPr>
          <w:p w:rsidR="00456E00" w:rsidRDefault="00456E00" w:rsidP="00B3702C">
            <w:pPr>
              <w:autoSpaceDE w:val="0"/>
              <w:autoSpaceDN w:val="0"/>
              <w:adjustRightInd w:val="0"/>
              <w:spacing w:before="0"/>
              <w:rPr>
                <w:rFonts w:cs="Calibri"/>
                <w:color w:val="000000"/>
                <w:sz w:val="22"/>
                <w:szCs w:val="22"/>
                <w:lang w:eastAsia="en-AU"/>
              </w:rPr>
            </w:pPr>
            <w:r>
              <w:rPr>
                <w:rFonts w:cs="Calibri"/>
                <w:color w:val="000000"/>
                <w:sz w:val="22"/>
                <w:szCs w:val="22"/>
                <w:lang w:eastAsia="en-AU"/>
              </w:rPr>
              <w:t xml:space="preserve">Digitisation Project first implemented in February 2011. The Project Team fully recruited and started working on file repair and maintenance in July of the same year awaiting arrival of equipment, followed by installation of machines in November 2011. We have now completed the scanning 25,080 files, and stored a total to 1,139,789 pages into the </w:t>
            </w:r>
            <w:proofErr w:type="spellStart"/>
            <w:r>
              <w:rPr>
                <w:rFonts w:cs="Calibri"/>
                <w:color w:val="000000"/>
                <w:sz w:val="22"/>
                <w:szCs w:val="22"/>
                <w:lang w:eastAsia="en-AU"/>
              </w:rPr>
              <w:t>Docsvault</w:t>
            </w:r>
            <w:proofErr w:type="spellEnd"/>
            <w:r>
              <w:rPr>
                <w:rFonts w:cs="Calibri"/>
                <w:color w:val="000000"/>
                <w:sz w:val="22"/>
                <w:szCs w:val="22"/>
                <w:lang w:eastAsia="en-AU"/>
              </w:rPr>
              <w:t xml:space="preserve"> System as at 30th  November 2014. The system serves a very important role to the Ministry of Justice and Court Administration of not only preservation of all LTC Records in fully indexed electronic form, but also created backup copies of all files in the event of natural disaster. It will also improve access by the public, particularly the interested parties enabling easy viewing of these vital documents via computer monitors. It also facilitate easy access to records much faster.</w:t>
            </w:r>
          </w:p>
        </w:tc>
      </w:tr>
      <w:tr w:rsidR="00456E00" w:rsidTr="00D46309">
        <w:trPr>
          <w:trHeight w:val="5897"/>
        </w:trPr>
        <w:tc>
          <w:tcPr>
            <w:tcW w:w="804" w:type="dxa"/>
            <w:tcBorders>
              <w:top w:val="double" w:sz="6" w:space="0" w:color="auto"/>
              <w:left w:val="single" w:sz="12" w:space="0" w:color="auto"/>
              <w:bottom w:val="double" w:sz="6" w:space="0" w:color="auto"/>
              <w:right w:val="double" w:sz="6" w:space="0" w:color="auto"/>
            </w:tcBorders>
          </w:tcPr>
          <w:p w:rsidR="00456E00" w:rsidRDefault="00456E00">
            <w:pPr>
              <w:autoSpaceDE w:val="0"/>
              <w:autoSpaceDN w:val="0"/>
              <w:adjustRightInd w:val="0"/>
              <w:spacing w:before="0"/>
              <w:rPr>
                <w:rFonts w:cs="Calibri"/>
                <w:b/>
                <w:bCs/>
                <w:color w:val="000000"/>
                <w:sz w:val="22"/>
                <w:szCs w:val="22"/>
                <w:lang w:eastAsia="en-AU"/>
              </w:rPr>
            </w:pPr>
            <w:proofErr w:type="spellStart"/>
            <w:r>
              <w:rPr>
                <w:rFonts w:cs="Calibri"/>
                <w:b/>
                <w:bCs/>
                <w:color w:val="000000"/>
                <w:sz w:val="22"/>
                <w:szCs w:val="22"/>
                <w:lang w:eastAsia="en-AU"/>
              </w:rPr>
              <w:lastRenderedPageBreak/>
              <w:t>SamLII</w:t>
            </w:r>
            <w:proofErr w:type="spellEnd"/>
            <w:r>
              <w:rPr>
                <w:rFonts w:cs="Calibri"/>
                <w:b/>
                <w:bCs/>
                <w:color w:val="000000"/>
                <w:sz w:val="22"/>
                <w:szCs w:val="22"/>
                <w:lang w:eastAsia="en-AU"/>
              </w:rPr>
              <w:t xml:space="preserve"> Project</w:t>
            </w:r>
          </w:p>
        </w:tc>
        <w:tc>
          <w:tcPr>
            <w:tcW w:w="408" w:type="dxa"/>
            <w:tcBorders>
              <w:top w:val="double" w:sz="6" w:space="0" w:color="auto"/>
              <w:left w:val="double" w:sz="6" w:space="0" w:color="auto"/>
              <w:bottom w:val="double" w:sz="6" w:space="0" w:color="auto"/>
              <w:right w:val="double" w:sz="6" w:space="0" w:color="auto"/>
            </w:tcBorders>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2.1.2.5</w:t>
            </w:r>
          </w:p>
        </w:tc>
        <w:tc>
          <w:tcPr>
            <w:tcW w:w="595"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MJCA</w:t>
            </w:r>
          </w:p>
        </w:tc>
        <w:tc>
          <w:tcPr>
            <w:tcW w:w="468"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2013-14</w:t>
            </w:r>
          </w:p>
        </w:tc>
        <w:tc>
          <w:tcPr>
            <w:tcW w:w="1611" w:type="dxa"/>
            <w:tcBorders>
              <w:top w:val="double" w:sz="6" w:space="0" w:color="auto"/>
              <w:left w:val="nil"/>
              <w:bottom w:val="double" w:sz="6" w:space="0" w:color="auto"/>
              <w:right w:val="double" w:sz="6"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 Information Management System established &amp; launched.                                                                        *Improved public access to Legal Information.                                                 *</w:t>
            </w:r>
            <w:proofErr w:type="spellStart"/>
            <w:r>
              <w:rPr>
                <w:rFonts w:cs="Calibri"/>
                <w:color w:val="000000"/>
                <w:sz w:val="22"/>
                <w:szCs w:val="22"/>
                <w:lang w:eastAsia="en-AU"/>
              </w:rPr>
              <w:t>SamLII</w:t>
            </w:r>
            <w:proofErr w:type="spellEnd"/>
            <w:r>
              <w:rPr>
                <w:rFonts w:cs="Calibri"/>
                <w:color w:val="000000"/>
                <w:sz w:val="22"/>
                <w:szCs w:val="22"/>
                <w:lang w:eastAsia="en-AU"/>
              </w:rPr>
              <w:t xml:space="preserve"> successfully hosted and located in Samoa by June 2014</w:t>
            </w:r>
          </w:p>
        </w:tc>
        <w:tc>
          <w:tcPr>
            <w:tcW w:w="1084" w:type="dxa"/>
            <w:tcBorders>
              <w:top w:val="double" w:sz="6" w:space="0" w:color="auto"/>
              <w:left w:val="double" w:sz="6" w:space="0" w:color="auto"/>
              <w:bottom w:val="double" w:sz="6" w:space="0" w:color="auto"/>
              <w:right w:val="double" w:sz="6" w:space="0" w:color="auto"/>
            </w:tcBorders>
            <w:shd w:val="solid" w:color="99CC00" w:fill="auto"/>
          </w:tcPr>
          <w:p w:rsidR="00456E00" w:rsidRDefault="00456E00">
            <w:pPr>
              <w:autoSpaceDE w:val="0"/>
              <w:autoSpaceDN w:val="0"/>
              <w:adjustRightInd w:val="0"/>
              <w:spacing w:before="0"/>
              <w:rPr>
                <w:rFonts w:cs="Calibri"/>
                <w:color w:val="800080"/>
                <w:sz w:val="22"/>
                <w:szCs w:val="22"/>
                <w:lang w:eastAsia="en-AU"/>
              </w:rPr>
            </w:pPr>
            <w:r>
              <w:rPr>
                <w:rFonts w:cs="Calibri"/>
                <w:color w:val="800080"/>
                <w:sz w:val="22"/>
                <w:szCs w:val="22"/>
                <w:lang w:eastAsia="en-AU"/>
              </w:rPr>
              <w:t>Completed/ Achieved</w:t>
            </w:r>
          </w:p>
        </w:tc>
        <w:tc>
          <w:tcPr>
            <w:tcW w:w="1949" w:type="dxa"/>
            <w:tcBorders>
              <w:top w:val="double" w:sz="6" w:space="0" w:color="auto"/>
              <w:left w:val="double" w:sz="6" w:space="0" w:color="auto"/>
              <w:bottom w:val="double" w:sz="6" w:space="0" w:color="auto"/>
              <w:right w:val="nil"/>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 xml:space="preserve">*Public access will pave the way and promote good governance, in terms of transparency and accountability in the law.                                                     *This project will improve access to justice, law and legal services.                                                                   *Development of a Samoan Jurisprudence which integrates customary and Community based justice with the English Justice System as a result of the access and the exposure of the public to online legal information.                                                                               *Judges, lawyers and those in the legal profession will have easy access to legal information provided by the </w:t>
            </w:r>
            <w:proofErr w:type="spellStart"/>
            <w:r>
              <w:rPr>
                <w:rFonts w:cs="Calibri"/>
                <w:color w:val="000000"/>
                <w:sz w:val="22"/>
                <w:szCs w:val="22"/>
                <w:lang w:eastAsia="en-AU"/>
              </w:rPr>
              <w:t>SamLII</w:t>
            </w:r>
            <w:proofErr w:type="spellEnd"/>
            <w:r>
              <w:rPr>
                <w:rFonts w:cs="Calibri"/>
                <w:color w:val="000000"/>
                <w:sz w:val="22"/>
                <w:szCs w:val="22"/>
                <w:lang w:eastAsia="en-AU"/>
              </w:rPr>
              <w:t>.                                                                          *Students will have easy access to legal information provided by this project to aid them with their studies.</w:t>
            </w:r>
          </w:p>
        </w:tc>
        <w:tc>
          <w:tcPr>
            <w:tcW w:w="2335" w:type="dxa"/>
            <w:gridSpan w:val="3"/>
            <w:tcBorders>
              <w:top w:val="double" w:sz="6" w:space="0" w:color="auto"/>
              <w:left w:val="double" w:sz="6" w:space="0" w:color="auto"/>
              <w:bottom w:val="double" w:sz="6" w:space="0" w:color="auto"/>
              <w:right w:val="single" w:sz="12"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 xml:space="preserve">The implementation of the </w:t>
            </w:r>
            <w:proofErr w:type="spellStart"/>
            <w:r>
              <w:rPr>
                <w:rFonts w:cs="Calibri"/>
                <w:color w:val="000000"/>
                <w:sz w:val="22"/>
                <w:szCs w:val="22"/>
                <w:lang w:eastAsia="en-AU"/>
              </w:rPr>
              <w:t>SamLII</w:t>
            </w:r>
            <w:proofErr w:type="spellEnd"/>
            <w:r>
              <w:rPr>
                <w:rFonts w:cs="Calibri"/>
                <w:color w:val="000000"/>
                <w:sz w:val="22"/>
                <w:szCs w:val="22"/>
                <w:lang w:eastAsia="en-AU"/>
              </w:rPr>
              <w:t xml:space="preserve"> Project was divided into four (4) Phases. The launch </w:t>
            </w:r>
            <w:proofErr w:type="spellStart"/>
            <w:r>
              <w:rPr>
                <w:rFonts w:cs="Calibri"/>
                <w:color w:val="000000"/>
                <w:sz w:val="22"/>
                <w:szCs w:val="22"/>
                <w:lang w:eastAsia="en-AU"/>
              </w:rPr>
              <w:t>o f</w:t>
            </w:r>
            <w:proofErr w:type="spellEnd"/>
            <w:r>
              <w:rPr>
                <w:rFonts w:cs="Calibri"/>
                <w:color w:val="000000"/>
                <w:sz w:val="22"/>
                <w:szCs w:val="22"/>
                <w:lang w:eastAsia="en-AU"/>
              </w:rPr>
              <w:t xml:space="preserve"> </w:t>
            </w:r>
            <w:proofErr w:type="spellStart"/>
            <w:r>
              <w:rPr>
                <w:rFonts w:cs="Calibri"/>
                <w:color w:val="000000"/>
                <w:sz w:val="22"/>
                <w:szCs w:val="22"/>
                <w:lang w:eastAsia="en-AU"/>
              </w:rPr>
              <w:t>SamLII</w:t>
            </w:r>
            <w:proofErr w:type="spellEnd"/>
            <w:r>
              <w:rPr>
                <w:rFonts w:cs="Calibri"/>
                <w:color w:val="000000"/>
                <w:sz w:val="22"/>
                <w:szCs w:val="22"/>
                <w:lang w:eastAsia="en-AU"/>
              </w:rPr>
              <w:t xml:space="preserve"> in June 2012 marks the completion of Phase 1. To maintain momentum, the Sector Coordinator and ACEO Courts continued to play a major role into the other phases. To date, we continue to work with </w:t>
            </w:r>
            <w:proofErr w:type="spellStart"/>
            <w:r>
              <w:rPr>
                <w:rFonts w:cs="Calibri"/>
                <w:color w:val="000000"/>
                <w:sz w:val="22"/>
                <w:szCs w:val="22"/>
                <w:lang w:eastAsia="en-AU"/>
              </w:rPr>
              <w:t>PacLII</w:t>
            </w:r>
            <w:proofErr w:type="spellEnd"/>
            <w:r>
              <w:rPr>
                <w:rFonts w:cs="Calibri"/>
                <w:color w:val="000000"/>
                <w:sz w:val="22"/>
                <w:szCs w:val="22"/>
                <w:lang w:eastAsia="en-AU"/>
              </w:rPr>
              <w:t xml:space="preserve"> and </w:t>
            </w:r>
            <w:proofErr w:type="spellStart"/>
            <w:r>
              <w:rPr>
                <w:rFonts w:cs="Calibri"/>
                <w:color w:val="000000"/>
                <w:sz w:val="22"/>
                <w:szCs w:val="22"/>
                <w:lang w:eastAsia="en-AU"/>
              </w:rPr>
              <w:t>AusLII</w:t>
            </w:r>
            <w:proofErr w:type="spellEnd"/>
            <w:r>
              <w:rPr>
                <w:rFonts w:cs="Calibri"/>
                <w:color w:val="000000"/>
                <w:sz w:val="22"/>
                <w:szCs w:val="22"/>
                <w:lang w:eastAsia="en-AU"/>
              </w:rPr>
              <w:t xml:space="preserve"> on data flow and judgement template refinements as part of the ongoing uploading and updating </w:t>
            </w:r>
            <w:proofErr w:type="spellStart"/>
            <w:r>
              <w:rPr>
                <w:rFonts w:cs="Calibri"/>
                <w:color w:val="000000"/>
                <w:sz w:val="22"/>
                <w:szCs w:val="22"/>
                <w:lang w:eastAsia="en-AU"/>
              </w:rPr>
              <w:t>SamLII</w:t>
            </w:r>
            <w:proofErr w:type="spellEnd"/>
            <w:r>
              <w:rPr>
                <w:rFonts w:cs="Calibri"/>
                <w:color w:val="000000"/>
                <w:sz w:val="22"/>
                <w:szCs w:val="22"/>
                <w:lang w:eastAsia="en-AU"/>
              </w:rPr>
              <w:t>. The implementation of the final three (3) phases has been placed on hold due to the unavailability of funding assistance from AUS AID now known as DFAT. The impacts of this project has been improved access to Justice; (</w:t>
            </w:r>
            <w:proofErr w:type="spellStart"/>
            <w:r>
              <w:rPr>
                <w:rFonts w:cs="Calibri"/>
                <w:color w:val="000000"/>
                <w:sz w:val="22"/>
                <w:szCs w:val="22"/>
                <w:lang w:eastAsia="en-AU"/>
              </w:rPr>
              <w:t>i</w:t>
            </w:r>
            <w:proofErr w:type="spellEnd"/>
            <w:r>
              <w:rPr>
                <w:rFonts w:cs="Calibri"/>
                <w:color w:val="000000"/>
                <w:sz w:val="22"/>
                <w:szCs w:val="22"/>
                <w:lang w:eastAsia="en-AU"/>
              </w:rPr>
              <w:t>) Free access to Samoan Legal Information by Court users but also the public. (ii) Most updated legislation and Court decisions are available.</w:t>
            </w:r>
          </w:p>
        </w:tc>
      </w:tr>
      <w:tr w:rsidR="00456E00" w:rsidTr="00D46309">
        <w:trPr>
          <w:trHeight w:val="4970"/>
        </w:trPr>
        <w:tc>
          <w:tcPr>
            <w:tcW w:w="804" w:type="dxa"/>
            <w:tcBorders>
              <w:top w:val="double" w:sz="6" w:space="0" w:color="auto"/>
              <w:left w:val="single" w:sz="12" w:space="0" w:color="auto"/>
              <w:bottom w:val="double" w:sz="6" w:space="0" w:color="auto"/>
              <w:right w:val="double" w:sz="6" w:space="0" w:color="auto"/>
            </w:tcBorders>
          </w:tcPr>
          <w:p w:rsidR="00456E00" w:rsidRDefault="00456E00">
            <w:pPr>
              <w:autoSpaceDE w:val="0"/>
              <w:autoSpaceDN w:val="0"/>
              <w:adjustRightInd w:val="0"/>
              <w:spacing w:before="0"/>
              <w:rPr>
                <w:rFonts w:cs="Calibri"/>
                <w:b/>
                <w:bCs/>
                <w:color w:val="000000"/>
                <w:sz w:val="22"/>
                <w:szCs w:val="22"/>
                <w:lang w:eastAsia="en-AU"/>
              </w:rPr>
            </w:pPr>
            <w:r>
              <w:rPr>
                <w:rFonts w:cs="Calibri"/>
                <w:b/>
                <w:bCs/>
                <w:color w:val="000000"/>
                <w:sz w:val="22"/>
                <w:szCs w:val="22"/>
                <w:lang w:eastAsia="en-AU"/>
              </w:rPr>
              <w:lastRenderedPageBreak/>
              <w:t>MJCA Recording</w:t>
            </w:r>
          </w:p>
        </w:tc>
        <w:tc>
          <w:tcPr>
            <w:tcW w:w="408" w:type="dxa"/>
            <w:tcBorders>
              <w:top w:val="double" w:sz="6" w:space="0" w:color="auto"/>
              <w:left w:val="double" w:sz="6" w:space="0" w:color="auto"/>
              <w:bottom w:val="double" w:sz="6" w:space="0" w:color="auto"/>
              <w:right w:val="double" w:sz="6" w:space="0" w:color="auto"/>
            </w:tcBorders>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2.1.2.6</w:t>
            </w:r>
          </w:p>
        </w:tc>
        <w:tc>
          <w:tcPr>
            <w:tcW w:w="595"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MJCA</w:t>
            </w:r>
          </w:p>
        </w:tc>
        <w:tc>
          <w:tcPr>
            <w:tcW w:w="468"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2012/13</w:t>
            </w:r>
          </w:p>
        </w:tc>
        <w:tc>
          <w:tcPr>
            <w:tcW w:w="1611" w:type="dxa"/>
            <w:tcBorders>
              <w:top w:val="double" w:sz="6" w:space="0" w:color="auto"/>
              <w:left w:val="nil"/>
              <w:bottom w:val="double" w:sz="6" w:space="0" w:color="auto"/>
              <w:right w:val="double" w:sz="6"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*Improved Public Access to Legal Information.                                            *Recording System procured &amp; Installed by June 2013</w:t>
            </w:r>
          </w:p>
        </w:tc>
        <w:tc>
          <w:tcPr>
            <w:tcW w:w="1084" w:type="dxa"/>
            <w:tcBorders>
              <w:top w:val="double" w:sz="6" w:space="0" w:color="auto"/>
              <w:left w:val="double" w:sz="6" w:space="0" w:color="auto"/>
              <w:bottom w:val="double" w:sz="6" w:space="0" w:color="auto"/>
              <w:right w:val="double" w:sz="6" w:space="0" w:color="auto"/>
            </w:tcBorders>
            <w:shd w:val="solid" w:color="99CC00" w:fill="auto"/>
          </w:tcPr>
          <w:p w:rsidR="00456E00" w:rsidRDefault="00456E00">
            <w:pPr>
              <w:autoSpaceDE w:val="0"/>
              <w:autoSpaceDN w:val="0"/>
              <w:adjustRightInd w:val="0"/>
              <w:spacing w:before="0"/>
              <w:rPr>
                <w:rFonts w:cs="Calibri"/>
                <w:color w:val="800080"/>
                <w:sz w:val="22"/>
                <w:szCs w:val="22"/>
                <w:lang w:eastAsia="en-AU"/>
              </w:rPr>
            </w:pPr>
            <w:r>
              <w:rPr>
                <w:rFonts w:cs="Calibri"/>
                <w:color w:val="800080"/>
                <w:sz w:val="22"/>
                <w:szCs w:val="22"/>
                <w:lang w:eastAsia="en-AU"/>
              </w:rPr>
              <w:t>Completed/ Achieved</w:t>
            </w:r>
          </w:p>
        </w:tc>
        <w:tc>
          <w:tcPr>
            <w:tcW w:w="1949" w:type="dxa"/>
            <w:tcBorders>
              <w:top w:val="double" w:sz="6" w:space="0" w:color="auto"/>
              <w:left w:val="double" w:sz="6" w:space="0" w:color="auto"/>
              <w:bottom w:val="double" w:sz="6" w:space="0" w:color="auto"/>
              <w:right w:val="nil"/>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 Timely provision of accurate transcript of evidence is an integral part of the Ministry's Court taking and Case Management Responsibility.                                                        *Extending this service to other Courts and Court users is an effective and efficient manner ensures that the public access to justice and to good quality service is enhanced.                                                             *Challenges and difficulties currently faced by the judiciary, court staff and court users regarding the demand for transcript, its accuracy and availability is reduced.</w:t>
            </w:r>
          </w:p>
        </w:tc>
        <w:tc>
          <w:tcPr>
            <w:tcW w:w="2335" w:type="dxa"/>
            <w:gridSpan w:val="3"/>
            <w:tcBorders>
              <w:top w:val="double" w:sz="6" w:space="0" w:color="auto"/>
              <w:left w:val="double" w:sz="6" w:space="0" w:color="auto"/>
              <w:bottom w:val="double" w:sz="6" w:space="0" w:color="auto"/>
              <w:right w:val="single" w:sz="12"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The project is being launched in January 2015. Installation has been completed for all the twelve (12) Court Rooms in the Court House. Design of operational manuals, training and managing any problems that may arise is an ongoing task. The project is expected to improve the quality of the Courts Services and records management. The Public will also have access to accurate information within a reasonable time and contributing to overall access to Justice.</w:t>
            </w:r>
          </w:p>
        </w:tc>
      </w:tr>
      <w:tr w:rsidR="00456E00" w:rsidTr="00D46309">
        <w:trPr>
          <w:trHeight w:val="3034"/>
        </w:trPr>
        <w:tc>
          <w:tcPr>
            <w:tcW w:w="1212" w:type="dxa"/>
            <w:gridSpan w:val="2"/>
            <w:tcBorders>
              <w:top w:val="double" w:sz="6" w:space="0" w:color="auto"/>
              <w:left w:val="single" w:sz="12" w:space="0" w:color="auto"/>
              <w:bottom w:val="double" w:sz="6" w:space="0" w:color="auto"/>
              <w:right w:val="double" w:sz="6" w:space="0" w:color="auto"/>
            </w:tcBorders>
          </w:tcPr>
          <w:p w:rsidR="00456E00" w:rsidRDefault="00456E00">
            <w:pPr>
              <w:autoSpaceDE w:val="0"/>
              <w:autoSpaceDN w:val="0"/>
              <w:adjustRightInd w:val="0"/>
              <w:spacing w:before="0"/>
              <w:rPr>
                <w:rFonts w:cs="Calibri"/>
                <w:b/>
                <w:bCs/>
                <w:color w:val="000000"/>
                <w:sz w:val="22"/>
                <w:szCs w:val="22"/>
                <w:lang w:eastAsia="en-AU"/>
              </w:rPr>
            </w:pPr>
            <w:r>
              <w:rPr>
                <w:rFonts w:cs="Calibri"/>
                <w:b/>
                <w:bCs/>
                <w:color w:val="000000"/>
                <w:sz w:val="22"/>
                <w:szCs w:val="22"/>
                <w:lang w:eastAsia="en-AU"/>
              </w:rPr>
              <w:t xml:space="preserve">Coroners Ordinance 1959                       Legislative Review Draft Legislation  </w:t>
            </w:r>
          </w:p>
        </w:tc>
        <w:tc>
          <w:tcPr>
            <w:tcW w:w="595"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SLRC</w:t>
            </w:r>
          </w:p>
        </w:tc>
        <w:tc>
          <w:tcPr>
            <w:tcW w:w="468"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2011</w:t>
            </w:r>
          </w:p>
        </w:tc>
        <w:tc>
          <w:tcPr>
            <w:tcW w:w="1611" w:type="dxa"/>
            <w:tcBorders>
              <w:top w:val="double" w:sz="6" w:space="0" w:color="auto"/>
              <w:left w:val="nil"/>
              <w:bottom w:val="double" w:sz="6" w:space="0" w:color="auto"/>
              <w:right w:val="double" w:sz="6"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 xml:space="preserve">Final Report                                                                      Legislation drafted </w:t>
            </w:r>
          </w:p>
        </w:tc>
        <w:tc>
          <w:tcPr>
            <w:tcW w:w="1084" w:type="dxa"/>
            <w:tcBorders>
              <w:top w:val="double" w:sz="6" w:space="0" w:color="auto"/>
              <w:left w:val="double" w:sz="6" w:space="0" w:color="auto"/>
              <w:bottom w:val="double" w:sz="6" w:space="0" w:color="auto"/>
              <w:right w:val="double" w:sz="6" w:space="0" w:color="auto"/>
            </w:tcBorders>
            <w:shd w:val="solid" w:color="99CC00" w:fill="auto"/>
          </w:tcPr>
          <w:p w:rsidR="00456E00" w:rsidRDefault="00456E00">
            <w:pPr>
              <w:autoSpaceDE w:val="0"/>
              <w:autoSpaceDN w:val="0"/>
              <w:adjustRightInd w:val="0"/>
              <w:spacing w:before="0"/>
              <w:rPr>
                <w:rFonts w:cs="Calibri"/>
                <w:color w:val="800080"/>
                <w:sz w:val="22"/>
                <w:szCs w:val="22"/>
                <w:lang w:eastAsia="en-AU"/>
              </w:rPr>
            </w:pPr>
            <w:r>
              <w:rPr>
                <w:rFonts w:cs="Calibri"/>
                <w:color w:val="800080"/>
                <w:sz w:val="22"/>
                <w:szCs w:val="22"/>
                <w:lang w:eastAsia="en-AU"/>
              </w:rPr>
              <w:t>Completed/ Achieved</w:t>
            </w:r>
          </w:p>
        </w:tc>
        <w:tc>
          <w:tcPr>
            <w:tcW w:w="1949" w:type="dxa"/>
            <w:tcBorders>
              <w:top w:val="single" w:sz="12" w:space="0" w:color="000000"/>
              <w:left w:val="single" w:sz="12" w:space="0" w:color="000000"/>
              <w:bottom w:val="single" w:sz="12" w:space="0" w:color="000000"/>
              <w:right w:val="nil"/>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An improved and updated legislation governing the role of the Coroner subject to the Commission's recommendations where the overall goal is the progressive realisation of separating the Coroners Court from the Judiciary. It also includes the need to extend the eligibility criteria when appointing Coroners.</w:t>
            </w:r>
          </w:p>
        </w:tc>
        <w:tc>
          <w:tcPr>
            <w:tcW w:w="2335" w:type="dxa"/>
            <w:gridSpan w:val="3"/>
            <w:tcBorders>
              <w:top w:val="double" w:sz="6" w:space="0" w:color="auto"/>
              <w:left w:val="double" w:sz="6" w:space="0" w:color="auto"/>
              <w:bottom w:val="double" w:sz="6" w:space="0" w:color="auto"/>
              <w:right w:val="single" w:sz="12"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 xml:space="preserve">Final Report tabled April 2012                                                             Coroners Bill drafted by Attorney General </w:t>
            </w:r>
          </w:p>
        </w:tc>
      </w:tr>
      <w:tr w:rsidR="00456E00" w:rsidTr="00D46309">
        <w:trPr>
          <w:trHeight w:val="1742"/>
        </w:trPr>
        <w:tc>
          <w:tcPr>
            <w:tcW w:w="1212" w:type="dxa"/>
            <w:gridSpan w:val="2"/>
            <w:tcBorders>
              <w:top w:val="double" w:sz="6" w:space="0" w:color="auto"/>
              <w:left w:val="single" w:sz="12" w:space="0" w:color="auto"/>
              <w:bottom w:val="double" w:sz="6" w:space="0" w:color="auto"/>
              <w:right w:val="double" w:sz="6" w:space="0" w:color="auto"/>
            </w:tcBorders>
          </w:tcPr>
          <w:p w:rsidR="00456E00" w:rsidRDefault="00456E00">
            <w:pPr>
              <w:autoSpaceDE w:val="0"/>
              <w:autoSpaceDN w:val="0"/>
              <w:adjustRightInd w:val="0"/>
              <w:spacing w:before="0"/>
              <w:rPr>
                <w:rFonts w:cs="Calibri"/>
                <w:b/>
                <w:bCs/>
                <w:color w:val="000000"/>
                <w:sz w:val="22"/>
                <w:szCs w:val="22"/>
                <w:lang w:eastAsia="en-AU"/>
              </w:rPr>
            </w:pPr>
            <w:r>
              <w:rPr>
                <w:rFonts w:cs="Calibri"/>
                <w:b/>
                <w:bCs/>
                <w:color w:val="000000"/>
                <w:sz w:val="22"/>
                <w:szCs w:val="22"/>
                <w:lang w:eastAsia="en-AU"/>
              </w:rPr>
              <w:t xml:space="preserve">National Heritage Board                        Legislative Review                                         Draft </w:t>
            </w:r>
            <w:r>
              <w:rPr>
                <w:rFonts w:cs="Calibri"/>
                <w:b/>
                <w:bCs/>
                <w:color w:val="000000"/>
                <w:sz w:val="22"/>
                <w:szCs w:val="22"/>
                <w:lang w:eastAsia="en-AU"/>
              </w:rPr>
              <w:lastRenderedPageBreak/>
              <w:t xml:space="preserve">Legislation  </w:t>
            </w:r>
          </w:p>
        </w:tc>
        <w:tc>
          <w:tcPr>
            <w:tcW w:w="595"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lastRenderedPageBreak/>
              <w:t>SLRC</w:t>
            </w:r>
          </w:p>
        </w:tc>
        <w:tc>
          <w:tcPr>
            <w:tcW w:w="468"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2013</w:t>
            </w:r>
          </w:p>
        </w:tc>
        <w:tc>
          <w:tcPr>
            <w:tcW w:w="1611" w:type="dxa"/>
            <w:tcBorders>
              <w:top w:val="double" w:sz="6" w:space="0" w:color="auto"/>
              <w:left w:val="nil"/>
              <w:bottom w:val="double" w:sz="6" w:space="0" w:color="auto"/>
              <w:right w:val="double" w:sz="6"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 xml:space="preserve">Final Report </w:t>
            </w:r>
          </w:p>
        </w:tc>
        <w:tc>
          <w:tcPr>
            <w:tcW w:w="1084" w:type="dxa"/>
            <w:tcBorders>
              <w:top w:val="double" w:sz="6" w:space="0" w:color="auto"/>
              <w:left w:val="double" w:sz="6" w:space="0" w:color="auto"/>
              <w:bottom w:val="double" w:sz="6" w:space="0" w:color="auto"/>
              <w:right w:val="double" w:sz="6" w:space="0" w:color="auto"/>
            </w:tcBorders>
            <w:shd w:val="solid" w:color="00CC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On Schedule/ Target</w:t>
            </w:r>
          </w:p>
        </w:tc>
        <w:tc>
          <w:tcPr>
            <w:tcW w:w="1949" w:type="dxa"/>
            <w:tcBorders>
              <w:top w:val="single" w:sz="12" w:space="0" w:color="000000"/>
              <w:left w:val="single" w:sz="12" w:space="0" w:color="000000"/>
              <w:bottom w:val="single" w:sz="12" w:space="0" w:color="000000"/>
              <w:right w:val="nil"/>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 xml:space="preserve">Setting up a National Heritage Board to preserve Samoa's various significant heritage sites. </w:t>
            </w:r>
          </w:p>
        </w:tc>
        <w:tc>
          <w:tcPr>
            <w:tcW w:w="2335" w:type="dxa"/>
            <w:gridSpan w:val="3"/>
            <w:tcBorders>
              <w:top w:val="double" w:sz="6" w:space="0" w:color="auto"/>
              <w:left w:val="double" w:sz="6" w:space="0" w:color="auto"/>
              <w:bottom w:val="double" w:sz="6" w:space="0" w:color="auto"/>
              <w:right w:val="single" w:sz="12"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Final Report tabled May 2014 awaiting outcome of Final Report to determine whether a new legislation is drafted</w:t>
            </w:r>
          </w:p>
        </w:tc>
      </w:tr>
      <w:tr w:rsidR="00456E00" w:rsidTr="00D46309">
        <w:trPr>
          <w:trHeight w:val="2174"/>
        </w:trPr>
        <w:tc>
          <w:tcPr>
            <w:tcW w:w="1212" w:type="dxa"/>
            <w:gridSpan w:val="2"/>
            <w:tcBorders>
              <w:top w:val="double" w:sz="6" w:space="0" w:color="auto"/>
              <w:left w:val="single" w:sz="12" w:space="0" w:color="auto"/>
              <w:bottom w:val="double" w:sz="6" w:space="0" w:color="auto"/>
              <w:right w:val="double" w:sz="6" w:space="0" w:color="auto"/>
            </w:tcBorders>
          </w:tcPr>
          <w:p w:rsidR="00456E00" w:rsidRDefault="00456E00">
            <w:pPr>
              <w:autoSpaceDE w:val="0"/>
              <w:autoSpaceDN w:val="0"/>
              <w:adjustRightInd w:val="0"/>
              <w:spacing w:before="0"/>
              <w:rPr>
                <w:rFonts w:cs="Calibri"/>
                <w:b/>
                <w:bCs/>
                <w:color w:val="000000"/>
                <w:sz w:val="22"/>
                <w:szCs w:val="22"/>
                <w:lang w:eastAsia="en-AU"/>
              </w:rPr>
            </w:pPr>
            <w:r>
              <w:rPr>
                <w:rFonts w:cs="Calibri"/>
                <w:b/>
                <w:bCs/>
                <w:color w:val="000000"/>
                <w:sz w:val="22"/>
                <w:szCs w:val="22"/>
                <w:lang w:eastAsia="en-AU"/>
              </w:rPr>
              <w:lastRenderedPageBreak/>
              <w:t xml:space="preserve">Child Protection Legislation                       Legislative Review                                          Draft Legislation </w:t>
            </w:r>
          </w:p>
        </w:tc>
        <w:tc>
          <w:tcPr>
            <w:tcW w:w="595"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SLRC</w:t>
            </w:r>
          </w:p>
        </w:tc>
        <w:tc>
          <w:tcPr>
            <w:tcW w:w="468"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2011</w:t>
            </w:r>
          </w:p>
        </w:tc>
        <w:tc>
          <w:tcPr>
            <w:tcW w:w="1611" w:type="dxa"/>
            <w:tcBorders>
              <w:top w:val="double" w:sz="6" w:space="0" w:color="auto"/>
              <w:left w:val="nil"/>
              <w:bottom w:val="double" w:sz="6" w:space="0" w:color="auto"/>
              <w:right w:val="double" w:sz="6"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 xml:space="preserve">Final Report                                                                 Legislation drafted </w:t>
            </w:r>
          </w:p>
        </w:tc>
        <w:tc>
          <w:tcPr>
            <w:tcW w:w="1084" w:type="dxa"/>
            <w:tcBorders>
              <w:top w:val="double" w:sz="6" w:space="0" w:color="auto"/>
              <w:left w:val="double" w:sz="6" w:space="0" w:color="auto"/>
              <w:bottom w:val="double" w:sz="6" w:space="0" w:color="auto"/>
              <w:right w:val="double" w:sz="6" w:space="0" w:color="auto"/>
            </w:tcBorders>
            <w:shd w:val="solid" w:color="99CC00" w:fill="auto"/>
          </w:tcPr>
          <w:p w:rsidR="00456E00" w:rsidRDefault="00456E00">
            <w:pPr>
              <w:autoSpaceDE w:val="0"/>
              <w:autoSpaceDN w:val="0"/>
              <w:adjustRightInd w:val="0"/>
              <w:spacing w:before="0"/>
              <w:rPr>
                <w:rFonts w:cs="Calibri"/>
                <w:color w:val="800080"/>
                <w:sz w:val="22"/>
                <w:szCs w:val="22"/>
                <w:lang w:eastAsia="en-AU"/>
              </w:rPr>
            </w:pPr>
            <w:r>
              <w:rPr>
                <w:rFonts w:cs="Calibri"/>
                <w:color w:val="800080"/>
                <w:sz w:val="22"/>
                <w:szCs w:val="22"/>
                <w:lang w:eastAsia="en-AU"/>
              </w:rPr>
              <w:t>Completed/ Achieved</w:t>
            </w:r>
          </w:p>
        </w:tc>
        <w:tc>
          <w:tcPr>
            <w:tcW w:w="1949" w:type="dxa"/>
            <w:tcBorders>
              <w:top w:val="single" w:sz="12" w:space="0" w:color="000000"/>
              <w:left w:val="single" w:sz="12" w:space="0" w:color="000000"/>
              <w:bottom w:val="single" w:sz="12" w:space="0" w:color="000000"/>
              <w:right w:val="nil"/>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A Bill to consolidate provisions governing the care and protection of children.</w:t>
            </w:r>
          </w:p>
        </w:tc>
        <w:tc>
          <w:tcPr>
            <w:tcW w:w="2335" w:type="dxa"/>
            <w:gridSpan w:val="3"/>
            <w:tcBorders>
              <w:top w:val="double" w:sz="6" w:space="0" w:color="auto"/>
              <w:left w:val="double" w:sz="6" w:space="0" w:color="auto"/>
              <w:bottom w:val="double" w:sz="6" w:space="0" w:color="auto"/>
              <w:right w:val="single" w:sz="12" w:space="0" w:color="auto"/>
            </w:tcBorders>
            <w:shd w:val="solid" w:color="FFFFFF" w:fill="auto"/>
          </w:tcPr>
          <w:p w:rsidR="00456E00" w:rsidRDefault="00456E00" w:rsidP="00B3702C">
            <w:pPr>
              <w:autoSpaceDE w:val="0"/>
              <w:autoSpaceDN w:val="0"/>
              <w:adjustRightInd w:val="0"/>
              <w:spacing w:before="0"/>
              <w:rPr>
                <w:rFonts w:cs="Calibri"/>
                <w:color w:val="000000"/>
                <w:sz w:val="22"/>
                <w:szCs w:val="22"/>
                <w:lang w:eastAsia="en-AU"/>
              </w:rPr>
            </w:pPr>
            <w:r>
              <w:rPr>
                <w:rFonts w:cs="Calibri"/>
                <w:color w:val="000000"/>
                <w:sz w:val="22"/>
                <w:szCs w:val="22"/>
                <w:lang w:eastAsia="en-AU"/>
              </w:rPr>
              <w:t>Final Report sent for tabling to Legislative Assembly December 2014                                                                                                               Child Care and protection Bill drafted and completed currently with MWCSD and Attorn</w:t>
            </w:r>
            <w:r w:rsidR="00B3702C">
              <w:rPr>
                <w:rFonts w:cs="Calibri"/>
                <w:color w:val="000000"/>
                <w:sz w:val="22"/>
                <w:szCs w:val="22"/>
                <w:lang w:eastAsia="en-AU"/>
              </w:rPr>
              <w:t>e</w:t>
            </w:r>
            <w:r>
              <w:rPr>
                <w:rFonts w:cs="Calibri"/>
                <w:color w:val="000000"/>
                <w:sz w:val="22"/>
                <w:szCs w:val="22"/>
                <w:lang w:eastAsia="en-AU"/>
              </w:rPr>
              <w:t xml:space="preserve">y General </w:t>
            </w:r>
          </w:p>
        </w:tc>
      </w:tr>
      <w:tr w:rsidR="00456E00" w:rsidTr="00D46309">
        <w:trPr>
          <w:trHeight w:val="1742"/>
        </w:trPr>
        <w:tc>
          <w:tcPr>
            <w:tcW w:w="1212" w:type="dxa"/>
            <w:gridSpan w:val="2"/>
            <w:tcBorders>
              <w:top w:val="double" w:sz="6" w:space="0" w:color="auto"/>
              <w:left w:val="single" w:sz="12" w:space="0" w:color="auto"/>
              <w:bottom w:val="double" w:sz="6" w:space="0" w:color="auto"/>
              <w:right w:val="double" w:sz="6" w:space="0" w:color="auto"/>
            </w:tcBorders>
          </w:tcPr>
          <w:p w:rsidR="00456E00" w:rsidRDefault="00456E00">
            <w:pPr>
              <w:autoSpaceDE w:val="0"/>
              <w:autoSpaceDN w:val="0"/>
              <w:adjustRightInd w:val="0"/>
              <w:spacing w:before="0"/>
              <w:rPr>
                <w:rFonts w:cs="Calibri"/>
                <w:b/>
                <w:bCs/>
                <w:color w:val="000000"/>
                <w:sz w:val="22"/>
                <w:szCs w:val="22"/>
                <w:lang w:eastAsia="en-AU"/>
              </w:rPr>
            </w:pPr>
            <w:r>
              <w:rPr>
                <w:rFonts w:cs="Calibri"/>
                <w:b/>
                <w:bCs/>
                <w:color w:val="000000"/>
                <w:sz w:val="22"/>
                <w:szCs w:val="22"/>
                <w:lang w:eastAsia="en-AU"/>
              </w:rPr>
              <w:t xml:space="preserve">District Court Act 1969                                 Legislative Review                                           Draft Legislation </w:t>
            </w:r>
          </w:p>
        </w:tc>
        <w:tc>
          <w:tcPr>
            <w:tcW w:w="595"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SLRC</w:t>
            </w:r>
          </w:p>
        </w:tc>
        <w:tc>
          <w:tcPr>
            <w:tcW w:w="468"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2013</w:t>
            </w:r>
          </w:p>
        </w:tc>
        <w:tc>
          <w:tcPr>
            <w:tcW w:w="1611" w:type="dxa"/>
            <w:tcBorders>
              <w:top w:val="double" w:sz="6" w:space="0" w:color="auto"/>
              <w:left w:val="nil"/>
              <w:bottom w:val="double" w:sz="6" w:space="0" w:color="auto"/>
              <w:right w:val="double" w:sz="6"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 xml:space="preserve">Final Report                                                                     Legislation drafted </w:t>
            </w:r>
          </w:p>
        </w:tc>
        <w:tc>
          <w:tcPr>
            <w:tcW w:w="1084" w:type="dxa"/>
            <w:tcBorders>
              <w:top w:val="double" w:sz="6" w:space="0" w:color="auto"/>
              <w:left w:val="double" w:sz="6" w:space="0" w:color="auto"/>
              <w:bottom w:val="double" w:sz="6" w:space="0" w:color="auto"/>
              <w:right w:val="double" w:sz="6" w:space="0" w:color="auto"/>
            </w:tcBorders>
            <w:shd w:val="solid" w:color="99CC00" w:fill="auto"/>
          </w:tcPr>
          <w:p w:rsidR="00456E00" w:rsidRDefault="00456E00">
            <w:pPr>
              <w:autoSpaceDE w:val="0"/>
              <w:autoSpaceDN w:val="0"/>
              <w:adjustRightInd w:val="0"/>
              <w:spacing w:before="0"/>
              <w:rPr>
                <w:rFonts w:cs="Calibri"/>
                <w:color w:val="800080"/>
                <w:sz w:val="22"/>
                <w:szCs w:val="22"/>
                <w:lang w:eastAsia="en-AU"/>
              </w:rPr>
            </w:pPr>
            <w:r>
              <w:rPr>
                <w:rFonts w:cs="Calibri"/>
                <w:color w:val="800080"/>
                <w:sz w:val="22"/>
                <w:szCs w:val="22"/>
                <w:lang w:eastAsia="en-AU"/>
              </w:rPr>
              <w:t>Completed/ Achieved</w:t>
            </w:r>
          </w:p>
        </w:tc>
        <w:tc>
          <w:tcPr>
            <w:tcW w:w="1949" w:type="dxa"/>
            <w:tcBorders>
              <w:top w:val="single" w:sz="12" w:space="0" w:color="000000"/>
              <w:left w:val="single" w:sz="12" w:space="0" w:color="000000"/>
              <w:bottom w:val="single" w:sz="12" w:space="0" w:color="000000"/>
              <w:right w:val="nil"/>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 xml:space="preserve">Part of a broader review and reform of legislation governing the courts of Samoa </w:t>
            </w:r>
          </w:p>
        </w:tc>
        <w:tc>
          <w:tcPr>
            <w:tcW w:w="2335" w:type="dxa"/>
            <w:gridSpan w:val="3"/>
            <w:tcBorders>
              <w:top w:val="double" w:sz="6" w:space="0" w:color="auto"/>
              <w:left w:val="double" w:sz="6" w:space="0" w:color="auto"/>
              <w:bottom w:val="double" w:sz="6" w:space="0" w:color="auto"/>
              <w:right w:val="single" w:sz="12"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 xml:space="preserve">Final Report tabled August 2014   District Court Bill sent Legislative Assembly 20 October 2014  </w:t>
            </w:r>
          </w:p>
        </w:tc>
      </w:tr>
      <w:tr w:rsidR="00456E00" w:rsidTr="00D46309">
        <w:trPr>
          <w:trHeight w:val="2818"/>
        </w:trPr>
        <w:tc>
          <w:tcPr>
            <w:tcW w:w="1212" w:type="dxa"/>
            <w:gridSpan w:val="2"/>
            <w:tcBorders>
              <w:top w:val="double" w:sz="6" w:space="0" w:color="auto"/>
              <w:left w:val="single" w:sz="12" w:space="0" w:color="auto"/>
              <w:bottom w:val="double" w:sz="6" w:space="0" w:color="auto"/>
              <w:right w:val="double" w:sz="6" w:space="0" w:color="auto"/>
            </w:tcBorders>
          </w:tcPr>
          <w:p w:rsidR="00456E00" w:rsidRDefault="00456E00">
            <w:pPr>
              <w:autoSpaceDE w:val="0"/>
              <w:autoSpaceDN w:val="0"/>
              <w:adjustRightInd w:val="0"/>
              <w:spacing w:before="0"/>
              <w:rPr>
                <w:rFonts w:cs="Calibri"/>
                <w:b/>
                <w:bCs/>
                <w:color w:val="000000"/>
                <w:sz w:val="22"/>
                <w:szCs w:val="22"/>
                <w:lang w:eastAsia="en-AU"/>
              </w:rPr>
            </w:pPr>
            <w:r>
              <w:rPr>
                <w:rFonts w:cs="Calibri"/>
                <w:b/>
                <w:bCs/>
                <w:color w:val="000000"/>
                <w:sz w:val="22"/>
                <w:szCs w:val="22"/>
                <w:lang w:eastAsia="en-AU"/>
              </w:rPr>
              <w:t xml:space="preserve">Civil Procedure Rules (Magistrate  &amp; Supreme Court Rules)                                             Legislative Review                                          Draft Legislation           </w:t>
            </w:r>
          </w:p>
        </w:tc>
        <w:tc>
          <w:tcPr>
            <w:tcW w:w="595"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SLRC</w:t>
            </w:r>
          </w:p>
        </w:tc>
        <w:tc>
          <w:tcPr>
            <w:tcW w:w="468"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2013</w:t>
            </w:r>
          </w:p>
        </w:tc>
        <w:tc>
          <w:tcPr>
            <w:tcW w:w="1611" w:type="dxa"/>
            <w:tcBorders>
              <w:top w:val="double" w:sz="6" w:space="0" w:color="auto"/>
              <w:left w:val="nil"/>
              <w:bottom w:val="double" w:sz="6" w:space="0" w:color="auto"/>
              <w:right w:val="double" w:sz="6"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 xml:space="preserve">Final Report </w:t>
            </w:r>
          </w:p>
        </w:tc>
        <w:tc>
          <w:tcPr>
            <w:tcW w:w="1084" w:type="dxa"/>
            <w:tcBorders>
              <w:top w:val="double" w:sz="6" w:space="0" w:color="auto"/>
              <w:left w:val="double" w:sz="6" w:space="0" w:color="auto"/>
              <w:bottom w:val="double" w:sz="6" w:space="0" w:color="auto"/>
              <w:right w:val="double" w:sz="6" w:space="0" w:color="auto"/>
            </w:tcBorders>
            <w:shd w:val="solid" w:color="00CC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On Schedule/ Target</w:t>
            </w:r>
          </w:p>
        </w:tc>
        <w:tc>
          <w:tcPr>
            <w:tcW w:w="1949" w:type="dxa"/>
            <w:tcBorders>
              <w:top w:val="nil"/>
              <w:left w:val="nil"/>
              <w:bottom w:val="nil"/>
              <w:right w:val="nil"/>
            </w:tcBorders>
            <w:shd w:val="solid" w:color="FFFFFF" w:fill="auto"/>
          </w:tcPr>
          <w:p w:rsidR="00456E00" w:rsidRDefault="00456E00" w:rsidP="00B3702C">
            <w:pPr>
              <w:autoSpaceDE w:val="0"/>
              <w:autoSpaceDN w:val="0"/>
              <w:adjustRightInd w:val="0"/>
              <w:spacing w:before="0"/>
              <w:rPr>
                <w:rFonts w:cs="Calibri"/>
                <w:color w:val="000000"/>
                <w:sz w:val="22"/>
                <w:szCs w:val="22"/>
                <w:lang w:eastAsia="en-AU"/>
              </w:rPr>
            </w:pPr>
            <w:r>
              <w:rPr>
                <w:rFonts w:cs="Calibri"/>
                <w:color w:val="000000"/>
                <w:sz w:val="22"/>
                <w:szCs w:val="22"/>
                <w:lang w:eastAsia="en-AU"/>
              </w:rPr>
              <w:t>Part of a broader review and reform of legislation governing the courts of Samoa. This is the review of the Supreme Court (Civ</w:t>
            </w:r>
            <w:r w:rsidR="00B3702C">
              <w:rPr>
                <w:rFonts w:cs="Calibri"/>
                <w:color w:val="000000"/>
                <w:sz w:val="22"/>
                <w:szCs w:val="22"/>
                <w:lang w:eastAsia="en-AU"/>
              </w:rPr>
              <w:t>i</w:t>
            </w:r>
            <w:r>
              <w:rPr>
                <w:rFonts w:cs="Calibri"/>
                <w:color w:val="000000"/>
                <w:sz w:val="22"/>
                <w:szCs w:val="22"/>
                <w:lang w:eastAsia="en-AU"/>
              </w:rPr>
              <w:t>l Proc</w:t>
            </w:r>
            <w:r w:rsidR="00B3702C">
              <w:rPr>
                <w:rFonts w:cs="Calibri"/>
                <w:color w:val="000000"/>
                <w:sz w:val="22"/>
                <w:szCs w:val="22"/>
                <w:lang w:eastAsia="en-AU"/>
              </w:rPr>
              <w:t>e</w:t>
            </w:r>
            <w:r>
              <w:rPr>
                <w:rFonts w:cs="Calibri"/>
                <w:color w:val="000000"/>
                <w:sz w:val="22"/>
                <w:szCs w:val="22"/>
                <w:lang w:eastAsia="en-AU"/>
              </w:rPr>
              <w:t xml:space="preserve">dure) Rules 1980 and the Magistrate's Court Rules 1971 </w:t>
            </w:r>
          </w:p>
        </w:tc>
        <w:tc>
          <w:tcPr>
            <w:tcW w:w="2335" w:type="dxa"/>
            <w:gridSpan w:val="3"/>
            <w:tcBorders>
              <w:top w:val="double" w:sz="6" w:space="0" w:color="auto"/>
              <w:left w:val="double" w:sz="6" w:space="0" w:color="auto"/>
              <w:bottom w:val="double" w:sz="6" w:space="0" w:color="auto"/>
              <w:right w:val="single" w:sz="12"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 xml:space="preserve">Issues Paper 1 approved by Cabinet 2012                                             Issues Paper 2 approved by Cabinet Dec 2014                                 Final Report to be completed 2015/2016   to determine whether a new legislation is drafted.           </w:t>
            </w:r>
          </w:p>
        </w:tc>
      </w:tr>
      <w:tr w:rsidR="00456E00" w:rsidTr="00D46309">
        <w:trPr>
          <w:trHeight w:val="1742"/>
        </w:trPr>
        <w:tc>
          <w:tcPr>
            <w:tcW w:w="1212" w:type="dxa"/>
            <w:gridSpan w:val="2"/>
            <w:tcBorders>
              <w:top w:val="double" w:sz="6" w:space="0" w:color="auto"/>
              <w:left w:val="single" w:sz="12" w:space="0" w:color="auto"/>
              <w:bottom w:val="double" w:sz="6" w:space="0" w:color="auto"/>
              <w:right w:val="double" w:sz="6" w:space="0" w:color="auto"/>
            </w:tcBorders>
          </w:tcPr>
          <w:p w:rsidR="00456E00" w:rsidRDefault="00456E00">
            <w:pPr>
              <w:autoSpaceDE w:val="0"/>
              <w:autoSpaceDN w:val="0"/>
              <w:adjustRightInd w:val="0"/>
              <w:spacing w:before="0"/>
              <w:rPr>
                <w:rFonts w:cs="Calibri"/>
                <w:b/>
                <w:bCs/>
                <w:color w:val="000000"/>
                <w:sz w:val="22"/>
                <w:szCs w:val="22"/>
                <w:lang w:eastAsia="en-AU"/>
              </w:rPr>
            </w:pPr>
            <w:r>
              <w:rPr>
                <w:rFonts w:cs="Calibri"/>
                <w:b/>
                <w:bCs/>
                <w:color w:val="000000"/>
                <w:sz w:val="22"/>
                <w:szCs w:val="22"/>
                <w:lang w:eastAsia="en-AU"/>
              </w:rPr>
              <w:t>Media Regulation                                  Legislative Review                                          Draft Legislation</w:t>
            </w:r>
          </w:p>
        </w:tc>
        <w:tc>
          <w:tcPr>
            <w:tcW w:w="595"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SLRC</w:t>
            </w:r>
          </w:p>
        </w:tc>
        <w:tc>
          <w:tcPr>
            <w:tcW w:w="468"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2013</w:t>
            </w:r>
          </w:p>
        </w:tc>
        <w:tc>
          <w:tcPr>
            <w:tcW w:w="1611" w:type="dxa"/>
            <w:tcBorders>
              <w:top w:val="double" w:sz="6" w:space="0" w:color="auto"/>
              <w:left w:val="nil"/>
              <w:bottom w:val="double" w:sz="6" w:space="0" w:color="auto"/>
              <w:right w:val="double" w:sz="6"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 xml:space="preserve">Final Report                                                                  Legislation drafted </w:t>
            </w:r>
          </w:p>
        </w:tc>
        <w:tc>
          <w:tcPr>
            <w:tcW w:w="1084" w:type="dxa"/>
            <w:tcBorders>
              <w:top w:val="double" w:sz="6" w:space="0" w:color="auto"/>
              <w:left w:val="double" w:sz="6" w:space="0" w:color="auto"/>
              <w:bottom w:val="double" w:sz="6" w:space="0" w:color="auto"/>
              <w:right w:val="double" w:sz="6" w:space="0" w:color="auto"/>
            </w:tcBorders>
            <w:shd w:val="solid" w:color="99CC00" w:fill="auto"/>
          </w:tcPr>
          <w:p w:rsidR="00456E00" w:rsidRDefault="00456E00">
            <w:pPr>
              <w:autoSpaceDE w:val="0"/>
              <w:autoSpaceDN w:val="0"/>
              <w:adjustRightInd w:val="0"/>
              <w:spacing w:before="0"/>
              <w:rPr>
                <w:rFonts w:cs="Calibri"/>
                <w:color w:val="800080"/>
                <w:sz w:val="22"/>
                <w:szCs w:val="22"/>
                <w:lang w:eastAsia="en-AU"/>
              </w:rPr>
            </w:pPr>
            <w:r>
              <w:rPr>
                <w:rFonts w:cs="Calibri"/>
                <w:color w:val="800080"/>
                <w:sz w:val="22"/>
                <w:szCs w:val="22"/>
                <w:lang w:eastAsia="en-AU"/>
              </w:rPr>
              <w:t>Completed/ Achieved</w:t>
            </w:r>
          </w:p>
        </w:tc>
        <w:tc>
          <w:tcPr>
            <w:tcW w:w="1949" w:type="dxa"/>
            <w:tcBorders>
              <w:top w:val="single" w:sz="12" w:space="0" w:color="000000"/>
              <w:left w:val="single" w:sz="12" w:space="0" w:color="000000"/>
              <w:bottom w:val="single" w:sz="12" w:space="0" w:color="000000"/>
              <w:right w:val="nil"/>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 xml:space="preserve">Setting up an appropriate regulatory body for media in Samoa </w:t>
            </w:r>
          </w:p>
        </w:tc>
        <w:tc>
          <w:tcPr>
            <w:tcW w:w="2335" w:type="dxa"/>
            <w:gridSpan w:val="3"/>
            <w:tcBorders>
              <w:top w:val="double" w:sz="6" w:space="0" w:color="auto"/>
              <w:left w:val="double" w:sz="6" w:space="0" w:color="auto"/>
              <w:bottom w:val="double" w:sz="6" w:space="0" w:color="auto"/>
              <w:right w:val="single" w:sz="12"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 xml:space="preserve">Final Report tabled June 2014  and Media Council Bill tabled in August 2014 </w:t>
            </w:r>
          </w:p>
        </w:tc>
      </w:tr>
      <w:tr w:rsidR="00456E00" w:rsidTr="00D46309">
        <w:trPr>
          <w:trHeight w:val="2174"/>
        </w:trPr>
        <w:tc>
          <w:tcPr>
            <w:tcW w:w="1212" w:type="dxa"/>
            <w:gridSpan w:val="2"/>
            <w:tcBorders>
              <w:top w:val="double" w:sz="6" w:space="0" w:color="auto"/>
              <w:left w:val="single" w:sz="12" w:space="0" w:color="auto"/>
              <w:bottom w:val="double" w:sz="6" w:space="0" w:color="auto"/>
              <w:right w:val="double" w:sz="6" w:space="0" w:color="auto"/>
            </w:tcBorders>
          </w:tcPr>
          <w:p w:rsidR="00456E00" w:rsidRDefault="00456E00">
            <w:pPr>
              <w:autoSpaceDE w:val="0"/>
              <w:autoSpaceDN w:val="0"/>
              <w:adjustRightInd w:val="0"/>
              <w:spacing w:before="0"/>
              <w:rPr>
                <w:rFonts w:cs="Calibri"/>
                <w:b/>
                <w:bCs/>
                <w:color w:val="000000"/>
                <w:sz w:val="22"/>
                <w:szCs w:val="22"/>
                <w:lang w:eastAsia="en-AU"/>
              </w:rPr>
            </w:pPr>
            <w:r>
              <w:rPr>
                <w:rFonts w:cs="Calibri"/>
                <w:b/>
                <w:bCs/>
                <w:color w:val="000000"/>
                <w:sz w:val="22"/>
                <w:szCs w:val="22"/>
                <w:lang w:eastAsia="en-AU"/>
              </w:rPr>
              <w:t xml:space="preserve">Prisons Act 1967                                          Legislative Review                                            Draft Legislation                                                Draft Regulation </w:t>
            </w:r>
          </w:p>
        </w:tc>
        <w:tc>
          <w:tcPr>
            <w:tcW w:w="595"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SLRC</w:t>
            </w:r>
          </w:p>
        </w:tc>
        <w:tc>
          <w:tcPr>
            <w:tcW w:w="468"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2013</w:t>
            </w:r>
          </w:p>
        </w:tc>
        <w:tc>
          <w:tcPr>
            <w:tcW w:w="1611" w:type="dxa"/>
            <w:tcBorders>
              <w:top w:val="double" w:sz="6" w:space="0" w:color="auto"/>
              <w:left w:val="nil"/>
              <w:bottom w:val="double" w:sz="6" w:space="0" w:color="auto"/>
              <w:right w:val="double" w:sz="6"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 xml:space="preserve">Final Report                                                                  Legislation drafted </w:t>
            </w:r>
          </w:p>
        </w:tc>
        <w:tc>
          <w:tcPr>
            <w:tcW w:w="1084" w:type="dxa"/>
            <w:tcBorders>
              <w:top w:val="double" w:sz="6" w:space="0" w:color="auto"/>
              <w:left w:val="double" w:sz="6" w:space="0" w:color="auto"/>
              <w:bottom w:val="double" w:sz="6" w:space="0" w:color="auto"/>
              <w:right w:val="double" w:sz="6" w:space="0" w:color="auto"/>
            </w:tcBorders>
            <w:shd w:val="solid" w:color="99CC00" w:fill="auto"/>
          </w:tcPr>
          <w:p w:rsidR="00456E00" w:rsidRDefault="00456E00">
            <w:pPr>
              <w:autoSpaceDE w:val="0"/>
              <w:autoSpaceDN w:val="0"/>
              <w:adjustRightInd w:val="0"/>
              <w:spacing w:before="0"/>
              <w:rPr>
                <w:rFonts w:cs="Calibri"/>
                <w:color w:val="800080"/>
                <w:sz w:val="22"/>
                <w:szCs w:val="22"/>
                <w:lang w:eastAsia="en-AU"/>
              </w:rPr>
            </w:pPr>
            <w:r>
              <w:rPr>
                <w:rFonts w:cs="Calibri"/>
                <w:color w:val="800080"/>
                <w:sz w:val="22"/>
                <w:szCs w:val="22"/>
                <w:lang w:eastAsia="en-AU"/>
              </w:rPr>
              <w:t>Completed/ Achieved</w:t>
            </w:r>
          </w:p>
        </w:tc>
        <w:tc>
          <w:tcPr>
            <w:tcW w:w="1949" w:type="dxa"/>
            <w:tcBorders>
              <w:top w:val="single" w:sz="12" w:space="0" w:color="000000"/>
              <w:left w:val="single" w:sz="12" w:space="0" w:color="000000"/>
              <w:bottom w:val="single" w:sz="12" w:space="0" w:color="000000"/>
              <w:right w:val="nil"/>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 xml:space="preserve">An improved and updated legislation for the prisons  which supports rehabilitation </w:t>
            </w:r>
          </w:p>
        </w:tc>
        <w:tc>
          <w:tcPr>
            <w:tcW w:w="2335" w:type="dxa"/>
            <w:gridSpan w:val="3"/>
            <w:tcBorders>
              <w:top w:val="double" w:sz="6" w:space="0" w:color="auto"/>
              <w:left w:val="double" w:sz="6" w:space="0" w:color="auto"/>
              <w:bottom w:val="double" w:sz="6" w:space="0" w:color="auto"/>
              <w:right w:val="single" w:sz="12"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 xml:space="preserve">Final Report tabled June 2014                                                                    Prisons and Corrections Act 2013 passed                                                The Draft Regulation is drafted and finalized by Attorney General                                                 </w:t>
            </w:r>
          </w:p>
        </w:tc>
      </w:tr>
      <w:tr w:rsidR="00456E00" w:rsidTr="00D46309">
        <w:trPr>
          <w:trHeight w:val="226"/>
        </w:trPr>
        <w:tc>
          <w:tcPr>
            <w:tcW w:w="804" w:type="dxa"/>
            <w:tcBorders>
              <w:top w:val="nil"/>
              <w:left w:val="single" w:sz="12" w:space="0" w:color="auto"/>
              <w:bottom w:val="nil"/>
              <w:right w:val="nil"/>
            </w:tcBorders>
          </w:tcPr>
          <w:p w:rsidR="00456E00" w:rsidRDefault="00456E00">
            <w:pPr>
              <w:autoSpaceDE w:val="0"/>
              <w:autoSpaceDN w:val="0"/>
              <w:adjustRightInd w:val="0"/>
              <w:spacing w:before="0"/>
              <w:jc w:val="right"/>
              <w:rPr>
                <w:rFonts w:ascii="Arial" w:hAnsi="Arial" w:cs="Arial"/>
                <w:b/>
                <w:bCs/>
                <w:color w:val="000000"/>
                <w:sz w:val="22"/>
                <w:szCs w:val="22"/>
                <w:lang w:eastAsia="en-AU"/>
              </w:rPr>
            </w:pPr>
          </w:p>
        </w:tc>
        <w:tc>
          <w:tcPr>
            <w:tcW w:w="408"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595" w:type="dxa"/>
            <w:tcBorders>
              <w:top w:val="nil"/>
              <w:left w:val="nil"/>
              <w:bottom w:val="nil"/>
              <w:right w:val="nil"/>
            </w:tcBorders>
          </w:tcPr>
          <w:p w:rsidR="00456E00" w:rsidRDefault="00456E00">
            <w:pPr>
              <w:autoSpaceDE w:val="0"/>
              <w:autoSpaceDN w:val="0"/>
              <w:adjustRightInd w:val="0"/>
              <w:spacing w:before="0"/>
              <w:jc w:val="center"/>
              <w:rPr>
                <w:rFonts w:ascii="Arial" w:hAnsi="Arial" w:cs="Arial"/>
                <w:color w:val="000000"/>
                <w:sz w:val="22"/>
                <w:szCs w:val="22"/>
                <w:lang w:eastAsia="en-AU"/>
              </w:rPr>
            </w:pPr>
          </w:p>
        </w:tc>
        <w:tc>
          <w:tcPr>
            <w:tcW w:w="468"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1611"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1084"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1949" w:type="dxa"/>
            <w:tcBorders>
              <w:top w:val="nil"/>
              <w:left w:val="nil"/>
              <w:bottom w:val="nil"/>
              <w:right w:val="nil"/>
            </w:tcBorders>
            <w:shd w:val="solid" w:color="FFFFFF" w:fill="auto"/>
          </w:tcPr>
          <w:p w:rsidR="00456E00" w:rsidRDefault="00456E00">
            <w:pPr>
              <w:autoSpaceDE w:val="0"/>
              <w:autoSpaceDN w:val="0"/>
              <w:adjustRightInd w:val="0"/>
              <w:spacing w:before="0"/>
              <w:jc w:val="right"/>
              <w:rPr>
                <w:rFonts w:ascii="Arial" w:hAnsi="Arial" w:cs="Arial"/>
                <w:color w:val="000000"/>
                <w:sz w:val="22"/>
                <w:szCs w:val="22"/>
                <w:lang w:eastAsia="en-AU"/>
              </w:rPr>
            </w:pPr>
          </w:p>
          <w:p w:rsidR="00B3702C" w:rsidRDefault="00B3702C">
            <w:pPr>
              <w:autoSpaceDE w:val="0"/>
              <w:autoSpaceDN w:val="0"/>
              <w:adjustRightInd w:val="0"/>
              <w:spacing w:before="0"/>
              <w:jc w:val="right"/>
              <w:rPr>
                <w:rFonts w:ascii="Arial" w:hAnsi="Arial" w:cs="Arial"/>
                <w:color w:val="000000"/>
                <w:sz w:val="22"/>
                <w:szCs w:val="22"/>
                <w:lang w:eastAsia="en-AU"/>
              </w:rPr>
            </w:pPr>
          </w:p>
          <w:p w:rsidR="00B3702C" w:rsidRDefault="00B3702C">
            <w:pPr>
              <w:autoSpaceDE w:val="0"/>
              <w:autoSpaceDN w:val="0"/>
              <w:adjustRightInd w:val="0"/>
              <w:spacing w:before="0"/>
              <w:jc w:val="right"/>
              <w:rPr>
                <w:rFonts w:ascii="Arial" w:hAnsi="Arial" w:cs="Arial"/>
                <w:color w:val="000000"/>
                <w:sz w:val="22"/>
                <w:szCs w:val="22"/>
                <w:lang w:eastAsia="en-AU"/>
              </w:rPr>
            </w:pPr>
          </w:p>
        </w:tc>
        <w:tc>
          <w:tcPr>
            <w:tcW w:w="1063" w:type="dxa"/>
            <w:tcBorders>
              <w:top w:val="nil"/>
              <w:left w:val="nil"/>
              <w:bottom w:val="nil"/>
              <w:right w:val="nil"/>
            </w:tcBorders>
            <w:shd w:val="solid" w:color="FFFFFF" w:fill="auto"/>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677" w:type="dxa"/>
            <w:tcBorders>
              <w:top w:val="nil"/>
              <w:left w:val="nil"/>
              <w:bottom w:val="nil"/>
              <w:right w:val="nil"/>
            </w:tcBorders>
            <w:shd w:val="solid" w:color="FFFFFF" w:fill="auto"/>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595" w:type="dxa"/>
            <w:tcBorders>
              <w:top w:val="nil"/>
              <w:left w:val="nil"/>
              <w:bottom w:val="nil"/>
              <w:right w:val="single" w:sz="12" w:space="0" w:color="auto"/>
            </w:tcBorders>
            <w:shd w:val="solid" w:color="FFFFFF" w:fill="auto"/>
          </w:tcPr>
          <w:p w:rsidR="00456E00" w:rsidRDefault="00456E00">
            <w:pPr>
              <w:autoSpaceDE w:val="0"/>
              <w:autoSpaceDN w:val="0"/>
              <w:adjustRightInd w:val="0"/>
              <w:spacing w:before="0"/>
              <w:jc w:val="right"/>
              <w:rPr>
                <w:rFonts w:ascii="Arial" w:hAnsi="Arial" w:cs="Arial"/>
                <w:color w:val="000000"/>
                <w:sz w:val="22"/>
                <w:szCs w:val="22"/>
                <w:lang w:eastAsia="en-AU"/>
              </w:rPr>
            </w:pPr>
          </w:p>
        </w:tc>
      </w:tr>
      <w:tr w:rsidR="00456E00" w:rsidTr="00D46309">
        <w:trPr>
          <w:trHeight w:val="226"/>
        </w:trPr>
        <w:tc>
          <w:tcPr>
            <w:tcW w:w="804" w:type="dxa"/>
            <w:tcBorders>
              <w:top w:val="nil"/>
              <w:left w:val="single" w:sz="12" w:space="0" w:color="auto"/>
              <w:bottom w:val="nil"/>
              <w:right w:val="nil"/>
            </w:tcBorders>
          </w:tcPr>
          <w:p w:rsidR="00456E00" w:rsidRDefault="00456E00">
            <w:pPr>
              <w:autoSpaceDE w:val="0"/>
              <w:autoSpaceDN w:val="0"/>
              <w:adjustRightInd w:val="0"/>
              <w:spacing w:before="0"/>
              <w:jc w:val="right"/>
              <w:rPr>
                <w:rFonts w:ascii="Arial" w:hAnsi="Arial" w:cs="Arial"/>
                <w:b/>
                <w:bCs/>
                <w:color w:val="000000"/>
                <w:sz w:val="22"/>
                <w:szCs w:val="22"/>
                <w:lang w:eastAsia="en-AU"/>
              </w:rPr>
            </w:pPr>
          </w:p>
        </w:tc>
        <w:tc>
          <w:tcPr>
            <w:tcW w:w="408"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595" w:type="dxa"/>
            <w:tcBorders>
              <w:top w:val="nil"/>
              <w:left w:val="nil"/>
              <w:bottom w:val="nil"/>
              <w:right w:val="nil"/>
            </w:tcBorders>
          </w:tcPr>
          <w:p w:rsidR="00456E00" w:rsidRDefault="00456E00">
            <w:pPr>
              <w:autoSpaceDE w:val="0"/>
              <w:autoSpaceDN w:val="0"/>
              <w:adjustRightInd w:val="0"/>
              <w:spacing w:before="0"/>
              <w:jc w:val="center"/>
              <w:rPr>
                <w:rFonts w:ascii="Arial" w:hAnsi="Arial" w:cs="Arial"/>
                <w:color w:val="000000"/>
                <w:sz w:val="22"/>
                <w:szCs w:val="22"/>
                <w:lang w:eastAsia="en-AU"/>
              </w:rPr>
            </w:pPr>
          </w:p>
        </w:tc>
        <w:tc>
          <w:tcPr>
            <w:tcW w:w="468"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1611"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1084"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1949" w:type="dxa"/>
            <w:tcBorders>
              <w:top w:val="nil"/>
              <w:left w:val="nil"/>
              <w:bottom w:val="nil"/>
              <w:right w:val="nil"/>
            </w:tcBorders>
            <w:shd w:val="solid" w:color="FFFFFF" w:fill="auto"/>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1063" w:type="dxa"/>
            <w:tcBorders>
              <w:top w:val="nil"/>
              <w:left w:val="nil"/>
              <w:bottom w:val="nil"/>
              <w:right w:val="nil"/>
            </w:tcBorders>
            <w:shd w:val="solid" w:color="FFFFFF" w:fill="auto"/>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677" w:type="dxa"/>
            <w:tcBorders>
              <w:top w:val="nil"/>
              <w:left w:val="nil"/>
              <w:bottom w:val="nil"/>
              <w:right w:val="nil"/>
            </w:tcBorders>
            <w:shd w:val="solid" w:color="FFFFFF" w:fill="auto"/>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595" w:type="dxa"/>
            <w:tcBorders>
              <w:top w:val="nil"/>
              <w:left w:val="nil"/>
              <w:bottom w:val="nil"/>
              <w:right w:val="single" w:sz="12" w:space="0" w:color="auto"/>
            </w:tcBorders>
            <w:shd w:val="solid" w:color="FFFFFF" w:fill="auto"/>
          </w:tcPr>
          <w:p w:rsidR="00456E00" w:rsidRDefault="00456E00">
            <w:pPr>
              <w:autoSpaceDE w:val="0"/>
              <w:autoSpaceDN w:val="0"/>
              <w:adjustRightInd w:val="0"/>
              <w:spacing w:before="0"/>
              <w:jc w:val="right"/>
              <w:rPr>
                <w:rFonts w:ascii="Arial" w:hAnsi="Arial" w:cs="Arial"/>
                <w:color w:val="000000"/>
                <w:sz w:val="22"/>
                <w:szCs w:val="22"/>
                <w:lang w:eastAsia="en-AU"/>
              </w:rPr>
            </w:pPr>
          </w:p>
        </w:tc>
      </w:tr>
      <w:tr w:rsidR="00456E00" w:rsidTr="00D46309">
        <w:trPr>
          <w:trHeight w:val="235"/>
        </w:trPr>
        <w:tc>
          <w:tcPr>
            <w:tcW w:w="3886" w:type="dxa"/>
            <w:gridSpan w:val="5"/>
            <w:tcBorders>
              <w:top w:val="double" w:sz="6" w:space="0" w:color="auto"/>
              <w:left w:val="single" w:sz="12" w:space="0" w:color="auto"/>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color w:val="000000"/>
                <w:sz w:val="22"/>
                <w:szCs w:val="22"/>
                <w:lang w:eastAsia="en-AU"/>
              </w:rPr>
            </w:pPr>
            <w:r>
              <w:rPr>
                <w:rFonts w:ascii="Arial" w:hAnsi="Arial" w:cs="Arial"/>
                <w:b/>
                <w:bCs/>
                <w:color w:val="000000"/>
                <w:sz w:val="22"/>
                <w:szCs w:val="22"/>
                <w:lang w:eastAsia="en-AU"/>
              </w:rPr>
              <w:lastRenderedPageBreak/>
              <w:t>Goal 3: Customary and Community-Based Justice</w:t>
            </w:r>
          </w:p>
        </w:tc>
        <w:tc>
          <w:tcPr>
            <w:tcW w:w="1084" w:type="dxa"/>
            <w:tcBorders>
              <w:top w:val="double" w:sz="6" w:space="0" w:color="auto"/>
              <w:left w:val="nil"/>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color w:val="000000"/>
                <w:sz w:val="22"/>
                <w:szCs w:val="22"/>
                <w:lang w:eastAsia="en-AU"/>
              </w:rPr>
            </w:pPr>
          </w:p>
        </w:tc>
        <w:tc>
          <w:tcPr>
            <w:tcW w:w="1949" w:type="dxa"/>
            <w:tcBorders>
              <w:top w:val="double" w:sz="6" w:space="0" w:color="auto"/>
              <w:left w:val="nil"/>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color w:val="000000"/>
                <w:sz w:val="22"/>
                <w:szCs w:val="22"/>
                <w:lang w:eastAsia="en-AU"/>
              </w:rPr>
            </w:pPr>
          </w:p>
        </w:tc>
        <w:tc>
          <w:tcPr>
            <w:tcW w:w="1063" w:type="dxa"/>
            <w:tcBorders>
              <w:top w:val="double" w:sz="6" w:space="0" w:color="auto"/>
              <w:left w:val="nil"/>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color w:val="000000"/>
                <w:sz w:val="22"/>
                <w:szCs w:val="22"/>
                <w:lang w:eastAsia="en-AU"/>
              </w:rPr>
            </w:pPr>
          </w:p>
        </w:tc>
        <w:tc>
          <w:tcPr>
            <w:tcW w:w="677" w:type="dxa"/>
            <w:tcBorders>
              <w:top w:val="double" w:sz="6" w:space="0" w:color="auto"/>
              <w:left w:val="nil"/>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color w:val="000000"/>
                <w:sz w:val="22"/>
                <w:szCs w:val="22"/>
                <w:lang w:eastAsia="en-AU"/>
              </w:rPr>
            </w:pPr>
          </w:p>
        </w:tc>
        <w:tc>
          <w:tcPr>
            <w:tcW w:w="595" w:type="dxa"/>
            <w:tcBorders>
              <w:top w:val="double" w:sz="6" w:space="0" w:color="auto"/>
              <w:left w:val="nil"/>
              <w:bottom w:val="double" w:sz="6" w:space="0" w:color="auto"/>
              <w:right w:val="single" w:sz="12" w:space="0" w:color="auto"/>
            </w:tcBorders>
            <w:shd w:val="solid" w:color="FFCC00" w:fill="auto"/>
          </w:tcPr>
          <w:p w:rsidR="00456E00" w:rsidRDefault="00456E00">
            <w:pPr>
              <w:autoSpaceDE w:val="0"/>
              <w:autoSpaceDN w:val="0"/>
              <w:adjustRightInd w:val="0"/>
              <w:spacing w:before="0"/>
              <w:jc w:val="center"/>
              <w:rPr>
                <w:rFonts w:ascii="Arial" w:hAnsi="Arial" w:cs="Arial"/>
                <w:b/>
                <w:bCs/>
                <w:color w:val="000000"/>
                <w:sz w:val="22"/>
                <w:szCs w:val="22"/>
                <w:lang w:eastAsia="en-AU"/>
              </w:rPr>
            </w:pPr>
          </w:p>
        </w:tc>
      </w:tr>
      <w:tr w:rsidR="00456E00" w:rsidTr="00D46309">
        <w:trPr>
          <w:trHeight w:val="226"/>
        </w:trPr>
        <w:tc>
          <w:tcPr>
            <w:tcW w:w="6919" w:type="dxa"/>
            <w:gridSpan w:val="7"/>
            <w:tcBorders>
              <w:top w:val="double" w:sz="6" w:space="0" w:color="auto"/>
              <w:left w:val="single" w:sz="12" w:space="0" w:color="auto"/>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i/>
                <w:iCs/>
                <w:color w:val="000000"/>
                <w:sz w:val="22"/>
                <w:szCs w:val="22"/>
                <w:lang w:eastAsia="en-AU"/>
              </w:rPr>
            </w:pPr>
            <w:r>
              <w:rPr>
                <w:rFonts w:ascii="Arial" w:hAnsi="Arial" w:cs="Arial"/>
                <w:b/>
                <w:bCs/>
                <w:i/>
                <w:iCs/>
                <w:color w:val="000000"/>
                <w:sz w:val="22"/>
                <w:szCs w:val="22"/>
                <w:lang w:eastAsia="en-AU"/>
              </w:rPr>
              <w:t>Strategy 3.1: Promote and Integrate customary &amp; Community-based justice</w:t>
            </w:r>
          </w:p>
        </w:tc>
        <w:tc>
          <w:tcPr>
            <w:tcW w:w="1063" w:type="dxa"/>
            <w:tcBorders>
              <w:top w:val="double" w:sz="6" w:space="0" w:color="auto"/>
              <w:left w:val="nil"/>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i/>
                <w:iCs/>
                <w:color w:val="000000"/>
                <w:sz w:val="22"/>
                <w:szCs w:val="22"/>
                <w:lang w:eastAsia="en-AU"/>
              </w:rPr>
            </w:pPr>
          </w:p>
        </w:tc>
        <w:tc>
          <w:tcPr>
            <w:tcW w:w="677" w:type="dxa"/>
            <w:tcBorders>
              <w:top w:val="double" w:sz="6" w:space="0" w:color="auto"/>
              <w:left w:val="nil"/>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i/>
                <w:iCs/>
                <w:color w:val="000000"/>
                <w:sz w:val="22"/>
                <w:szCs w:val="22"/>
                <w:lang w:eastAsia="en-AU"/>
              </w:rPr>
            </w:pPr>
          </w:p>
        </w:tc>
        <w:tc>
          <w:tcPr>
            <w:tcW w:w="595" w:type="dxa"/>
            <w:tcBorders>
              <w:top w:val="double" w:sz="6" w:space="0" w:color="auto"/>
              <w:left w:val="nil"/>
              <w:bottom w:val="double" w:sz="6" w:space="0" w:color="auto"/>
              <w:right w:val="single" w:sz="12" w:space="0" w:color="auto"/>
            </w:tcBorders>
            <w:shd w:val="solid" w:color="FFCC00" w:fill="auto"/>
          </w:tcPr>
          <w:p w:rsidR="00456E00" w:rsidRDefault="00456E00">
            <w:pPr>
              <w:autoSpaceDE w:val="0"/>
              <w:autoSpaceDN w:val="0"/>
              <w:adjustRightInd w:val="0"/>
              <w:spacing w:before="0"/>
              <w:jc w:val="center"/>
              <w:rPr>
                <w:rFonts w:ascii="Arial" w:hAnsi="Arial" w:cs="Arial"/>
                <w:b/>
                <w:bCs/>
                <w:i/>
                <w:iCs/>
                <w:color w:val="000000"/>
                <w:sz w:val="22"/>
                <w:szCs w:val="22"/>
                <w:lang w:eastAsia="en-AU"/>
              </w:rPr>
            </w:pPr>
          </w:p>
        </w:tc>
      </w:tr>
      <w:tr w:rsidR="00456E00" w:rsidTr="00D46309">
        <w:trPr>
          <w:trHeight w:val="226"/>
        </w:trPr>
        <w:tc>
          <w:tcPr>
            <w:tcW w:w="9254" w:type="dxa"/>
            <w:gridSpan w:val="10"/>
            <w:tcBorders>
              <w:top w:val="double" w:sz="6" w:space="0" w:color="auto"/>
              <w:left w:val="single" w:sz="12" w:space="0" w:color="auto"/>
              <w:bottom w:val="double" w:sz="6" w:space="0" w:color="auto"/>
              <w:right w:val="single" w:sz="12" w:space="0" w:color="auto"/>
            </w:tcBorders>
            <w:shd w:val="solid" w:color="969696" w:fill="auto"/>
          </w:tcPr>
          <w:p w:rsidR="00456E00" w:rsidRDefault="00456E00">
            <w:pPr>
              <w:autoSpaceDE w:val="0"/>
              <w:autoSpaceDN w:val="0"/>
              <w:adjustRightInd w:val="0"/>
              <w:spacing w:before="0"/>
              <w:jc w:val="center"/>
              <w:rPr>
                <w:rFonts w:ascii="Arial" w:hAnsi="Arial" w:cs="Arial"/>
                <w:color w:val="000000"/>
                <w:sz w:val="22"/>
                <w:szCs w:val="22"/>
                <w:lang w:eastAsia="en-AU"/>
              </w:rPr>
            </w:pPr>
            <w:r>
              <w:rPr>
                <w:rFonts w:ascii="Arial" w:hAnsi="Arial" w:cs="Arial"/>
                <w:color w:val="000000"/>
                <w:sz w:val="22"/>
                <w:szCs w:val="22"/>
                <w:lang w:eastAsia="en-AU"/>
              </w:rPr>
              <w:t>Outcome:</w:t>
            </w:r>
            <w:r w:rsidR="00B3702C">
              <w:rPr>
                <w:rFonts w:ascii="Arial" w:hAnsi="Arial" w:cs="Arial"/>
                <w:color w:val="000000"/>
                <w:sz w:val="22"/>
                <w:szCs w:val="22"/>
                <w:lang w:eastAsia="en-AU"/>
              </w:rPr>
              <w:t xml:space="preserve"> </w:t>
            </w:r>
            <w:r>
              <w:rPr>
                <w:rFonts w:ascii="Arial" w:hAnsi="Arial" w:cs="Arial"/>
                <w:color w:val="000000"/>
                <w:sz w:val="22"/>
                <w:szCs w:val="22"/>
                <w:lang w:eastAsia="en-AU"/>
              </w:rPr>
              <w:t>To recognise customary and community-based justice in Samoa and integrate or harmonise it with the formal justice system.</w:t>
            </w:r>
          </w:p>
        </w:tc>
      </w:tr>
      <w:tr w:rsidR="00456E00" w:rsidTr="00D46309">
        <w:trPr>
          <w:trHeight w:val="226"/>
        </w:trPr>
        <w:tc>
          <w:tcPr>
            <w:tcW w:w="9254" w:type="dxa"/>
            <w:gridSpan w:val="10"/>
            <w:tcBorders>
              <w:top w:val="double" w:sz="6" w:space="0" w:color="auto"/>
              <w:left w:val="single" w:sz="12" w:space="0" w:color="auto"/>
              <w:bottom w:val="double" w:sz="6" w:space="0" w:color="auto"/>
              <w:right w:val="single" w:sz="12" w:space="0" w:color="auto"/>
            </w:tcBorders>
            <w:shd w:val="solid" w:color="969696" w:fill="auto"/>
          </w:tcPr>
          <w:p w:rsidR="00456E00" w:rsidRDefault="00456E00">
            <w:pPr>
              <w:autoSpaceDE w:val="0"/>
              <w:autoSpaceDN w:val="0"/>
              <w:adjustRightInd w:val="0"/>
              <w:spacing w:before="0"/>
              <w:jc w:val="center"/>
              <w:rPr>
                <w:rFonts w:ascii="Arial" w:hAnsi="Arial" w:cs="Arial"/>
                <w:color w:val="000000"/>
                <w:sz w:val="22"/>
                <w:szCs w:val="22"/>
                <w:lang w:eastAsia="en-AU"/>
              </w:rPr>
            </w:pPr>
            <w:r>
              <w:rPr>
                <w:rFonts w:ascii="Arial" w:hAnsi="Arial" w:cs="Arial"/>
                <w:color w:val="000000"/>
                <w:sz w:val="22"/>
                <w:szCs w:val="22"/>
                <w:lang w:eastAsia="en-AU"/>
              </w:rPr>
              <w:t>Sub Strategy  3.1.1 - Improve linkages harmonisation and integration between formal and customary and community-based justice systems.</w:t>
            </w:r>
          </w:p>
        </w:tc>
      </w:tr>
      <w:tr w:rsidR="00456E00" w:rsidTr="00D46309">
        <w:trPr>
          <w:trHeight w:val="1742"/>
        </w:trPr>
        <w:tc>
          <w:tcPr>
            <w:tcW w:w="804" w:type="dxa"/>
            <w:tcBorders>
              <w:top w:val="double" w:sz="6" w:space="0" w:color="auto"/>
              <w:left w:val="single" w:sz="12" w:space="0" w:color="auto"/>
              <w:bottom w:val="double" w:sz="6" w:space="0" w:color="auto"/>
              <w:right w:val="nil"/>
            </w:tcBorders>
            <w:shd w:val="solid" w:color="C0C0C0" w:fill="auto"/>
          </w:tcPr>
          <w:p w:rsidR="00456E00" w:rsidRDefault="00456E00">
            <w:pPr>
              <w:autoSpaceDE w:val="0"/>
              <w:autoSpaceDN w:val="0"/>
              <w:adjustRightInd w:val="0"/>
              <w:spacing w:before="0"/>
              <w:jc w:val="center"/>
              <w:rPr>
                <w:rFonts w:cs="Calibri"/>
                <w:b/>
                <w:bCs/>
                <w:color w:val="000000"/>
                <w:sz w:val="22"/>
                <w:szCs w:val="22"/>
                <w:lang w:eastAsia="en-AU"/>
              </w:rPr>
            </w:pPr>
            <w:r>
              <w:rPr>
                <w:rFonts w:cs="Calibri"/>
                <w:b/>
                <w:bCs/>
                <w:color w:val="000000"/>
                <w:sz w:val="22"/>
                <w:szCs w:val="22"/>
                <w:lang w:eastAsia="en-AU"/>
              </w:rPr>
              <w:t>Projects</w:t>
            </w:r>
          </w:p>
        </w:tc>
        <w:tc>
          <w:tcPr>
            <w:tcW w:w="408" w:type="dxa"/>
            <w:tcBorders>
              <w:top w:val="double" w:sz="6" w:space="0" w:color="auto"/>
              <w:left w:val="double" w:sz="6" w:space="0" w:color="auto"/>
              <w:bottom w:val="double" w:sz="6" w:space="0" w:color="auto"/>
              <w:right w:val="double" w:sz="6" w:space="0" w:color="auto"/>
            </w:tcBorders>
            <w:shd w:val="solid" w:color="C0C0C0" w:fill="auto"/>
          </w:tcPr>
          <w:p w:rsidR="00456E00" w:rsidRDefault="00456E00">
            <w:pPr>
              <w:autoSpaceDE w:val="0"/>
              <w:autoSpaceDN w:val="0"/>
              <w:adjustRightInd w:val="0"/>
              <w:spacing w:before="0"/>
              <w:jc w:val="center"/>
              <w:rPr>
                <w:rFonts w:cs="Calibri"/>
                <w:b/>
                <w:bCs/>
                <w:color w:val="000000"/>
                <w:sz w:val="22"/>
                <w:szCs w:val="22"/>
                <w:lang w:eastAsia="en-AU"/>
              </w:rPr>
            </w:pPr>
            <w:r>
              <w:rPr>
                <w:rFonts w:cs="Calibri"/>
                <w:b/>
                <w:bCs/>
                <w:color w:val="000000"/>
                <w:sz w:val="22"/>
                <w:szCs w:val="22"/>
                <w:lang w:eastAsia="en-AU"/>
              </w:rPr>
              <w:t>Project Reference Number</w:t>
            </w:r>
          </w:p>
        </w:tc>
        <w:tc>
          <w:tcPr>
            <w:tcW w:w="595" w:type="dxa"/>
            <w:tcBorders>
              <w:top w:val="double" w:sz="6" w:space="0" w:color="auto"/>
              <w:left w:val="nil"/>
              <w:bottom w:val="double" w:sz="6" w:space="0" w:color="auto"/>
              <w:right w:val="double" w:sz="6" w:space="0" w:color="auto"/>
            </w:tcBorders>
            <w:shd w:val="solid" w:color="C0C0C0" w:fill="auto"/>
          </w:tcPr>
          <w:p w:rsidR="00456E00" w:rsidRDefault="00456E00">
            <w:pPr>
              <w:autoSpaceDE w:val="0"/>
              <w:autoSpaceDN w:val="0"/>
              <w:adjustRightInd w:val="0"/>
              <w:spacing w:before="0"/>
              <w:jc w:val="center"/>
              <w:rPr>
                <w:rFonts w:cs="Calibri"/>
                <w:b/>
                <w:bCs/>
                <w:color w:val="000000"/>
                <w:sz w:val="22"/>
                <w:szCs w:val="22"/>
                <w:lang w:eastAsia="en-AU"/>
              </w:rPr>
            </w:pPr>
            <w:r>
              <w:rPr>
                <w:rFonts w:cs="Calibri"/>
                <w:b/>
                <w:bCs/>
                <w:color w:val="000000"/>
                <w:sz w:val="22"/>
                <w:szCs w:val="22"/>
                <w:lang w:eastAsia="en-AU"/>
              </w:rPr>
              <w:t>Implemented Agency</w:t>
            </w:r>
          </w:p>
        </w:tc>
        <w:tc>
          <w:tcPr>
            <w:tcW w:w="468" w:type="dxa"/>
            <w:tcBorders>
              <w:top w:val="double" w:sz="6" w:space="0" w:color="auto"/>
              <w:left w:val="nil"/>
              <w:bottom w:val="double" w:sz="6" w:space="0" w:color="auto"/>
              <w:right w:val="double" w:sz="6" w:space="0" w:color="auto"/>
            </w:tcBorders>
            <w:shd w:val="solid" w:color="C0C0C0" w:fill="auto"/>
          </w:tcPr>
          <w:p w:rsidR="00456E00" w:rsidRDefault="00456E00">
            <w:pPr>
              <w:autoSpaceDE w:val="0"/>
              <w:autoSpaceDN w:val="0"/>
              <w:adjustRightInd w:val="0"/>
              <w:spacing w:before="0"/>
              <w:jc w:val="center"/>
              <w:rPr>
                <w:rFonts w:cs="Calibri"/>
                <w:b/>
                <w:bCs/>
                <w:color w:val="000000"/>
                <w:sz w:val="22"/>
                <w:szCs w:val="22"/>
                <w:lang w:eastAsia="en-AU"/>
              </w:rPr>
            </w:pPr>
            <w:r>
              <w:rPr>
                <w:rFonts w:cs="Calibri"/>
                <w:b/>
                <w:bCs/>
                <w:color w:val="000000"/>
                <w:sz w:val="22"/>
                <w:szCs w:val="22"/>
                <w:lang w:eastAsia="en-AU"/>
              </w:rPr>
              <w:t>Year Implemented</w:t>
            </w:r>
          </w:p>
        </w:tc>
        <w:tc>
          <w:tcPr>
            <w:tcW w:w="1611" w:type="dxa"/>
            <w:tcBorders>
              <w:top w:val="double" w:sz="6" w:space="0" w:color="auto"/>
              <w:left w:val="nil"/>
              <w:bottom w:val="double" w:sz="6" w:space="0" w:color="auto"/>
              <w:right w:val="double" w:sz="6" w:space="0" w:color="auto"/>
            </w:tcBorders>
            <w:shd w:val="solid" w:color="C0C0C0" w:fill="auto"/>
          </w:tcPr>
          <w:p w:rsidR="00456E00" w:rsidRDefault="00456E00">
            <w:pPr>
              <w:autoSpaceDE w:val="0"/>
              <w:autoSpaceDN w:val="0"/>
              <w:adjustRightInd w:val="0"/>
              <w:spacing w:before="0"/>
              <w:jc w:val="center"/>
              <w:rPr>
                <w:rFonts w:cs="Calibri"/>
                <w:b/>
                <w:bCs/>
                <w:color w:val="000000"/>
                <w:sz w:val="22"/>
                <w:szCs w:val="22"/>
                <w:lang w:eastAsia="en-AU"/>
              </w:rPr>
            </w:pPr>
            <w:r>
              <w:rPr>
                <w:rFonts w:cs="Calibri"/>
                <w:b/>
                <w:bCs/>
                <w:color w:val="000000"/>
                <w:sz w:val="22"/>
                <w:szCs w:val="22"/>
                <w:lang w:eastAsia="en-AU"/>
              </w:rPr>
              <w:t>Key Performance Indicators (KPI's)</w:t>
            </w:r>
          </w:p>
        </w:tc>
        <w:tc>
          <w:tcPr>
            <w:tcW w:w="1084" w:type="dxa"/>
            <w:tcBorders>
              <w:top w:val="double" w:sz="6" w:space="0" w:color="auto"/>
              <w:left w:val="double" w:sz="6" w:space="0" w:color="auto"/>
              <w:bottom w:val="double" w:sz="6" w:space="0" w:color="auto"/>
              <w:right w:val="double" w:sz="6" w:space="0" w:color="auto"/>
            </w:tcBorders>
            <w:shd w:val="solid" w:color="C0C0C0" w:fill="auto"/>
          </w:tcPr>
          <w:p w:rsidR="00456E00" w:rsidRDefault="00456E00">
            <w:pPr>
              <w:autoSpaceDE w:val="0"/>
              <w:autoSpaceDN w:val="0"/>
              <w:adjustRightInd w:val="0"/>
              <w:spacing w:before="0"/>
              <w:jc w:val="center"/>
              <w:rPr>
                <w:rFonts w:cs="Calibri"/>
                <w:b/>
                <w:bCs/>
                <w:color w:val="000000"/>
                <w:sz w:val="22"/>
                <w:szCs w:val="22"/>
                <w:lang w:eastAsia="en-AU"/>
              </w:rPr>
            </w:pPr>
            <w:r>
              <w:rPr>
                <w:rFonts w:cs="Calibri"/>
                <w:b/>
                <w:bCs/>
                <w:color w:val="000000"/>
                <w:sz w:val="22"/>
                <w:szCs w:val="22"/>
                <w:lang w:eastAsia="en-AU"/>
              </w:rPr>
              <w:t>Traffic Light Progress Indicator</w:t>
            </w:r>
          </w:p>
        </w:tc>
        <w:tc>
          <w:tcPr>
            <w:tcW w:w="1949" w:type="dxa"/>
            <w:tcBorders>
              <w:top w:val="double" w:sz="6" w:space="0" w:color="auto"/>
              <w:left w:val="double" w:sz="6" w:space="0" w:color="auto"/>
              <w:bottom w:val="double" w:sz="6" w:space="0" w:color="auto"/>
              <w:right w:val="nil"/>
            </w:tcBorders>
            <w:shd w:val="solid" w:color="FFFFFF" w:fill="auto"/>
          </w:tcPr>
          <w:p w:rsidR="00456E00" w:rsidRDefault="00456E00">
            <w:pPr>
              <w:autoSpaceDE w:val="0"/>
              <w:autoSpaceDN w:val="0"/>
              <w:adjustRightInd w:val="0"/>
              <w:spacing w:before="0"/>
              <w:jc w:val="center"/>
              <w:rPr>
                <w:rFonts w:cs="Calibri"/>
                <w:b/>
                <w:bCs/>
                <w:color w:val="000000"/>
                <w:sz w:val="22"/>
                <w:szCs w:val="22"/>
                <w:lang w:eastAsia="en-AU"/>
              </w:rPr>
            </w:pPr>
            <w:r>
              <w:rPr>
                <w:rFonts w:cs="Calibri"/>
                <w:b/>
                <w:bCs/>
                <w:color w:val="000000"/>
                <w:sz w:val="22"/>
                <w:szCs w:val="22"/>
                <w:lang w:eastAsia="en-AU"/>
              </w:rPr>
              <w:t>Outcome</w:t>
            </w:r>
          </w:p>
        </w:tc>
        <w:tc>
          <w:tcPr>
            <w:tcW w:w="1063" w:type="dxa"/>
            <w:tcBorders>
              <w:top w:val="double" w:sz="6" w:space="0" w:color="auto"/>
              <w:left w:val="double" w:sz="6" w:space="0" w:color="auto"/>
              <w:bottom w:val="double" w:sz="6" w:space="0" w:color="auto"/>
              <w:right w:val="nil"/>
            </w:tcBorders>
            <w:shd w:val="solid" w:color="FFFFFF" w:fill="auto"/>
          </w:tcPr>
          <w:p w:rsidR="00456E00" w:rsidRDefault="00456E00">
            <w:pPr>
              <w:autoSpaceDE w:val="0"/>
              <w:autoSpaceDN w:val="0"/>
              <w:adjustRightInd w:val="0"/>
              <w:spacing w:before="0"/>
              <w:jc w:val="center"/>
              <w:rPr>
                <w:rFonts w:cs="Calibri"/>
                <w:b/>
                <w:bCs/>
                <w:color w:val="000000"/>
                <w:sz w:val="22"/>
                <w:szCs w:val="22"/>
                <w:lang w:eastAsia="en-AU"/>
              </w:rPr>
            </w:pPr>
            <w:r>
              <w:rPr>
                <w:rFonts w:cs="Calibri"/>
                <w:b/>
                <w:bCs/>
                <w:color w:val="000000"/>
                <w:sz w:val="22"/>
                <w:szCs w:val="22"/>
                <w:lang w:eastAsia="en-AU"/>
              </w:rPr>
              <w:t>Comments</w:t>
            </w:r>
          </w:p>
        </w:tc>
        <w:tc>
          <w:tcPr>
            <w:tcW w:w="677" w:type="dxa"/>
            <w:tcBorders>
              <w:top w:val="double" w:sz="6" w:space="0" w:color="auto"/>
              <w:left w:val="nil"/>
              <w:bottom w:val="double" w:sz="6" w:space="0" w:color="auto"/>
              <w:right w:val="nil"/>
            </w:tcBorders>
            <w:shd w:val="solid" w:color="FFFFFF" w:fill="auto"/>
          </w:tcPr>
          <w:p w:rsidR="00456E00" w:rsidRDefault="00456E00">
            <w:pPr>
              <w:autoSpaceDE w:val="0"/>
              <w:autoSpaceDN w:val="0"/>
              <w:adjustRightInd w:val="0"/>
              <w:spacing w:before="0"/>
              <w:jc w:val="center"/>
              <w:rPr>
                <w:rFonts w:cs="Calibri"/>
                <w:b/>
                <w:bCs/>
                <w:color w:val="000000"/>
                <w:sz w:val="22"/>
                <w:szCs w:val="22"/>
                <w:lang w:eastAsia="en-AU"/>
              </w:rPr>
            </w:pPr>
          </w:p>
        </w:tc>
        <w:tc>
          <w:tcPr>
            <w:tcW w:w="595" w:type="dxa"/>
            <w:tcBorders>
              <w:top w:val="double" w:sz="6" w:space="0" w:color="auto"/>
              <w:left w:val="nil"/>
              <w:bottom w:val="double" w:sz="6" w:space="0" w:color="auto"/>
              <w:right w:val="single" w:sz="12" w:space="0" w:color="auto"/>
            </w:tcBorders>
            <w:shd w:val="solid" w:color="FFFFFF" w:fill="auto"/>
          </w:tcPr>
          <w:p w:rsidR="00456E00" w:rsidRDefault="00456E00">
            <w:pPr>
              <w:autoSpaceDE w:val="0"/>
              <w:autoSpaceDN w:val="0"/>
              <w:adjustRightInd w:val="0"/>
              <w:spacing w:before="0"/>
              <w:jc w:val="center"/>
              <w:rPr>
                <w:rFonts w:cs="Calibri"/>
                <w:b/>
                <w:bCs/>
                <w:color w:val="000000"/>
                <w:sz w:val="22"/>
                <w:szCs w:val="22"/>
                <w:lang w:eastAsia="en-AU"/>
              </w:rPr>
            </w:pPr>
          </w:p>
        </w:tc>
      </w:tr>
      <w:tr w:rsidR="00456E00" w:rsidTr="00D46309">
        <w:trPr>
          <w:trHeight w:val="3034"/>
        </w:trPr>
        <w:tc>
          <w:tcPr>
            <w:tcW w:w="804" w:type="dxa"/>
            <w:tcBorders>
              <w:top w:val="double" w:sz="6" w:space="0" w:color="auto"/>
              <w:left w:val="single" w:sz="12" w:space="0" w:color="auto"/>
              <w:bottom w:val="double" w:sz="6" w:space="0" w:color="auto"/>
              <w:right w:val="double" w:sz="6" w:space="0" w:color="auto"/>
            </w:tcBorders>
          </w:tcPr>
          <w:p w:rsidR="00456E00" w:rsidRDefault="00456E00">
            <w:pPr>
              <w:autoSpaceDE w:val="0"/>
              <w:autoSpaceDN w:val="0"/>
              <w:adjustRightInd w:val="0"/>
              <w:spacing w:before="0"/>
              <w:rPr>
                <w:rFonts w:cs="Calibri"/>
                <w:b/>
                <w:bCs/>
                <w:color w:val="000000"/>
                <w:sz w:val="22"/>
                <w:szCs w:val="22"/>
                <w:lang w:eastAsia="en-AU"/>
              </w:rPr>
            </w:pPr>
            <w:r>
              <w:rPr>
                <w:rFonts w:cs="Calibri"/>
                <w:b/>
                <w:bCs/>
                <w:color w:val="000000"/>
                <w:sz w:val="22"/>
                <w:szCs w:val="22"/>
                <w:lang w:eastAsia="en-AU"/>
              </w:rPr>
              <w:t xml:space="preserve">Review of Village </w:t>
            </w:r>
            <w:proofErr w:type="spellStart"/>
            <w:r>
              <w:rPr>
                <w:rFonts w:cs="Calibri"/>
                <w:b/>
                <w:bCs/>
                <w:color w:val="000000"/>
                <w:sz w:val="22"/>
                <w:szCs w:val="22"/>
                <w:lang w:eastAsia="en-AU"/>
              </w:rPr>
              <w:t>Fono</w:t>
            </w:r>
            <w:proofErr w:type="spellEnd"/>
            <w:r>
              <w:rPr>
                <w:rFonts w:cs="Calibri"/>
                <w:b/>
                <w:bCs/>
                <w:color w:val="000000"/>
                <w:sz w:val="22"/>
                <w:szCs w:val="22"/>
                <w:lang w:eastAsia="en-AU"/>
              </w:rPr>
              <w:t xml:space="preserve"> Act                                                   Legislative Review   Draft Legislation </w:t>
            </w:r>
          </w:p>
        </w:tc>
        <w:tc>
          <w:tcPr>
            <w:tcW w:w="408" w:type="dxa"/>
            <w:tcBorders>
              <w:top w:val="double" w:sz="6" w:space="0" w:color="auto"/>
              <w:left w:val="double" w:sz="6" w:space="0" w:color="auto"/>
              <w:bottom w:val="double" w:sz="6" w:space="0" w:color="auto"/>
              <w:right w:val="double" w:sz="6" w:space="0" w:color="auto"/>
            </w:tcBorders>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3.1.1.1</w:t>
            </w:r>
          </w:p>
        </w:tc>
        <w:tc>
          <w:tcPr>
            <w:tcW w:w="595"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SLRC</w:t>
            </w:r>
          </w:p>
        </w:tc>
        <w:tc>
          <w:tcPr>
            <w:tcW w:w="468"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2012/13</w:t>
            </w:r>
          </w:p>
        </w:tc>
        <w:tc>
          <w:tcPr>
            <w:tcW w:w="1611" w:type="dxa"/>
            <w:tcBorders>
              <w:top w:val="double" w:sz="6" w:space="0" w:color="auto"/>
              <w:left w:val="nil"/>
              <w:bottom w:val="double" w:sz="6" w:space="0" w:color="auto"/>
              <w:right w:val="double" w:sz="6" w:space="0" w:color="auto"/>
            </w:tcBorders>
            <w:shd w:val="solid" w:color="FFFFFF" w:fill="auto"/>
          </w:tcPr>
          <w:p w:rsidR="00456E00" w:rsidRDefault="00456E00" w:rsidP="00B3702C">
            <w:pPr>
              <w:autoSpaceDE w:val="0"/>
              <w:autoSpaceDN w:val="0"/>
              <w:adjustRightInd w:val="0"/>
              <w:spacing w:before="0"/>
              <w:rPr>
                <w:rFonts w:cs="Calibri"/>
                <w:color w:val="000000"/>
                <w:sz w:val="22"/>
                <w:szCs w:val="22"/>
                <w:lang w:eastAsia="en-AU"/>
              </w:rPr>
            </w:pPr>
            <w:r>
              <w:rPr>
                <w:rFonts w:cs="Calibri"/>
                <w:color w:val="000000"/>
                <w:sz w:val="22"/>
                <w:szCs w:val="22"/>
                <w:lang w:eastAsia="en-AU"/>
              </w:rPr>
              <w:t>*Carry out relevant legislative review.                     *Draft necessary new or amended legislation</w:t>
            </w:r>
          </w:p>
        </w:tc>
        <w:tc>
          <w:tcPr>
            <w:tcW w:w="1084" w:type="dxa"/>
            <w:tcBorders>
              <w:top w:val="double" w:sz="6" w:space="0" w:color="auto"/>
              <w:left w:val="double" w:sz="6" w:space="0" w:color="auto"/>
              <w:bottom w:val="double" w:sz="6" w:space="0" w:color="auto"/>
              <w:right w:val="double" w:sz="6" w:space="0" w:color="auto"/>
            </w:tcBorders>
            <w:shd w:val="solid" w:color="99CC00" w:fill="auto"/>
          </w:tcPr>
          <w:p w:rsidR="00456E00" w:rsidRDefault="00456E00">
            <w:pPr>
              <w:autoSpaceDE w:val="0"/>
              <w:autoSpaceDN w:val="0"/>
              <w:adjustRightInd w:val="0"/>
              <w:spacing w:before="0"/>
              <w:rPr>
                <w:rFonts w:cs="Calibri"/>
                <w:color w:val="800080"/>
                <w:sz w:val="22"/>
                <w:szCs w:val="22"/>
                <w:lang w:eastAsia="en-AU"/>
              </w:rPr>
            </w:pPr>
            <w:r>
              <w:rPr>
                <w:rFonts w:cs="Calibri"/>
                <w:color w:val="800080"/>
                <w:sz w:val="22"/>
                <w:szCs w:val="22"/>
                <w:lang w:eastAsia="en-AU"/>
              </w:rPr>
              <w:t>Completed/ Achieved</w:t>
            </w:r>
          </w:p>
        </w:tc>
        <w:tc>
          <w:tcPr>
            <w:tcW w:w="1949" w:type="dxa"/>
            <w:tcBorders>
              <w:top w:val="double" w:sz="6" w:space="0" w:color="auto"/>
              <w:left w:val="double" w:sz="6" w:space="0" w:color="auto"/>
              <w:bottom w:val="double" w:sz="6" w:space="0" w:color="auto"/>
              <w:right w:val="nil"/>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An improved legislation that will look into extending the authority of the village council in economic, social and hygiene affairs of villages. The Bill also includes registration of village by-laws and penalties to ensure justice and good governance is practiced within the village councils.</w:t>
            </w:r>
          </w:p>
        </w:tc>
        <w:tc>
          <w:tcPr>
            <w:tcW w:w="2335" w:type="dxa"/>
            <w:gridSpan w:val="3"/>
            <w:tcBorders>
              <w:top w:val="double" w:sz="6" w:space="0" w:color="auto"/>
              <w:left w:val="double" w:sz="6" w:space="0" w:color="auto"/>
              <w:bottom w:val="double" w:sz="6" w:space="0" w:color="auto"/>
              <w:right w:val="single" w:sz="12"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 xml:space="preserve">Final Report tabled 2013                                                              Amendment Village </w:t>
            </w:r>
            <w:proofErr w:type="spellStart"/>
            <w:r>
              <w:rPr>
                <w:rFonts w:cs="Calibri"/>
                <w:color w:val="000000"/>
                <w:sz w:val="22"/>
                <w:szCs w:val="22"/>
                <w:lang w:eastAsia="en-AU"/>
              </w:rPr>
              <w:t>Fono</w:t>
            </w:r>
            <w:proofErr w:type="spellEnd"/>
            <w:r>
              <w:rPr>
                <w:rFonts w:cs="Calibri"/>
                <w:color w:val="000000"/>
                <w:sz w:val="22"/>
                <w:szCs w:val="22"/>
                <w:lang w:eastAsia="en-AU"/>
              </w:rPr>
              <w:t xml:space="preserve"> drafted.                                                             Bill  currently with MWCSD and Attorney General </w:t>
            </w:r>
          </w:p>
        </w:tc>
      </w:tr>
      <w:tr w:rsidR="00456E00" w:rsidTr="00D46309">
        <w:trPr>
          <w:trHeight w:val="226"/>
        </w:trPr>
        <w:tc>
          <w:tcPr>
            <w:tcW w:w="8659" w:type="dxa"/>
            <w:gridSpan w:val="9"/>
            <w:tcBorders>
              <w:top w:val="double" w:sz="6" w:space="0" w:color="auto"/>
              <w:left w:val="single" w:sz="12" w:space="0" w:color="auto"/>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22"/>
                <w:szCs w:val="22"/>
                <w:lang w:eastAsia="en-AU"/>
              </w:rPr>
            </w:pPr>
            <w:r>
              <w:rPr>
                <w:rFonts w:ascii="Arial" w:hAnsi="Arial" w:cs="Arial"/>
                <w:color w:val="000000"/>
                <w:sz w:val="22"/>
                <w:szCs w:val="22"/>
                <w:lang w:eastAsia="en-AU"/>
              </w:rPr>
              <w:t>Sub Strategy  3.1.2 - Increase community awareness of formal and customary and community based justice systems.</w:t>
            </w:r>
          </w:p>
        </w:tc>
        <w:tc>
          <w:tcPr>
            <w:tcW w:w="595" w:type="dxa"/>
            <w:tcBorders>
              <w:top w:val="double" w:sz="6" w:space="0" w:color="auto"/>
              <w:left w:val="nil"/>
              <w:bottom w:val="double" w:sz="6" w:space="0" w:color="auto"/>
              <w:right w:val="single" w:sz="12" w:space="0" w:color="auto"/>
            </w:tcBorders>
            <w:shd w:val="solid" w:color="969696" w:fill="auto"/>
          </w:tcPr>
          <w:p w:rsidR="00456E00" w:rsidRDefault="00456E00">
            <w:pPr>
              <w:autoSpaceDE w:val="0"/>
              <w:autoSpaceDN w:val="0"/>
              <w:adjustRightInd w:val="0"/>
              <w:spacing w:before="0"/>
              <w:jc w:val="center"/>
              <w:rPr>
                <w:rFonts w:ascii="Arial" w:hAnsi="Arial" w:cs="Arial"/>
                <w:color w:val="000000"/>
                <w:sz w:val="22"/>
                <w:szCs w:val="22"/>
                <w:lang w:eastAsia="en-AU"/>
              </w:rPr>
            </w:pPr>
          </w:p>
        </w:tc>
      </w:tr>
      <w:tr w:rsidR="00456E00" w:rsidTr="00D46309">
        <w:trPr>
          <w:trHeight w:val="2818"/>
        </w:trPr>
        <w:tc>
          <w:tcPr>
            <w:tcW w:w="804" w:type="dxa"/>
            <w:tcBorders>
              <w:top w:val="double" w:sz="6" w:space="0" w:color="auto"/>
              <w:left w:val="single" w:sz="12" w:space="0" w:color="auto"/>
              <w:bottom w:val="double" w:sz="6" w:space="0" w:color="auto"/>
              <w:right w:val="double" w:sz="6" w:space="0" w:color="auto"/>
            </w:tcBorders>
          </w:tcPr>
          <w:p w:rsidR="00456E00" w:rsidRDefault="00456E00">
            <w:pPr>
              <w:autoSpaceDE w:val="0"/>
              <w:autoSpaceDN w:val="0"/>
              <w:adjustRightInd w:val="0"/>
              <w:spacing w:before="0"/>
              <w:rPr>
                <w:rFonts w:cs="Calibri"/>
                <w:b/>
                <w:bCs/>
                <w:color w:val="000000"/>
                <w:sz w:val="22"/>
                <w:szCs w:val="22"/>
                <w:lang w:eastAsia="en-AU"/>
              </w:rPr>
            </w:pPr>
            <w:r>
              <w:rPr>
                <w:rFonts w:cs="Calibri"/>
                <w:b/>
                <w:bCs/>
                <w:color w:val="000000"/>
                <w:sz w:val="22"/>
                <w:szCs w:val="22"/>
                <w:lang w:eastAsia="en-AU"/>
              </w:rPr>
              <w:t>SLJS Annual Awareness Campaign</w:t>
            </w:r>
          </w:p>
        </w:tc>
        <w:tc>
          <w:tcPr>
            <w:tcW w:w="408" w:type="dxa"/>
            <w:tcBorders>
              <w:top w:val="double" w:sz="6" w:space="0" w:color="auto"/>
              <w:left w:val="double" w:sz="6" w:space="0" w:color="auto"/>
              <w:bottom w:val="double" w:sz="6" w:space="0" w:color="auto"/>
              <w:right w:val="double" w:sz="6" w:space="0" w:color="auto"/>
            </w:tcBorders>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3.1.2.1</w:t>
            </w:r>
          </w:p>
        </w:tc>
        <w:tc>
          <w:tcPr>
            <w:tcW w:w="595"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SLJS</w:t>
            </w:r>
          </w:p>
        </w:tc>
        <w:tc>
          <w:tcPr>
            <w:tcW w:w="468"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2013 to 2016</w:t>
            </w:r>
          </w:p>
        </w:tc>
        <w:tc>
          <w:tcPr>
            <w:tcW w:w="1611" w:type="dxa"/>
            <w:tcBorders>
              <w:top w:val="double" w:sz="6" w:space="0" w:color="auto"/>
              <w:left w:val="nil"/>
              <w:bottom w:val="double" w:sz="6" w:space="0" w:color="auto"/>
              <w:right w:val="double" w:sz="6"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*Number of consultations and workshops on linkages between the formal and customary based justice system.                                                                             *Number of attendees (Matai, Gender, Youth, Vulnerable groups) at consultations and workshops.</w:t>
            </w:r>
          </w:p>
        </w:tc>
        <w:tc>
          <w:tcPr>
            <w:tcW w:w="1084" w:type="dxa"/>
            <w:tcBorders>
              <w:top w:val="double" w:sz="6" w:space="0" w:color="auto"/>
              <w:left w:val="double" w:sz="6" w:space="0" w:color="auto"/>
              <w:bottom w:val="double" w:sz="6" w:space="0" w:color="auto"/>
              <w:right w:val="double" w:sz="6" w:space="0" w:color="auto"/>
            </w:tcBorders>
            <w:shd w:val="solid" w:color="99CC00" w:fill="auto"/>
          </w:tcPr>
          <w:p w:rsidR="00456E00" w:rsidRDefault="00456E00">
            <w:pPr>
              <w:autoSpaceDE w:val="0"/>
              <w:autoSpaceDN w:val="0"/>
              <w:adjustRightInd w:val="0"/>
              <w:spacing w:before="0"/>
              <w:rPr>
                <w:rFonts w:cs="Calibri"/>
                <w:color w:val="800080"/>
                <w:sz w:val="22"/>
                <w:szCs w:val="22"/>
                <w:lang w:eastAsia="en-AU"/>
              </w:rPr>
            </w:pPr>
            <w:r>
              <w:rPr>
                <w:rFonts w:cs="Calibri"/>
                <w:color w:val="800080"/>
                <w:sz w:val="22"/>
                <w:szCs w:val="22"/>
                <w:lang w:eastAsia="en-AU"/>
              </w:rPr>
              <w:t>Completed/ Achieved</w:t>
            </w:r>
          </w:p>
        </w:tc>
        <w:tc>
          <w:tcPr>
            <w:tcW w:w="1949" w:type="dxa"/>
            <w:tcBorders>
              <w:top w:val="double" w:sz="6" w:space="0" w:color="auto"/>
              <w:left w:val="double" w:sz="6" w:space="0" w:color="auto"/>
              <w:bottom w:val="double" w:sz="6" w:space="0" w:color="auto"/>
              <w:right w:val="nil"/>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Increased public awareness on the linkage of the two Justice Systems through media campaigns.</w:t>
            </w:r>
          </w:p>
        </w:tc>
        <w:tc>
          <w:tcPr>
            <w:tcW w:w="2335" w:type="dxa"/>
            <w:gridSpan w:val="3"/>
            <w:tcBorders>
              <w:top w:val="double" w:sz="6" w:space="0" w:color="auto"/>
              <w:left w:val="double" w:sz="6" w:space="0" w:color="auto"/>
              <w:bottom w:val="double" w:sz="6" w:space="0" w:color="auto"/>
              <w:right w:val="single" w:sz="12"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 xml:space="preserve">A LJS website was launched in 2013 followed by an inaugural Open Day conducted in October 2013 which was attended by more than 300 participants ranging from students to senior citizens on the theme "Alone, we can do so little, Together, we can do so much" (Helen Keller). Other media campaigns (LALI program &amp; Advertisements), newsletter, posters, brochures, bumper stickers, banners and  presentations were also </w:t>
            </w:r>
            <w:r>
              <w:rPr>
                <w:rFonts w:cs="Calibri"/>
                <w:color w:val="000000"/>
                <w:sz w:val="22"/>
                <w:szCs w:val="22"/>
                <w:lang w:eastAsia="en-AU"/>
              </w:rPr>
              <w:lastRenderedPageBreak/>
              <w:t>carried out.</w:t>
            </w:r>
          </w:p>
        </w:tc>
      </w:tr>
      <w:tr w:rsidR="00456E00" w:rsidTr="00D46309">
        <w:trPr>
          <w:trHeight w:val="1526"/>
        </w:trPr>
        <w:tc>
          <w:tcPr>
            <w:tcW w:w="804" w:type="dxa"/>
            <w:tcBorders>
              <w:top w:val="double" w:sz="6" w:space="0" w:color="auto"/>
              <w:left w:val="single" w:sz="12" w:space="0" w:color="auto"/>
              <w:bottom w:val="double" w:sz="6" w:space="0" w:color="auto"/>
              <w:right w:val="double" w:sz="6" w:space="0" w:color="auto"/>
            </w:tcBorders>
          </w:tcPr>
          <w:p w:rsidR="00456E00" w:rsidRDefault="00456E00">
            <w:pPr>
              <w:autoSpaceDE w:val="0"/>
              <w:autoSpaceDN w:val="0"/>
              <w:adjustRightInd w:val="0"/>
              <w:spacing w:before="0"/>
              <w:rPr>
                <w:rFonts w:cs="Calibri"/>
                <w:b/>
                <w:bCs/>
                <w:color w:val="000000"/>
                <w:sz w:val="22"/>
                <w:szCs w:val="22"/>
                <w:lang w:eastAsia="en-AU"/>
              </w:rPr>
            </w:pPr>
            <w:r>
              <w:rPr>
                <w:rFonts w:cs="Calibri"/>
                <w:b/>
                <w:bCs/>
                <w:color w:val="000000"/>
                <w:sz w:val="22"/>
                <w:szCs w:val="22"/>
                <w:lang w:eastAsia="en-AU"/>
              </w:rPr>
              <w:lastRenderedPageBreak/>
              <w:t>Mid-Term Review of SLJS Plan</w:t>
            </w:r>
          </w:p>
        </w:tc>
        <w:tc>
          <w:tcPr>
            <w:tcW w:w="408" w:type="dxa"/>
            <w:tcBorders>
              <w:top w:val="double" w:sz="6" w:space="0" w:color="auto"/>
              <w:left w:val="double" w:sz="6" w:space="0" w:color="auto"/>
              <w:bottom w:val="double" w:sz="6" w:space="0" w:color="auto"/>
              <w:right w:val="double" w:sz="6" w:space="0" w:color="auto"/>
            </w:tcBorders>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3.1.2.3</w:t>
            </w:r>
          </w:p>
        </w:tc>
        <w:tc>
          <w:tcPr>
            <w:tcW w:w="595"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SLJS</w:t>
            </w:r>
          </w:p>
        </w:tc>
        <w:tc>
          <w:tcPr>
            <w:tcW w:w="468"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2014/15</w:t>
            </w:r>
          </w:p>
        </w:tc>
        <w:tc>
          <w:tcPr>
            <w:tcW w:w="1611" w:type="dxa"/>
            <w:tcBorders>
              <w:top w:val="double" w:sz="6" w:space="0" w:color="auto"/>
              <w:left w:val="nil"/>
              <w:bottom w:val="double" w:sz="6" w:space="0" w:color="auto"/>
              <w:right w:val="double" w:sz="6"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w:t>
            </w:r>
            <w:r w:rsidR="00B3702C">
              <w:rPr>
                <w:rFonts w:cs="Calibri"/>
                <w:color w:val="000000"/>
                <w:sz w:val="22"/>
                <w:szCs w:val="22"/>
                <w:lang w:eastAsia="en-AU"/>
              </w:rPr>
              <w:t>Mid-term</w:t>
            </w:r>
            <w:r>
              <w:rPr>
                <w:rFonts w:cs="Calibri"/>
                <w:color w:val="000000"/>
                <w:sz w:val="22"/>
                <w:szCs w:val="22"/>
                <w:lang w:eastAsia="en-AU"/>
              </w:rPr>
              <w:t xml:space="preserve"> Review conducted.                          *Number of attendees</w:t>
            </w:r>
          </w:p>
        </w:tc>
        <w:tc>
          <w:tcPr>
            <w:tcW w:w="1084" w:type="dxa"/>
            <w:tcBorders>
              <w:top w:val="double" w:sz="6" w:space="0" w:color="auto"/>
              <w:left w:val="double" w:sz="6" w:space="0" w:color="auto"/>
              <w:bottom w:val="double" w:sz="6" w:space="0" w:color="auto"/>
              <w:right w:val="double" w:sz="6" w:space="0" w:color="auto"/>
            </w:tcBorders>
            <w:shd w:val="solid" w:color="00CC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On Schedule/ Target</w:t>
            </w:r>
          </w:p>
        </w:tc>
        <w:tc>
          <w:tcPr>
            <w:tcW w:w="1949" w:type="dxa"/>
            <w:tcBorders>
              <w:top w:val="double" w:sz="6" w:space="0" w:color="auto"/>
              <w:left w:val="double" w:sz="6" w:space="0" w:color="auto"/>
              <w:bottom w:val="double" w:sz="6" w:space="0" w:color="auto"/>
              <w:right w:val="nil"/>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The sector will be able to review its current plan to identify its key achievements, challenges, lessons learned and a way forward.</w:t>
            </w:r>
          </w:p>
        </w:tc>
        <w:tc>
          <w:tcPr>
            <w:tcW w:w="2335" w:type="dxa"/>
            <w:gridSpan w:val="3"/>
            <w:tcBorders>
              <w:top w:val="double" w:sz="6" w:space="0" w:color="auto"/>
              <w:left w:val="double" w:sz="6" w:space="0" w:color="auto"/>
              <w:bottom w:val="double" w:sz="6" w:space="0" w:color="auto"/>
              <w:right w:val="single" w:sz="12" w:space="0" w:color="auto"/>
            </w:tcBorders>
            <w:shd w:val="solid" w:color="FFFFFF" w:fill="auto"/>
          </w:tcPr>
          <w:p w:rsidR="00456E00" w:rsidRDefault="00B3702C">
            <w:pPr>
              <w:autoSpaceDE w:val="0"/>
              <w:autoSpaceDN w:val="0"/>
              <w:adjustRightInd w:val="0"/>
              <w:spacing w:before="0"/>
              <w:rPr>
                <w:rFonts w:cs="Calibri"/>
                <w:color w:val="000000"/>
                <w:sz w:val="22"/>
                <w:szCs w:val="22"/>
                <w:lang w:eastAsia="en-AU"/>
              </w:rPr>
            </w:pPr>
            <w:r>
              <w:rPr>
                <w:rFonts w:cs="Calibri"/>
                <w:color w:val="000000"/>
                <w:sz w:val="22"/>
                <w:szCs w:val="22"/>
                <w:lang w:eastAsia="en-AU"/>
              </w:rPr>
              <w:t>Mid-</w:t>
            </w:r>
            <w:r w:rsidR="00456E00">
              <w:rPr>
                <w:rFonts w:cs="Calibri"/>
                <w:color w:val="000000"/>
                <w:sz w:val="22"/>
                <w:szCs w:val="22"/>
                <w:lang w:eastAsia="en-AU"/>
              </w:rPr>
              <w:t>Term Review is being conducted on the second week of January 2015.</w:t>
            </w:r>
          </w:p>
        </w:tc>
      </w:tr>
      <w:tr w:rsidR="00456E00" w:rsidTr="00D46309">
        <w:trPr>
          <w:trHeight w:val="235"/>
        </w:trPr>
        <w:tc>
          <w:tcPr>
            <w:tcW w:w="804" w:type="dxa"/>
            <w:tcBorders>
              <w:top w:val="nil"/>
              <w:left w:val="single" w:sz="12" w:space="0" w:color="auto"/>
              <w:bottom w:val="nil"/>
              <w:right w:val="nil"/>
            </w:tcBorders>
          </w:tcPr>
          <w:p w:rsidR="00456E00" w:rsidRDefault="00456E00">
            <w:pPr>
              <w:autoSpaceDE w:val="0"/>
              <w:autoSpaceDN w:val="0"/>
              <w:adjustRightInd w:val="0"/>
              <w:spacing w:before="0"/>
              <w:jc w:val="right"/>
              <w:rPr>
                <w:rFonts w:ascii="Arial" w:hAnsi="Arial" w:cs="Arial"/>
                <w:b/>
                <w:bCs/>
                <w:color w:val="000000"/>
                <w:sz w:val="22"/>
                <w:szCs w:val="22"/>
                <w:lang w:eastAsia="en-AU"/>
              </w:rPr>
            </w:pPr>
          </w:p>
        </w:tc>
        <w:tc>
          <w:tcPr>
            <w:tcW w:w="408"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595" w:type="dxa"/>
            <w:tcBorders>
              <w:top w:val="nil"/>
              <w:left w:val="nil"/>
              <w:bottom w:val="nil"/>
              <w:right w:val="nil"/>
            </w:tcBorders>
          </w:tcPr>
          <w:p w:rsidR="00456E00" w:rsidRDefault="00456E00">
            <w:pPr>
              <w:autoSpaceDE w:val="0"/>
              <w:autoSpaceDN w:val="0"/>
              <w:adjustRightInd w:val="0"/>
              <w:spacing w:before="0"/>
              <w:jc w:val="center"/>
              <w:rPr>
                <w:rFonts w:ascii="Arial" w:hAnsi="Arial" w:cs="Arial"/>
                <w:color w:val="000000"/>
                <w:sz w:val="22"/>
                <w:szCs w:val="22"/>
                <w:lang w:eastAsia="en-AU"/>
              </w:rPr>
            </w:pPr>
          </w:p>
        </w:tc>
        <w:tc>
          <w:tcPr>
            <w:tcW w:w="468"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1611"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1084"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1949" w:type="dxa"/>
            <w:tcBorders>
              <w:top w:val="nil"/>
              <w:left w:val="nil"/>
              <w:bottom w:val="nil"/>
              <w:right w:val="nil"/>
            </w:tcBorders>
            <w:shd w:val="solid" w:color="FFFFFF" w:fill="auto"/>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1063" w:type="dxa"/>
            <w:tcBorders>
              <w:top w:val="nil"/>
              <w:left w:val="nil"/>
              <w:bottom w:val="nil"/>
              <w:right w:val="nil"/>
            </w:tcBorders>
            <w:shd w:val="solid" w:color="FFFFFF" w:fill="auto"/>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677" w:type="dxa"/>
            <w:tcBorders>
              <w:top w:val="nil"/>
              <w:left w:val="nil"/>
              <w:bottom w:val="nil"/>
              <w:right w:val="nil"/>
            </w:tcBorders>
            <w:shd w:val="solid" w:color="FFFFFF" w:fill="auto"/>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595" w:type="dxa"/>
            <w:tcBorders>
              <w:top w:val="nil"/>
              <w:left w:val="nil"/>
              <w:bottom w:val="nil"/>
              <w:right w:val="single" w:sz="12" w:space="0" w:color="auto"/>
            </w:tcBorders>
            <w:shd w:val="solid" w:color="FFFFFF" w:fill="auto"/>
          </w:tcPr>
          <w:p w:rsidR="00456E00" w:rsidRDefault="00456E00">
            <w:pPr>
              <w:autoSpaceDE w:val="0"/>
              <w:autoSpaceDN w:val="0"/>
              <w:adjustRightInd w:val="0"/>
              <w:spacing w:before="0"/>
              <w:jc w:val="right"/>
              <w:rPr>
                <w:rFonts w:ascii="Arial" w:hAnsi="Arial" w:cs="Arial"/>
                <w:color w:val="000000"/>
                <w:sz w:val="22"/>
                <w:szCs w:val="22"/>
                <w:lang w:eastAsia="en-AU"/>
              </w:rPr>
            </w:pPr>
          </w:p>
        </w:tc>
      </w:tr>
      <w:tr w:rsidR="00456E00" w:rsidTr="00D46309">
        <w:trPr>
          <w:trHeight w:val="235"/>
        </w:trPr>
        <w:tc>
          <w:tcPr>
            <w:tcW w:w="3886" w:type="dxa"/>
            <w:gridSpan w:val="5"/>
            <w:tcBorders>
              <w:top w:val="double" w:sz="6" w:space="0" w:color="auto"/>
              <w:left w:val="single" w:sz="12" w:space="0" w:color="auto"/>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color w:val="000000"/>
                <w:sz w:val="22"/>
                <w:szCs w:val="22"/>
                <w:lang w:eastAsia="en-AU"/>
              </w:rPr>
            </w:pPr>
            <w:r>
              <w:rPr>
                <w:rFonts w:ascii="Arial" w:hAnsi="Arial" w:cs="Arial"/>
                <w:b/>
                <w:bCs/>
                <w:color w:val="000000"/>
                <w:sz w:val="22"/>
                <w:szCs w:val="22"/>
                <w:lang w:eastAsia="en-AU"/>
              </w:rPr>
              <w:t>Goal 4: Integrity &amp; Good Governance</w:t>
            </w:r>
          </w:p>
        </w:tc>
        <w:tc>
          <w:tcPr>
            <w:tcW w:w="1084" w:type="dxa"/>
            <w:tcBorders>
              <w:top w:val="double" w:sz="6" w:space="0" w:color="auto"/>
              <w:left w:val="nil"/>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color w:val="000000"/>
                <w:sz w:val="22"/>
                <w:szCs w:val="22"/>
                <w:lang w:eastAsia="en-AU"/>
              </w:rPr>
            </w:pPr>
          </w:p>
        </w:tc>
        <w:tc>
          <w:tcPr>
            <w:tcW w:w="1949" w:type="dxa"/>
            <w:tcBorders>
              <w:top w:val="double" w:sz="6" w:space="0" w:color="auto"/>
              <w:left w:val="nil"/>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color w:val="000000"/>
                <w:sz w:val="22"/>
                <w:szCs w:val="22"/>
                <w:lang w:eastAsia="en-AU"/>
              </w:rPr>
            </w:pPr>
          </w:p>
        </w:tc>
        <w:tc>
          <w:tcPr>
            <w:tcW w:w="1063" w:type="dxa"/>
            <w:tcBorders>
              <w:top w:val="double" w:sz="6" w:space="0" w:color="auto"/>
              <w:left w:val="nil"/>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color w:val="000000"/>
                <w:sz w:val="22"/>
                <w:szCs w:val="22"/>
                <w:lang w:eastAsia="en-AU"/>
              </w:rPr>
            </w:pPr>
          </w:p>
        </w:tc>
        <w:tc>
          <w:tcPr>
            <w:tcW w:w="677" w:type="dxa"/>
            <w:tcBorders>
              <w:top w:val="double" w:sz="6" w:space="0" w:color="auto"/>
              <w:left w:val="nil"/>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color w:val="000000"/>
                <w:sz w:val="22"/>
                <w:szCs w:val="22"/>
                <w:lang w:eastAsia="en-AU"/>
              </w:rPr>
            </w:pPr>
          </w:p>
        </w:tc>
        <w:tc>
          <w:tcPr>
            <w:tcW w:w="595" w:type="dxa"/>
            <w:tcBorders>
              <w:top w:val="double" w:sz="6" w:space="0" w:color="auto"/>
              <w:left w:val="nil"/>
              <w:bottom w:val="double" w:sz="6" w:space="0" w:color="auto"/>
              <w:right w:val="single" w:sz="12" w:space="0" w:color="auto"/>
            </w:tcBorders>
            <w:shd w:val="solid" w:color="FFCC00" w:fill="auto"/>
          </w:tcPr>
          <w:p w:rsidR="00456E00" w:rsidRDefault="00456E00">
            <w:pPr>
              <w:autoSpaceDE w:val="0"/>
              <w:autoSpaceDN w:val="0"/>
              <w:adjustRightInd w:val="0"/>
              <w:spacing w:before="0"/>
              <w:jc w:val="center"/>
              <w:rPr>
                <w:rFonts w:ascii="Arial" w:hAnsi="Arial" w:cs="Arial"/>
                <w:b/>
                <w:bCs/>
                <w:color w:val="000000"/>
                <w:sz w:val="22"/>
                <w:szCs w:val="22"/>
                <w:lang w:eastAsia="en-AU"/>
              </w:rPr>
            </w:pPr>
          </w:p>
        </w:tc>
      </w:tr>
      <w:tr w:rsidR="00456E00" w:rsidTr="00D46309">
        <w:trPr>
          <w:trHeight w:val="226"/>
        </w:trPr>
        <w:tc>
          <w:tcPr>
            <w:tcW w:w="9254" w:type="dxa"/>
            <w:gridSpan w:val="10"/>
            <w:tcBorders>
              <w:top w:val="double" w:sz="6" w:space="0" w:color="auto"/>
              <w:left w:val="single" w:sz="12" w:space="0" w:color="auto"/>
              <w:bottom w:val="double" w:sz="6" w:space="0" w:color="auto"/>
              <w:right w:val="single" w:sz="12" w:space="0" w:color="auto"/>
            </w:tcBorders>
            <w:shd w:val="solid" w:color="FFCC00" w:fill="auto"/>
          </w:tcPr>
          <w:p w:rsidR="00456E00" w:rsidRDefault="00456E00">
            <w:pPr>
              <w:autoSpaceDE w:val="0"/>
              <w:autoSpaceDN w:val="0"/>
              <w:adjustRightInd w:val="0"/>
              <w:spacing w:before="0"/>
              <w:jc w:val="center"/>
              <w:rPr>
                <w:rFonts w:ascii="Arial" w:hAnsi="Arial" w:cs="Arial"/>
                <w:b/>
                <w:bCs/>
                <w:i/>
                <w:iCs/>
                <w:color w:val="000000"/>
                <w:sz w:val="22"/>
                <w:szCs w:val="22"/>
                <w:lang w:eastAsia="en-AU"/>
              </w:rPr>
            </w:pPr>
            <w:r>
              <w:rPr>
                <w:rFonts w:ascii="Arial" w:hAnsi="Arial" w:cs="Arial"/>
                <w:b/>
                <w:bCs/>
                <w:i/>
                <w:iCs/>
                <w:color w:val="000000"/>
                <w:sz w:val="22"/>
                <w:szCs w:val="22"/>
                <w:lang w:eastAsia="en-AU"/>
              </w:rPr>
              <w:t>Strategy 4.1: Promote Integrity and Good Governance informal and Customary processes and services</w:t>
            </w:r>
          </w:p>
        </w:tc>
      </w:tr>
      <w:tr w:rsidR="00456E00" w:rsidTr="00D46309">
        <w:trPr>
          <w:trHeight w:val="226"/>
        </w:trPr>
        <w:tc>
          <w:tcPr>
            <w:tcW w:w="9254" w:type="dxa"/>
            <w:gridSpan w:val="10"/>
            <w:tcBorders>
              <w:top w:val="double" w:sz="6" w:space="0" w:color="auto"/>
              <w:left w:val="single" w:sz="12" w:space="0" w:color="auto"/>
              <w:bottom w:val="double" w:sz="6" w:space="0" w:color="auto"/>
              <w:right w:val="single" w:sz="12" w:space="0" w:color="auto"/>
            </w:tcBorders>
            <w:shd w:val="solid" w:color="969696" w:fill="auto"/>
          </w:tcPr>
          <w:p w:rsidR="00456E00" w:rsidRDefault="00456E00">
            <w:pPr>
              <w:autoSpaceDE w:val="0"/>
              <w:autoSpaceDN w:val="0"/>
              <w:adjustRightInd w:val="0"/>
              <w:spacing w:before="0"/>
              <w:jc w:val="center"/>
              <w:rPr>
                <w:rFonts w:ascii="Arial" w:hAnsi="Arial" w:cs="Arial"/>
                <w:color w:val="000000"/>
                <w:sz w:val="22"/>
                <w:szCs w:val="22"/>
                <w:lang w:eastAsia="en-AU"/>
              </w:rPr>
            </w:pPr>
            <w:r>
              <w:rPr>
                <w:rFonts w:ascii="Arial" w:hAnsi="Arial" w:cs="Arial"/>
                <w:color w:val="000000"/>
                <w:sz w:val="22"/>
                <w:szCs w:val="22"/>
                <w:lang w:eastAsia="en-AU"/>
              </w:rPr>
              <w:t xml:space="preserve">Outcome: A Law and Justice Sector that fully </w:t>
            </w:r>
            <w:proofErr w:type="spellStart"/>
            <w:r>
              <w:rPr>
                <w:rFonts w:ascii="Arial" w:hAnsi="Arial" w:cs="Arial"/>
                <w:color w:val="000000"/>
                <w:sz w:val="22"/>
                <w:szCs w:val="22"/>
                <w:lang w:eastAsia="en-AU"/>
              </w:rPr>
              <w:t>comprehendes</w:t>
            </w:r>
            <w:proofErr w:type="spellEnd"/>
            <w:r>
              <w:rPr>
                <w:rFonts w:ascii="Arial" w:hAnsi="Arial" w:cs="Arial"/>
                <w:color w:val="000000"/>
                <w:sz w:val="22"/>
                <w:szCs w:val="22"/>
                <w:lang w:eastAsia="en-AU"/>
              </w:rPr>
              <w:t xml:space="preserve"> and implements principles of good governance and integrity</w:t>
            </w:r>
          </w:p>
        </w:tc>
      </w:tr>
      <w:tr w:rsidR="00456E00" w:rsidTr="00D46309">
        <w:trPr>
          <w:trHeight w:val="226"/>
        </w:trPr>
        <w:tc>
          <w:tcPr>
            <w:tcW w:w="4970" w:type="dxa"/>
            <w:gridSpan w:val="6"/>
            <w:tcBorders>
              <w:top w:val="double" w:sz="6" w:space="0" w:color="auto"/>
              <w:left w:val="single" w:sz="12" w:space="0" w:color="auto"/>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22"/>
                <w:szCs w:val="22"/>
                <w:lang w:eastAsia="en-AU"/>
              </w:rPr>
            </w:pPr>
            <w:r>
              <w:rPr>
                <w:rFonts w:ascii="Arial" w:hAnsi="Arial" w:cs="Arial"/>
                <w:color w:val="000000"/>
                <w:sz w:val="22"/>
                <w:szCs w:val="22"/>
                <w:lang w:eastAsia="en-AU"/>
              </w:rPr>
              <w:t>Sub Strategy  4.1.2 – Strengthen "watchdog" mandate</w:t>
            </w:r>
          </w:p>
        </w:tc>
        <w:tc>
          <w:tcPr>
            <w:tcW w:w="1949" w:type="dxa"/>
            <w:tcBorders>
              <w:top w:val="double" w:sz="6" w:space="0" w:color="auto"/>
              <w:left w:val="nil"/>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22"/>
                <w:szCs w:val="22"/>
                <w:lang w:eastAsia="en-AU"/>
              </w:rPr>
            </w:pPr>
          </w:p>
        </w:tc>
        <w:tc>
          <w:tcPr>
            <w:tcW w:w="1063" w:type="dxa"/>
            <w:tcBorders>
              <w:top w:val="double" w:sz="6" w:space="0" w:color="auto"/>
              <w:left w:val="nil"/>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22"/>
                <w:szCs w:val="22"/>
                <w:lang w:eastAsia="en-AU"/>
              </w:rPr>
            </w:pPr>
          </w:p>
        </w:tc>
        <w:tc>
          <w:tcPr>
            <w:tcW w:w="677" w:type="dxa"/>
            <w:tcBorders>
              <w:top w:val="double" w:sz="6" w:space="0" w:color="auto"/>
              <w:left w:val="nil"/>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22"/>
                <w:szCs w:val="22"/>
                <w:lang w:eastAsia="en-AU"/>
              </w:rPr>
            </w:pPr>
          </w:p>
        </w:tc>
        <w:tc>
          <w:tcPr>
            <w:tcW w:w="595" w:type="dxa"/>
            <w:tcBorders>
              <w:top w:val="double" w:sz="6" w:space="0" w:color="auto"/>
              <w:left w:val="nil"/>
              <w:bottom w:val="double" w:sz="6" w:space="0" w:color="auto"/>
              <w:right w:val="single" w:sz="12" w:space="0" w:color="auto"/>
            </w:tcBorders>
            <w:shd w:val="solid" w:color="969696" w:fill="auto"/>
          </w:tcPr>
          <w:p w:rsidR="00456E00" w:rsidRDefault="00456E00">
            <w:pPr>
              <w:autoSpaceDE w:val="0"/>
              <w:autoSpaceDN w:val="0"/>
              <w:adjustRightInd w:val="0"/>
              <w:spacing w:before="0"/>
              <w:jc w:val="center"/>
              <w:rPr>
                <w:rFonts w:ascii="Arial" w:hAnsi="Arial" w:cs="Arial"/>
                <w:color w:val="000000"/>
                <w:sz w:val="22"/>
                <w:szCs w:val="22"/>
                <w:lang w:eastAsia="en-AU"/>
              </w:rPr>
            </w:pPr>
          </w:p>
        </w:tc>
      </w:tr>
      <w:tr w:rsidR="00456E00" w:rsidTr="00D46309">
        <w:trPr>
          <w:trHeight w:val="1742"/>
        </w:trPr>
        <w:tc>
          <w:tcPr>
            <w:tcW w:w="804" w:type="dxa"/>
            <w:tcBorders>
              <w:top w:val="double" w:sz="6" w:space="0" w:color="auto"/>
              <w:left w:val="single" w:sz="12" w:space="0" w:color="auto"/>
              <w:bottom w:val="double" w:sz="6" w:space="0" w:color="auto"/>
              <w:right w:val="nil"/>
            </w:tcBorders>
            <w:shd w:val="solid" w:color="C0C0C0" w:fill="auto"/>
          </w:tcPr>
          <w:p w:rsidR="00456E00" w:rsidRDefault="00456E00">
            <w:pPr>
              <w:autoSpaceDE w:val="0"/>
              <w:autoSpaceDN w:val="0"/>
              <w:adjustRightInd w:val="0"/>
              <w:spacing w:before="0"/>
              <w:jc w:val="center"/>
              <w:rPr>
                <w:rFonts w:cs="Calibri"/>
                <w:b/>
                <w:bCs/>
                <w:color w:val="000000"/>
                <w:sz w:val="22"/>
                <w:szCs w:val="22"/>
                <w:lang w:eastAsia="en-AU"/>
              </w:rPr>
            </w:pPr>
            <w:r>
              <w:rPr>
                <w:rFonts w:cs="Calibri"/>
                <w:b/>
                <w:bCs/>
                <w:color w:val="000000"/>
                <w:sz w:val="22"/>
                <w:szCs w:val="22"/>
                <w:lang w:eastAsia="en-AU"/>
              </w:rPr>
              <w:t>Projects</w:t>
            </w:r>
          </w:p>
        </w:tc>
        <w:tc>
          <w:tcPr>
            <w:tcW w:w="408" w:type="dxa"/>
            <w:tcBorders>
              <w:top w:val="double" w:sz="6" w:space="0" w:color="auto"/>
              <w:left w:val="double" w:sz="6" w:space="0" w:color="auto"/>
              <w:bottom w:val="double" w:sz="6" w:space="0" w:color="auto"/>
              <w:right w:val="double" w:sz="6" w:space="0" w:color="auto"/>
            </w:tcBorders>
            <w:shd w:val="solid" w:color="C0C0C0" w:fill="auto"/>
          </w:tcPr>
          <w:p w:rsidR="00456E00" w:rsidRDefault="00456E00">
            <w:pPr>
              <w:autoSpaceDE w:val="0"/>
              <w:autoSpaceDN w:val="0"/>
              <w:adjustRightInd w:val="0"/>
              <w:spacing w:before="0"/>
              <w:jc w:val="center"/>
              <w:rPr>
                <w:rFonts w:cs="Calibri"/>
                <w:b/>
                <w:bCs/>
                <w:color w:val="000000"/>
                <w:sz w:val="22"/>
                <w:szCs w:val="22"/>
                <w:lang w:eastAsia="en-AU"/>
              </w:rPr>
            </w:pPr>
            <w:r>
              <w:rPr>
                <w:rFonts w:cs="Calibri"/>
                <w:b/>
                <w:bCs/>
                <w:color w:val="000000"/>
                <w:sz w:val="22"/>
                <w:szCs w:val="22"/>
                <w:lang w:eastAsia="en-AU"/>
              </w:rPr>
              <w:t>Project Reference Number</w:t>
            </w:r>
          </w:p>
        </w:tc>
        <w:tc>
          <w:tcPr>
            <w:tcW w:w="595" w:type="dxa"/>
            <w:tcBorders>
              <w:top w:val="double" w:sz="6" w:space="0" w:color="auto"/>
              <w:left w:val="nil"/>
              <w:bottom w:val="double" w:sz="6" w:space="0" w:color="auto"/>
              <w:right w:val="double" w:sz="6" w:space="0" w:color="auto"/>
            </w:tcBorders>
            <w:shd w:val="solid" w:color="C0C0C0" w:fill="auto"/>
          </w:tcPr>
          <w:p w:rsidR="00456E00" w:rsidRDefault="00456E00">
            <w:pPr>
              <w:autoSpaceDE w:val="0"/>
              <w:autoSpaceDN w:val="0"/>
              <w:adjustRightInd w:val="0"/>
              <w:spacing w:before="0"/>
              <w:jc w:val="center"/>
              <w:rPr>
                <w:rFonts w:cs="Calibri"/>
                <w:b/>
                <w:bCs/>
                <w:color w:val="000000"/>
                <w:sz w:val="22"/>
                <w:szCs w:val="22"/>
                <w:lang w:eastAsia="en-AU"/>
              </w:rPr>
            </w:pPr>
            <w:r>
              <w:rPr>
                <w:rFonts w:cs="Calibri"/>
                <w:b/>
                <w:bCs/>
                <w:color w:val="000000"/>
                <w:sz w:val="22"/>
                <w:szCs w:val="22"/>
                <w:lang w:eastAsia="en-AU"/>
              </w:rPr>
              <w:t>Implemented Agency</w:t>
            </w:r>
          </w:p>
        </w:tc>
        <w:tc>
          <w:tcPr>
            <w:tcW w:w="468" w:type="dxa"/>
            <w:tcBorders>
              <w:top w:val="double" w:sz="6" w:space="0" w:color="auto"/>
              <w:left w:val="nil"/>
              <w:bottom w:val="double" w:sz="6" w:space="0" w:color="auto"/>
              <w:right w:val="double" w:sz="6" w:space="0" w:color="auto"/>
            </w:tcBorders>
            <w:shd w:val="solid" w:color="C0C0C0" w:fill="auto"/>
          </w:tcPr>
          <w:p w:rsidR="00456E00" w:rsidRDefault="00456E00">
            <w:pPr>
              <w:autoSpaceDE w:val="0"/>
              <w:autoSpaceDN w:val="0"/>
              <w:adjustRightInd w:val="0"/>
              <w:spacing w:before="0"/>
              <w:jc w:val="center"/>
              <w:rPr>
                <w:rFonts w:cs="Calibri"/>
                <w:b/>
                <w:bCs/>
                <w:color w:val="000000"/>
                <w:sz w:val="22"/>
                <w:szCs w:val="22"/>
                <w:lang w:eastAsia="en-AU"/>
              </w:rPr>
            </w:pPr>
            <w:r>
              <w:rPr>
                <w:rFonts w:cs="Calibri"/>
                <w:b/>
                <w:bCs/>
                <w:color w:val="000000"/>
                <w:sz w:val="22"/>
                <w:szCs w:val="22"/>
                <w:lang w:eastAsia="en-AU"/>
              </w:rPr>
              <w:t>Year Implemented</w:t>
            </w:r>
          </w:p>
        </w:tc>
        <w:tc>
          <w:tcPr>
            <w:tcW w:w="1611" w:type="dxa"/>
            <w:tcBorders>
              <w:top w:val="double" w:sz="6" w:space="0" w:color="auto"/>
              <w:left w:val="nil"/>
              <w:bottom w:val="double" w:sz="6" w:space="0" w:color="auto"/>
              <w:right w:val="double" w:sz="6" w:space="0" w:color="auto"/>
            </w:tcBorders>
            <w:shd w:val="solid" w:color="C0C0C0" w:fill="auto"/>
          </w:tcPr>
          <w:p w:rsidR="00456E00" w:rsidRDefault="00456E00">
            <w:pPr>
              <w:autoSpaceDE w:val="0"/>
              <w:autoSpaceDN w:val="0"/>
              <w:adjustRightInd w:val="0"/>
              <w:spacing w:before="0"/>
              <w:jc w:val="center"/>
              <w:rPr>
                <w:rFonts w:cs="Calibri"/>
                <w:b/>
                <w:bCs/>
                <w:color w:val="000000"/>
                <w:sz w:val="22"/>
                <w:szCs w:val="22"/>
                <w:lang w:eastAsia="en-AU"/>
              </w:rPr>
            </w:pPr>
            <w:r>
              <w:rPr>
                <w:rFonts w:cs="Calibri"/>
                <w:b/>
                <w:bCs/>
                <w:color w:val="000000"/>
                <w:sz w:val="22"/>
                <w:szCs w:val="22"/>
                <w:lang w:eastAsia="en-AU"/>
              </w:rPr>
              <w:t>Key Performance Indicators (KPI's)</w:t>
            </w:r>
          </w:p>
        </w:tc>
        <w:tc>
          <w:tcPr>
            <w:tcW w:w="1084" w:type="dxa"/>
            <w:tcBorders>
              <w:top w:val="double" w:sz="6" w:space="0" w:color="auto"/>
              <w:left w:val="double" w:sz="6" w:space="0" w:color="auto"/>
              <w:bottom w:val="double" w:sz="6" w:space="0" w:color="auto"/>
              <w:right w:val="double" w:sz="6" w:space="0" w:color="auto"/>
            </w:tcBorders>
            <w:shd w:val="solid" w:color="C0C0C0" w:fill="auto"/>
          </w:tcPr>
          <w:p w:rsidR="00456E00" w:rsidRDefault="00456E00">
            <w:pPr>
              <w:autoSpaceDE w:val="0"/>
              <w:autoSpaceDN w:val="0"/>
              <w:adjustRightInd w:val="0"/>
              <w:spacing w:before="0"/>
              <w:jc w:val="center"/>
              <w:rPr>
                <w:rFonts w:cs="Calibri"/>
                <w:b/>
                <w:bCs/>
                <w:color w:val="000000"/>
                <w:sz w:val="22"/>
                <w:szCs w:val="22"/>
                <w:lang w:eastAsia="en-AU"/>
              </w:rPr>
            </w:pPr>
            <w:r>
              <w:rPr>
                <w:rFonts w:cs="Calibri"/>
                <w:b/>
                <w:bCs/>
                <w:color w:val="000000"/>
                <w:sz w:val="22"/>
                <w:szCs w:val="22"/>
                <w:lang w:eastAsia="en-AU"/>
              </w:rPr>
              <w:t>Traffic Light Progress Indicator</w:t>
            </w:r>
          </w:p>
        </w:tc>
        <w:tc>
          <w:tcPr>
            <w:tcW w:w="1949" w:type="dxa"/>
            <w:tcBorders>
              <w:top w:val="double" w:sz="6" w:space="0" w:color="auto"/>
              <w:left w:val="double" w:sz="6" w:space="0" w:color="auto"/>
              <w:bottom w:val="double" w:sz="6" w:space="0" w:color="auto"/>
              <w:right w:val="nil"/>
            </w:tcBorders>
            <w:shd w:val="solid" w:color="FFFFFF" w:fill="auto"/>
          </w:tcPr>
          <w:p w:rsidR="00456E00" w:rsidRDefault="00456E00">
            <w:pPr>
              <w:autoSpaceDE w:val="0"/>
              <w:autoSpaceDN w:val="0"/>
              <w:adjustRightInd w:val="0"/>
              <w:spacing w:before="0"/>
              <w:jc w:val="center"/>
              <w:rPr>
                <w:rFonts w:cs="Calibri"/>
                <w:b/>
                <w:bCs/>
                <w:color w:val="000000"/>
                <w:sz w:val="22"/>
                <w:szCs w:val="22"/>
                <w:lang w:eastAsia="en-AU"/>
              </w:rPr>
            </w:pPr>
            <w:r>
              <w:rPr>
                <w:rFonts w:cs="Calibri"/>
                <w:b/>
                <w:bCs/>
                <w:color w:val="000000"/>
                <w:sz w:val="22"/>
                <w:szCs w:val="22"/>
                <w:lang w:eastAsia="en-AU"/>
              </w:rPr>
              <w:t>Outcome</w:t>
            </w:r>
          </w:p>
        </w:tc>
        <w:tc>
          <w:tcPr>
            <w:tcW w:w="1063" w:type="dxa"/>
            <w:tcBorders>
              <w:top w:val="double" w:sz="6" w:space="0" w:color="auto"/>
              <w:left w:val="double" w:sz="6" w:space="0" w:color="auto"/>
              <w:bottom w:val="double" w:sz="6" w:space="0" w:color="auto"/>
              <w:right w:val="nil"/>
            </w:tcBorders>
            <w:shd w:val="solid" w:color="FFFFFF" w:fill="auto"/>
          </w:tcPr>
          <w:p w:rsidR="00456E00" w:rsidRDefault="00456E00">
            <w:pPr>
              <w:autoSpaceDE w:val="0"/>
              <w:autoSpaceDN w:val="0"/>
              <w:adjustRightInd w:val="0"/>
              <w:spacing w:before="0"/>
              <w:jc w:val="center"/>
              <w:rPr>
                <w:rFonts w:cs="Calibri"/>
                <w:b/>
                <w:bCs/>
                <w:color w:val="000000"/>
                <w:sz w:val="22"/>
                <w:szCs w:val="22"/>
                <w:lang w:eastAsia="en-AU"/>
              </w:rPr>
            </w:pPr>
            <w:r>
              <w:rPr>
                <w:rFonts w:cs="Calibri"/>
                <w:b/>
                <w:bCs/>
                <w:color w:val="000000"/>
                <w:sz w:val="22"/>
                <w:szCs w:val="22"/>
                <w:lang w:eastAsia="en-AU"/>
              </w:rPr>
              <w:t>Comments</w:t>
            </w:r>
          </w:p>
        </w:tc>
        <w:tc>
          <w:tcPr>
            <w:tcW w:w="677" w:type="dxa"/>
            <w:tcBorders>
              <w:top w:val="double" w:sz="6" w:space="0" w:color="auto"/>
              <w:left w:val="nil"/>
              <w:bottom w:val="double" w:sz="6" w:space="0" w:color="auto"/>
              <w:right w:val="nil"/>
            </w:tcBorders>
            <w:shd w:val="solid" w:color="FFFFFF" w:fill="auto"/>
          </w:tcPr>
          <w:p w:rsidR="00456E00" w:rsidRDefault="00456E00">
            <w:pPr>
              <w:autoSpaceDE w:val="0"/>
              <w:autoSpaceDN w:val="0"/>
              <w:adjustRightInd w:val="0"/>
              <w:spacing w:before="0"/>
              <w:jc w:val="center"/>
              <w:rPr>
                <w:rFonts w:cs="Calibri"/>
                <w:b/>
                <w:bCs/>
                <w:color w:val="000000"/>
                <w:sz w:val="22"/>
                <w:szCs w:val="22"/>
                <w:lang w:eastAsia="en-AU"/>
              </w:rPr>
            </w:pPr>
          </w:p>
        </w:tc>
        <w:tc>
          <w:tcPr>
            <w:tcW w:w="595" w:type="dxa"/>
            <w:tcBorders>
              <w:top w:val="double" w:sz="6" w:space="0" w:color="auto"/>
              <w:left w:val="nil"/>
              <w:bottom w:val="double" w:sz="6" w:space="0" w:color="auto"/>
              <w:right w:val="single" w:sz="12" w:space="0" w:color="auto"/>
            </w:tcBorders>
            <w:shd w:val="solid" w:color="FFFFFF" w:fill="auto"/>
          </w:tcPr>
          <w:p w:rsidR="00456E00" w:rsidRDefault="00456E00">
            <w:pPr>
              <w:autoSpaceDE w:val="0"/>
              <w:autoSpaceDN w:val="0"/>
              <w:adjustRightInd w:val="0"/>
              <w:spacing w:before="0"/>
              <w:jc w:val="center"/>
              <w:rPr>
                <w:rFonts w:cs="Calibri"/>
                <w:b/>
                <w:bCs/>
                <w:color w:val="000000"/>
                <w:sz w:val="22"/>
                <w:szCs w:val="22"/>
                <w:lang w:eastAsia="en-AU"/>
              </w:rPr>
            </w:pPr>
          </w:p>
        </w:tc>
      </w:tr>
      <w:tr w:rsidR="00456E00" w:rsidTr="00D46309">
        <w:trPr>
          <w:trHeight w:val="2388"/>
        </w:trPr>
        <w:tc>
          <w:tcPr>
            <w:tcW w:w="804" w:type="dxa"/>
            <w:tcBorders>
              <w:top w:val="double" w:sz="6" w:space="0" w:color="auto"/>
              <w:left w:val="single" w:sz="12" w:space="0" w:color="auto"/>
              <w:bottom w:val="double" w:sz="6" w:space="0" w:color="auto"/>
              <w:right w:val="double" w:sz="6" w:space="0" w:color="auto"/>
            </w:tcBorders>
          </w:tcPr>
          <w:p w:rsidR="00456E00" w:rsidRDefault="00456E00">
            <w:pPr>
              <w:autoSpaceDE w:val="0"/>
              <w:autoSpaceDN w:val="0"/>
              <w:adjustRightInd w:val="0"/>
              <w:spacing w:before="0"/>
              <w:rPr>
                <w:rFonts w:cs="Calibri"/>
                <w:b/>
                <w:bCs/>
                <w:color w:val="000000"/>
                <w:sz w:val="22"/>
                <w:szCs w:val="22"/>
                <w:lang w:eastAsia="en-AU"/>
              </w:rPr>
            </w:pPr>
            <w:r>
              <w:rPr>
                <w:rFonts w:cs="Calibri"/>
                <w:b/>
                <w:bCs/>
                <w:color w:val="000000"/>
                <w:sz w:val="22"/>
                <w:szCs w:val="22"/>
                <w:lang w:eastAsia="en-AU"/>
              </w:rPr>
              <w:t xml:space="preserve">Establishment of the National Human Rights Institute (NHRI) at </w:t>
            </w:r>
            <w:proofErr w:type="spellStart"/>
            <w:r>
              <w:rPr>
                <w:rFonts w:cs="Calibri"/>
                <w:b/>
                <w:bCs/>
                <w:color w:val="000000"/>
                <w:sz w:val="22"/>
                <w:szCs w:val="22"/>
                <w:lang w:eastAsia="en-AU"/>
              </w:rPr>
              <w:t>Ombudsmans</w:t>
            </w:r>
            <w:proofErr w:type="spellEnd"/>
            <w:r>
              <w:rPr>
                <w:rFonts w:cs="Calibri"/>
                <w:b/>
                <w:bCs/>
                <w:color w:val="000000"/>
                <w:sz w:val="22"/>
                <w:szCs w:val="22"/>
                <w:lang w:eastAsia="en-AU"/>
              </w:rPr>
              <w:t xml:space="preserve"> Office</w:t>
            </w:r>
          </w:p>
        </w:tc>
        <w:tc>
          <w:tcPr>
            <w:tcW w:w="408" w:type="dxa"/>
            <w:tcBorders>
              <w:top w:val="double" w:sz="6" w:space="0" w:color="auto"/>
              <w:left w:val="double" w:sz="6" w:space="0" w:color="auto"/>
              <w:bottom w:val="double" w:sz="6" w:space="0" w:color="auto"/>
              <w:right w:val="double" w:sz="6" w:space="0" w:color="auto"/>
            </w:tcBorders>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4.1.2.2</w:t>
            </w:r>
          </w:p>
        </w:tc>
        <w:tc>
          <w:tcPr>
            <w:tcW w:w="595"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OMB</w:t>
            </w:r>
          </w:p>
        </w:tc>
        <w:tc>
          <w:tcPr>
            <w:tcW w:w="468"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2013/14</w:t>
            </w:r>
          </w:p>
        </w:tc>
        <w:tc>
          <w:tcPr>
            <w:tcW w:w="1611" w:type="dxa"/>
            <w:tcBorders>
              <w:top w:val="double" w:sz="6" w:space="0" w:color="auto"/>
              <w:left w:val="nil"/>
              <w:bottom w:val="double" w:sz="6" w:space="0" w:color="auto"/>
              <w:right w:val="double" w:sz="6"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*NHRI to be established by June 2014</w:t>
            </w:r>
          </w:p>
        </w:tc>
        <w:tc>
          <w:tcPr>
            <w:tcW w:w="1084" w:type="dxa"/>
            <w:tcBorders>
              <w:top w:val="double" w:sz="6" w:space="0" w:color="auto"/>
              <w:left w:val="double" w:sz="6" w:space="0" w:color="auto"/>
              <w:bottom w:val="double" w:sz="6" w:space="0" w:color="auto"/>
              <w:right w:val="double" w:sz="6" w:space="0" w:color="auto"/>
            </w:tcBorders>
            <w:shd w:val="solid" w:color="99CC00" w:fill="auto"/>
          </w:tcPr>
          <w:p w:rsidR="00456E00" w:rsidRDefault="00456E00">
            <w:pPr>
              <w:autoSpaceDE w:val="0"/>
              <w:autoSpaceDN w:val="0"/>
              <w:adjustRightInd w:val="0"/>
              <w:spacing w:before="0"/>
              <w:rPr>
                <w:rFonts w:cs="Calibri"/>
                <w:color w:val="800080"/>
                <w:sz w:val="22"/>
                <w:szCs w:val="22"/>
                <w:lang w:eastAsia="en-AU"/>
              </w:rPr>
            </w:pPr>
            <w:r>
              <w:rPr>
                <w:rFonts w:cs="Calibri"/>
                <w:color w:val="800080"/>
                <w:sz w:val="22"/>
                <w:szCs w:val="22"/>
                <w:lang w:eastAsia="en-AU"/>
              </w:rPr>
              <w:t>Completed/ Achieved</w:t>
            </w:r>
          </w:p>
        </w:tc>
        <w:tc>
          <w:tcPr>
            <w:tcW w:w="1949" w:type="dxa"/>
            <w:tcBorders>
              <w:top w:val="double" w:sz="6" w:space="0" w:color="auto"/>
              <w:left w:val="double" w:sz="6" w:space="0" w:color="auto"/>
              <w:bottom w:val="double" w:sz="6" w:space="0" w:color="auto"/>
              <w:right w:val="nil"/>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*The creation of a short term communications strategy that will form the basis of a longer term strategy.                                                                                                     * The creation of a short term (one year) organisational strategy.                                                                  * Discussion of the NHRI in national media and on radio.</w:t>
            </w:r>
          </w:p>
        </w:tc>
        <w:tc>
          <w:tcPr>
            <w:tcW w:w="2335" w:type="dxa"/>
            <w:gridSpan w:val="3"/>
            <w:tcBorders>
              <w:top w:val="double" w:sz="6" w:space="0" w:color="auto"/>
              <w:left w:val="double" w:sz="6" w:space="0" w:color="auto"/>
              <w:bottom w:val="double" w:sz="6" w:space="0" w:color="auto"/>
              <w:right w:val="single" w:sz="12"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 xml:space="preserve">*The NHRI was officially launched in December 2013.                     * A Human Rights Education &amp; Communications Officer funded under the Sector for the first 6 months was recruited in April 2013 to set up the NHRI before it was officially launched in December of the same year.                                                                   *The NHRI was later granted a budget under the Ombudsman Office </w:t>
            </w:r>
            <w:r>
              <w:rPr>
                <w:rFonts w:cs="Calibri"/>
                <w:color w:val="000000"/>
                <w:sz w:val="22"/>
                <w:szCs w:val="22"/>
                <w:lang w:eastAsia="en-AU"/>
              </w:rPr>
              <w:lastRenderedPageBreak/>
              <w:t>for the FY 2013/14  to establish the positions of Investigations and Legal Officer; Communications and Education Officer; and Human Rights and Good Governance Officer.</w:t>
            </w:r>
          </w:p>
        </w:tc>
      </w:tr>
      <w:tr w:rsidR="00456E00" w:rsidTr="00D46309">
        <w:trPr>
          <w:trHeight w:val="235"/>
        </w:trPr>
        <w:tc>
          <w:tcPr>
            <w:tcW w:w="804" w:type="dxa"/>
            <w:tcBorders>
              <w:top w:val="nil"/>
              <w:left w:val="single" w:sz="12" w:space="0" w:color="auto"/>
              <w:bottom w:val="nil"/>
              <w:right w:val="nil"/>
            </w:tcBorders>
          </w:tcPr>
          <w:p w:rsidR="00456E00" w:rsidRDefault="00456E00">
            <w:pPr>
              <w:autoSpaceDE w:val="0"/>
              <w:autoSpaceDN w:val="0"/>
              <w:adjustRightInd w:val="0"/>
              <w:spacing w:before="0"/>
              <w:jc w:val="right"/>
              <w:rPr>
                <w:rFonts w:ascii="Arial" w:hAnsi="Arial" w:cs="Arial"/>
                <w:b/>
                <w:bCs/>
                <w:color w:val="000000"/>
                <w:sz w:val="22"/>
                <w:szCs w:val="22"/>
                <w:lang w:eastAsia="en-AU"/>
              </w:rPr>
            </w:pPr>
          </w:p>
        </w:tc>
        <w:tc>
          <w:tcPr>
            <w:tcW w:w="408"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595" w:type="dxa"/>
            <w:tcBorders>
              <w:top w:val="nil"/>
              <w:left w:val="nil"/>
              <w:bottom w:val="nil"/>
              <w:right w:val="nil"/>
            </w:tcBorders>
          </w:tcPr>
          <w:p w:rsidR="00456E00" w:rsidRDefault="00456E00">
            <w:pPr>
              <w:autoSpaceDE w:val="0"/>
              <w:autoSpaceDN w:val="0"/>
              <w:adjustRightInd w:val="0"/>
              <w:spacing w:before="0"/>
              <w:jc w:val="center"/>
              <w:rPr>
                <w:rFonts w:ascii="Arial" w:hAnsi="Arial" w:cs="Arial"/>
                <w:color w:val="000000"/>
                <w:sz w:val="22"/>
                <w:szCs w:val="22"/>
                <w:lang w:eastAsia="en-AU"/>
              </w:rPr>
            </w:pPr>
          </w:p>
        </w:tc>
        <w:tc>
          <w:tcPr>
            <w:tcW w:w="468"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1611"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1084"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1949" w:type="dxa"/>
            <w:tcBorders>
              <w:top w:val="nil"/>
              <w:left w:val="nil"/>
              <w:bottom w:val="nil"/>
              <w:right w:val="nil"/>
            </w:tcBorders>
            <w:shd w:val="solid" w:color="FFFFFF" w:fill="auto"/>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1063" w:type="dxa"/>
            <w:tcBorders>
              <w:top w:val="nil"/>
              <w:left w:val="nil"/>
              <w:bottom w:val="nil"/>
              <w:right w:val="nil"/>
            </w:tcBorders>
            <w:shd w:val="solid" w:color="FFFFFF" w:fill="auto"/>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677" w:type="dxa"/>
            <w:tcBorders>
              <w:top w:val="nil"/>
              <w:left w:val="nil"/>
              <w:bottom w:val="nil"/>
              <w:right w:val="nil"/>
            </w:tcBorders>
            <w:shd w:val="solid" w:color="FFFFFF" w:fill="auto"/>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595" w:type="dxa"/>
            <w:tcBorders>
              <w:top w:val="double" w:sz="6" w:space="0" w:color="auto"/>
              <w:left w:val="nil"/>
              <w:bottom w:val="double" w:sz="6" w:space="0" w:color="auto"/>
              <w:right w:val="single" w:sz="12" w:space="0" w:color="auto"/>
            </w:tcBorders>
            <w:shd w:val="solid" w:color="FFFFFF" w:fill="auto"/>
          </w:tcPr>
          <w:p w:rsidR="00456E00" w:rsidRDefault="00456E00">
            <w:pPr>
              <w:autoSpaceDE w:val="0"/>
              <w:autoSpaceDN w:val="0"/>
              <w:adjustRightInd w:val="0"/>
              <w:spacing w:before="0"/>
              <w:jc w:val="right"/>
              <w:rPr>
                <w:rFonts w:ascii="Arial" w:hAnsi="Arial" w:cs="Arial"/>
                <w:color w:val="000000"/>
                <w:sz w:val="22"/>
                <w:szCs w:val="22"/>
                <w:lang w:eastAsia="en-AU"/>
              </w:rPr>
            </w:pPr>
          </w:p>
        </w:tc>
      </w:tr>
      <w:tr w:rsidR="00456E00" w:rsidTr="00D46309">
        <w:trPr>
          <w:trHeight w:val="235"/>
        </w:trPr>
        <w:tc>
          <w:tcPr>
            <w:tcW w:w="2275" w:type="dxa"/>
            <w:gridSpan w:val="4"/>
            <w:tcBorders>
              <w:top w:val="double" w:sz="6" w:space="0" w:color="auto"/>
              <w:left w:val="single" w:sz="12" w:space="0" w:color="auto"/>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color w:val="000000"/>
                <w:sz w:val="22"/>
                <w:szCs w:val="22"/>
                <w:lang w:eastAsia="en-AU"/>
              </w:rPr>
            </w:pPr>
            <w:r>
              <w:rPr>
                <w:rFonts w:ascii="Arial" w:hAnsi="Arial" w:cs="Arial"/>
                <w:b/>
                <w:bCs/>
                <w:color w:val="000000"/>
                <w:sz w:val="22"/>
                <w:szCs w:val="22"/>
                <w:lang w:eastAsia="en-AU"/>
              </w:rPr>
              <w:t>Goal 5:Capacity Building</w:t>
            </w:r>
          </w:p>
        </w:tc>
        <w:tc>
          <w:tcPr>
            <w:tcW w:w="1611" w:type="dxa"/>
            <w:tcBorders>
              <w:top w:val="double" w:sz="6" w:space="0" w:color="auto"/>
              <w:left w:val="nil"/>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color w:val="000000"/>
                <w:sz w:val="22"/>
                <w:szCs w:val="22"/>
                <w:lang w:eastAsia="en-AU"/>
              </w:rPr>
            </w:pPr>
          </w:p>
        </w:tc>
        <w:tc>
          <w:tcPr>
            <w:tcW w:w="1084" w:type="dxa"/>
            <w:tcBorders>
              <w:top w:val="double" w:sz="6" w:space="0" w:color="auto"/>
              <w:left w:val="nil"/>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color w:val="000000"/>
                <w:sz w:val="22"/>
                <w:szCs w:val="22"/>
                <w:lang w:eastAsia="en-AU"/>
              </w:rPr>
            </w:pPr>
          </w:p>
        </w:tc>
        <w:tc>
          <w:tcPr>
            <w:tcW w:w="1949" w:type="dxa"/>
            <w:tcBorders>
              <w:top w:val="double" w:sz="6" w:space="0" w:color="auto"/>
              <w:left w:val="nil"/>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color w:val="000000"/>
                <w:sz w:val="22"/>
                <w:szCs w:val="22"/>
                <w:lang w:eastAsia="en-AU"/>
              </w:rPr>
            </w:pPr>
          </w:p>
        </w:tc>
        <w:tc>
          <w:tcPr>
            <w:tcW w:w="1063" w:type="dxa"/>
            <w:tcBorders>
              <w:top w:val="double" w:sz="6" w:space="0" w:color="auto"/>
              <w:left w:val="nil"/>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color w:val="000000"/>
                <w:sz w:val="22"/>
                <w:szCs w:val="22"/>
                <w:lang w:eastAsia="en-AU"/>
              </w:rPr>
            </w:pPr>
          </w:p>
        </w:tc>
        <w:tc>
          <w:tcPr>
            <w:tcW w:w="677" w:type="dxa"/>
            <w:tcBorders>
              <w:top w:val="double" w:sz="6" w:space="0" w:color="auto"/>
              <w:left w:val="nil"/>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color w:val="000000"/>
                <w:sz w:val="22"/>
                <w:szCs w:val="22"/>
                <w:lang w:eastAsia="en-AU"/>
              </w:rPr>
            </w:pPr>
          </w:p>
        </w:tc>
        <w:tc>
          <w:tcPr>
            <w:tcW w:w="595" w:type="dxa"/>
            <w:tcBorders>
              <w:top w:val="double" w:sz="6" w:space="0" w:color="auto"/>
              <w:left w:val="nil"/>
              <w:bottom w:val="double" w:sz="6" w:space="0" w:color="auto"/>
              <w:right w:val="single" w:sz="12" w:space="0" w:color="auto"/>
            </w:tcBorders>
            <w:shd w:val="solid" w:color="FFCC00" w:fill="auto"/>
          </w:tcPr>
          <w:p w:rsidR="00456E00" w:rsidRDefault="00456E00">
            <w:pPr>
              <w:autoSpaceDE w:val="0"/>
              <w:autoSpaceDN w:val="0"/>
              <w:adjustRightInd w:val="0"/>
              <w:spacing w:before="0"/>
              <w:jc w:val="center"/>
              <w:rPr>
                <w:rFonts w:ascii="Arial" w:hAnsi="Arial" w:cs="Arial"/>
                <w:b/>
                <w:bCs/>
                <w:color w:val="000000"/>
                <w:sz w:val="22"/>
                <w:szCs w:val="22"/>
                <w:lang w:eastAsia="en-AU"/>
              </w:rPr>
            </w:pPr>
          </w:p>
        </w:tc>
      </w:tr>
      <w:tr w:rsidR="00456E00" w:rsidTr="00D46309">
        <w:trPr>
          <w:trHeight w:val="226"/>
        </w:trPr>
        <w:tc>
          <w:tcPr>
            <w:tcW w:w="6919" w:type="dxa"/>
            <w:gridSpan w:val="7"/>
            <w:tcBorders>
              <w:top w:val="double" w:sz="6" w:space="0" w:color="auto"/>
              <w:left w:val="single" w:sz="12" w:space="0" w:color="auto"/>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i/>
                <w:iCs/>
                <w:color w:val="000000"/>
                <w:sz w:val="22"/>
                <w:szCs w:val="22"/>
                <w:lang w:eastAsia="en-AU"/>
              </w:rPr>
            </w:pPr>
            <w:r>
              <w:rPr>
                <w:rFonts w:ascii="Arial" w:hAnsi="Arial" w:cs="Arial"/>
                <w:b/>
                <w:bCs/>
                <w:i/>
                <w:iCs/>
                <w:color w:val="000000"/>
                <w:sz w:val="22"/>
                <w:szCs w:val="22"/>
                <w:lang w:eastAsia="en-AU"/>
              </w:rPr>
              <w:t>Strategy 5.1: Sector Capacity Building and Service Coordination</w:t>
            </w:r>
          </w:p>
        </w:tc>
        <w:tc>
          <w:tcPr>
            <w:tcW w:w="1063" w:type="dxa"/>
            <w:tcBorders>
              <w:top w:val="double" w:sz="6" w:space="0" w:color="auto"/>
              <w:left w:val="nil"/>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i/>
                <w:iCs/>
                <w:color w:val="000000"/>
                <w:sz w:val="22"/>
                <w:szCs w:val="22"/>
                <w:lang w:eastAsia="en-AU"/>
              </w:rPr>
            </w:pPr>
          </w:p>
        </w:tc>
        <w:tc>
          <w:tcPr>
            <w:tcW w:w="677" w:type="dxa"/>
            <w:tcBorders>
              <w:top w:val="double" w:sz="6" w:space="0" w:color="auto"/>
              <w:left w:val="nil"/>
              <w:bottom w:val="double" w:sz="6" w:space="0" w:color="auto"/>
              <w:right w:val="nil"/>
            </w:tcBorders>
            <w:shd w:val="solid" w:color="FFCC00" w:fill="auto"/>
          </w:tcPr>
          <w:p w:rsidR="00456E00" w:rsidRDefault="00456E00">
            <w:pPr>
              <w:autoSpaceDE w:val="0"/>
              <w:autoSpaceDN w:val="0"/>
              <w:adjustRightInd w:val="0"/>
              <w:spacing w:before="0"/>
              <w:jc w:val="center"/>
              <w:rPr>
                <w:rFonts w:ascii="Arial" w:hAnsi="Arial" w:cs="Arial"/>
                <w:b/>
                <w:bCs/>
                <w:i/>
                <w:iCs/>
                <w:color w:val="000000"/>
                <w:sz w:val="22"/>
                <w:szCs w:val="22"/>
                <w:lang w:eastAsia="en-AU"/>
              </w:rPr>
            </w:pPr>
          </w:p>
        </w:tc>
        <w:tc>
          <w:tcPr>
            <w:tcW w:w="595" w:type="dxa"/>
            <w:tcBorders>
              <w:top w:val="double" w:sz="6" w:space="0" w:color="auto"/>
              <w:left w:val="nil"/>
              <w:bottom w:val="double" w:sz="6" w:space="0" w:color="auto"/>
              <w:right w:val="single" w:sz="12" w:space="0" w:color="auto"/>
            </w:tcBorders>
            <w:shd w:val="solid" w:color="FFCC00" w:fill="auto"/>
          </w:tcPr>
          <w:p w:rsidR="00456E00" w:rsidRDefault="00456E00">
            <w:pPr>
              <w:autoSpaceDE w:val="0"/>
              <w:autoSpaceDN w:val="0"/>
              <w:adjustRightInd w:val="0"/>
              <w:spacing w:before="0"/>
              <w:jc w:val="center"/>
              <w:rPr>
                <w:rFonts w:ascii="Arial" w:hAnsi="Arial" w:cs="Arial"/>
                <w:b/>
                <w:bCs/>
                <w:i/>
                <w:iCs/>
                <w:color w:val="000000"/>
                <w:sz w:val="22"/>
                <w:szCs w:val="22"/>
                <w:lang w:eastAsia="en-AU"/>
              </w:rPr>
            </w:pPr>
          </w:p>
        </w:tc>
      </w:tr>
      <w:tr w:rsidR="00456E00" w:rsidTr="00D46309">
        <w:trPr>
          <w:trHeight w:val="226"/>
        </w:trPr>
        <w:tc>
          <w:tcPr>
            <w:tcW w:w="9254" w:type="dxa"/>
            <w:gridSpan w:val="10"/>
            <w:tcBorders>
              <w:top w:val="double" w:sz="6" w:space="0" w:color="auto"/>
              <w:left w:val="single" w:sz="12" w:space="0" w:color="auto"/>
              <w:bottom w:val="double" w:sz="6" w:space="0" w:color="auto"/>
              <w:right w:val="single" w:sz="12" w:space="0" w:color="auto"/>
            </w:tcBorders>
            <w:shd w:val="solid" w:color="969696" w:fill="auto"/>
          </w:tcPr>
          <w:p w:rsidR="00456E00" w:rsidRDefault="00456E00">
            <w:pPr>
              <w:autoSpaceDE w:val="0"/>
              <w:autoSpaceDN w:val="0"/>
              <w:adjustRightInd w:val="0"/>
              <w:spacing w:before="0"/>
              <w:jc w:val="center"/>
              <w:rPr>
                <w:rFonts w:ascii="Arial" w:hAnsi="Arial" w:cs="Arial"/>
                <w:color w:val="000000"/>
                <w:sz w:val="22"/>
                <w:szCs w:val="22"/>
                <w:lang w:eastAsia="en-AU"/>
              </w:rPr>
            </w:pPr>
            <w:r>
              <w:rPr>
                <w:rFonts w:ascii="Arial" w:hAnsi="Arial" w:cs="Arial"/>
                <w:color w:val="000000"/>
                <w:sz w:val="22"/>
                <w:szCs w:val="22"/>
                <w:lang w:eastAsia="en-AU"/>
              </w:rPr>
              <w:t>Outcome: Improved Capacity of the Sector to support, facilitate and coordinate the implementation of the Law &amp; Justice Sector Plan</w:t>
            </w:r>
          </w:p>
        </w:tc>
      </w:tr>
      <w:tr w:rsidR="00456E00" w:rsidTr="00D46309">
        <w:trPr>
          <w:trHeight w:val="226"/>
        </w:trPr>
        <w:tc>
          <w:tcPr>
            <w:tcW w:w="6919" w:type="dxa"/>
            <w:gridSpan w:val="7"/>
            <w:tcBorders>
              <w:top w:val="double" w:sz="6" w:space="0" w:color="auto"/>
              <w:left w:val="single" w:sz="12" w:space="0" w:color="auto"/>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22"/>
                <w:szCs w:val="22"/>
                <w:lang w:eastAsia="en-AU"/>
              </w:rPr>
            </w:pPr>
            <w:r>
              <w:rPr>
                <w:rFonts w:ascii="Arial" w:hAnsi="Arial" w:cs="Arial"/>
                <w:color w:val="000000"/>
                <w:sz w:val="22"/>
                <w:szCs w:val="22"/>
                <w:lang w:eastAsia="en-AU"/>
              </w:rPr>
              <w:t>Sub Strategy  5.1.1 – Strengthen Sector Human Resources Capacity</w:t>
            </w:r>
          </w:p>
        </w:tc>
        <w:tc>
          <w:tcPr>
            <w:tcW w:w="1063" w:type="dxa"/>
            <w:tcBorders>
              <w:top w:val="double" w:sz="6" w:space="0" w:color="auto"/>
              <w:left w:val="nil"/>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22"/>
                <w:szCs w:val="22"/>
                <w:lang w:eastAsia="en-AU"/>
              </w:rPr>
            </w:pPr>
          </w:p>
        </w:tc>
        <w:tc>
          <w:tcPr>
            <w:tcW w:w="677" w:type="dxa"/>
            <w:tcBorders>
              <w:top w:val="double" w:sz="6" w:space="0" w:color="auto"/>
              <w:left w:val="nil"/>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22"/>
                <w:szCs w:val="22"/>
                <w:lang w:eastAsia="en-AU"/>
              </w:rPr>
            </w:pPr>
          </w:p>
        </w:tc>
        <w:tc>
          <w:tcPr>
            <w:tcW w:w="595" w:type="dxa"/>
            <w:tcBorders>
              <w:top w:val="double" w:sz="6" w:space="0" w:color="auto"/>
              <w:left w:val="nil"/>
              <w:bottom w:val="double" w:sz="6" w:space="0" w:color="auto"/>
              <w:right w:val="single" w:sz="12" w:space="0" w:color="auto"/>
            </w:tcBorders>
            <w:shd w:val="solid" w:color="969696" w:fill="auto"/>
          </w:tcPr>
          <w:p w:rsidR="00456E00" w:rsidRDefault="00456E00">
            <w:pPr>
              <w:autoSpaceDE w:val="0"/>
              <w:autoSpaceDN w:val="0"/>
              <w:adjustRightInd w:val="0"/>
              <w:spacing w:before="0"/>
              <w:jc w:val="center"/>
              <w:rPr>
                <w:rFonts w:ascii="Arial" w:hAnsi="Arial" w:cs="Arial"/>
                <w:color w:val="000000"/>
                <w:sz w:val="22"/>
                <w:szCs w:val="22"/>
                <w:lang w:eastAsia="en-AU"/>
              </w:rPr>
            </w:pPr>
          </w:p>
        </w:tc>
      </w:tr>
      <w:tr w:rsidR="00456E00" w:rsidTr="00D46309">
        <w:trPr>
          <w:trHeight w:val="1742"/>
        </w:trPr>
        <w:tc>
          <w:tcPr>
            <w:tcW w:w="804" w:type="dxa"/>
            <w:tcBorders>
              <w:top w:val="double" w:sz="6" w:space="0" w:color="auto"/>
              <w:left w:val="single" w:sz="12" w:space="0" w:color="auto"/>
              <w:bottom w:val="double" w:sz="6" w:space="0" w:color="auto"/>
              <w:right w:val="nil"/>
            </w:tcBorders>
            <w:shd w:val="solid" w:color="C0C0C0" w:fill="auto"/>
          </w:tcPr>
          <w:p w:rsidR="00456E00" w:rsidRDefault="00456E00">
            <w:pPr>
              <w:autoSpaceDE w:val="0"/>
              <w:autoSpaceDN w:val="0"/>
              <w:adjustRightInd w:val="0"/>
              <w:spacing w:before="0"/>
              <w:jc w:val="center"/>
              <w:rPr>
                <w:rFonts w:cs="Calibri"/>
                <w:b/>
                <w:bCs/>
                <w:color w:val="000000"/>
                <w:sz w:val="22"/>
                <w:szCs w:val="22"/>
                <w:lang w:eastAsia="en-AU"/>
              </w:rPr>
            </w:pPr>
            <w:r>
              <w:rPr>
                <w:rFonts w:cs="Calibri"/>
                <w:b/>
                <w:bCs/>
                <w:color w:val="000000"/>
                <w:sz w:val="22"/>
                <w:szCs w:val="22"/>
                <w:lang w:eastAsia="en-AU"/>
              </w:rPr>
              <w:t>Projects</w:t>
            </w:r>
          </w:p>
        </w:tc>
        <w:tc>
          <w:tcPr>
            <w:tcW w:w="408" w:type="dxa"/>
            <w:tcBorders>
              <w:top w:val="double" w:sz="6" w:space="0" w:color="auto"/>
              <w:left w:val="double" w:sz="6" w:space="0" w:color="auto"/>
              <w:bottom w:val="double" w:sz="6" w:space="0" w:color="auto"/>
              <w:right w:val="double" w:sz="6" w:space="0" w:color="auto"/>
            </w:tcBorders>
            <w:shd w:val="solid" w:color="C0C0C0" w:fill="auto"/>
          </w:tcPr>
          <w:p w:rsidR="00456E00" w:rsidRDefault="00456E00">
            <w:pPr>
              <w:autoSpaceDE w:val="0"/>
              <w:autoSpaceDN w:val="0"/>
              <w:adjustRightInd w:val="0"/>
              <w:spacing w:before="0"/>
              <w:jc w:val="center"/>
              <w:rPr>
                <w:rFonts w:cs="Calibri"/>
                <w:b/>
                <w:bCs/>
                <w:color w:val="000000"/>
                <w:sz w:val="22"/>
                <w:szCs w:val="22"/>
                <w:lang w:eastAsia="en-AU"/>
              </w:rPr>
            </w:pPr>
            <w:r>
              <w:rPr>
                <w:rFonts w:cs="Calibri"/>
                <w:b/>
                <w:bCs/>
                <w:color w:val="000000"/>
                <w:sz w:val="22"/>
                <w:szCs w:val="22"/>
                <w:lang w:eastAsia="en-AU"/>
              </w:rPr>
              <w:t>Project Reference Number</w:t>
            </w:r>
          </w:p>
        </w:tc>
        <w:tc>
          <w:tcPr>
            <w:tcW w:w="595" w:type="dxa"/>
            <w:tcBorders>
              <w:top w:val="double" w:sz="6" w:space="0" w:color="auto"/>
              <w:left w:val="nil"/>
              <w:bottom w:val="double" w:sz="6" w:space="0" w:color="auto"/>
              <w:right w:val="double" w:sz="6" w:space="0" w:color="auto"/>
            </w:tcBorders>
            <w:shd w:val="solid" w:color="C0C0C0" w:fill="auto"/>
          </w:tcPr>
          <w:p w:rsidR="00456E00" w:rsidRDefault="00456E00">
            <w:pPr>
              <w:autoSpaceDE w:val="0"/>
              <w:autoSpaceDN w:val="0"/>
              <w:adjustRightInd w:val="0"/>
              <w:spacing w:before="0"/>
              <w:jc w:val="center"/>
              <w:rPr>
                <w:rFonts w:cs="Calibri"/>
                <w:b/>
                <w:bCs/>
                <w:color w:val="000000"/>
                <w:sz w:val="22"/>
                <w:szCs w:val="22"/>
                <w:lang w:eastAsia="en-AU"/>
              </w:rPr>
            </w:pPr>
            <w:r>
              <w:rPr>
                <w:rFonts w:cs="Calibri"/>
                <w:b/>
                <w:bCs/>
                <w:color w:val="000000"/>
                <w:sz w:val="22"/>
                <w:szCs w:val="22"/>
                <w:lang w:eastAsia="en-AU"/>
              </w:rPr>
              <w:t>Implemented Agency</w:t>
            </w:r>
          </w:p>
        </w:tc>
        <w:tc>
          <w:tcPr>
            <w:tcW w:w="468" w:type="dxa"/>
            <w:tcBorders>
              <w:top w:val="double" w:sz="6" w:space="0" w:color="auto"/>
              <w:left w:val="nil"/>
              <w:bottom w:val="double" w:sz="6" w:space="0" w:color="auto"/>
              <w:right w:val="double" w:sz="6" w:space="0" w:color="auto"/>
            </w:tcBorders>
            <w:shd w:val="solid" w:color="C0C0C0" w:fill="auto"/>
          </w:tcPr>
          <w:p w:rsidR="00456E00" w:rsidRDefault="00456E00">
            <w:pPr>
              <w:autoSpaceDE w:val="0"/>
              <w:autoSpaceDN w:val="0"/>
              <w:adjustRightInd w:val="0"/>
              <w:spacing w:before="0"/>
              <w:jc w:val="center"/>
              <w:rPr>
                <w:rFonts w:cs="Calibri"/>
                <w:b/>
                <w:bCs/>
                <w:color w:val="000000"/>
                <w:sz w:val="22"/>
                <w:szCs w:val="22"/>
                <w:lang w:eastAsia="en-AU"/>
              </w:rPr>
            </w:pPr>
            <w:r>
              <w:rPr>
                <w:rFonts w:cs="Calibri"/>
                <w:b/>
                <w:bCs/>
                <w:color w:val="000000"/>
                <w:sz w:val="22"/>
                <w:szCs w:val="22"/>
                <w:lang w:eastAsia="en-AU"/>
              </w:rPr>
              <w:t>Year Implemented</w:t>
            </w:r>
          </w:p>
        </w:tc>
        <w:tc>
          <w:tcPr>
            <w:tcW w:w="1611" w:type="dxa"/>
            <w:tcBorders>
              <w:top w:val="double" w:sz="6" w:space="0" w:color="auto"/>
              <w:left w:val="nil"/>
              <w:bottom w:val="double" w:sz="6" w:space="0" w:color="auto"/>
              <w:right w:val="double" w:sz="6" w:space="0" w:color="auto"/>
            </w:tcBorders>
            <w:shd w:val="solid" w:color="C0C0C0" w:fill="auto"/>
          </w:tcPr>
          <w:p w:rsidR="00456E00" w:rsidRDefault="00456E00">
            <w:pPr>
              <w:autoSpaceDE w:val="0"/>
              <w:autoSpaceDN w:val="0"/>
              <w:adjustRightInd w:val="0"/>
              <w:spacing w:before="0"/>
              <w:jc w:val="center"/>
              <w:rPr>
                <w:rFonts w:cs="Calibri"/>
                <w:b/>
                <w:bCs/>
                <w:color w:val="000000"/>
                <w:sz w:val="22"/>
                <w:szCs w:val="22"/>
                <w:lang w:eastAsia="en-AU"/>
              </w:rPr>
            </w:pPr>
            <w:r>
              <w:rPr>
                <w:rFonts w:cs="Calibri"/>
                <w:b/>
                <w:bCs/>
                <w:color w:val="000000"/>
                <w:sz w:val="22"/>
                <w:szCs w:val="22"/>
                <w:lang w:eastAsia="en-AU"/>
              </w:rPr>
              <w:t>Key Performance Indicators (KPI's)</w:t>
            </w:r>
          </w:p>
        </w:tc>
        <w:tc>
          <w:tcPr>
            <w:tcW w:w="1084" w:type="dxa"/>
            <w:tcBorders>
              <w:top w:val="double" w:sz="6" w:space="0" w:color="auto"/>
              <w:left w:val="double" w:sz="6" w:space="0" w:color="auto"/>
              <w:bottom w:val="double" w:sz="6" w:space="0" w:color="auto"/>
              <w:right w:val="double" w:sz="6" w:space="0" w:color="auto"/>
            </w:tcBorders>
            <w:shd w:val="solid" w:color="C0C0C0" w:fill="auto"/>
          </w:tcPr>
          <w:p w:rsidR="00456E00" w:rsidRDefault="00456E00">
            <w:pPr>
              <w:autoSpaceDE w:val="0"/>
              <w:autoSpaceDN w:val="0"/>
              <w:adjustRightInd w:val="0"/>
              <w:spacing w:before="0"/>
              <w:jc w:val="center"/>
              <w:rPr>
                <w:rFonts w:cs="Calibri"/>
                <w:b/>
                <w:bCs/>
                <w:color w:val="000000"/>
                <w:sz w:val="22"/>
                <w:szCs w:val="22"/>
                <w:lang w:eastAsia="en-AU"/>
              </w:rPr>
            </w:pPr>
            <w:r>
              <w:rPr>
                <w:rFonts w:cs="Calibri"/>
                <w:b/>
                <w:bCs/>
                <w:color w:val="000000"/>
                <w:sz w:val="22"/>
                <w:szCs w:val="22"/>
                <w:lang w:eastAsia="en-AU"/>
              </w:rPr>
              <w:t>Traffic Light Progress Indicator</w:t>
            </w:r>
          </w:p>
        </w:tc>
        <w:tc>
          <w:tcPr>
            <w:tcW w:w="1949" w:type="dxa"/>
            <w:tcBorders>
              <w:top w:val="double" w:sz="6" w:space="0" w:color="auto"/>
              <w:left w:val="double" w:sz="6" w:space="0" w:color="auto"/>
              <w:bottom w:val="double" w:sz="6" w:space="0" w:color="auto"/>
              <w:right w:val="nil"/>
            </w:tcBorders>
            <w:shd w:val="solid" w:color="FFFFFF" w:fill="auto"/>
          </w:tcPr>
          <w:p w:rsidR="00456E00" w:rsidRDefault="00456E00">
            <w:pPr>
              <w:autoSpaceDE w:val="0"/>
              <w:autoSpaceDN w:val="0"/>
              <w:adjustRightInd w:val="0"/>
              <w:spacing w:before="0"/>
              <w:jc w:val="center"/>
              <w:rPr>
                <w:rFonts w:cs="Calibri"/>
                <w:b/>
                <w:bCs/>
                <w:color w:val="000000"/>
                <w:sz w:val="22"/>
                <w:szCs w:val="22"/>
                <w:lang w:eastAsia="en-AU"/>
              </w:rPr>
            </w:pPr>
            <w:r>
              <w:rPr>
                <w:rFonts w:cs="Calibri"/>
                <w:b/>
                <w:bCs/>
                <w:color w:val="000000"/>
                <w:sz w:val="22"/>
                <w:szCs w:val="22"/>
                <w:lang w:eastAsia="en-AU"/>
              </w:rPr>
              <w:t>Outcome</w:t>
            </w:r>
          </w:p>
        </w:tc>
        <w:tc>
          <w:tcPr>
            <w:tcW w:w="1063" w:type="dxa"/>
            <w:tcBorders>
              <w:top w:val="double" w:sz="6" w:space="0" w:color="auto"/>
              <w:left w:val="double" w:sz="6" w:space="0" w:color="auto"/>
              <w:bottom w:val="double" w:sz="6" w:space="0" w:color="auto"/>
              <w:right w:val="nil"/>
            </w:tcBorders>
            <w:shd w:val="solid" w:color="FFFFFF" w:fill="auto"/>
          </w:tcPr>
          <w:p w:rsidR="00456E00" w:rsidRDefault="00456E00">
            <w:pPr>
              <w:autoSpaceDE w:val="0"/>
              <w:autoSpaceDN w:val="0"/>
              <w:adjustRightInd w:val="0"/>
              <w:spacing w:before="0"/>
              <w:jc w:val="center"/>
              <w:rPr>
                <w:rFonts w:cs="Calibri"/>
                <w:b/>
                <w:bCs/>
                <w:color w:val="000000"/>
                <w:sz w:val="22"/>
                <w:szCs w:val="22"/>
                <w:lang w:eastAsia="en-AU"/>
              </w:rPr>
            </w:pPr>
            <w:r>
              <w:rPr>
                <w:rFonts w:cs="Calibri"/>
                <w:b/>
                <w:bCs/>
                <w:color w:val="000000"/>
                <w:sz w:val="22"/>
                <w:szCs w:val="22"/>
                <w:lang w:eastAsia="en-AU"/>
              </w:rPr>
              <w:t>Comments</w:t>
            </w:r>
          </w:p>
        </w:tc>
        <w:tc>
          <w:tcPr>
            <w:tcW w:w="677" w:type="dxa"/>
            <w:tcBorders>
              <w:top w:val="double" w:sz="6" w:space="0" w:color="auto"/>
              <w:left w:val="nil"/>
              <w:bottom w:val="double" w:sz="6" w:space="0" w:color="auto"/>
              <w:right w:val="nil"/>
            </w:tcBorders>
            <w:shd w:val="solid" w:color="FFFFFF" w:fill="auto"/>
          </w:tcPr>
          <w:p w:rsidR="00456E00" w:rsidRDefault="00456E00">
            <w:pPr>
              <w:autoSpaceDE w:val="0"/>
              <w:autoSpaceDN w:val="0"/>
              <w:adjustRightInd w:val="0"/>
              <w:spacing w:before="0"/>
              <w:jc w:val="center"/>
              <w:rPr>
                <w:rFonts w:cs="Calibri"/>
                <w:b/>
                <w:bCs/>
                <w:color w:val="000000"/>
                <w:sz w:val="22"/>
                <w:szCs w:val="22"/>
                <w:lang w:eastAsia="en-AU"/>
              </w:rPr>
            </w:pPr>
          </w:p>
        </w:tc>
        <w:tc>
          <w:tcPr>
            <w:tcW w:w="595" w:type="dxa"/>
            <w:tcBorders>
              <w:top w:val="double" w:sz="6" w:space="0" w:color="auto"/>
              <w:left w:val="nil"/>
              <w:bottom w:val="double" w:sz="6" w:space="0" w:color="auto"/>
              <w:right w:val="single" w:sz="12" w:space="0" w:color="auto"/>
            </w:tcBorders>
            <w:shd w:val="solid" w:color="FFFFFF" w:fill="auto"/>
          </w:tcPr>
          <w:p w:rsidR="00456E00" w:rsidRDefault="00456E00">
            <w:pPr>
              <w:autoSpaceDE w:val="0"/>
              <w:autoSpaceDN w:val="0"/>
              <w:adjustRightInd w:val="0"/>
              <w:spacing w:before="0"/>
              <w:jc w:val="center"/>
              <w:rPr>
                <w:rFonts w:cs="Calibri"/>
                <w:b/>
                <w:bCs/>
                <w:color w:val="000000"/>
                <w:sz w:val="22"/>
                <w:szCs w:val="22"/>
                <w:lang w:eastAsia="en-AU"/>
              </w:rPr>
            </w:pPr>
          </w:p>
        </w:tc>
      </w:tr>
      <w:tr w:rsidR="00456E00" w:rsidTr="00D46309">
        <w:trPr>
          <w:trHeight w:val="5897"/>
        </w:trPr>
        <w:tc>
          <w:tcPr>
            <w:tcW w:w="804" w:type="dxa"/>
            <w:tcBorders>
              <w:top w:val="double" w:sz="6" w:space="0" w:color="auto"/>
              <w:left w:val="single" w:sz="12" w:space="0" w:color="auto"/>
              <w:bottom w:val="double" w:sz="6" w:space="0" w:color="auto"/>
              <w:right w:val="double" w:sz="6" w:space="0" w:color="auto"/>
            </w:tcBorders>
          </w:tcPr>
          <w:p w:rsidR="00456E00" w:rsidRDefault="00456E00">
            <w:pPr>
              <w:autoSpaceDE w:val="0"/>
              <w:autoSpaceDN w:val="0"/>
              <w:adjustRightInd w:val="0"/>
              <w:spacing w:before="0"/>
              <w:rPr>
                <w:rFonts w:cs="Calibri"/>
                <w:b/>
                <w:bCs/>
                <w:color w:val="000000"/>
                <w:sz w:val="22"/>
                <w:szCs w:val="22"/>
                <w:lang w:eastAsia="en-AU"/>
              </w:rPr>
            </w:pPr>
            <w:r>
              <w:rPr>
                <w:rFonts w:cs="Calibri"/>
                <w:b/>
                <w:bCs/>
                <w:color w:val="000000"/>
                <w:sz w:val="22"/>
                <w:szCs w:val="22"/>
                <w:lang w:eastAsia="en-AU"/>
              </w:rPr>
              <w:t>Development of Statistics Database/ICT Committee Activated</w:t>
            </w:r>
          </w:p>
        </w:tc>
        <w:tc>
          <w:tcPr>
            <w:tcW w:w="408" w:type="dxa"/>
            <w:tcBorders>
              <w:top w:val="double" w:sz="6" w:space="0" w:color="auto"/>
              <w:left w:val="double" w:sz="6" w:space="0" w:color="auto"/>
              <w:bottom w:val="double" w:sz="6" w:space="0" w:color="auto"/>
              <w:right w:val="double" w:sz="6" w:space="0" w:color="auto"/>
            </w:tcBorders>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5.1.1.1</w:t>
            </w:r>
          </w:p>
        </w:tc>
        <w:tc>
          <w:tcPr>
            <w:tcW w:w="595"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SLJS/ALL</w:t>
            </w:r>
          </w:p>
        </w:tc>
        <w:tc>
          <w:tcPr>
            <w:tcW w:w="468"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2013/14 to 2014/15</w:t>
            </w:r>
          </w:p>
        </w:tc>
        <w:tc>
          <w:tcPr>
            <w:tcW w:w="1611" w:type="dxa"/>
            <w:tcBorders>
              <w:top w:val="double" w:sz="6" w:space="0" w:color="auto"/>
              <w:left w:val="nil"/>
              <w:bottom w:val="double" w:sz="6" w:space="0" w:color="auto"/>
              <w:right w:val="double" w:sz="6"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 xml:space="preserve">*ICT Committee activated.                           *Assessment of Sector Agencies database systems completed by June 2014.                          *Improvement of Sector Agency database systems.                                                                     *Central Sector database established at the Secretariat by </w:t>
            </w:r>
            <w:r w:rsidR="00B3702C">
              <w:rPr>
                <w:rFonts w:cs="Calibri"/>
                <w:color w:val="000000"/>
                <w:sz w:val="22"/>
                <w:szCs w:val="22"/>
                <w:lang w:eastAsia="en-AU"/>
              </w:rPr>
              <w:t>Mid-2014</w:t>
            </w:r>
            <w:r>
              <w:rPr>
                <w:rFonts w:cs="Calibri"/>
                <w:color w:val="000000"/>
                <w:sz w:val="22"/>
                <w:szCs w:val="22"/>
                <w:lang w:eastAsia="en-AU"/>
              </w:rPr>
              <w:t xml:space="preserve">.                                                                                             *Improved reporting of statistics by Sector Agencies and attention to gender, age and geographical location.                                                                                       *Improved analysis and recording of SLJS </w:t>
            </w:r>
            <w:r>
              <w:rPr>
                <w:rFonts w:cs="Calibri"/>
                <w:color w:val="000000"/>
                <w:sz w:val="22"/>
                <w:szCs w:val="22"/>
                <w:lang w:eastAsia="en-AU"/>
              </w:rPr>
              <w:lastRenderedPageBreak/>
              <w:t>statistics by the Secretariat.                                                         *Increased use of data information in project design.</w:t>
            </w:r>
          </w:p>
        </w:tc>
        <w:tc>
          <w:tcPr>
            <w:tcW w:w="1084" w:type="dxa"/>
            <w:tcBorders>
              <w:top w:val="double" w:sz="6" w:space="0" w:color="auto"/>
              <w:left w:val="double" w:sz="6" w:space="0" w:color="auto"/>
              <w:bottom w:val="double" w:sz="6" w:space="0" w:color="auto"/>
              <w:right w:val="double" w:sz="6" w:space="0" w:color="auto"/>
            </w:tcBorders>
            <w:shd w:val="solid" w:color="00CC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lastRenderedPageBreak/>
              <w:t>On Schedule/ Target</w:t>
            </w:r>
          </w:p>
        </w:tc>
        <w:tc>
          <w:tcPr>
            <w:tcW w:w="1949" w:type="dxa"/>
            <w:tcBorders>
              <w:top w:val="double" w:sz="6" w:space="0" w:color="auto"/>
              <w:left w:val="double" w:sz="6" w:space="0" w:color="auto"/>
              <w:bottom w:val="double" w:sz="6" w:space="0" w:color="auto"/>
              <w:right w:val="nil"/>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*Improved research analy</w:t>
            </w:r>
            <w:r w:rsidR="00B3702C">
              <w:rPr>
                <w:rFonts w:cs="Calibri"/>
                <w:color w:val="000000"/>
                <w:sz w:val="22"/>
                <w:szCs w:val="22"/>
                <w:lang w:eastAsia="en-AU"/>
              </w:rPr>
              <w:t>s</w:t>
            </w:r>
            <w:r>
              <w:rPr>
                <w:rFonts w:cs="Calibri"/>
                <w:color w:val="000000"/>
                <w:sz w:val="22"/>
                <w:szCs w:val="22"/>
                <w:lang w:eastAsia="en-AU"/>
              </w:rPr>
              <w:t>is of crime statistics of the Sector.                                                                          *Improved and reliable Sector Agencies database system.                                                                              *Pool of expertise on ICT share amongst the sector.</w:t>
            </w:r>
          </w:p>
        </w:tc>
        <w:tc>
          <w:tcPr>
            <w:tcW w:w="2335" w:type="dxa"/>
            <w:gridSpan w:val="3"/>
            <w:tcBorders>
              <w:top w:val="double" w:sz="6" w:space="0" w:color="auto"/>
              <w:left w:val="double" w:sz="6" w:space="0" w:color="auto"/>
              <w:bottom w:val="double" w:sz="6" w:space="0" w:color="auto"/>
              <w:right w:val="single" w:sz="12"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ICT Committee was established in early 2013.                                        *A total of 14 meetings/trainings were conducted in 2013 and 4 meetings in 2014.</w:t>
            </w:r>
          </w:p>
        </w:tc>
      </w:tr>
      <w:tr w:rsidR="00456E00" w:rsidTr="00D46309">
        <w:trPr>
          <w:trHeight w:val="3679"/>
        </w:trPr>
        <w:tc>
          <w:tcPr>
            <w:tcW w:w="804" w:type="dxa"/>
            <w:tcBorders>
              <w:top w:val="double" w:sz="6" w:space="0" w:color="auto"/>
              <w:left w:val="single" w:sz="12" w:space="0" w:color="auto"/>
              <w:bottom w:val="double" w:sz="6" w:space="0" w:color="auto"/>
              <w:right w:val="double" w:sz="6" w:space="0" w:color="auto"/>
            </w:tcBorders>
          </w:tcPr>
          <w:p w:rsidR="00456E00" w:rsidRDefault="00456E00">
            <w:pPr>
              <w:autoSpaceDE w:val="0"/>
              <w:autoSpaceDN w:val="0"/>
              <w:adjustRightInd w:val="0"/>
              <w:spacing w:before="0"/>
              <w:rPr>
                <w:rFonts w:cs="Calibri"/>
                <w:b/>
                <w:bCs/>
                <w:color w:val="000000"/>
                <w:sz w:val="22"/>
                <w:szCs w:val="22"/>
                <w:lang w:eastAsia="en-AU"/>
              </w:rPr>
            </w:pPr>
            <w:r>
              <w:rPr>
                <w:rFonts w:cs="Calibri"/>
                <w:b/>
                <w:bCs/>
                <w:color w:val="000000"/>
                <w:sz w:val="22"/>
                <w:szCs w:val="22"/>
                <w:lang w:eastAsia="en-AU"/>
              </w:rPr>
              <w:lastRenderedPageBreak/>
              <w:t>Annual Judges Retreat</w:t>
            </w:r>
          </w:p>
        </w:tc>
        <w:tc>
          <w:tcPr>
            <w:tcW w:w="408" w:type="dxa"/>
            <w:tcBorders>
              <w:top w:val="double" w:sz="6" w:space="0" w:color="auto"/>
              <w:left w:val="double" w:sz="6" w:space="0" w:color="auto"/>
              <w:bottom w:val="double" w:sz="6" w:space="0" w:color="auto"/>
              <w:right w:val="double" w:sz="6" w:space="0" w:color="auto"/>
            </w:tcBorders>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5.1.1.2</w:t>
            </w:r>
          </w:p>
        </w:tc>
        <w:tc>
          <w:tcPr>
            <w:tcW w:w="595"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MJCA</w:t>
            </w:r>
          </w:p>
        </w:tc>
        <w:tc>
          <w:tcPr>
            <w:tcW w:w="468"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2013-2016</w:t>
            </w:r>
          </w:p>
        </w:tc>
        <w:tc>
          <w:tcPr>
            <w:tcW w:w="1611" w:type="dxa"/>
            <w:tcBorders>
              <w:top w:val="double" w:sz="6" w:space="0" w:color="auto"/>
              <w:left w:val="nil"/>
              <w:bottom w:val="double" w:sz="6" w:space="0" w:color="auto"/>
              <w:right w:val="double" w:sz="6"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*Number of Sector Staff trained.</w:t>
            </w:r>
          </w:p>
        </w:tc>
        <w:tc>
          <w:tcPr>
            <w:tcW w:w="1084" w:type="dxa"/>
            <w:tcBorders>
              <w:top w:val="double" w:sz="6" w:space="0" w:color="auto"/>
              <w:left w:val="double" w:sz="6" w:space="0" w:color="auto"/>
              <w:bottom w:val="double" w:sz="6" w:space="0" w:color="auto"/>
              <w:right w:val="double" w:sz="6" w:space="0" w:color="auto"/>
            </w:tcBorders>
            <w:shd w:val="solid" w:color="00CC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On Schedule/ Target</w:t>
            </w:r>
          </w:p>
        </w:tc>
        <w:tc>
          <w:tcPr>
            <w:tcW w:w="1949" w:type="dxa"/>
            <w:tcBorders>
              <w:top w:val="double" w:sz="6" w:space="0" w:color="auto"/>
              <w:left w:val="double" w:sz="6" w:space="0" w:color="auto"/>
              <w:bottom w:val="double" w:sz="6" w:space="0" w:color="auto"/>
              <w:right w:val="nil"/>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*Greater Ownership through shared contribution approach to planning and decision making.                                        *Provides a forum for internal performance management and discussions of issues relevant to their work.                                                                              *Enhanced knowledge and awareness of Judiciary's developments both new and ongoing.                                                      *Uniformity and efficiency in work practices.</w:t>
            </w:r>
          </w:p>
        </w:tc>
        <w:tc>
          <w:tcPr>
            <w:tcW w:w="2335" w:type="dxa"/>
            <w:gridSpan w:val="3"/>
            <w:tcBorders>
              <w:top w:val="double" w:sz="6" w:space="0" w:color="auto"/>
              <w:left w:val="double" w:sz="6" w:space="0" w:color="auto"/>
              <w:bottom w:val="double" w:sz="6" w:space="0" w:color="auto"/>
              <w:right w:val="single" w:sz="12"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 xml:space="preserve">This activity has been implemented. A retreat was held in October 2011 and in November 2012. It was decided in the 2012 retreat that it would be a bi-annual meeting. It was not conducted in 2014 due to the unavailability of funds from </w:t>
            </w:r>
            <w:r w:rsidR="00B3702C" w:rsidRPr="00B3702C">
              <w:rPr>
                <w:rFonts w:cs="Calibri"/>
                <w:color w:val="000000"/>
                <w:sz w:val="22"/>
                <w:szCs w:val="22"/>
                <w:lang w:eastAsia="en-AU"/>
              </w:rPr>
              <w:t xml:space="preserve">the Australian Government </w:t>
            </w:r>
            <w:r>
              <w:rPr>
                <w:rFonts w:cs="Calibri"/>
                <w:color w:val="000000"/>
                <w:sz w:val="22"/>
                <w:szCs w:val="22"/>
                <w:lang w:eastAsia="en-AU"/>
              </w:rPr>
              <w:t xml:space="preserve">for the Law and Justice Sector. Both retreats were a success and resolutions from both have been actioned. Presentations on issues ranging from Code of Judicial Conduct, Judicial Disqualification, Judicial Training, Judicial Orientation, Sentencing, Land &amp; Titles Court Act, Lands &amp; Titles hearing at First Instance and Appeal, Judgement writing to name a few were well received. It was also an opportunity to discuss and share </w:t>
            </w:r>
            <w:r>
              <w:rPr>
                <w:rFonts w:cs="Calibri"/>
                <w:color w:val="000000"/>
                <w:sz w:val="22"/>
                <w:szCs w:val="22"/>
                <w:lang w:eastAsia="en-AU"/>
              </w:rPr>
              <w:lastRenderedPageBreak/>
              <w:t>ideas on developments for the Judiciary.</w:t>
            </w:r>
          </w:p>
        </w:tc>
      </w:tr>
      <w:tr w:rsidR="00456E00" w:rsidTr="00D46309">
        <w:trPr>
          <w:trHeight w:val="2818"/>
        </w:trPr>
        <w:tc>
          <w:tcPr>
            <w:tcW w:w="804" w:type="dxa"/>
            <w:tcBorders>
              <w:top w:val="double" w:sz="6" w:space="0" w:color="auto"/>
              <w:left w:val="single" w:sz="12" w:space="0" w:color="auto"/>
              <w:bottom w:val="double" w:sz="6" w:space="0" w:color="auto"/>
              <w:right w:val="double" w:sz="6" w:space="0" w:color="auto"/>
            </w:tcBorders>
          </w:tcPr>
          <w:p w:rsidR="00456E00" w:rsidRDefault="00456E00">
            <w:pPr>
              <w:autoSpaceDE w:val="0"/>
              <w:autoSpaceDN w:val="0"/>
              <w:adjustRightInd w:val="0"/>
              <w:spacing w:before="0"/>
              <w:rPr>
                <w:rFonts w:cs="Calibri"/>
                <w:b/>
                <w:bCs/>
                <w:color w:val="000000"/>
                <w:sz w:val="22"/>
                <w:szCs w:val="22"/>
                <w:lang w:eastAsia="en-AU"/>
              </w:rPr>
            </w:pPr>
            <w:r>
              <w:rPr>
                <w:rFonts w:cs="Calibri"/>
                <w:b/>
                <w:bCs/>
                <w:color w:val="000000"/>
                <w:sz w:val="22"/>
                <w:szCs w:val="22"/>
                <w:lang w:eastAsia="en-AU"/>
              </w:rPr>
              <w:lastRenderedPageBreak/>
              <w:t>Customary Mediation Training/Accreditation Course</w:t>
            </w:r>
          </w:p>
        </w:tc>
        <w:tc>
          <w:tcPr>
            <w:tcW w:w="408" w:type="dxa"/>
            <w:tcBorders>
              <w:top w:val="double" w:sz="6" w:space="0" w:color="auto"/>
              <w:left w:val="double" w:sz="6" w:space="0" w:color="auto"/>
              <w:bottom w:val="double" w:sz="6" w:space="0" w:color="auto"/>
              <w:right w:val="double" w:sz="6" w:space="0" w:color="auto"/>
            </w:tcBorders>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5.1.1.3</w:t>
            </w:r>
          </w:p>
        </w:tc>
        <w:tc>
          <w:tcPr>
            <w:tcW w:w="595"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MJCA</w:t>
            </w:r>
          </w:p>
        </w:tc>
        <w:tc>
          <w:tcPr>
            <w:tcW w:w="468"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2013/14</w:t>
            </w:r>
          </w:p>
        </w:tc>
        <w:tc>
          <w:tcPr>
            <w:tcW w:w="1611" w:type="dxa"/>
            <w:tcBorders>
              <w:top w:val="double" w:sz="6" w:space="0" w:color="auto"/>
              <w:left w:val="nil"/>
              <w:bottom w:val="double" w:sz="6" w:space="0" w:color="auto"/>
              <w:right w:val="double" w:sz="6"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*Number of trained mediators.                               *Number of accredited mediators</w:t>
            </w:r>
          </w:p>
        </w:tc>
        <w:tc>
          <w:tcPr>
            <w:tcW w:w="1084" w:type="dxa"/>
            <w:tcBorders>
              <w:top w:val="double" w:sz="6" w:space="0" w:color="auto"/>
              <w:left w:val="double" w:sz="6" w:space="0" w:color="auto"/>
              <w:bottom w:val="double" w:sz="6" w:space="0" w:color="auto"/>
              <w:right w:val="double" w:sz="6" w:space="0" w:color="auto"/>
            </w:tcBorders>
            <w:shd w:val="solid" w:color="99CC00" w:fill="auto"/>
          </w:tcPr>
          <w:p w:rsidR="00456E00" w:rsidRDefault="00456E00">
            <w:pPr>
              <w:autoSpaceDE w:val="0"/>
              <w:autoSpaceDN w:val="0"/>
              <w:adjustRightInd w:val="0"/>
              <w:spacing w:before="0"/>
              <w:rPr>
                <w:rFonts w:cs="Calibri"/>
                <w:color w:val="800080"/>
                <w:sz w:val="22"/>
                <w:szCs w:val="22"/>
                <w:lang w:eastAsia="en-AU"/>
              </w:rPr>
            </w:pPr>
            <w:r>
              <w:rPr>
                <w:rFonts w:cs="Calibri"/>
                <w:color w:val="800080"/>
                <w:sz w:val="22"/>
                <w:szCs w:val="22"/>
                <w:lang w:eastAsia="en-AU"/>
              </w:rPr>
              <w:t>Completed/ Achieved</w:t>
            </w:r>
          </w:p>
        </w:tc>
        <w:tc>
          <w:tcPr>
            <w:tcW w:w="1949" w:type="dxa"/>
            <w:tcBorders>
              <w:top w:val="double" w:sz="6" w:space="0" w:color="auto"/>
              <w:left w:val="double" w:sz="6" w:space="0" w:color="auto"/>
              <w:bottom w:val="double" w:sz="6" w:space="0" w:color="auto"/>
              <w:right w:val="nil"/>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 xml:space="preserve"> Implementing the training course and having qualified and accredited mediators will;                                             (</w:t>
            </w:r>
            <w:proofErr w:type="spellStart"/>
            <w:r>
              <w:rPr>
                <w:rFonts w:cs="Calibri"/>
                <w:color w:val="000000"/>
                <w:sz w:val="22"/>
                <w:szCs w:val="22"/>
                <w:lang w:eastAsia="en-AU"/>
              </w:rPr>
              <w:t>i</w:t>
            </w:r>
            <w:proofErr w:type="spellEnd"/>
            <w:r>
              <w:rPr>
                <w:rFonts w:cs="Calibri"/>
                <w:color w:val="000000"/>
                <w:sz w:val="22"/>
                <w:szCs w:val="22"/>
                <w:lang w:eastAsia="en-AU"/>
              </w:rPr>
              <w:t>)Increase public confidence in mediators and mediation.                                                                                                                       (ii)Provide a platform and outline for ongoing mediation training for Lands and Titles Courts Staff.</w:t>
            </w:r>
          </w:p>
        </w:tc>
        <w:tc>
          <w:tcPr>
            <w:tcW w:w="2335" w:type="dxa"/>
            <w:gridSpan w:val="3"/>
            <w:tcBorders>
              <w:top w:val="double" w:sz="6" w:space="0" w:color="auto"/>
              <w:left w:val="double" w:sz="6" w:space="0" w:color="auto"/>
              <w:bottom w:val="double" w:sz="6" w:space="0" w:color="auto"/>
              <w:right w:val="single" w:sz="12" w:space="0" w:color="auto"/>
            </w:tcBorders>
            <w:shd w:val="solid" w:color="FFFFFF" w:fill="auto"/>
          </w:tcPr>
          <w:p w:rsidR="00456E00" w:rsidRDefault="00456E00" w:rsidP="00B3702C">
            <w:pPr>
              <w:autoSpaceDE w:val="0"/>
              <w:autoSpaceDN w:val="0"/>
              <w:adjustRightInd w:val="0"/>
              <w:spacing w:before="0"/>
              <w:rPr>
                <w:rFonts w:cs="Calibri"/>
                <w:color w:val="000000"/>
                <w:sz w:val="22"/>
                <w:szCs w:val="22"/>
                <w:lang w:eastAsia="en-AU"/>
              </w:rPr>
            </w:pPr>
            <w:r>
              <w:rPr>
                <w:rFonts w:cs="Calibri"/>
                <w:color w:val="000000"/>
                <w:sz w:val="22"/>
                <w:szCs w:val="22"/>
                <w:lang w:eastAsia="en-AU"/>
              </w:rPr>
              <w:t>The Ministry of Justice, Courts &amp; Administration in partnership with the University of Otago conducted the inaugural Samoan Customary Mediation Training in December 2013. Twenty</w:t>
            </w:r>
            <w:r w:rsidR="00B3702C">
              <w:rPr>
                <w:rFonts w:cs="Calibri"/>
                <w:color w:val="000000"/>
                <w:sz w:val="22"/>
                <w:szCs w:val="22"/>
                <w:lang w:eastAsia="en-AU"/>
              </w:rPr>
              <w:t xml:space="preserve"> </w:t>
            </w:r>
            <w:r>
              <w:rPr>
                <w:rFonts w:cs="Calibri"/>
                <w:color w:val="000000"/>
                <w:sz w:val="22"/>
                <w:szCs w:val="22"/>
                <w:lang w:eastAsia="en-AU"/>
              </w:rPr>
              <w:t>one (21) members made up of 16</w:t>
            </w:r>
            <w:r w:rsidR="00B3702C">
              <w:rPr>
                <w:rFonts w:cs="Calibri"/>
                <w:color w:val="000000"/>
                <w:sz w:val="22"/>
                <w:szCs w:val="22"/>
                <w:lang w:eastAsia="en-AU"/>
              </w:rPr>
              <w:t>n</w:t>
            </w:r>
            <w:r>
              <w:rPr>
                <w:rFonts w:cs="Calibri"/>
                <w:color w:val="000000"/>
                <w:sz w:val="22"/>
                <w:szCs w:val="22"/>
                <w:lang w:eastAsia="en-AU"/>
              </w:rPr>
              <w:t xml:space="preserve"> Ministry staff and 5 from its stakeholders graduated. Despite the unavailability of funds from </w:t>
            </w:r>
            <w:r w:rsidR="00B3702C" w:rsidRPr="00B3702C">
              <w:rPr>
                <w:rFonts w:cs="Calibri"/>
                <w:color w:val="000000"/>
                <w:sz w:val="22"/>
                <w:szCs w:val="22"/>
                <w:lang w:eastAsia="en-AU"/>
              </w:rPr>
              <w:t xml:space="preserve">the Australian Government </w:t>
            </w:r>
            <w:r>
              <w:rPr>
                <w:rFonts w:cs="Calibri"/>
                <w:color w:val="000000"/>
                <w:sz w:val="22"/>
                <w:szCs w:val="22"/>
                <w:lang w:eastAsia="en-AU"/>
              </w:rPr>
              <w:t xml:space="preserve">to the Law </w:t>
            </w:r>
            <w:proofErr w:type="gramStart"/>
            <w:r>
              <w:rPr>
                <w:rFonts w:cs="Calibri"/>
                <w:color w:val="000000"/>
                <w:sz w:val="22"/>
                <w:szCs w:val="22"/>
                <w:lang w:eastAsia="en-AU"/>
              </w:rPr>
              <w:t>&amp;  Justice</w:t>
            </w:r>
            <w:proofErr w:type="gramEnd"/>
            <w:r>
              <w:rPr>
                <w:rFonts w:cs="Calibri"/>
                <w:color w:val="000000"/>
                <w:sz w:val="22"/>
                <w:szCs w:val="22"/>
                <w:lang w:eastAsia="en-AU"/>
              </w:rPr>
              <w:t xml:space="preserve"> Sector for the activity in 2014, the Ministry sought funding approval from Cabinet on the understanding that it be reimbursed when Law &amp; Justice Sector funds become available. This was approved and the Second Samoan Customary Mediation Training was held in September 2014 followed by a graduation of twenty one (21) Ministry staff one Representative form the Ombudsman Office. The impact of this activity has been an increase in the pool of qualified mediators, further set of skills for the staff and an </w:t>
            </w:r>
            <w:r>
              <w:rPr>
                <w:rFonts w:cs="Calibri"/>
                <w:color w:val="000000"/>
                <w:sz w:val="22"/>
                <w:szCs w:val="22"/>
                <w:lang w:eastAsia="en-AU"/>
              </w:rPr>
              <w:lastRenderedPageBreak/>
              <w:t>increase in the reported number of cases resolved through mediation. Of the 814 cases mediated during the 2012-2013 Financial Year, only 38% proceeded to Court for litigation.</w:t>
            </w:r>
          </w:p>
        </w:tc>
      </w:tr>
      <w:tr w:rsidR="00456E00" w:rsidTr="00D46309">
        <w:trPr>
          <w:trHeight w:val="2818"/>
        </w:trPr>
        <w:tc>
          <w:tcPr>
            <w:tcW w:w="804" w:type="dxa"/>
            <w:tcBorders>
              <w:top w:val="double" w:sz="6" w:space="0" w:color="auto"/>
              <w:left w:val="single" w:sz="12" w:space="0" w:color="auto"/>
              <w:bottom w:val="double" w:sz="6" w:space="0" w:color="auto"/>
              <w:right w:val="double" w:sz="6" w:space="0" w:color="auto"/>
            </w:tcBorders>
          </w:tcPr>
          <w:p w:rsidR="00456E00" w:rsidRDefault="00456E00">
            <w:pPr>
              <w:autoSpaceDE w:val="0"/>
              <w:autoSpaceDN w:val="0"/>
              <w:adjustRightInd w:val="0"/>
              <w:spacing w:before="0"/>
              <w:rPr>
                <w:rFonts w:cs="Calibri"/>
                <w:b/>
                <w:bCs/>
                <w:color w:val="000000"/>
                <w:sz w:val="22"/>
                <w:szCs w:val="22"/>
                <w:lang w:eastAsia="en-AU"/>
              </w:rPr>
            </w:pPr>
            <w:r>
              <w:rPr>
                <w:rFonts w:cs="Calibri"/>
                <w:b/>
                <w:bCs/>
                <w:color w:val="000000"/>
                <w:sz w:val="22"/>
                <w:szCs w:val="22"/>
                <w:lang w:eastAsia="en-AU"/>
              </w:rPr>
              <w:lastRenderedPageBreak/>
              <w:t>Mentoring Government Lawyers</w:t>
            </w:r>
          </w:p>
        </w:tc>
        <w:tc>
          <w:tcPr>
            <w:tcW w:w="408" w:type="dxa"/>
            <w:tcBorders>
              <w:top w:val="double" w:sz="6" w:space="0" w:color="auto"/>
              <w:left w:val="double" w:sz="6" w:space="0" w:color="auto"/>
              <w:bottom w:val="double" w:sz="6" w:space="0" w:color="auto"/>
              <w:right w:val="double" w:sz="6" w:space="0" w:color="auto"/>
            </w:tcBorders>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5.1.1.6</w:t>
            </w:r>
          </w:p>
        </w:tc>
        <w:tc>
          <w:tcPr>
            <w:tcW w:w="595"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AGO</w:t>
            </w:r>
          </w:p>
        </w:tc>
        <w:tc>
          <w:tcPr>
            <w:tcW w:w="468"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2013/14 - 2015/16</w:t>
            </w:r>
          </w:p>
        </w:tc>
        <w:tc>
          <w:tcPr>
            <w:tcW w:w="1611" w:type="dxa"/>
            <w:tcBorders>
              <w:top w:val="double" w:sz="6" w:space="0" w:color="auto"/>
              <w:left w:val="nil"/>
              <w:bottom w:val="double" w:sz="6" w:space="0" w:color="auto"/>
              <w:right w:val="double" w:sz="6"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*Number of Sector Staff trained.</w:t>
            </w:r>
          </w:p>
        </w:tc>
        <w:tc>
          <w:tcPr>
            <w:tcW w:w="1084" w:type="dxa"/>
            <w:tcBorders>
              <w:top w:val="double" w:sz="6" w:space="0" w:color="auto"/>
              <w:left w:val="double" w:sz="6" w:space="0" w:color="auto"/>
              <w:bottom w:val="double" w:sz="6" w:space="0" w:color="auto"/>
              <w:right w:val="double" w:sz="6" w:space="0" w:color="auto"/>
            </w:tcBorders>
            <w:shd w:val="solid" w:color="00CC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On Schedule/ Target</w:t>
            </w:r>
          </w:p>
        </w:tc>
        <w:tc>
          <w:tcPr>
            <w:tcW w:w="1949" w:type="dxa"/>
            <w:tcBorders>
              <w:top w:val="double" w:sz="6" w:space="0" w:color="auto"/>
              <w:left w:val="double" w:sz="6" w:space="0" w:color="auto"/>
              <w:bottom w:val="double" w:sz="6" w:space="0" w:color="auto"/>
              <w:right w:val="nil"/>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 xml:space="preserve">*Improve efficiency and effectiveness of legal work in the Government Sector through technical and professional capacity for the lawyers employed in AGO.                                                                                         *The legal processes and procedures used by AGO will also be improved and strengthened through this mentoring program. </w:t>
            </w:r>
          </w:p>
        </w:tc>
        <w:tc>
          <w:tcPr>
            <w:tcW w:w="2335" w:type="dxa"/>
            <w:gridSpan w:val="3"/>
            <w:tcBorders>
              <w:top w:val="double" w:sz="6" w:space="0" w:color="auto"/>
              <w:left w:val="double" w:sz="6" w:space="0" w:color="auto"/>
              <w:bottom w:val="double" w:sz="6" w:space="0" w:color="auto"/>
              <w:right w:val="single" w:sz="12"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 xml:space="preserve">Fourteen (14) Mentoring programs carried out on a need basis by the AGO and the availability of Senior Councils from overseas. </w:t>
            </w:r>
          </w:p>
        </w:tc>
      </w:tr>
      <w:tr w:rsidR="00456E00" w:rsidTr="00D46309">
        <w:trPr>
          <w:trHeight w:val="1956"/>
        </w:trPr>
        <w:tc>
          <w:tcPr>
            <w:tcW w:w="804" w:type="dxa"/>
            <w:tcBorders>
              <w:top w:val="double" w:sz="6" w:space="0" w:color="auto"/>
              <w:left w:val="single" w:sz="12" w:space="0" w:color="auto"/>
              <w:bottom w:val="double" w:sz="6" w:space="0" w:color="auto"/>
              <w:right w:val="double" w:sz="6" w:space="0" w:color="auto"/>
            </w:tcBorders>
          </w:tcPr>
          <w:p w:rsidR="00456E00" w:rsidRDefault="00456E00">
            <w:pPr>
              <w:autoSpaceDE w:val="0"/>
              <w:autoSpaceDN w:val="0"/>
              <w:adjustRightInd w:val="0"/>
              <w:spacing w:before="0"/>
              <w:rPr>
                <w:rFonts w:cs="Calibri"/>
                <w:b/>
                <w:bCs/>
                <w:color w:val="000000"/>
                <w:sz w:val="22"/>
                <w:szCs w:val="22"/>
                <w:lang w:eastAsia="en-AU"/>
              </w:rPr>
            </w:pPr>
            <w:r>
              <w:rPr>
                <w:rFonts w:cs="Calibri"/>
                <w:b/>
                <w:bCs/>
                <w:color w:val="000000"/>
                <w:sz w:val="22"/>
                <w:szCs w:val="22"/>
                <w:lang w:eastAsia="en-AU"/>
              </w:rPr>
              <w:t>Training SPCS senior management, existing staff and new recruits</w:t>
            </w:r>
          </w:p>
        </w:tc>
        <w:tc>
          <w:tcPr>
            <w:tcW w:w="408" w:type="dxa"/>
            <w:tcBorders>
              <w:top w:val="double" w:sz="6" w:space="0" w:color="auto"/>
              <w:left w:val="double" w:sz="6" w:space="0" w:color="auto"/>
              <w:bottom w:val="double" w:sz="6" w:space="0" w:color="auto"/>
              <w:right w:val="double" w:sz="6" w:space="0" w:color="auto"/>
            </w:tcBorders>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5.1.1.7</w:t>
            </w:r>
          </w:p>
        </w:tc>
        <w:tc>
          <w:tcPr>
            <w:tcW w:w="595"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MOPP/SPCS/NZ DOC</w:t>
            </w:r>
          </w:p>
        </w:tc>
        <w:tc>
          <w:tcPr>
            <w:tcW w:w="468" w:type="dxa"/>
            <w:tcBorders>
              <w:top w:val="double" w:sz="6" w:space="0" w:color="auto"/>
              <w:left w:val="nil"/>
              <w:bottom w:val="double" w:sz="6"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2013/14 - 2015/16</w:t>
            </w:r>
          </w:p>
        </w:tc>
        <w:tc>
          <w:tcPr>
            <w:tcW w:w="1611" w:type="dxa"/>
            <w:tcBorders>
              <w:top w:val="double" w:sz="6" w:space="0" w:color="auto"/>
              <w:left w:val="nil"/>
              <w:bottom w:val="double" w:sz="6" w:space="0" w:color="auto"/>
              <w:right w:val="double" w:sz="6"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*Number of Sector Staff trained.</w:t>
            </w:r>
          </w:p>
        </w:tc>
        <w:tc>
          <w:tcPr>
            <w:tcW w:w="1084" w:type="dxa"/>
            <w:tcBorders>
              <w:top w:val="double" w:sz="6" w:space="0" w:color="auto"/>
              <w:left w:val="double" w:sz="6" w:space="0" w:color="auto"/>
              <w:bottom w:val="double" w:sz="6" w:space="0" w:color="auto"/>
              <w:right w:val="double" w:sz="6" w:space="0" w:color="auto"/>
            </w:tcBorders>
            <w:shd w:val="solid" w:color="99CC00" w:fill="auto"/>
          </w:tcPr>
          <w:p w:rsidR="00456E00" w:rsidRDefault="00456E00">
            <w:pPr>
              <w:autoSpaceDE w:val="0"/>
              <w:autoSpaceDN w:val="0"/>
              <w:adjustRightInd w:val="0"/>
              <w:spacing w:before="0"/>
              <w:rPr>
                <w:rFonts w:cs="Calibri"/>
                <w:color w:val="800080"/>
                <w:sz w:val="22"/>
                <w:szCs w:val="22"/>
                <w:lang w:eastAsia="en-AU"/>
              </w:rPr>
            </w:pPr>
            <w:r>
              <w:rPr>
                <w:rFonts w:cs="Calibri"/>
                <w:color w:val="800080"/>
                <w:sz w:val="22"/>
                <w:szCs w:val="22"/>
                <w:lang w:eastAsia="en-AU"/>
              </w:rPr>
              <w:t>Completed/ Achieved</w:t>
            </w:r>
          </w:p>
        </w:tc>
        <w:tc>
          <w:tcPr>
            <w:tcW w:w="1949" w:type="dxa"/>
            <w:tcBorders>
              <w:top w:val="double" w:sz="6" w:space="0" w:color="auto"/>
              <w:left w:val="double" w:sz="6" w:space="0" w:color="auto"/>
              <w:bottom w:val="double" w:sz="6" w:space="0" w:color="auto"/>
              <w:right w:val="nil"/>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*Enhanced knowledge and skills of staffs working for the new Prisons &amp; Correction services.</w:t>
            </w:r>
          </w:p>
        </w:tc>
        <w:tc>
          <w:tcPr>
            <w:tcW w:w="2335" w:type="dxa"/>
            <w:gridSpan w:val="3"/>
            <w:tcBorders>
              <w:top w:val="double" w:sz="6" w:space="0" w:color="auto"/>
              <w:left w:val="double" w:sz="6" w:space="0" w:color="auto"/>
              <w:bottom w:val="double" w:sz="6" w:space="0" w:color="auto"/>
              <w:right w:val="single" w:sz="12"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*Approximately 55 staff trained after the first 4 deployments.</w:t>
            </w:r>
          </w:p>
        </w:tc>
      </w:tr>
      <w:tr w:rsidR="00456E00" w:rsidTr="00D46309">
        <w:trPr>
          <w:trHeight w:val="226"/>
        </w:trPr>
        <w:tc>
          <w:tcPr>
            <w:tcW w:w="7982" w:type="dxa"/>
            <w:gridSpan w:val="8"/>
            <w:tcBorders>
              <w:top w:val="double" w:sz="6" w:space="0" w:color="auto"/>
              <w:left w:val="single" w:sz="12" w:space="0" w:color="auto"/>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22"/>
                <w:szCs w:val="22"/>
                <w:lang w:eastAsia="en-AU"/>
              </w:rPr>
            </w:pPr>
            <w:r>
              <w:rPr>
                <w:rFonts w:ascii="Arial" w:hAnsi="Arial" w:cs="Arial"/>
                <w:color w:val="000000"/>
                <w:sz w:val="22"/>
                <w:szCs w:val="22"/>
                <w:lang w:eastAsia="en-AU"/>
              </w:rPr>
              <w:t>Sub Strategy  5.1.3 – Improved communications between sector agencies and with the community</w:t>
            </w:r>
          </w:p>
        </w:tc>
        <w:tc>
          <w:tcPr>
            <w:tcW w:w="677" w:type="dxa"/>
            <w:tcBorders>
              <w:top w:val="double" w:sz="6" w:space="0" w:color="auto"/>
              <w:left w:val="nil"/>
              <w:bottom w:val="double" w:sz="6" w:space="0" w:color="auto"/>
              <w:right w:val="nil"/>
            </w:tcBorders>
            <w:shd w:val="solid" w:color="969696" w:fill="auto"/>
          </w:tcPr>
          <w:p w:rsidR="00456E00" w:rsidRDefault="00456E00">
            <w:pPr>
              <w:autoSpaceDE w:val="0"/>
              <w:autoSpaceDN w:val="0"/>
              <w:adjustRightInd w:val="0"/>
              <w:spacing w:before="0"/>
              <w:jc w:val="center"/>
              <w:rPr>
                <w:rFonts w:ascii="Arial" w:hAnsi="Arial" w:cs="Arial"/>
                <w:color w:val="000000"/>
                <w:sz w:val="22"/>
                <w:szCs w:val="22"/>
                <w:lang w:eastAsia="en-AU"/>
              </w:rPr>
            </w:pPr>
          </w:p>
        </w:tc>
        <w:tc>
          <w:tcPr>
            <w:tcW w:w="595" w:type="dxa"/>
            <w:tcBorders>
              <w:top w:val="double" w:sz="6" w:space="0" w:color="auto"/>
              <w:left w:val="nil"/>
              <w:bottom w:val="double" w:sz="6" w:space="0" w:color="auto"/>
              <w:right w:val="single" w:sz="12" w:space="0" w:color="auto"/>
            </w:tcBorders>
            <w:shd w:val="solid" w:color="969696" w:fill="auto"/>
          </w:tcPr>
          <w:p w:rsidR="00456E00" w:rsidRDefault="00456E00">
            <w:pPr>
              <w:autoSpaceDE w:val="0"/>
              <w:autoSpaceDN w:val="0"/>
              <w:adjustRightInd w:val="0"/>
              <w:spacing w:before="0"/>
              <w:jc w:val="center"/>
              <w:rPr>
                <w:rFonts w:ascii="Arial" w:hAnsi="Arial" w:cs="Arial"/>
                <w:color w:val="000000"/>
                <w:sz w:val="22"/>
                <w:szCs w:val="22"/>
                <w:lang w:eastAsia="en-AU"/>
              </w:rPr>
            </w:pPr>
          </w:p>
        </w:tc>
      </w:tr>
      <w:tr w:rsidR="00456E00" w:rsidTr="00D46309">
        <w:trPr>
          <w:trHeight w:val="2388"/>
        </w:trPr>
        <w:tc>
          <w:tcPr>
            <w:tcW w:w="804" w:type="dxa"/>
            <w:tcBorders>
              <w:top w:val="double" w:sz="6" w:space="0" w:color="auto"/>
              <w:left w:val="single" w:sz="12" w:space="0" w:color="auto"/>
              <w:bottom w:val="single" w:sz="12" w:space="0" w:color="auto"/>
              <w:right w:val="double" w:sz="6" w:space="0" w:color="auto"/>
            </w:tcBorders>
          </w:tcPr>
          <w:p w:rsidR="00456E00" w:rsidRDefault="00456E00">
            <w:pPr>
              <w:autoSpaceDE w:val="0"/>
              <w:autoSpaceDN w:val="0"/>
              <w:adjustRightInd w:val="0"/>
              <w:spacing w:before="0"/>
              <w:rPr>
                <w:rFonts w:cs="Calibri"/>
                <w:b/>
                <w:bCs/>
                <w:color w:val="000000"/>
                <w:sz w:val="22"/>
                <w:szCs w:val="22"/>
                <w:lang w:eastAsia="en-AU"/>
              </w:rPr>
            </w:pPr>
            <w:r>
              <w:rPr>
                <w:rFonts w:cs="Calibri"/>
                <w:b/>
                <w:bCs/>
                <w:color w:val="000000"/>
                <w:sz w:val="22"/>
                <w:szCs w:val="22"/>
                <w:lang w:eastAsia="en-AU"/>
              </w:rPr>
              <w:t>Development of Samoa Law &amp; Justice Sector Website and Communications Strategy</w:t>
            </w:r>
          </w:p>
        </w:tc>
        <w:tc>
          <w:tcPr>
            <w:tcW w:w="408" w:type="dxa"/>
            <w:tcBorders>
              <w:top w:val="double" w:sz="6" w:space="0" w:color="auto"/>
              <w:left w:val="double" w:sz="6" w:space="0" w:color="auto"/>
              <w:bottom w:val="single" w:sz="12" w:space="0" w:color="auto"/>
              <w:right w:val="double" w:sz="6" w:space="0" w:color="auto"/>
            </w:tcBorders>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5.1.3.1</w:t>
            </w:r>
          </w:p>
        </w:tc>
        <w:tc>
          <w:tcPr>
            <w:tcW w:w="595" w:type="dxa"/>
            <w:tcBorders>
              <w:top w:val="double" w:sz="6" w:space="0" w:color="auto"/>
              <w:left w:val="nil"/>
              <w:bottom w:val="single" w:sz="12"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SLJS</w:t>
            </w:r>
          </w:p>
        </w:tc>
        <w:tc>
          <w:tcPr>
            <w:tcW w:w="468" w:type="dxa"/>
            <w:tcBorders>
              <w:top w:val="double" w:sz="6" w:space="0" w:color="auto"/>
              <w:left w:val="nil"/>
              <w:bottom w:val="single" w:sz="12" w:space="0" w:color="auto"/>
              <w:right w:val="double" w:sz="6" w:space="0" w:color="auto"/>
            </w:tcBorders>
          </w:tcPr>
          <w:p w:rsidR="00456E00" w:rsidRDefault="00456E00">
            <w:pPr>
              <w:autoSpaceDE w:val="0"/>
              <w:autoSpaceDN w:val="0"/>
              <w:adjustRightInd w:val="0"/>
              <w:spacing w:before="0"/>
              <w:jc w:val="center"/>
              <w:rPr>
                <w:rFonts w:cs="Calibri"/>
                <w:color w:val="000000"/>
                <w:sz w:val="22"/>
                <w:szCs w:val="22"/>
                <w:lang w:eastAsia="en-AU"/>
              </w:rPr>
            </w:pPr>
            <w:r>
              <w:rPr>
                <w:rFonts w:cs="Calibri"/>
                <w:color w:val="000000"/>
                <w:sz w:val="22"/>
                <w:szCs w:val="22"/>
                <w:lang w:eastAsia="en-AU"/>
              </w:rPr>
              <w:t>2012/13</w:t>
            </w:r>
          </w:p>
        </w:tc>
        <w:tc>
          <w:tcPr>
            <w:tcW w:w="1611" w:type="dxa"/>
            <w:tcBorders>
              <w:top w:val="double" w:sz="6" w:space="0" w:color="auto"/>
              <w:left w:val="nil"/>
              <w:bottom w:val="single" w:sz="12" w:space="0" w:color="auto"/>
              <w:right w:val="double" w:sz="6"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*Website launched by December 2012. *Communications Strategy completed by December 2013</w:t>
            </w:r>
          </w:p>
        </w:tc>
        <w:tc>
          <w:tcPr>
            <w:tcW w:w="1084" w:type="dxa"/>
            <w:tcBorders>
              <w:top w:val="double" w:sz="6" w:space="0" w:color="auto"/>
              <w:left w:val="double" w:sz="6" w:space="0" w:color="auto"/>
              <w:bottom w:val="single" w:sz="12" w:space="0" w:color="auto"/>
              <w:right w:val="double" w:sz="6" w:space="0" w:color="auto"/>
            </w:tcBorders>
            <w:shd w:val="solid" w:color="99CC00" w:fill="auto"/>
          </w:tcPr>
          <w:p w:rsidR="00456E00" w:rsidRDefault="00456E00">
            <w:pPr>
              <w:autoSpaceDE w:val="0"/>
              <w:autoSpaceDN w:val="0"/>
              <w:adjustRightInd w:val="0"/>
              <w:spacing w:before="0"/>
              <w:rPr>
                <w:rFonts w:cs="Calibri"/>
                <w:color w:val="800080"/>
                <w:sz w:val="22"/>
                <w:szCs w:val="22"/>
                <w:lang w:eastAsia="en-AU"/>
              </w:rPr>
            </w:pPr>
            <w:r>
              <w:rPr>
                <w:rFonts w:cs="Calibri"/>
                <w:color w:val="800080"/>
                <w:sz w:val="22"/>
                <w:szCs w:val="22"/>
                <w:lang w:eastAsia="en-AU"/>
              </w:rPr>
              <w:t>Completed/ Achieved</w:t>
            </w:r>
          </w:p>
        </w:tc>
        <w:tc>
          <w:tcPr>
            <w:tcW w:w="1949" w:type="dxa"/>
            <w:tcBorders>
              <w:top w:val="double" w:sz="6" w:space="0" w:color="auto"/>
              <w:left w:val="double" w:sz="6" w:space="0" w:color="auto"/>
              <w:bottom w:val="single" w:sz="12" w:space="0" w:color="auto"/>
              <w:right w:val="nil"/>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*Improved and easier public access awareness on Sector Activities.                                                                *Easier communications between the Sector Secretariat and Sector Agencies.</w:t>
            </w:r>
          </w:p>
        </w:tc>
        <w:tc>
          <w:tcPr>
            <w:tcW w:w="2335" w:type="dxa"/>
            <w:gridSpan w:val="3"/>
            <w:tcBorders>
              <w:top w:val="double" w:sz="6" w:space="0" w:color="auto"/>
              <w:left w:val="double" w:sz="6" w:space="0" w:color="auto"/>
              <w:bottom w:val="single" w:sz="12" w:space="0" w:color="auto"/>
              <w:right w:val="single" w:sz="12" w:space="0" w:color="auto"/>
            </w:tcBorders>
            <w:shd w:val="solid" w:color="FFFFFF" w:fill="auto"/>
          </w:tcPr>
          <w:p w:rsidR="00456E00" w:rsidRDefault="00456E00">
            <w:pPr>
              <w:autoSpaceDE w:val="0"/>
              <w:autoSpaceDN w:val="0"/>
              <w:adjustRightInd w:val="0"/>
              <w:spacing w:before="0"/>
              <w:rPr>
                <w:rFonts w:cs="Calibri"/>
                <w:color w:val="000000"/>
                <w:sz w:val="22"/>
                <w:szCs w:val="22"/>
                <w:lang w:eastAsia="en-AU"/>
              </w:rPr>
            </w:pPr>
            <w:r>
              <w:rPr>
                <w:rFonts w:cs="Calibri"/>
                <w:color w:val="000000"/>
                <w:sz w:val="22"/>
                <w:szCs w:val="22"/>
                <w:lang w:eastAsia="en-AU"/>
              </w:rPr>
              <w:t>*The website was up and running in 2012.                *Communications Strategy was finalised and approved by the Steering Committee in May 2013.</w:t>
            </w:r>
          </w:p>
        </w:tc>
      </w:tr>
      <w:tr w:rsidR="00456E00" w:rsidTr="00D46309">
        <w:trPr>
          <w:trHeight w:val="216"/>
        </w:trPr>
        <w:tc>
          <w:tcPr>
            <w:tcW w:w="804"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b/>
                <w:bCs/>
                <w:color w:val="000000"/>
                <w:sz w:val="22"/>
                <w:szCs w:val="22"/>
                <w:lang w:eastAsia="en-AU"/>
              </w:rPr>
            </w:pPr>
          </w:p>
        </w:tc>
        <w:tc>
          <w:tcPr>
            <w:tcW w:w="408"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595" w:type="dxa"/>
            <w:tcBorders>
              <w:top w:val="nil"/>
              <w:left w:val="nil"/>
              <w:bottom w:val="nil"/>
              <w:right w:val="nil"/>
            </w:tcBorders>
          </w:tcPr>
          <w:p w:rsidR="00456E00" w:rsidRDefault="00456E00">
            <w:pPr>
              <w:autoSpaceDE w:val="0"/>
              <w:autoSpaceDN w:val="0"/>
              <w:adjustRightInd w:val="0"/>
              <w:spacing w:before="0"/>
              <w:jc w:val="center"/>
              <w:rPr>
                <w:rFonts w:ascii="Arial" w:hAnsi="Arial" w:cs="Arial"/>
                <w:color w:val="000000"/>
                <w:sz w:val="22"/>
                <w:szCs w:val="22"/>
                <w:lang w:eastAsia="en-AU"/>
              </w:rPr>
            </w:pPr>
          </w:p>
        </w:tc>
        <w:tc>
          <w:tcPr>
            <w:tcW w:w="468"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1611"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1084"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1949" w:type="dxa"/>
            <w:tcBorders>
              <w:top w:val="nil"/>
              <w:left w:val="nil"/>
              <w:bottom w:val="nil"/>
              <w:right w:val="nil"/>
            </w:tcBorders>
            <w:shd w:val="solid" w:color="FFFFFF" w:fill="auto"/>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1063" w:type="dxa"/>
            <w:tcBorders>
              <w:top w:val="nil"/>
              <w:left w:val="nil"/>
              <w:bottom w:val="nil"/>
              <w:right w:val="nil"/>
            </w:tcBorders>
            <w:shd w:val="solid" w:color="FFFFFF" w:fill="auto"/>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677" w:type="dxa"/>
            <w:tcBorders>
              <w:top w:val="nil"/>
              <w:left w:val="nil"/>
              <w:bottom w:val="nil"/>
              <w:right w:val="nil"/>
            </w:tcBorders>
            <w:shd w:val="solid" w:color="FFFFFF" w:fill="auto"/>
          </w:tcPr>
          <w:p w:rsidR="00456E00" w:rsidRDefault="00456E00">
            <w:pPr>
              <w:autoSpaceDE w:val="0"/>
              <w:autoSpaceDN w:val="0"/>
              <w:adjustRightInd w:val="0"/>
              <w:spacing w:before="0"/>
              <w:jc w:val="right"/>
              <w:rPr>
                <w:rFonts w:ascii="Arial" w:hAnsi="Arial" w:cs="Arial"/>
                <w:color w:val="000000"/>
                <w:sz w:val="22"/>
                <w:szCs w:val="22"/>
                <w:lang w:eastAsia="en-AU"/>
              </w:rPr>
            </w:pPr>
          </w:p>
        </w:tc>
        <w:tc>
          <w:tcPr>
            <w:tcW w:w="595" w:type="dxa"/>
            <w:tcBorders>
              <w:top w:val="nil"/>
              <w:left w:val="nil"/>
              <w:bottom w:val="nil"/>
              <w:right w:val="nil"/>
            </w:tcBorders>
            <w:shd w:val="solid" w:color="FFFFFF" w:fill="auto"/>
          </w:tcPr>
          <w:p w:rsidR="00456E00" w:rsidRDefault="00456E00">
            <w:pPr>
              <w:autoSpaceDE w:val="0"/>
              <w:autoSpaceDN w:val="0"/>
              <w:adjustRightInd w:val="0"/>
              <w:spacing w:before="0"/>
              <w:jc w:val="right"/>
              <w:rPr>
                <w:rFonts w:ascii="Arial" w:hAnsi="Arial" w:cs="Arial"/>
                <w:color w:val="000000"/>
                <w:sz w:val="22"/>
                <w:szCs w:val="22"/>
                <w:lang w:eastAsia="en-AU"/>
              </w:rPr>
            </w:pPr>
          </w:p>
        </w:tc>
      </w:tr>
      <w:tr w:rsidR="00456E00" w:rsidTr="00D46309">
        <w:trPr>
          <w:trHeight w:val="216"/>
        </w:trPr>
        <w:tc>
          <w:tcPr>
            <w:tcW w:w="804"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b/>
                <w:bCs/>
                <w:color w:val="000000"/>
                <w:sz w:val="22"/>
                <w:szCs w:val="22"/>
                <w:lang w:eastAsia="en-AU"/>
              </w:rPr>
            </w:pPr>
          </w:p>
        </w:tc>
        <w:tc>
          <w:tcPr>
            <w:tcW w:w="408"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0"/>
                <w:szCs w:val="20"/>
                <w:lang w:eastAsia="en-AU"/>
              </w:rPr>
            </w:pPr>
          </w:p>
        </w:tc>
        <w:tc>
          <w:tcPr>
            <w:tcW w:w="595" w:type="dxa"/>
            <w:tcBorders>
              <w:top w:val="nil"/>
              <w:left w:val="nil"/>
              <w:bottom w:val="nil"/>
              <w:right w:val="nil"/>
            </w:tcBorders>
          </w:tcPr>
          <w:p w:rsidR="00456E00" w:rsidRDefault="00456E00">
            <w:pPr>
              <w:autoSpaceDE w:val="0"/>
              <w:autoSpaceDN w:val="0"/>
              <w:adjustRightInd w:val="0"/>
              <w:spacing w:before="0"/>
              <w:jc w:val="center"/>
              <w:rPr>
                <w:rFonts w:ascii="Arial" w:hAnsi="Arial" w:cs="Arial"/>
                <w:color w:val="000000"/>
                <w:sz w:val="20"/>
                <w:szCs w:val="20"/>
                <w:lang w:eastAsia="en-AU"/>
              </w:rPr>
            </w:pPr>
          </w:p>
        </w:tc>
        <w:tc>
          <w:tcPr>
            <w:tcW w:w="468"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0"/>
                <w:szCs w:val="20"/>
                <w:lang w:eastAsia="en-AU"/>
              </w:rPr>
            </w:pPr>
          </w:p>
        </w:tc>
        <w:tc>
          <w:tcPr>
            <w:tcW w:w="1611"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0"/>
                <w:szCs w:val="20"/>
                <w:lang w:eastAsia="en-AU"/>
              </w:rPr>
            </w:pPr>
          </w:p>
        </w:tc>
        <w:tc>
          <w:tcPr>
            <w:tcW w:w="1084"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0"/>
                <w:szCs w:val="20"/>
                <w:lang w:eastAsia="en-AU"/>
              </w:rPr>
            </w:pPr>
          </w:p>
        </w:tc>
        <w:tc>
          <w:tcPr>
            <w:tcW w:w="1949" w:type="dxa"/>
            <w:tcBorders>
              <w:top w:val="nil"/>
              <w:left w:val="nil"/>
              <w:bottom w:val="nil"/>
              <w:right w:val="nil"/>
            </w:tcBorders>
            <w:shd w:val="solid" w:color="FFFFFF" w:fill="auto"/>
          </w:tcPr>
          <w:p w:rsidR="00456E00" w:rsidRDefault="00456E00">
            <w:pPr>
              <w:autoSpaceDE w:val="0"/>
              <w:autoSpaceDN w:val="0"/>
              <w:adjustRightInd w:val="0"/>
              <w:spacing w:before="0"/>
              <w:jc w:val="right"/>
              <w:rPr>
                <w:rFonts w:ascii="Arial" w:hAnsi="Arial" w:cs="Arial"/>
                <w:color w:val="000000"/>
                <w:sz w:val="20"/>
                <w:szCs w:val="20"/>
                <w:lang w:eastAsia="en-AU"/>
              </w:rPr>
            </w:pPr>
          </w:p>
        </w:tc>
        <w:tc>
          <w:tcPr>
            <w:tcW w:w="1063" w:type="dxa"/>
            <w:tcBorders>
              <w:top w:val="nil"/>
              <w:left w:val="nil"/>
              <w:bottom w:val="nil"/>
              <w:right w:val="nil"/>
            </w:tcBorders>
            <w:shd w:val="solid" w:color="FFFFFF" w:fill="auto"/>
          </w:tcPr>
          <w:p w:rsidR="00456E00" w:rsidRDefault="00456E00">
            <w:pPr>
              <w:autoSpaceDE w:val="0"/>
              <w:autoSpaceDN w:val="0"/>
              <w:adjustRightInd w:val="0"/>
              <w:spacing w:before="0"/>
              <w:jc w:val="right"/>
              <w:rPr>
                <w:rFonts w:ascii="Arial" w:hAnsi="Arial" w:cs="Arial"/>
                <w:color w:val="000000"/>
                <w:sz w:val="20"/>
                <w:szCs w:val="20"/>
                <w:lang w:eastAsia="en-AU"/>
              </w:rPr>
            </w:pPr>
          </w:p>
        </w:tc>
        <w:tc>
          <w:tcPr>
            <w:tcW w:w="677" w:type="dxa"/>
            <w:tcBorders>
              <w:top w:val="nil"/>
              <w:left w:val="nil"/>
              <w:bottom w:val="nil"/>
              <w:right w:val="nil"/>
            </w:tcBorders>
            <w:shd w:val="solid" w:color="FFFFFF" w:fill="auto"/>
          </w:tcPr>
          <w:p w:rsidR="00456E00" w:rsidRDefault="00456E00">
            <w:pPr>
              <w:autoSpaceDE w:val="0"/>
              <w:autoSpaceDN w:val="0"/>
              <w:adjustRightInd w:val="0"/>
              <w:spacing w:before="0"/>
              <w:jc w:val="right"/>
              <w:rPr>
                <w:rFonts w:ascii="Arial" w:hAnsi="Arial" w:cs="Arial"/>
                <w:color w:val="000000"/>
                <w:sz w:val="20"/>
                <w:szCs w:val="20"/>
                <w:lang w:eastAsia="en-AU"/>
              </w:rPr>
            </w:pPr>
          </w:p>
        </w:tc>
        <w:tc>
          <w:tcPr>
            <w:tcW w:w="595" w:type="dxa"/>
            <w:tcBorders>
              <w:top w:val="nil"/>
              <w:left w:val="nil"/>
              <w:bottom w:val="nil"/>
              <w:right w:val="nil"/>
            </w:tcBorders>
            <w:shd w:val="solid" w:color="FFFFFF" w:fill="auto"/>
          </w:tcPr>
          <w:p w:rsidR="00456E00" w:rsidRDefault="00456E00">
            <w:pPr>
              <w:autoSpaceDE w:val="0"/>
              <w:autoSpaceDN w:val="0"/>
              <w:adjustRightInd w:val="0"/>
              <w:spacing w:before="0"/>
              <w:jc w:val="right"/>
              <w:rPr>
                <w:rFonts w:ascii="Arial" w:hAnsi="Arial" w:cs="Arial"/>
                <w:color w:val="000000"/>
                <w:sz w:val="20"/>
                <w:szCs w:val="20"/>
                <w:lang w:eastAsia="en-AU"/>
              </w:rPr>
            </w:pPr>
          </w:p>
        </w:tc>
      </w:tr>
      <w:tr w:rsidR="00456E00" w:rsidTr="00D46309">
        <w:trPr>
          <w:trHeight w:val="194"/>
        </w:trPr>
        <w:tc>
          <w:tcPr>
            <w:tcW w:w="804"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0"/>
                <w:szCs w:val="20"/>
                <w:lang w:eastAsia="en-AU"/>
              </w:rPr>
            </w:pPr>
          </w:p>
        </w:tc>
        <w:tc>
          <w:tcPr>
            <w:tcW w:w="408"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0"/>
                <w:szCs w:val="20"/>
                <w:lang w:eastAsia="en-AU"/>
              </w:rPr>
            </w:pPr>
          </w:p>
        </w:tc>
        <w:tc>
          <w:tcPr>
            <w:tcW w:w="595"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0"/>
                <w:szCs w:val="20"/>
                <w:lang w:eastAsia="en-AU"/>
              </w:rPr>
            </w:pPr>
          </w:p>
        </w:tc>
        <w:tc>
          <w:tcPr>
            <w:tcW w:w="468"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0"/>
                <w:szCs w:val="20"/>
                <w:lang w:eastAsia="en-AU"/>
              </w:rPr>
            </w:pPr>
          </w:p>
        </w:tc>
        <w:tc>
          <w:tcPr>
            <w:tcW w:w="1611"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0"/>
                <w:szCs w:val="20"/>
                <w:lang w:eastAsia="en-AU"/>
              </w:rPr>
            </w:pPr>
          </w:p>
        </w:tc>
        <w:tc>
          <w:tcPr>
            <w:tcW w:w="1084"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0"/>
                <w:szCs w:val="20"/>
                <w:lang w:eastAsia="en-AU"/>
              </w:rPr>
            </w:pPr>
          </w:p>
        </w:tc>
        <w:tc>
          <w:tcPr>
            <w:tcW w:w="1949"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0"/>
                <w:szCs w:val="20"/>
                <w:lang w:eastAsia="en-AU"/>
              </w:rPr>
            </w:pPr>
          </w:p>
        </w:tc>
        <w:tc>
          <w:tcPr>
            <w:tcW w:w="1063"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0"/>
                <w:szCs w:val="20"/>
                <w:lang w:eastAsia="en-AU"/>
              </w:rPr>
            </w:pPr>
          </w:p>
        </w:tc>
        <w:tc>
          <w:tcPr>
            <w:tcW w:w="677"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0"/>
                <w:szCs w:val="20"/>
                <w:lang w:eastAsia="en-AU"/>
              </w:rPr>
            </w:pPr>
          </w:p>
        </w:tc>
        <w:tc>
          <w:tcPr>
            <w:tcW w:w="595" w:type="dxa"/>
            <w:tcBorders>
              <w:top w:val="nil"/>
              <w:left w:val="nil"/>
              <w:bottom w:val="nil"/>
              <w:right w:val="nil"/>
            </w:tcBorders>
          </w:tcPr>
          <w:p w:rsidR="00456E00" w:rsidRDefault="00456E00">
            <w:pPr>
              <w:autoSpaceDE w:val="0"/>
              <w:autoSpaceDN w:val="0"/>
              <w:adjustRightInd w:val="0"/>
              <w:spacing w:before="0"/>
              <w:jc w:val="right"/>
              <w:rPr>
                <w:rFonts w:ascii="Arial" w:hAnsi="Arial" w:cs="Arial"/>
                <w:color w:val="000000"/>
                <w:sz w:val="20"/>
                <w:szCs w:val="20"/>
                <w:lang w:eastAsia="en-AU"/>
              </w:rPr>
            </w:pPr>
          </w:p>
        </w:tc>
      </w:tr>
    </w:tbl>
    <w:p w:rsidR="00544914" w:rsidRPr="008C2146" w:rsidRDefault="00544914" w:rsidP="004902E0">
      <w:pPr>
        <w:pStyle w:val="SectionTitle"/>
      </w:pPr>
      <w:bookmarkStart w:id="109" w:name="_Toc361402805"/>
      <w:bookmarkStart w:id="110" w:name="_Toc431828822"/>
      <w:bookmarkEnd w:id="84"/>
      <w:bookmarkEnd w:id="85"/>
      <w:bookmarkEnd w:id="86"/>
      <w:r w:rsidRPr="008C2146">
        <w:lastRenderedPageBreak/>
        <w:t>Abbreviations</w:t>
      </w:r>
      <w:bookmarkEnd w:id="109"/>
      <w:r>
        <w:t xml:space="preserve"> </w:t>
      </w:r>
      <w:smartTag w:uri="urn:schemas-microsoft-com:office:smarttags" w:element="PersonName">
        <w:r>
          <w:t>and</w:t>
        </w:r>
      </w:smartTag>
      <w:r>
        <w:t xml:space="preserve"> glossary</w:t>
      </w:r>
      <w:bookmarkEnd w:id="110"/>
    </w:p>
    <w:tbl>
      <w:tblPr>
        <w:tblW w:w="0" w:type="auto"/>
        <w:tblBorders>
          <w:top w:val="single" w:sz="4" w:space="0" w:color="007FAD"/>
          <w:bottom w:val="single" w:sz="4" w:space="0" w:color="007FAD"/>
        </w:tblBorders>
        <w:tblCellMar>
          <w:top w:w="85" w:type="dxa"/>
          <w:bottom w:w="85" w:type="dxa"/>
        </w:tblCellMar>
        <w:tblLook w:val="01E0" w:firstRow="1" w:lastRow="1" w:firstColumn="1" w:lastColumn="1" w:noHBand="0" w:noVBand="0"/>
      </w:tblPr>
      <w:tblGrid>
        <w:gridCol w:w="1309"/>
        <w:gridCol w:w="7513"/>
      </w:tblGrid>
      <w:tr w:rsidR="00544914" w:rsidRPr="00D0607A">
        <w:tc>
          <w:tcPr>
            <w:tcW w:w="1242" w:type="dxa"/>
            <w:tcBorders>
              <w:top w:val="single" w:sz="4" w:space="0" w:color="007FAD"/>
            </w:tcBorders>
          </w:tcPr>
          <w:p w:rsidR="00EE118E" w:rsidRPr="00AE32A3" w:rsidRDefault="00544914" w:rsidP="00D46309">
            <w:pPr>
              <w:pStyle w:val="BodyText1"/>
              <w:spacing w:before="60"/>
            </w:pPr>
            <w:r w:rsidRPr="00AE32A3">
              <w:t>AusAID</w:t>
            </w:r>
          </w:p>
        </w:tc>
        <w:tc>
          <w:tcPr>
            <w:tcW w:w="7513" w:type="dxa"/>
            <w:tcBorders>
              <w:top w:val="single" w:sz="4" w:space="0" w:color="007FAD"/>
            </w:tcBorders>
          </w:tcPr>
          <w:p w:rsidR="00544914" w:rsidRPr="00AE32A3" w:rsidRDefault="00544914" w:rsidP="00D46309">
            <w:pPr>
              <w:pStyle w:val="BodyText1"/>
              <w:spacing w:before="60"/>
            </w:pPr>
            <w:r w:rsidRPr="00AE32A3">
              <w:t>Australia Agency for International Development</w:t>
            </w:r>
            <w:r w:rsidR="000542D9">
              <w:t xml:space="preserve"> (now DFAT)</w:t>
            </w:r>
          </w:p>
        </w:tc>
      </w:tr>
      <w:tr w:rsidR="00544914" w:rsidRPr="00D0607A">
        <w:tc>
          <w:tcPr>
            <w:tcW w:w="1242" w:type="dxa"/>
          </w:tcPr>
          <w:p w:rsidR="00544914" w:rsidRPr="00AE32A3" w:rsidRDefault="00544914" w:rsidP="00D46309">
            <w:pPr>
              <w:pStyle w:val="BodyText1"/>
              <w:spacing w:before="60"/>
            </w:pPr>
            <w:r w:rsidRPr="00AE32A3">
              <w:t>ACEO</w:t>
            </w:r>
          </w:p>
        </w:tc>
        <w:tc>
          <w:tcPr>
            <w:tcW w:w="7513" w:type="dxa"/>
          </w:tcPr>
          <w:p w:rsidR="00544914" w:rsidRPr="00AE32A3" w:rsidRDefault="00544914" w:rsidP="00D46309">
            <w:pPr>
              <w:pStyle w:val="BodyText1"/>
              <w:spacing w:before="60"/>
            </w:pPr>
            <w:r w:rsidRPr="00AE32A3">
              <w:t>Assistant Chief Executive Officer</w:t>
            </w:r>
          </w:p>
        </w:tc>
      </w:tr>
      <w:tr w:rsidR="00544914" w:rsidRPr="00D0607A">
        <w:tc>
          <w:tcPr>
            <w:tcW w:w="1242" w:type="dxa"/>
          </w:tcPr>
          <w:p w:rsidR="00544914" w:rsidRPr="00AE32A3" w:rsidRDefault="00544914" w:rsidP="00D46309">
            <w:pPr>
              <w:pStyle w:val="BodyText1"/>
              <w:spacing w:before="60"/>
            </w:pPr>
            <w:r w:rsidRPr="00AE32A3">
              <w:t>CEO</w:t>
            </w:r>
          </w:p>
        </w:tc>
        <w:tc>
          <w:tcPr>
            <w:tcW w:w="7513" w:type="dxa"/>
          </w:tcPr>
          <w:p w:rsidR="00544914" w:rsidRPr="00AE32A3" w:rsidRDefault="00544914" w:rsidP="00D46309">
            <w:pPr>
              <w:pStyle w:val="BodyText1"/>
              <w:spacing w:before="60"/>
            </w:pPr>
            <w:r w:rsidRPr="00AE32A3">
              <w:t>Chief Executive Officer</w:t>
            </w:r>
          </w:p>
        </w:tc>
      </w:tr>
      <w:tr w:rsidR="000A44FB" w:rsidRPr="00D0607A">
        <w:tc>
          <w:tcPr>
            <w:tcW w:w="1242" w:type="dxa"/>
          </w:tcPr>
          <w:p w:rsidR="000A44FB" w:rsidRDefault="000A44FB" w:rsidP="00D46309">
            <w:pPr>
              <w:pStyle w:val="BodyText1"/>
              <w:spacing w:before="60"/>
            </w:pPr>
            <w:r>
              <w:t>CLC</w:t>
            </w:r>
          </w:p>
        </w:tc>
        <w:tc>
          <w:tcPr>
            <w:tcW w:w="7513" w:type="dxa"/>
          </w:tcPr>
          <w:p w:rsidR="000A44FB" w:rsidRDefault="000A44FB" w:rsidP="00D46309">
            <w:pPr>
              <w:pStyle w:val="BodyText1"/>
              <w:spacing w:before="60"/>
            </w:pPr>
            <w:r>
              <w:t>Community Law Center</w:t>
            </w:r>
          </w:p>
        </w:tc>
      </w:tr>
      <w:tr w:rsidR="001D3BB2" w:rsidRPr="00D0607A">
        <w:tc>
          <w:tcPr>
            <w:tcW w:w="1242" w:type="dxa"/>
          </w:tcPr>
          <w:p w:rsidR="001D3BB2" w:rsidRPr="00AE32A3" w:rsidRDefault="001D3BB2" w:rsidP="00D46309">
            <w:pPr>
              <w:pStyle w:val="BodyText1"/>
              <w:spacing w:before="60"/>
            </w:pPr>
            <w:r>
              <w:t>CSO</w:t>
            </w:r>
          </w:p>
        </w:tc>
        <w:tc>
          <w:tcPr>
            <w:tcW w:w="7513" w:type="dxa"/>
          </w:tcPr>
          <w:p w:rsidR="001D3BB2" w:rsidRPr="00AE32A3" w:rsidRDefault="001D3BB2" w:rsidP="00D46309">
            <w:pPr>
              <w:pStyle w:val="BodyText1"/>
              <w:spacing w:before="60"/>
            </w:pPr>
            <w:r>
              <w:t xml:space="preserve">Civil Society </w:t>
            </w:r>
            <w:proofErr w:type="spellStart"/>
            <w:r>
              <w:t>Organisation</w:t>
            </w:r>
            <w:proofErr w:type="spellEnd"/>
          </w:p>
        </w:tc>
      </w:tr>
      <w:tr w:rsidR="00544914" w:rsidRPr="00D0607A">
        <w:tc>
          <w:tcPr>
            <w:tcW w:w="1242" w:type="dxa"/>
          </w:tcPr>
          <w:p w:rsidR="00544914" w:rsidRPr="00AE32A3" w:rsidRDefault="00544914" w:rsidP="00D46309">
            <w:pPr>
              <w:pStyle w:val="BodyText1"/>
              <w:spacing w:before="60"/>
            </w:pPr>
            <w:r w:rsidRPr="00AE32A3">
              <w:t>DFAT</w:t>
            </w:r>
          </w:p>
        </w:tc>
        <w:tc>
          <w:tcPr>
            <w:tcW w:w="7513" w:type="dxa"/>
          </w:tcPr>
          <w:p w:rsidR="00544914" w:rsidRPr="00AE32A3" w:rsidRDefault="00544914" w:rsidP="00D46309">
            <w:pPr>
              <w:pStyle w:val="BodyText1"/>
              <w:spacing w:before="60"/>
            </w:pPr>
            <w:r w:rsidRPr="00AE32A3">
              <w:t xml:space="preserve">Department of Foreign Affairs </w:t>
            </w:r>
            <w:smartTag w:uri="urn:schemas-microsoft-com:office:smarttags" w:element="PersonName">
              <w:r w:rsidRPr="00AE32A3">
                <w:t>and</w:t>
              </w:r>
            </w:smartTag>
            <w:r w:rsidRPr="00AE32A3">
              <w:t xml:space="preserve"> Trade</w:t>
            </w:r>
            <w:r w:rsidR="000542D9">
              <w:t xml:space="preserve"> (previously AusAID)</w:t>
            </w:r>
          </w:p>
        </w:tc>
      </w:tr>
      <w:tr w:rsidR="00544914" w:rsidRPr="00D0607A">
        <w:tc>
          <w:tcPr>
            <w:tcW w:w="1242" w:type="dxa"/>
          </w:tcPr>
          <w:p w:rsidR="00544914" w:rsidRPr="00AE32A3" w:rsidRDefault="00544914" w:rsidP="00D46309">
            <w:pPr>
              <w:pStyle w:val="BodyText1"/>
              <w:spacing w:before="60"/>
            </w:pPr>
            <w:proofErr w:type="spellStart"/>
            <w:smartTag w:uri="urn:schemas-microsoft-com:office:smarttags" w:element="place">
              <w:r w:rsidRPr="00AE32A3">
                <w:t>GoA</w:t>
              </w:r>
            </w:smartTag>
            <w:proofErr w:type="spellEnd"/>
          </w:p>
        </w:tc>
        <w:tc>
          <w:tcPr>
            <w:tcW w:w="7513" w:type="dxa"/>
          </w:tcPr>
          <w:p w:rsidR="00544914" w:rsidRPr="00AE32A3" w:rsidRDefault="00544914" w:rsidP="00D46309">
            <w:pPr>
              <w:pStyle w:val="BodyText1"/>
              <w:spacing w:before="60"/>
            </w:pPr>
            <w:r w:rsidRPr="00AE32A3">
              <w:t xml:space="preserve">Government of </w:t>
            </w:r>
            <w:smartTag w:uri="urn:schemas-microsoft-com:office:smarttags" w:element="place">
              <w:smartTag w:uri="urn:schemas-microsoft-com:office:smarttags" w:element="country-region">
                <w:r w:rsidRPr="00AE32A3">
                  <w:t>Australia</w:t>
                </w:r>
              </w:smartTag>
            </w:smartTag>
          </w:p>
        </w:tc>
      </w:tr>
      <w:tr w:rsidR="000542D9" w:rsidRPr="00D0607A">
        <w:tc>
          <w:tcPr>
            <w:tcW w:w="1242" w:type="dxa"/>
          </w:tcPr>
          <w:p w:rsidR="000542D9" w:rsidRPr="00AE32A3" w:rsidRDefault="000542D9" w:rsidP="00D46309">
            <w:pPr>
              <w:pStyle w:val="BodyText1"/>
              <w:spacing w:before="60"/>
            </w:pPr>
            <w:proofErr w:type="spellStart"/>
            <w:r w:rsidRPr="00AE32A3">
              <w:t>Go</w:t>
            </w:r>
            <w:r>
              <w:t>NZ</w:t>
            </w:r>
            <w:proofErr w:type="spellEnd"/>
          </w:p>
        </w:tc>
        <w:tc>
          <w:tcPr>
            <w:tcW w:w="7513" w:type="dxa"/>
          </w:tcPr>
          <w:p w:rsidR="000542D9" w:rsidRPr="00AE32A3" w:rsidRDefault="000542D9" w:rsidP="00D46309">
            <w:pPr>
              <w:pStyle w:val="BodyText1"/>
              <w:spacing w:before="60"/>
            </w:pPr>
            <w:r w:rsidRPr="00AE32A3">
              <w:t xml:space="preserve">Government of </w:t>
            </w:r>
            <w:smartTag w:uri="urn:schemas-microsoft-com:office:smarttags" w:element="country-region">
              <w:smartTag w:uri="urn:schemas-microsoft-com:office:smarttags" w:element="place">
                <w:r>
                  <w:t>New Zeal</w:t>
                </w:r>
                <w:smartTag w:uri="urn:schemas-microsoft-com:office:smarttags" w:element="PersonName">
                  <w:r>
                    <w:t>and</w:t>
                  </w:r>
                </w:smartTag>
              </w:smartTag>
            </w:smartTag>
          </w:p>
        </w:tc>
      </w:tr>
      <w:tr w:rsidR="00544914" w:rsidRPr="00D0607A">
        <w:tc>
          <w:tcPr>
            <w:tcW w:w="1242" w:type="dxa"/>
          </w:tcPr>
          <w:p w:rsidR="00544914" w:rsidRPr="00AE32A3" w:rsidRDefault="00544914" w:rsidP="00D46309">
            <w:pPr>
              <w:pStyle w:val="BodyText1"/>
              <w:spacing w:before="60"/>
            </w:pPr>
            <w:proofErr w:type="spellStart"/>
            <w:r w:rsidRPr="00AE32A3">
              <w:t>GoS</w:t>
            </w:r>
            <w:proofErr w:type="spellEnd"/>
          </w:p>
        </w:tc>
        <w:tc>
          <w:tcPr>
            <w:tcW w:w="7513" w:type="dxa"/>
          </w:tcPr>
          <w:p w:rsidR="00544914" w:rsidRPr="00AE32A3" w:rsidRDefault="00544914" w:rsidP="00D46309">
            <w:pPr>
              <w:pStyle w:val="BodyText1"/>
              <w:spacing w:before="60"/>
            </w:pPr>
            <w:r w:rsidRPr="00AE32A3">
              <w:t xml:space="preserve">Government of </w:t>
            </w:r>
            <w:smartTag w:uri="urn:schemas-microsoft-com:office:smarttags" w:element="place">
              <w:r w:rsidRPr="00AE32A3">
                <w:t>Samoa</w:t>
              </w:r>
            </w:smartTag>
          </w:p>
        </w:tc>
      </w:tr>
      <w:tr w:rsidR="00544914" w:rsidRPr="00D0607A">
        <w:tc>
          <w:tcPr>
            <w:tcW w:w="1242" w:type="dxa"/>
          </w:tcPr>
          <w:p w:rsidR="00544914" w:rsidRPr="00AE32A3" w:rsidRDefault="00544914" w:rsidP="00D46309">
            <w:pPr>
              <w:pStyle w:val="BodyText1"/>
              <w:spacing w:before="60"/>
            </w:pPr>
            <w:r w:rsidRPr="00AE32A3">
              <w:t>KEQ</w:t>
            </w:r>
          </w:p>
        </w:tc>
        <w:tc>
          <w:tcPr>
            <w:tcW w:w="7513" w:type="dxa"/>
          </w:tcPr>
          <w:p w:rsidR="00544914" w:rsidRPr="00AE32A3" w:rsidRDefault="00544914" w:rsidP="00D46309">
            <w:pPr>
              <w:pStyle w:val="BodyText1"/>
              <w:spacing w:before="60"/>
            </w:pPr>
            <w:r w:rsidRPr="00AE32A3">
              <w:t>Key evaluation question</w:t>
            </w:r>
          </w:p>
        </w:tc>
      </w:tr>
      <w:tr w:rsidR="00544914" w:rsidRPr="00D0607A">
        <w:tc>
          <w:tcPr>
            <w:tcW w:w="1242" w:type="dxa"/>
          </w:tcPr>
          <w:p w:rsidR="00544914" w:rsidRPr="00AE32A3" w:rsidRDefault="00544914" w:rsidP="00D46309">
            <w:pPr>
              <w:pStyle w:val="BodyText1"/>
              <w:spacing w:before="60"/>
            </w:pPr>
            <w:r w:rsidRPr="00AE32A3">
              <w:t>LJS</w:t>
            </w:r>
          </w:p>
        </w:tc>
        <w:tc>
          <w:tcPr>
            <w:tcW w:w="7513" w:type="dxa"/>
          </w:tcPr>
          <w:p w:rsidR="00544914" w:rsidRPr="00AE32A3" w:rsidRDefault="00544914" w:rsidP="00D46309">
            <w:pPr>
              <w:pStyle w:val="BodyText1"/>
              <w:spacing w:before="60"/>
            </w:pPr>
            <w:r w:rsidRPr="00AE32A3">
              <w:t xml:space="preserve">Law </w:t>
            </w:r>
            <w:smartTag w:uri="urn:schemas-microsoft-com:office:smarttags" w:element="PersonName">
              <w:r w:rsidRPr="00AE32A3">
                <w:t>and</w:t>
              </w:r>
            </w:smartTag>
            <w:r w:rsidRPr="00AE32A3">
              <w:t xml:space="preserve"> justice sector</w:t>
            </w:r>
          </w:p>
        </w:tc>
      </w:tr>
      <w:tr w:rsidR="001D3BB2" w:rsidRPr="00D0607A">
        <w:tc>
          <w:tcPr>
            <w:tcW w:w="1242" w:type="dxa"/>
          </w:tcPr>
          <w:p w:rsidR="001D3BB2" w:rsidRDefault="001D3BB2" w:rsidP="00D46309">
            <w:pPr>
              <w:pStyle w:val="BodyText1"/>
              <w:spacing w:before="60"/>
            </w:pPr>
            <w:r>
              <w:t>M&amp;E</w:t>
            </w:r>
          </w:p>
        </w:tc>
        <w:tc>
          <w:tcPr>
            <w:tcW w:w="7513" w:type="dxa"/>
          </w:tcPr>
          <w:p w:rsidR="001D3BB2" w:rsidRDefault="001D3BB2" w:rsidP="00D46309">
            <w:pPr>
              <w:pStyle w:val="BodyText1"/>
              <w:spacing w:before="60"/>
            </w:pPr>
            <w:r>
              <w:t xml:space="preserve">Monitoring </w:t>
            </w:r>
            <w:smartTag w:uri="urn:schemas-microsoft-com:office:smarttags" w:element="PersonName">
              <w:r>
                <w:t>and</w:t>
              </w:r>
            </w:smartTag>
            <w:r>
              <w:t xml:space="preserve"> evaluation</w:t>
            </w:r>
          </w:p>
        </w:tc>
      </w:tr>
      <w:tr w:rsidR="000542D9" w:rsidRPr="00D0607A">
        <w:tc>
          <w:tcPr>
            <w:tcW w:w="1242" w:type="dxa"/>
          </w:tcPr>
          <w:p w:rsidR="000542D9" w:rsidRPr="00AE32A3" w:rsidRDefault="000542D9" w:rsidP="00D46309">
            <w:pPr>
              <w:pStyle w:val="BodyText1"/>
              <w:spacing w:before="60"/>
            </w:pPr>
            <w:r>
              <w:t>MJCA</w:t>
            </w:r>
          </w:p>
        </w:tc>
        <w:tc>
          <w:tcPr>
            <w:tcW w:w="7513" w:type="dxa"/>
          </w:tcPr>
          <w:p w:rsidR="000542D9" w:rsidRPr="00AE32A3" w:rsidRDefault="000542D9" w:rsidP="00D46309">
            <w:pPr>
              <w:pStyle w:val="BodyText1"/>
              <w:spacing w:before="60"/>
            </w:pPr>
            <w:r>
              <w:t>Ministry of Justice &amp; Courts Administration</w:t>
            </w:r>
          </w:p>
        </w:tc>
      </w:tr>
      <w:tr w:rsidR="000A44FB" w:rsidRPr="00D0607A">
        <w:tc>
          <w:tcPr>
            <w:tcW w:w="1242" w:type="dxa"/>
          </w:tcPr>
          <w:p w:rsidR="000A44FB" w:rsidRPr="00AE32A3" w:rsidRDefault="000A44FB" w:rsidP="00D46309">
            <w:pPr>
              <w:pStyle w:val="BodyText1"/>
              <w:spacing w:before="60"/>
            </w:pPr>
            <w:r>
              <w:t>NHRI</w:t>
            </w:r>
          </w:p>
        </w:tc>
        <w:tc>
          <w:tcPr>
            <w:tcW w:w="7513" w:type="dxa"/>
          </w:tcPr>
          <w:p w:rsidR="000A44FB" w:rsidRPr="00AE32A3" w:rsidRDefault="000A44FB" w:rsidP="00D46309">
            <w:pPr>
              <w:pStyle w:val="BodyText1"/>
              <w:spacing w:before="60"/>
            </w:pPr>
            <w:r w:rsidRPr="000A44FB">
              <w:t>N</w:t>
            </w:r>
            <w:r>
              <w:t>ational Human Rights Institute</w:t>
            </w:r>
          </w:p>
        </w:tc>
      </w:tr>
      <w:tr w:rsidR="00544914" w:rsidRPr="00D0607A">
        <w:tc>
          <w:tcPr>
            <w:tcW w:w="1242" w:type="dxa"/>
          </w:tcPr>
          <w:p w:rsidR="00544914" w:rsidRPr="00AE32A3" w:rsidRDefault="00544914" w:rsidP="00D46309">
            <w:pPr>
              <w:pStyle w:val="BodyText1"/>
              <w:spacing w:before="60"/>
            </w:pPr>
            <w:r w:rsidRPr="00AE32A3">
              <w:t>PACTAM</w:t>
            </w:r>
          </w:p>
        </w:tc>
        <w:tc>
          <w:tcPr>
            <w:tcW w:w="7513" w:type="dxa"/>
          </w:tcPr>
          <w:p w:rsidR="00544914" w:rsidRPr="00AE32A3" w:rsidRDefault="00544914" w:rsidP="00D46309">
            <w:pPr>
              <w:pStyle w:val="BodyText1"/>
              <w:spacing w:before="60"/>
            </w:pPr>
            <w:r w:rsidRPr="00AE32A3">
              <w:t>Pacific Technical Assistance Mechanism</w:t>
            </w:r>
          </w:p>
        </w:tc>
      </w:tr>
      <w:tr w:rsidR="001D3BB2" w:rsidRPr="00D0607A">
        <w:tc>
          <w:tcPr>
            <w:tcW w:w="1242" w:type="dxa"/>
          </w:tcPr>
          <w:p w:rsidR="001D3BB2" w:rsidRDefault="001D3BB2" w:rsidP="00D46309">
            <w:pPr>
              <w:pStyle w:val="BodyText1"/>
              <w:spacing w:before="60"/>
            </w:pPr>
            <w:r>
              <w:t>SA</w:t>
            </w:r>
          </w:p>
        </w:tc>
        <w:tc>
          <w:tcPr>
            <w:tcW w:w="7513" w:type="dxa"/>
          </w:tcPr>
          <w:p w:rsidR="001D3BB2" w:rsidRPr="000542D9" w:rsidRDefault="001D3BB2" w:rsidP="00D46309">
            <w:pPr>
              <w:pStyle w:val="BodyText1"/>
              <w:spacing w:before="60"/>
            </w:pPr>
            <w:r>
              <w:t>Sector Agency</w:t>
            </w:r>
          </w:p>
        </w:tc>
      </w:tr>
      <w:tr w:rsidR="000542D9" w:rsidRPr="00D0607A">
        <w:tc>
          <w:tcPr>
            <w:tcW w:w="1242" w:type="dxa"/>
          </w:tcPr>
          <w:p w:rsidR="000542D9" w:rsidRPr="00AE32A3" w:rsidRDefault="000542D9" w:rsidP="00D46309">
            <w:pPr>
              <w:pStyle w:val="BodyText1"/>
              <w:spacing w:before="60"/>
            </w:pPr>
            <w:r>
              <w:t>SALJP</w:t>
            </w:r>
          </w:p>
        </w:tc>
        <w:tc>
          <w:tcPr>
            <w:tcW w:w="7513" w:type="dxa"/>
          </w:tcPr>
          <w:p w:rsidR="000542D9" w:rsidRPr="000542D9" w:rsidRDefault="000542D9" w:rsidP="00D46309">
            <w:pPr>
              <w:pStyle w:val="BodyText1"/>
              <w:spacing w:before="60"/>
            </w:pPr>
            <w:r w:rsidRPr="000542D9">
              <w:t xml:space="preserve">Samoa-Australia </w:t>
            </w:r>
            <w:r>
              <w:t>Law &amp; Justice</w:t>
            </w:r>
            <w:r w:rsidRPr="000542D9">
              <w:t xml:space="preserve"> Partnership</w:t>
            </w:r>
          </w:p>
        </w:tc>
      </w:tr>
      <w:tr w:rsidR="00544914" w:rsidRPr="00D0607A">
        <w:tc>
          <w:tcPr>
            <w:tcW w:w="1242" w:type="dxa"/>
          </w:tcPr>
          <w:p w:rsidR="00544914" w:rsidRPr="00AE32A3" w:rsidRDefault="00544914" w:rsidP="00D46309">
            <w:pPr>
              <w:pStyle w:val="BodyText1"/>
              <w:spacing w:before="60"/>
            </w:pPr>
            <w:r w:rsidRPr="00AE32A3">
              <w:t>SDS</w:t>
            </w:r>
          </w:p>
        </w:tc>
        <w:tc>
          <w:tcPr>
            <w:tcW w:w="7513" w:type="dxa"/>
          </w:tcPr>
          <w:p w:rsidR="00544914" w:rsidRPr="00AE32A3" w:rsidRDefault="00544914" w:rsidP="00D46309">
            <w:pPr>
              <w:pStyle w:val="BodyText1"/>
              <w:spacing w:before="60"/>
            </w:pPr>
            <w:r w:rsidRPr="00AE32A3">
              <w:t xml:space="preserve">Strategy for the Development of </w:t>
            </w:r>
            <w:smartTag w:uri="urn:schemas-microsoft-com:office:smarttags" w:element="place">
              <w:r w:rsidRPr="00AE32A3">
                <w:t>Samoa</w:t>
              </w:r>
            </w:smartTag>
          </w:p>
        </w:tc>
      </w:tr>
      <w:tr w:rsidR="000542D9" w:rsidRPr="00D0607A">
        <w:tc>
          <w:tcPr>
            <w:tcW w:w="1242" w:type="dxa"/>
          </w:tcPr>
          <w:p w:rsidR="000542D9" w:rsidRPr="00AE32A3" w:rsidRDefault="000542D9" w:rsidP="00D46309">
            <w:pPr>
              <w:pStyle w:val="BodyText1"/>
              <w:spacing w:before="60"/>
            </w:pPr>
            <w:r>
              <w:t>SLJS</w:t>
            </w:r>
          </w:p>
        </w:tc>
        <w:tc>
          <w:tcPr>
            <w:tcW w:w="7513" w:type="dxa"/>
          </w:tcPr>
          <w:p w:rsidR="000542D9" w:rsidRPr="00AE32A3" w:rsidRDefault="000542D9" w:rsidP="00D46309">
            <w:pPr>
              <w:pStyle w:val="BodyText1"/>
              <w:spacing w:before="60"/>
            </w:pPr>
            <w:r>
              <w:t xml:space="preserve">Samoa </w:t>
            </w:r>
            <w:r w:rsidRPr="00AE32A3">
              <w:t xml:space="preserve">Law </w:t>
            </w:r>
            <w:smartTag w:uri="urn:schemas-microsoft-com:office:smarttags" w:element="PersonName">
              <w:r w:rsidRPr="00AE32A3">
                <w:t>and</w:t>
              </w:r>
            </w:smartTag>
            <w:r w:rsidRPr="00AE32A3">
              <w:t xml:space="preserve"> Justice Steering Committee Secretariat</w:t>
            </w:r>
          </w:p>
        </w:tc>
      </w:tr>
      <w:tr w:rsidR="00544914" w:rsidRPr="00D0607A">
        <w:tc>
          <w:tcPr>
            <w:tcW w:w="1242" w:type="dxa"/>
          </w:tcPr>
          <w:p w:rsidR="00544914" w:rsidRPr="00AE32A3" w:rsidRDefault="00544914" w:rsidP="00D46309">
            <w:pPr>
              <w:pStyle w:val="BodyText1"/>
              <w:spacing w:before="60"/>
            </w:pPr>
            <w:r w:rsidRPr="00AE32A3">
              <w:t xml:space="preserve">The </w:t>
            </w:r>
            <w:r w:rsidR="00361808" w:rsidRPr="00AE32A3">
              <w:t>Secretariat</w:t>
            </w:r>
          </w:p>
        </w:tc>
        <w:tc>
          <w:tcPr>
            <w:tcW w:w="7513" w:type="dxa"/>
          </w:tcPr>
          <w:p w:rsidR="00544914" w:rsidRPr="00AE32A3" w:rsidRDefault="000542D9" w:rsidP="00D46309">
            <w:pPr>
              <w:pStyle w:val="BodyText1"/>
              <w:spacing w:before="60"/>
            </w:pPr>
            <w:r>
              <w:t xml:space="preserve">Samoa </w:t>
            </w:r>
            <w:r w:rsidR="00544914" w:rsidRPr="00AE32A3">
              <w:t xml:space="preserve">Law </w:t>
            </w:r>
            <w:smartTag w:uri="urn:schemas-microsoft-com:office:smarttags" w:element="PersonName">
              <w:r w:rsidR="00544914" w:rsidRPr="00AE32A3">
                <w:t>and</w:t>
              </w:r>
            </w:smartTag>
            <w:r w:rsidR="00544914" w:rsidRPr="00AE32A3">
              <w:t xml:space="preserve"> Justice Steering Committee Secretariat</w:t>
            </w:r>
          </w:p>
        </w:tc>
      </w:tr>
      <w:tr w:rsidR="00544914" w:rsidRPr="00D0607A">
        <w:tc>
          <w:tcPr>
            <w:tcW w:w="1242" w:type="dxa"/>
          </w:tcPr>
          <w:p w:rsidR="00544914" w:rsidRPr="00AE32A3" w:rsidRDefault="00544914" w:rsidP="00D46309">
            <w:pPr>
              <w:pStyle w:val="BodyText1"/>
              <w:spacing w:before="60"/>
            </w:pPr>
            <w:r w:rsidRPr="00AE32A3">
              <w:t>The Steering Committee</w:t>
            </w:r>
          </w:p>
        </w:tc>
        <w:tc>
          <w:tcPr>
            <w:tcW w:w="7513" w:type="dxa"/>
          </w:tcPr>
          <w:p w:rsidR="00544914" w:rsidRPr="00AE32A3" w:rsidRDefault="00544914" w:rsidP="00D46309">
            <w:pPr>
              <w:pStyle w:val="BodyText1"/>
              <w:spacing w:before="60"/>
            </w:pPr>
            <w:r w:rsidRPr="00AE32A3">
              <w:t xml:space="preserve">Law </w:t>
            </w:r>
            <w:smartTag w:uri="urn:schemas-microsoft-com:office:smarttags" w:element="PersonName">
              <w:r w:rsidRPr="00AE32A3">
                <w:t>and</w:t>
              </w:r>
            </w:smartTag>
            <w:r w:rsidRPr="00AE32A3">
              <w:t xml:space="preserve"> Justice Sector Steering Committee</w:t>
            </w:r>
          </w:p>
        </w:tc>
      </w:tr>
      <w:tr w:rsidR="00544914" w:rsidRPr="00D0607A">
        <w:tc>
          <w:tcPr>
            <w:tcW w:w="1242" w:type="dxa"/>
            <w:tcBorders>
              <w:bottom w:val="single" w:sz="4" w:space="0" w:color="007FAD"/>
            </w:tcBorders>
          </w:tcPr>
          <w:p w:rsidR="00544914" w:rsidRPr="00AE32A3" w:rsidRDefault="00544914" w:rsidP="00D46309">
            <w:pPr>
              <w:pStyle w:val="BodyText1"/>
              <w:spacing w:before="60"/>
            </w:pPr>
            <w:proofErr w:type="spellStart"/>
            <w:r w:rsidRPr="00AE32A3">
              <w:t>ToC</w:t>
            </w:r>
            <w:proofErr w:type="spellEnd"/>
          </w:p>
        </w:tc>
        <w:tc>
          <w:tcPr>
            <w:tcW w:w="7513" w:type="dxa"/>
            <w:tcBorders>
              <w:bottom w:val="single" w:sz="4" w:space="0" w:color="007FAD"/>
            </w:tcBorders>
          </w:tcPr>
          <w:p w:rsidR="00544914" w:rsidRPr="00AE32A3" w:rsidRDefault="00544914" w:rsidP="00D46309">
            <w:pPr>
              <w:pStyle w:val="BodyText1"/>
              <w:spacing w:before="60"/>
            </w:pPr>
            <w:r w:rsidRPr="00AE32A3">
              <w:t>Theory of change</w:t>
            </w:r>
          </w:p>
        </w:tc>
      </w:tr>
    </w:tbl>
    <w:p w:rsidR="00544914" w:rsidRDefault="004B4F69" w:rsidP="004902E0">
      <w:pPr>
        <w:pStyle w:val="Heading2a"/>
      </w:pPr>
      <w:r>
        <w:lastRenderedPageBreak/>
        <w:t>Glossary</w:t>
      </w:r>
    </w:p>
    <w:tbl>
      <w:tblPr>
        <w:tblW w:w="0" w:type="auto"/>
        <w:tblBorders>
          <w:top w:val="single" w:sz="4" w:space="0" w:color="007FAD"/>
          <w:bottom w:val="single" w:sz="4" w:space="0" w:color="007FAD"/>
        </w:tblBorders>
        <w:tblCellMar>
          <w:top w:w="85" w:type="dxa"/>
          <w:bottom w:w="85" w:type="dxa"/>
        </w:tblCellMar>
        <w:tblLook w:val="01E0" w:firstRow="1" w:lastRow="1" w:firstColumn="1" w:lastColumn="1" w:noHBand="0" w:noVBand="0"/>
      </w:tblPr>
      <w:tblGrid>
        <w:gridCol w:w="1519"/>
        <w:gridCol w:w="7513"/>
      </w:tblGrid>
      <w:tr w:rsidR="00AA0AFC" w:rsidRPr="00AA0AFC" w:rsidTr="005D159D">
        <w:tc>
          <w:tcPr>
            <w:tcW w:w="1519" w:type="dxa"/>
            <w:shd w:val="clear" w:color="auto" w:fill="FFFFFF" w:themeFill="background1"/>
          </w:tcPr>
          <w:p w:rsidR="00AA0AFC" w:rsidRPr="00D67DA3" w:rsidRDefault="00AA0AFC" w:rsidP="00334889">
            <w:pPr>
              <w:pStyle w:val="BodyText1"/>
              <w:spacing w:before="120"/>
            </w:pPr>
            <w:r w:rsidRPr="00AA0AFC">
              <w:t>The Agreement</w:t>
            </w:r>
          </w:p>
        </w:tc>
        <w:tc>
          <w:tcPr>
            <w:tcW w:w="7513" w:type="dxa"/>
            <w:shd w:val="clear" w:color="auto" w:fill="FFFFFF" w:themeFill="background1"/>
          </w:tcPr>
          <w:p w:rsidR="00AA0AFC" w:rsidRDefault="00B3702C" w:rsidP="00B3702C">
            <w:pPr>
              <w:pStyle w:val="BodyText1"/>
              <w:spacing w:before="120"/>
            </w:pPr>
            <w:r>
              <w:t>Government</w:t>
            </w:r>
            <w:r w:rsidRPr="00D67DA3">
              <w:t xml:space="preserve"> </w:t>
            </w:r>
            <w:r>
              <w:t xml:space="preserve">of Australia </w:t>
            </w:r>
            <w:r w:rsidR="00AA0AFC" w:rsidRPr="00D67DA3">
              <w:t>and Go</w:t>
            </w:r>
            <w:r>
              <w:t xml:space="preserve">vernment of </w:t>
            </w:r>
            <w:r w:rsidR="00AA0AFC" w:rsidRPr="00D67DA3">
              <w:t>S</w:t>
            </w:r>
            <w:r>
              <w:t>amoa</w:t>
            </w:r>
            <w:r w:rsidR="00AA0AFC" w:rsidRPr="00D67DA3">
              <w:t xml:space="preserve">, 2012. Direct Funding Agreement between the Government of Australia as represented by AusAID </w:t>
            </w:r>
            <w:r>
              <w:t xml:space="preserve">(then DFAT) </w:t>
            </w:r>
            <w:r w:rsidR="00AA0AFC" w:rsidRPr="00D67DA3">
              <w:t>and the Go</w:t>
            </w:r>
            <w:r>
              <w:t xml:space="preserve">vernment of </w:t>
            </w:r>
            <w:r w:rsidR="00AA0AFC" w:rsidRPr="00D67DA3">
              <w:t>S</w:t>
            </w:r>
            <w:r>
              <w:t>amoa</w:t>
            </w:r>
            <w:r w:rsidR="00AA0AFC" w:rsidRPr="00D67DA3">
              <w:t xml:space="preserve"> as represented by </w:t>
            </w:r>
            <w:proofErr w:type="spellStart"/>
            <w:r w:rsidR="00AA0AFC" w:rsidRPr="00D67DA3">
              <w:t>MoF</w:t>
            </w:r>
            <w:proofErr w:type="spellEnd"/>
            <w:r w:rsidR="00AA0AFC" w:rsidRPr="00D67DA3">
              <w:t xml:space="preserve"> in relation to the SLJS Program. AusAID Agreement Number 60673. Dated 15 March 2012.</w:t>
            </w:r>
          </w:p>
        </w:tc>
      </w:tr>
      <w:tr w:rsidR="004B4F69" w:rsidRPr="00D0607A" w:rsidTr="00D67DA3">
        <w:tc>
          <w:tcPr>
            <w:tcW w:w="1519" w:type="dxa"/>
          </w:tcPr>
          <w:p w:rsidR="004B4F69" w:rsidRPr="00AE32A3" w:rsidRDefault="004B4F69" w:rsidP="00D46309">
            <w:pPr>
              <w:pStyle w:val="BodyText1"/>
              <w:spacing w:before="120"/>
            </w:pPr>
            <w:r>
              <w:t>Sustainability</w:t>
            </w:r>
          </w:p>
        </w:tc>
        <w:tc>
          <w:tcPr>
            <w:tcW w:w="7513" w:type="dxa"/>
          </w:tcPr>
          <w:p w:rsidR="004B4F69" w:rsidRPr="004B4F69" w:rsidRDefault="004B4F69" w:rsidP="00D46309">
            <w:pPr>
              <w:pStyle w:val="BodyText1"/>
              <w:spacing w:before="120"/>
            </w:pPr>
            <w:r>
              <w:t xml:space="preserve">The </w:t>
            </w:r>
            <w:r w:rsidRPr="004B4F69">
              <w:t>continuation of benefits after major assistance from a donor has been completed.</w:t>
            </w:r>
            <w:r>
              <w:t xml:space="preserve"> (AusAID, 2000, p. 1).</w:t>
            </w:r>
          </w:p>
        </w:tc>
      </w:tr>
    </w:tbl>
    <w:p w:rsidR="00614313" w:rsidRDefault="00614313" w:rsidP="004902E0"/>
    <w:p w:rsidR="00BA3070" w:rsidRDefault="00BA3070" w:rsidP="004902E0"/>
    <w:p w:rsidR="00BA3070" w:rsidRDefault="00BA3070" w:rsidP="00BA3070">
      <w:pPr>
        <w:pStyle w:val="Heading2a"/>
      </w:pPr>
      <w:r>
        <w:t>Endnotes</w:t>
      </w:r>
    </w:p>
    <w:sectPr w:rsidR="00BA3070" w:rsidSect="00334889">
      <w:pgSz w:w="11906" w:h="16838" w:code="9"/>
      <w:pgMar w:top="1440" w:right="1133" w:bottom="993" w:left="1440" w:header="578" w:footer="578"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0B2" w:rsidRDefault="00F130B2" w:rsidP="004902E0">
      <w:r>
        <w:separator/>
      </w:r>
    </w:p>
  </w:endnote>
  <w:endnote w:type="continuationSeparator" w:id="0">
    <w:p w:rsidR="00F130B2" w:rsidRDefault="00F130B2" w:rsidP="004902E0">
      <w:r>
        <w:continuationSeparator/>
      </w:r>
    </w:p>
  </w:endnote>
  <w:endnote w:type="continuationNotice" w:id="1">
    <w:p w:rsidR="00F130B2" w:rsidRDefault="00F130B2" w:rsidP="004902E0"/>
  </w:endnote>
  <w:endnote w:id="2">
    <w:p w:rsidR="00F130B2" w:rsidRDefault="00F130B2" w:rsidP="004902E0">
      <w:pPr>
        <w:pStyle w:val="EndnoteText"/>
      </w:pPr>
      <w:r>
        <w:rPr>
          <w:rStyle w:val="EndnoteReference"/>
        </w:rPr>
        <w:endnoteRef/>
      </w:r>
      <w:r>
        <w:t xml:space="preserve"> Australian aid to the sector was administered by AusAID until AusAID and DFAT were merged in October 2013. For ease of reading and to avoid confusion the terms </w:t>
      </w:r>
      <w:proofErr w:type="spellStart"/>
      <w:r>
        <w:t>GoA</w:t>
      </w:r>
      <w:proofErr w:type="spellEnd"/>
      <w:r>
        <w:t xml:space="preserve">, Australian Government or </w:t>
      </w:r>
      <w:r w:rsidR="00B3702C">
        <w:t xml:space="preserve">Government of </w:t>
      </w:r>
      <w:r>
        <w:t xml:space="preserve">Australia are used throughout this report. Where these terms refer an Australian Government agency, the reader should interpret the terms to mean AusAID prior to October 2013 and DFAT thereafter. </w:t>
      </w:r>
    </w:p>
  </w:endnote>
  <w:endnote w:id="3">
    <w:p w:rsidR="00F130B2" w:rsidRPr="00183CE4" w:rsidRDefault="00F130B2" w:rsidP="004902E0">
      <w:pPr>
        <w:pStyle w:val="EndnoteText"/>
      </w:pPr>
      <w:r>
        <w:rPr>
          <w:rStyle w:val="EndnoteReference"/>
        </w:rPr>
        <w:endnoteRef/>
      </w:r>
      <w:r>
        <w:t xml:space="preserve"> The </w:t>
      </w:r>
      <w:r w:rsidR="00B3702C" w:rsidRPr="00183CE4">
        <w:t>Mid-term</w:t>
      </w:r>
      <w:r w:rsidRPr="00183CE4">
        <w:t xml:space="preserve"> review </w:t>
      </w:r>
      <w:r>
        <w:t>states that the Plan was</w:t>
      </w:r>
      <w:r w:rsidRPr="00183CE4">
        <w:t xml:space="preserve"> approved by cabinet Nov 2008</w:t>
      </w:r>
      <w:r>
        <w:t xml:space="preserve">. </w:t>
      </w:r>
    </w:p>
  </w:endnote>
  <w:endnote w:id="4">
    <w:p w:rsidR="00F130B2" w:rsidRDefault="00F130B2" w:rsidP="004902E0">
      <w:pPr>
        <w:pStyle w:val="EndnoteText"/>
      </w:pPr>
      <w:r>
        <w:rPr>
          <w:rStyle w:val="EndnoteReference"/>
        </w:rPr>
        <w:endnoteRef/>
      </w:r>
      <w:r>
        <w:t xml:space="preserve"> Ref 24</w:t>
      </w:r>
    </w:p>
  </w:endnote>
  <w:endnote w:id="5">
    <w:p w:rsidR="00F130B2" w:rsidRDefault="00F130B2" w:rsidP="004902E0">
      <w:pPr>
        <w:pStyle w:val="EndnoteText"/>
      </w:pPr>
      <w:r>
        <w:rPr>
          <w:rStyle w:val="EndnoteReference"/>
        </w:rPr>
        <w:endnoteRef/>
      </w:r>
      <w:r>
        <w:t xml:space="preserve"> Ref 19a </w:t>
      </w:r>
    </w:p>
  </w:endnote>
  <w:endnote w:id="6">
    <w:p w:rsidR="00F130B2" w:rsidRDefault="00F130B2" w:rsidP="004902E0">
      <w:pPr>
        <w:pStyle w:val="EndnoteText"/>
      </w:pPr>
      <w:r>
        <w:rPr>
          <w:rStyle w:val="EndnoteReference"/>
        </w:rPr>
        <w:endnoteRef/>
      </w:r>
      <w:r>
        <w:t xml:space="preserve"> Ref 20 </w:t>
      </w:r>
    </w:p>
  </w:endnote>
  <w:endnote w:id="7">
    <w:p w:rsidR="00F130B2" w:rsidRDefault="00F130B2" w:rsidP="004902E0">
      <w:pPr>
        <w:pStyle w:val="EndnoteText"/>
      </w:pPr>
      <w:r>
        <w:rPr>
          <w:rStyle w:val="EndnoteReference"/>
        </w:rPr>
        <w:endnoteRef/>
      </w:r>
      <w:r>
        <w:t xml:space="preserve"> Ref 46</w:t>
      </w:r>
    </w:p>
  </w:endnote>
  <w:endnote w:id="8">
    <w:p w:rsidR="00F130B2" w:rsidRDefault="00F130B2" w:rsidP="00F81BBD">
      <w:pPr>
        <w:pStyle w:val="EndnoteText"/>
      </w:pPr>
      <w:r>
        <w:rPr>
          <w:rStyle w:val="EndnoteReference"/>
        </w:rPr>
        <w:endnoteRef/>
      </w:r>
      <w:r>
        <w:t xml:space="preserve"> Ref 22a, 30, Six Month Progress Report  Jan – June 2013</w:t>
      </w:r>
    </w:p>
  </w:endnote>
  <w:endnote w:id="9">
    <w:p w:rsidR="00F130B2" w:rsidRDefault="00F130B2" w:rsidP="00744E1E">
      <w:pPr>
        <w:pStyle w:val="EndnoteText"/>
      </w:pPr>
      <w:r>
        <w:rPr>
          <w:rStyle w:val="EndnoteReference"/>
        </w:rPr>
        <w:endnoteRef/>
      </w:r>
      <w:r>
        <w:t xml:space="preserve"> Ref 7a</w:t>
      </w:r>
    </w:p>
  </w:endnote>
  <w:endnote w:id="10">
    <w:p w:rsidR="00F130B2" w:rsidRDefault="00F130B2" w:rsidP="00744E1E">
      <w:pPr>
        <w:pStyle w:val="EndnoteText"/>
      </w:pPr>
      <w:r>
        <w:rPr>
          <w:rStyle w:val="EndnoteReference"/>
        </w:rPr>
        <w:endnoteRef/>
      </w:r>
      <w:r>
        <w:t xml:space="preserve"> Ref 4a, 12a, 15, 21</w:t>
      </w:r>
    </w:p>
  </w:endnote>
  <w:endnote w:id="11">
    <w:p w:rsidR="00F130B2" w:rsidRDefault="00F130B2" w:rsidP="00334889">
      <w:pPr>
        <w:pStyle w:val="EndnoteText"/>
      </w:pPr>
      <w:r>
        <w:rPr>
          <w:rStyle w:val="EndnoteReference"/>
        </w:rPr>
        <w:endnoteRef/>
      </w:r>
      <w:r>
        <w:t xml:space="preserve"> Ref 4a, 9</w:t>
      </w:r>
    </w:p>
  </w:endnote>
  <w:endnote w:id="12">
    <w:p w:rsidR="00F130B2" w:rsidRDefault="00F130B2" w:rsidP="00334889">
      <w:pPr>
        <w:pStyle w:val="EndnoteText"/>
      </w:pPr>
      <w:r>
        <w:rPr>
          <w:rStyle w:val="EndnoteReference"/>
        </w:rPr>
        <w:endnoteRef/>
      </w:r>
      <w:r>
        <w:t xml:space="preserve"> Ref 17</w:t>
      </w:r>
    </w:p>
  </w:endnote>
  <w:endnote w:id="13">
    <w:p w:rsidR="00F130B2" w:rsidRDefault="00F130B2" w:rsidP="00334889">
      <w:pPr>
        <w:pStyle w:val="EndnoteText"/>
      </w:pPr>
      <w:r>
        <w:rPr>
          <w:rStyle w:val="EndnoteReference"/>
        </w:rPr>
        <w:endnoteRef/>
      </w:r>
      <w:r>
        <w:t xml:space="preserve"> Ref 23a</w:t>
      </w:r>
    </w:p>
  </w:endnote>
  <w:endnote w:id="14">
    <w:p w:rsidR="00F130B2" w:rsidRDefault="00F130B2" w:rsidP="009971CE">
      <w:pPr>
        <w:pStyle w:val="EndnoteText"/>
      </w:pPr>
      <w:r>
        <w:rPr>
          <w:rStyle w:val="EndnoteReference"/>
        </w:rPr>
        <w:endnoteRef/>
      </w:r>
      <w:r>
        <w:t xml:space="preserve"> Ref 23a, 24, 35a</w:t>
      </w:r>
    </w:p>
  </w:endnote>
  <w:endnote w:id="15">
    <w:p w:rsidR="00F130B2" w:rsidRDefault="00F130B2" w:rsidP="009971CE">
      <w:pPr>
        <w:pStyle w:val="EndnoteText"/>
      </w:pPr>
      <w:r>
        <w:rPr>
          <w:rStyle w:val="EndnoteReference"/>
        </w:rPr>
        <w:endnoteRef/>
      </w:r>
      <w:r>
        <w:t xml:space="preserve"> Ref 12a, 17, 19, 21a, 23a, 24, 37a</w:t>
      </w:r>
    </w:p>
  </w:endnote>
  <w:endnote w:id="16">
    <w:p w:rsidR="00F130B2" w:rsidRDefault="00F130B2" w:rsidP="009971CE">
      <w:pPr>
        <w:pStyle w:val="EndnoteText"/>
      </w:pPr>
      <w:r>
        <w:rPr>
          <w:rStyle w:val="EndnoteReference"/>
        </w:rPr>
        <w:endnoteRef/>
      </w:r>
      <w:r>
        <w:t xml:space="preserve"> Ref 12a</w:t>
      </w:r>
    </w:p>
  </w:endnote>
  <w:endnote w:id="17">
    <w:p w:rsidR="00F130B2" w:rsidRDefault="00F130B2" w:rsidP="009971CE">
      <w:pPr>
        <w:pStyle w:val="EndnoteText"/>
      </w:pPr>
      <w:r>
        <w:rPr>
          <w:rStyle w:val="EndnoteReference"/>
        </w:rPr>
        <w:endnoteRef/>
      </w:r>
      <w:r>
        <w:t xml:space="preserve"> Ref 23a</w:t>
      </w:r>
    </w:p>
  </w:endnote>
  <w:endnote w:id="18">
    <w:p w:rsidR="00F130B2" w:rsidRDefault="00F130B2">
      <w:pPr>
        <w:pStyle w:val="EndnoteText"/>
      </w:pPr>
      <w:r>
        <w:rPr>
          <w:rStyle w:val="EndnoteReference"/>
        </w:rPr>
        <w:endnoteRef/>
      </w:r>
      <w:r>
        <w:t xml:space="preserve"> Ref 18</w:t>
      </w:r>
    </w:p>
  </w:endnote>
  <w:endnote w:id="19">
    <w:p w:rsidR="00F130B2" w:rsidRDefault="00F130B2" w:rsidP="002B68DB">
      <w:pPr>
        <w:pStyle w:val="EndnoteText"/>
      </w:pPr>
      <w:r>
        <w:rPr>
          <w:rStyle w:val="EndnoteReference"/>
        </w:rPr>
        <w:endnoteRef/>
      </w:r>
      <w:r>
        <w:t xml:space="preserve"> Ref 28</w:t>
      </w:r>
    </w:p>
  </w:endnote>
  <w:endnote w:id="20">
    <w:p w:rsidR="00F130B2" w:rsidRDefault="00F130B2">
      <w:pPr>
        <w:pStyle w:val="EndnoteText"/>
      </w:pPr>
      <w:r>
        <w:rPr>
          <w:rStyle w:val="EndnoteReference"/>
        </w:rPr>
        <w:endnoteRef/>
      </w:r>
      <w:r>
        <w:t xml:space="preserve"> The budget for projects in the Strategic Plans was 9.1 million SAT and AUD 5.8 million was received to support project implementation. A further 2.5 million SAT was received for support to the Secretariat. </w:t>
      </w:r>
    </w:p>
  </w:endnote>
  <w:endnote w:id="21">
    <w:p w:rsidR="00F130B2" w:rsidRDefault="00F130B2" w:rsidP="002B68DB">
      <w:pPr>
        <w:pStyle w:val="EndnoteText"/>
      </w:pPr>
      <w:r>
        <w:rPr>
          <w:rStyle w:val="EndnoteReference"/>
        </w:rPr>
        <w:endnoteRef/>
      </w:r>
      <w:r>
        <w:t xml:space="preserve"> While project funding occurred from 1 Jan 2012, funds were only made available in May. </w:t>
      </w:r>
    </w:p>
  </w:endnote>
  <w:endnote w:id="22">
    <w:p w:rsidR="00F130B2" w:rsidRDefault="00F130B2" w:rsidP="00CE0756">
      <w:pPr>
        <w:pStyle w:val="EndnoteText"/>
      </w:pPr>
      <w:r>
        <w:rPr>
          <w:rStyle w:val="EndnoteReference"/>
        </w:rPr>
        <w:endnoteRef/>
      </w:r>
      <w:r>
        <w:t xml:space="preserve"> T</w:t>
      </w:r>
      <w:r w:rsidRPr="00CE0756">
        <w:t>he</w:t>
      </w:r>
      <w:r>
        <w:t>se</w:t>
      </w:r>
      <w:r w:rsidRPr="00CE0756">
        <w:t xml:space="preserve"> categories </w:t>
      </w:r>
      <w:r>
        <w:t xml:space="preserve">are </w:t>
      </w:r>
      <w:r w:rsidRPr="00CE0756">
        <w:t>largely aligned to various conventions</w:t>
      </w:r>
      <w:r>
        <w:t xml:space="preserve"> and the way in which marginalised were categorised by those interviewed. </w:t>
      </w:r>
      <w:r w:rsidRPr="00CE0756">
        <w:t xml:space="preserve"> </w:t>
      </w:r>
      <w:r>
        <w:t xml:space="preserve">However, </w:t>
      </w:r>
      <w:r w:rsidRPr="00CE0756">
        <w:t>marginalisation seems to be primarily on the basis of: not being part of a community (usually banished), low income or education (</w:t>
      </w:r>
      <w:r>
        <w:t xml:space="preserve">and consequently </w:t>
      </w:r>
      <w:r w:rsidRPr="00CE0756">
        <w:t xml:space="preserve">don’t </w:t>
      </w:r>
      <w:r>
        <w:t xml:space="preserve">have the knowledge or finances to </w:t>
      </w:r>
      <w:r w:rsidRPr="00CE0756">
        <w:t xml:space="preserve">access support), rural location, disability and victim of family violence.  </w:t>
      </w:r>
    </w:p>
  </w:endnote>
  <w:endnote w:id="23">
    <w:p w:rsidR="00F130B2" w:rsidRDefault="00F130B2" w:rsidP="00CE0756">
      <w:pPr>
        <w:pStyle w:val="EndnoteText"/>
      </w:pPr>
      <w:r>
        <w:rPr>
          <w:rStyle w:val="EndnoteReference"/>
        </w:rPr>
        <w:endnoteRef/>
      </w:r>
      <w:r>
        <w:t xml:space="preserve"> One person identified that the broad prison population was marginalised in terms of law and justice (Ref 16a). </w:t>
      </w:r>
    </w:p>
  </w:endnote>
  <w:endnote w:id="24">
    <w:p w:rsidR="00F130B2" w:rsidRDefault="00F130B2" w:rsidP="00043668">
      <w:pPr>
        <w:pStyle w:val="EndnoteText"/>
      </w:pPr>
      <w:r>
        <w:rPr>
          <w:rStyle w:val="EndnoteReference"/>
        </w:rPr>
        <w:endnoteRef/>
      </w:r>
      <w:r>
        <w:t xml:space="preserve"> Ref 8</w:t>
      </w:r>
    </w:p>
  </w:endnote>
  <w:endnote w:id="25">
    <w:p w:rsidR="00F130B2" w:rsidRDefault="00F130B2" w:rsidP="00CE0756">
      <w:pPr>
        <w:pStyle w:val="EndnoteText"/>
      </w:pPr>
      <w:r>
        <w:rPr>
          <w:rStyle w:val="EndnoteReference"/>
        </w:rPr>
        <w:endnoteRef/>
      </w:r>
      <w:r>
        <w:t xml:space="preserve"> Ref 4a, 36a</w:t>
      </w:r>
    </w:p>
  </w:endnote>
  <w:endnote w:id="26">
    <w:p w:rsidR="00F130B2" w:rsidRDefault="00F130B2" w:rsidP="00043668">
      <w:pPr>
        <w:pStyle w:val="EndnoteText"/>
      </w:pPr>
      <w:r>
        <w:rPr>
          <w:rStyle w:val="EndnoteReference"/>
        </w:rPr>
        <w:endnoteRef/>
      </w:r>
      <w:r>
        <w:t xml:space="preserve"> Ref 9</w:t>
      </w:r>
    </w:p>
  </w:endnote>
  <w:endnote w:id="27">
    <w:p w:rsidR="00F130B2" w:rsidRDefault="00F130B2" w:rsidP="00043668">
      <w:pPr>
        <w:pStyle w:val="EndnoteText"/>
      </w:pPr>
      <w:r>
        <w:rPr>
          <w:rStyle w:val="EndnoteReference"/>
        </w:rPr>
        <w:endnoteRef/>
      </w:r>
      <w:r>
        <w:t xml:space="preserve"> Ref 4a, 14</w:t>
      </w:r>
    </w:p>
  </w:endnote>
  <w:endnote w:id="28">
    <w:p w:rsidR="00F130B2" w:rsidRDefault="00F130B2" w:rsidP="00043668">
      <w:pPr>
        <w:pStyle w:val="EndnoteText"/>
      </w:pPr>
      <w:r>
        <w:rPr>
          <w:rStyle w:val="EndnoteReference"/>
        </w:rPr>
        <w:endnoteRef/>
      </w:r>
      <w:r>
        <w:t xml:space="preserve"> Ref 4a</w:t>
      </w:r>
    </w:p>
  </w:endnote>
  <w:endnote w:id="29">
    <w:p w:rsidR="00F130B2" w:rsidRDefault="00F130B2" w:rsidP="00CE0756">
      <w:pPr>
        <w:pStyle w:val="EndnoteText"/>
      </w:pPr>
      <w:r>
        <w:rPr>
          <w:rStyle w:val="EndnoteReference"/>
        </w:rPr>
        <w:endnoteRef/>
      </w:r>
      <w:r>
        <w:t xml:space="preserve"> Re 37</w:t>
      </w:r>
    </w:p>
  </w:endnote>
  <w:endnote w:id="30">
    <w:p w:rsidR="00F130B2" w:rsidRDefault="00F130B2" w:rsidP="00CE0756">
      <w:pPr>
        <w:pStyle w:val="EndnoteText"/>
      </w:pPr>
      <w:r>
        <w:rPr>
          <w:rStyle w:val="EndnoteReference"/>
        </w:rPr>
        <w:endnoteRef/>
      </w:r>
      <w:r>
        <w:t xml:space="preserve"> Ref 4a</w:t>
      </w:r>
    </w:p>
  </w:endnote>
  <w:endnote w:id="31">
    <w:p w:rsidR="00F130B2" w:rsidRDefault="00F130B2" w:rsidP="00806688">
      <w:pPr>
        <w:pStyle w:val="EndnoteText"/>
      </w:pPr>
      <w:r>
        <w:rPr>
          <w:rStyle w:val="EndnoteReference"/>
        </w:rPr>
        <w:endnoteRef/>
      </w:r>
      <w:r>
        <w:t xml:space="preserve"> </w:t>
      </w:r>
      <w:proofErr w:type="gramStart"/>
      <w:r>
        <w:t>Ref 25, data from the Secretariat.</w:t>
      </w:r>
      <w:proofErr w:type="gramEnd"/>
    </w:p>
  </w:endnote>
  <w:endnote w:id="32">
    <w:p w:rsidR="00F130B2" w:rsidRDefault="00F130B2" w:rsidP="00806688">
      <w:pPr>
        <w:pStyle w:val="EndnoteText"/>
      </w:pPr>
      <w:r>
        <w:rPr>
          <w:rStyle w:val="EndnoteReference"/>
        </w:rPr>
        <w:endnoteRef/>
      </w:r>
      <w:r>
        <w:t xml:space="preserve"> Ref 25</w:t>
      </w:r>
    </w:p>
  </w:endnote>
  <w:endnote w:id="33">
    <w:p w:rsidR="00F130B2" w:rsidRDefault="00F130B2" w:rsidP="00806688">
      <w:pPr>
        <w:pStyle w:val="EndnoteText"/>
      </w:pPr>
      <w:r>
        <w:rPr>
          <w:rStyle w:val="EndnoteReference"/>
        </w:rPr>
        <w:endnoteRef/>
      </w:r>
      <w:r>
        <w:t xml:space="preserve"> However, the actual quality of the outcome could be improved in many cases through improved monitoring and responding to strengths and weaknesses identified through the monitoring. </w:t>
      </w:r>
    </w:p>
  </w:endnote>
  <w:endnote w:id="34">
    <w:p w:rsidR="00F130B2" w:rsidRDefault="00F130B2">
      <w:pPr>
        <w:pStyle w:val="EndnoteText"/>
      </w:pPr>
      <w:r>
        <w:rPr>
          <w:rStyle w:val="EndnoteReference"/>
        </w:rPr>
        <w:endnoteRef/>
      </w:r>
      <w:r>
        <w:t xml:space="preserve"> Ref 60, 62</w:t>
      </w:r>
    </w:p>
  </w:endnote>
  <w:endnote w:id="35">
    <w:p w:rsidR="00F130B2" w:rsidRDefault="00F130B2" w:rsidP="00303359">
      <w:pPr>
        <w:pStyle w:val="EndnoteText"/>
      </w:pPr>
      <w:r>
        <w:rPr>
          <w:rStyle w:val="EndnoteReference"/>
        </w:rPr>
        <w:endnoteRef/>
      </w:r>
      <w:r>
        <w:t xml:space="preserve"> Ref 5</w:t>
      </w:r>
    </w:p>
  </w:endnote>
  <w:endnote w:id="36">
    <w:p w:rsidR="00F130B2" w:rsidRDefault="00F130B2" w:rsidP="0093435D">
      <w:pPr>
        <w:pStyle w:val="EndnoteText"/>
      </w:pPr>
      <w:r>
        <w:rPr>
          <w:rStyle w:val="EndnoteReference"/>
        </w:rPr>
        <w:endnoteRef/>
      </w:r>
      <w:r>
        <w:t xml:space="preserve"> Ref 8a</w:t>
      </w:r>
    </w:p>
  </w:endnote>
  <w:endnote w:id="37">
    <w:p w:rsidR="00F130B2" w:rsidRDefault="00F130B2" w:rsidP="003A6C42">
      <w:pPr>
        <w:pStyle w:val="EndnoteText"/>
      </w:pPr>
      <w:r>
        <w:rPr>
          <w:rStyle w:val="EndnoteReference"/>
        </w:rPr>
        <w:endnoteRef/>
      </w:r>
      <w:r>
        <w:t xml:space="preserve"> Ref 40</w:t>
      </w:r>
    </w:p>
  </w:endnote>
  <w:endnote w:id="38">
    <w:p w:rsidR="00F130B2" w:rsidRDefault="00F130B2" w:rsidP="003D6732">
      <w:pPr>
        <w:pStyle w:val="EndnoteText"/>
      </w:pPr>
      <w:r>
        <w:rPr>
          <w:rStyle w:val="EndnoteReference"/>
        </w:rPr>
        <w:endnoteRef/>
      </w:r>
      <w:r>
        <w:t xml:space="preserve"> Ref 40</w:t>
      </w:r>
    </w:p>
  </w:endnote>
  <w:endnote w:id="39">
    <w:p w:rsidR="00F130B2" w:rsidRDefault="00F130B2" w:rsidP="00994756">
      <w:pPr>
        <w:pStyle w:val="EndnoteText"/>
      </w:pPr>
      <w:r>
        <w:rPr>
          <w:rStyle w:val="EndnoteReference"/>
        </w:rPr>
        <w:endnoteRef/>
      </w:r>
      <w:r>
        <w:t xml:space="preserve"> Ref 40</w:t>
      </w:r>
    </w:p>
  </w:endnote>
  <w:endnote w:id="40">
    <w:p w:rsidR="00F130B2" w:rsidRDefault="00F130B2" w:rsidP="002A72C7">
      <w:pPr>
        <w:pStyle w:val="EndnoteText"/>
      </w:pPr>
      <w:r>
        <w:rPr>
          <w:rStyle w:val="EndnoteReference"/>
        </w:rPr>
        <w:endnoteRef/>
      </w:r>
      <w:r>
        <w:t xml:space="preserve"> MJCA and the NZAID funded Samoa MJCA ISP had previously obtained quotes for this work. These quotes ranged from 10 - 15m Tala. The cost of the work funded by the SLJS was 1.4m Tala, significantly less. The quality of the work is at least as good. In addition, MJCA is now planning to use the equipment to also establish electronic copies of other Court records – thus gaining added value from the investment. </w:t>
      </w:r>
    </w:p>
  </w:endnote>
  <w:endnote w:id="41">
    <w:p w:rsidR="00F130B2" w:rsidRDefault="00F130B2">
      <w:pPr>
        <w:pStyle w:val="EndnoteText"/>
      </w:pPr>
      <w:r>
        <w:rPr>
          <w:rStyle w:val="EndnoteReference"/>
        </w:rPr>
        <w:endnoteRef/>
      </w:r>
      <w:r>
        <w:t xml:space="preserve"> </w:t>
      </w:r>
      <w:r w:rsidRPr="00521F23">
        <w:t>Minutes 30 Nov 2012</w:t>
      </w:r>
    </w:p>
  </w:endnote>
  <w:endnote w:id="42">
    <w:p w:rsidR="00F130B2" w:rsidRDefault="00F130B2">
      <w:pPr>
        <w:pStyle w:val="EndnoteText"/>
      </w:pPr>
      <w:r>
        <w:rPr>
          <w:rStyle w:val="EndnoteReference"/>
        </w:rPr>
        <w:endnoteRef/>
      </w:r>
      <w:r>
        <w:t xml:space="preserve"> </w:t>
      </w:r>
      <w:proofErr w:type="gramStart"/>
      <w:r w:rsidRPr="00F40673">
        <w:t>Charles Kendall &amp; Partners, 2013</w:t>
      </w:r>
      <w:r>
        <w:t>; DFAT, 2012.</w:t>
      </w:r>
      <w:proofErr w:type="gramEnd"/>
      <w:r>
        <w:t xml:space="preserve"> </w:t>
      </w:r>
    </w:p>
  </w:endnote>
  <w:endnote w:id="43">
    <w:p w:rsidR="00F130B2" w:rsidRDefault="00F130B2">
      <w:pPr>
        <w:pStyle w:val="EndnoteText"/>
      </w:pPr>
      <w:r>
        <w:rPr>
          <w:rStyle w:val="EndnoteReference"/>
        </w:rPr>
        <w:endnoteRef/>
      </w:r>
      <w:r>
        <w:t xml:space="preserve"> Correspondence between DFAT, </w:t>
      </w:r>
      <w:proofErr w:type="spellStart"/>
      <w:r>
        <w:t>MoF</w:t>
      </w:r>
      <w:proofErr w:type="spellEnd"/>
      <w:r>
        <w:t xml:space="preserve"> and Steering Committee between 20 June and 22 July 2013. </w:t>
      </w:r>
    </w:p>
  </w:endnote>
  <w:endnote w:id="44">
    <w:p w:rsidR="00F130B2" w:rsidRDefault="00F130B2">
      <w:pPr>
        <w:pStyle w:val="EndnoteText"/>
      </w:pPr>
      <w:r>
        <w:rPr>
          <w:rStyle w:val="EndnoteReference"/>
        </w:rPr>
        <w:endnoteRef/>
      </w:r>
      <w:r>
        <w:t xml:space="preserve"> Ref 11b, 12, 14, 57b</w:t>
      </w:r>
    </w:p>
  </w:endnote>
  <w:endnote w:id="45">
    <w:p w:rsidR="00F130B2" w:rsidRDefault="00F130B2">
      <w:pPr>
        <w:pStyle w:val="EndnoteText"/>
      </w:pPr>
      <w:r>
        <w:rPr>
          <w:rStyle w:val="EndnoteReference"/>
        </w:rPr>
        <w:endnoteRef/>
      </w:r>
      <w:r>
        <w:t xml:space="preserve"> Clear Horizon, 2012</w:t>
      </w:r>
    </w:p>
  </w:endnote>
  <w:endnote w:id="46">
    <w:p w:rsidR="00F130B2" w:rsidRDefault="00F130B2" w:rsidP="0005056D">
      <w:pPr>
        <w:pStyle w:val="EndnoteText"/>
      </w:pPr>
      <w:r>
        <w:rPr>
          <w:rStyle w:val="EndnoteReference"/>
        </w:rPr>
        <w:endnoteRef/>
      </w:r>
      <w:r>
        <w:t xml:space="preserve"> </w:t>
      </w:r>
      <w:proofErr w:type="gramStart"/>
      <w:r w:rsidRPr="00F40673">
        <w:t>Charles Kendall &amp; Partners, 2013</w:t>
      </w:r>
      <w:r>
        <w:t>; DFAT, 2012.</w:t>
      </w:r>
      <w:proofErr w:type="gramEnd"/>
      <w:r>
        <w:t xml:space="preserve"> </w:t>
      </w:r>
    </w:p>
  </w:endnote>
  <w:endnote w:id="47">
    <w:p w:rsidR="00F130B2" w:rsidRDefault="00F130B2" w:rsidP="00802107">
      <w:pPr>
        <w:pStyle w:val="EndnoteText"/>
      </w:pPr>
      <w:r>
        <w:rPr>
          <w:rStyle w:val="EndnoteReference"/>
        </w:rPr>
        <w:endnoteRef/>
      </w:r>
      <w:r>
        <w:t xml:space="preserve"> This is because: </w:t>
      </w:r>
    </w:p>
    <w:p w:rsidR="00F130B2" w:rsidRDefault="00F130B2" w:rsidP="00802107">
      <w:pPr>
        <w:pStyle w:val="EndnoteText"/>
      </w:pPr>
      <w:r>
        <w:t>›</w:t>
      </w:r>
      <w:r>
        <w:tab/>
      </w:r>
      <w:proofErr w:type="gramStart"/>
      <w:r>
        <w:t>The</w:t>
      </w:r>
      <w:proofErr w:type="gramEnd"/>
      <w:r>
        <w:t xml:space="preserve"> changes are not statistically significant (nor are there statistically significant changes over the 10 years of available data). </w:t>
      </w:r>
    </w:p>
    <w:p w:rsidR="00F130B2" w:rsidRDefault="00F130B2" w:rsidP="00802107">
      <w:pPr>
        <w:pStyle w:val="EndnoteText"/>
      </w:pPr>
      <w:r>
        <w:t>›</w:t>
      </w:r>
      <w:r>
        <w:tab/>
      </w:r>
      <w:proofErr w:type="gramStart"/>
      <w:r>
        <w:t>There</w:t>
      </w:r>
      <w:proofErr w:type="gramEnd"/>
      <w:r>
        <w:t xml:space="preserve"> does not appear to have been any consideration of whether the planned support would influence the individual variables used to calculate each measure.</w:t>
      </w:r>
    </w:p>
    <w:p w:rsidR="00F130B2" w:rsidRDefault="00F130B2" w:rsidP="00802107">
      <w:pPr>
        <w:pStyle w:val="EndnoteText"/>
      </w:pPr>
      <w:r>
        <w:t>›</w:t>
      </w:r>
      <w:r>
        <w:tab/>
      </w:r>
      <w:proofErr w:type="gramStart"/>
      <w:r>
        <w:t>This</w:t>
      </w:r>
      <w:proofErr w:type="gramEnd"/>
      <w:r>
        <w:t xml:space="preserve"> research has not been able to identify which data sources were used to make the calculation. </w:t>
      </w:r>
    </w:p>
    <w:p w:rsidR="00F130B2" w:rsidRDefault="00F130B2" w:rsidP="00802107">
      <w:pPr>
        <w:pStyle w:val="EndnoteText"/>
      </w:pPr>
      <w:r>
        <w:t xml:space="preserve">The PASP Secretariat Evaluation Report has only been completed once during this period. It is therefore not helpful in assessing change. </w:t>
      </w:r>
    </w:p>
    <w:p w:rsidR="00F130B2" w:rsidRDefault="00F130B2" w:rsidP="00802107">
      <w:pPr>
        <w:pStyle w:val="EndnoteText"/>
      </w:pPr>
      <w:r>
        <w:t>With the wisdom of hindsight, these indicators were not appropriate. They measure change over too long a period to be useful for the support, assessment of contribution is not possible, and as only a small number of data sources are used for Samoa  (3 – 4 for government effectiveness and 4 – 6 for rule of law), changes in the number of data sources have a large influence on the figures. Consequently, while annual changes in World Bank Indicators should be very small, for Samoa (and most Pacific Island nations), they are highly variable and the standard error is large. Consequently, only long term trends can be considered.</w:t>
      </w:r>
    </w:p>
  </w:endnote>
  <w:endnote w:id="48">
    <w:p w:rsidR="00F130B2" w:rsidRDefault="00F130B2">
      <w:pPr>
        <w:pStyle w:val="EndnoteText"/>
      </w:pPr>
      <w:r>
        <w:rPr>
          <w:rStyle w:val="EndnoteReference"/>
        </w:rPr>
        <w:endnoteRef/>
      </w:r>
      <w:r>
        <w:t xml:space="preserve"> Risk is only identified in the </w:t>
      </w:r>
      <w:r w:rsidRPr="00C53D14">
        <w:t>minutes of one meeting (February 2012).</w:t>
      </w:r>
      <w:r>
        <w:t xml:space="preserve"> This reference was for the need to undertake a review of risk, but there was no further reference. </w:t>
      </w:r>
    </w:p>
  </w:endnote>
  <w:endnote w:id="49">
    <w:p w:rsidR="00F130B2" w:rsidRDefault="00F130B2">
      <w:pPr>
        <w:pStyle w:val="EndnoteText"/>
      </w:pPr>
      <w:r>
        <w:rPr>
          <w:rStyle w:val="EndnoteReference"/>
        </w:rPr>
        <w:endnoteRef/>
      </w:r>
      <w:r>
        <w:t xml:space="preserve"> Ref 9, 22, 57</w:t>
      </w:r>
    </w:p>
  </w:endnote>
  <w:endnote w:id="50">
    <w:p w:rsidR="00F130B2" w:rsidRDefault="00F130B2">
      <w:pPr>
        <w:pStyle w:val="EndnoteText"/>
      </w:pPr>
      <w:r>
        <w:rPr>
          <w:rStyle w:val="EndnoteReference"/>
        </w:rPr>
        <w:endnoteRef/>
      </w:r>
      <w:r>
        <w:t xml:space="preserve"> Ref 4, 14, 18b, 19, 21, 27b</w:t>
      </w:r>
    </w:p>
  </w:endnote>
  <w:endnote w:id="51">
    <w:p w:rsidR="00F130B2" w:rsidRDefault="00F130B2">
      <w:pPr>
        <w:pStyle w:val="EndnoteText"/>
      </w:pPr>
      <w:r>
        <w:rPr>
          <w:rStyle w:val="EndnoteReference"/>
        </w:rPr>
        <w:endnoteRef/>
      </w:r>
      <w:r>
        <w:t xml:space="preserve"> While well defined, this support initially introduced too many indicators (almost 100). Initially, use of a small number of KPI is advantageous (less than 10). These can then be expanded as partners gain confidence and capacity. [This may involve M&amp;E in only one area of the support or it may be introducing a number of end outcome indicators and only one immediate outcome indicator that </w:t>
      </w:r>
      <w:proofErr w:type="gramStart"/>
      <w:r>
        <w:t>is</w:t>
      </w:r>
      <w:proofErr w:type="gramEnd"/>
      <w:r>
        <w:t xml:space="preserve"> common across many areas of the support.]</w:t>
      </w:r>
    </w:p>
    <w:p w:rsidR="00F130B2" w:rsidRDefault="00F130B2">
      <w:pPr>
        <w:pStyle w:val="EndnoteText"/>
      </w:pPr>
      <w:r>
        <w:t>The experience of the authors of this report is that M&amp;E is usually most effectively introduced when partners rather than donors</w:t>
      </w:r>
      <w:r w:rsidRPr="00A873EE">
        <w:t xml:space="preserve"> </w:t>
      </w:r>
      <w:r>
        <w:t xml:space="preserve">demand M&amp;E. This has occurred when partner’s capacity to plan and implement the plans has been developed and demonstrated. At this point, partners have demanded improved monitoring as this information is needed to determine if what was planned is being achieved and how to make improvements. This required donors to ‘wait’ for two or three years before the demand for M&amp;E emerges.  </w:t>
      </w:r>
    </w:p>
    <w:p w:rsidR="00F130B2" w:rsidRDefault="00F130B2">
      <w:pPr>
        <w:pStyle w:val="EndnoteText"/>
      </w:pPr>
      <w:r>
        <w:t xml:space="preserve">These authors are not aware of ANY example of successful development of M&amp;E capacity resulting from a single short term activity (such as short term adviser input or funding partners to attend training). All the examples of successful M&amp;E capacity development of which we are aware involve prolonged support. This may include a workplace attachment to an agency that is using M&amp;E well, multiple inputs of on-the-job training, funding attendance at relevant conferences to see how M&amp;E information is used and then present papers based on data that has been  analysed as part of the supported activities. </w:t>
      </w:r>
    </w:p>
    <w:p w:rsidR="00F130B2" w:rsidRDefault="00F130B2">
      <w:pPr>
        <w:pStyle w:val="EndnoteText"/>
      </w:pPr>
      <w:r>
        <w:t xml:space="preserve">M&amp;E must be well resourced if it is to be undertaken. Where a sectoral approach is taken, this is likely to necessitate funding a dedicated person in the Secretariat to address M&amp;E. Our suggestion would be that </w:t>
      </w:r>
      <w:proofErr w:type="gramStart"/>
      <w:r>
        <w:t>this person have</w:t>
      </w:r>
      <w:proofErr w:type="gramEnd"/>
      <w:r>
        <w:t xml:space="preserve"> responsibility for developing capacity of agencies within the Sector and focus on one aspect at a time (in this case, perhaps the Village </w:t>
      </w:r>
      <w:proofErr w:type="spellStart"/>
      <w:r>
        <w:t>fono</w:t>
      </w:r>
      <w:proofErr w:type="spellEnd"/>
      <w:r>
        <w:t xml:space="preserve"> Act as this involved all agencies) and then coordination. </w:t>
      </w:r>
    </w:p>
    <w:p w:rsidR="00F130B2" w:rsidRDefault="00F130B2">
      <w:pPr>
        <w:pStyle w:val="EndnoteText"/>
      </w:pPr>
      <w:r>
        <w:t xml:space="preserve">For DFAT, it should not be assumed that the DFAT Officer will have the required skills – M&amp;E is a specialist area and only one technical area about which a DFAT Officer must have a basic understanding. Training such as introduced in Indonesia and Vanuatu may </w:t>
      </w:r>
      <w:proofErr w:type="gramStart"/>
      <w:r>
        <w:t>be  useful</w:t>
      </w:r>
      <w:proofErr w:type="gramEnd"/>
      <w:r>
        <w:t xml:space="preserve">. Alternatively, engaging a part-time M&amp;E Specialist to provide advice across the program may assist. </w:t>
      </w:r>
    </w:p>
  </w:endnote>
  <w:endnote w:id="52">
    <w:p w:rsidR="00F130B2" w:rsidRDefault="00F130B2" w:rsidP="002D5EAA">
      <w:pPr>
        <w:pStyle w:val="EndnoteText"/>
      </w:pPr>
      <w:r>
        <w:rPr>
          <w:rStyle w:val="EndnoteReference"/>
        </w:rPr>
        <w:endnoteRef/>
      </w:r>
      <w:r>
        <w:t xml:space="preserve"> Ref 36, 38, 40</w:t>
      </w:r>
    </w:p>
  </w:endnote>
  <w:endnote w:id="53">
    <w:p w:rsidR="00F130B2" w:rsidRDefault="00F130B2" w:rsidP="002D5EAA">
      <w:pPr>
        <w:pStyle w:val="EndnoteText"/>
      </w:pPr>
      <w:r>
        <w:rPr>
          <w:rStyle w:val="EndnoteReference"/>
        </w:rPr>
        <w:endnoteRef/>
      </w:r>
      <w:r>
        <w:t xml:space="preserve"> Ref 15, 16, 36, 38</w:t>
      </w:r>
    </w:p>
  </w:endnote>
  <w:endnote w:id="54">
    <w:p w:rsidR="00F130B2" w:rsidRDefault="00F130B2" w:rsidP="002D5EAA">
      <w:pPr>
        <w:pStyle w:val="EndnoteText"/>
      </w:pPr>
      <w:r>
        <w:rPr>
          <w:rStyle w:val="EndnoteReference"/>
        </w:rPr>
        <w:endnoteRef/>
      </w:r>
      <w:r>
        <w:t xml:space="preserve"> Ref 36</w:t>
      </w:r>
    </w:p>
  </w:endnote>
  <w:endnote w:id="55">
    <w:p w:rsidR="00F130B2" w:rsidRDefault="00F130B2" w:rsidP="00B84A68">
      <w:pPr>
        <w:pStyle w:val="EndnoteText"/>
      </w:pPr>
      <w:r>
        <w:rPr>
          <w:rStyle w:val="EndnoteReference"/>
        </w:rPr>
        <w:endnoteRef/>
      </w:r>
      <w:r>
        <w:t xml:space="preserve"> The development of the SLJS Strategic Plan was planned to be completed over a two-month period. This is a very short period for consultation given the introduction of a SLJS was a new concept.</w:t>
      </w:r>
    </w:p>
  </w:endnote>
  <w:endnote w:id="56">
    <w:p w:rsidR="00F130B2" w:rsidRPr="00183CE4" w:rsidRDefault="00F130B2" w:rsidP="00B84A68">
      <w:pPr>
        <w:pStyle w:val="EndnoteText"/>
      </w:pPr>
      <w:r>
        <w:rPr>
          <w:rStyle w:val="EndnoteReference"/>
        </w:rPr>
        <w:endnoteRef/>
      </w:r>
      <w:r>
        <w:t xml:space="preserve"> The </w:t>
      </w:r>
      <w:proofErr w:type="spellStart"/>
      <w:r w:rsidRPr="00183CE4">
        <w:t>Mid term</w:t>
      </w:r>
      <w:proofErr w:type="spellEnd"/>
      <w:r w:rsidRPr="00183CE4">
        <w:t xml:space="preserve"> review </w:t>
      </w:r>
      <w:r>
        <w:t>states that the Plan was</w:t>
      </w:r>
      <w:r w:rsidRPr="00183CE4">
        <w:t xml:space="preserve"> approved by cabinet Nov 2008</w:t>
      </w:r>
      <w:r>
        <w:t xml:space="preserve">. </w:t>
      </w:r>
    </w:p>
  </w:endnote>
  <w:endnote w:id="57">
    <w:p w:rsidR="00F130B2" w:rsidRDefault="00F130B2" w:rsidP="00B84A68">
      <w:pPr>
        <w:pStyle w:val="EndnoteText"/>
      </w:pPr>
      <w:r>
        <w:rPr>
          <w:rStyle w:val="EndnoteReference"/>
        </w:rPr>
        <w:endnoteRef/>
      </w:r>
      <w:r>
        <w:t xml:space="preserve"> Ref 24</w:t>
      </w:r>
    </w:p>
  </w:endnote>
  <w:endnote w:id="58">
    <w:p w:rsidR="00F130B2" w:rsidRDefault="00F130B2" w:rsidP="00B84A68">
      <w:pPr>
        <w:pStyle w:val="EndnoteText"/>
      </w:pPr>
      <w:r>
        <w:rPr>
          <w:rStyle w:val="EndnoteReference"/>
        </w:rPr>
        <w:endnoteRef/>
      </w:r>
      <w:r>
        <w:t xml:space="preserve"> Ref 19a </w:t>
      </w:r>
    </w:p>
  </w:endnote>
  <w:endnote w:id="59">
    <w:p w:rsidR="00F130B2" w:rsidRDefault="00F130B2" w:rsidP="00B84A68">
      <w:pPr>
        <w:pStyle w:val="EndnoteText"/>
      </w:pPr>
      <w:r>
        <w:rPr>
          <w:rStyle w:val="EndnoteReference"/>
        </w:rPr>
        <w:endnoteRef/>
      </w:r>
      <w:r>
        <w:t xml:space="preserve"> Ref 20 </w:t>
      </w:r>
    </w:p>
  </w:endnote>
  <w:endnote w:id="60">
    <w:p w:rsidR="00F130B2" w:rsidRDefault="00F130B2" w:rsidP="00B84A68">
      <w:pPr>
        <w:pStyle w:val="EndnoteText"/>
      </w:pPr>
      <w:r>
        <w:rPr>
          <w:rStyle w:val="EndnoteReference"/>
        </w:rPr>
        <w:endnoteRef/>
      </w:r>
      <w:r>
        <w:t xml:space="preserve"> Ref 46</w:t>
      </w:r>
    </w:p>
  </w:endnote>
  <w:endnote w:id="61">
    <w:p w:rsidR="00F130B2" w:rsidRDefault="00F130B2" w:rsidP="00B84A68">
      <w:pPr>
        <w:pStyle w:val="EndnoteText"/>
      </w:pPr>
      <w:r>
        <w:rPr>
          <w:rStyle w:val="EndnoteReference"/>
        </w:rPr>
        <w:endnoteRef/>
      </w:r>
      <w:r>
        <w:t xml:space="preserve"> Ref 22a, 30, Six Month Progress Report  Jan – June 2013</w:t>
      </w:r>
    </w:p>
  </w:endnote>
  <w:endnote w:id="62">
    <w:p w:rsidR="00F130B2" w:rsidRDefault="00F130B2" w:rsidP="00B21B73">
      <w:pPr>
        <w:pStyle w:val="EndnoteText"/>
      </w:pPr>
      <w:r>
        <w:rPr>
          <w:rStyle w:val="EndnoteReference"/>
        </w:rPr>
        <w:endnoteRef/>
      </w:r>
      <w:r>
        <w:t xml:space="preserve"> Source: </w:t>
      </w:r>
      <w:proofErr w:type="spellStart"/>
      <w:smartTag w:uri="urn:schemas-microsoft-com:office:smarttags" w:element="place">
        <w:r>
          <w:t>GoA</w:t>
        </w:r>
      </w:smartTag>
      <w:proofErr w:type="spellEnd"/>
      <w:r>
        <w:t xml:space="preserve">, 2009, 2010 a </w:t>
      </w:r>
      <w:smartTag w:uri="urn:schemas-microsoft-com:office:smarttags" w:element="PersonName">
        <w:r>
          <w:t>and</w:t>
        </w:r>
      </w:smartTag>
      <w:r>
        <w:t xml:space="preserve"> b, </w:t>
      </w:r>
      <w:proofErr w:type="spellStart"/>
      <w:r>
        <w:t>GoA</w:t>
      </w:r>
      <w:proofErr w:type="spellEnd"/>
      <w:r>
        <w:t xml:space="preserve"> 2011</w:t>
      </w:r>
    </w:p>
  </w:endnote>
  <w:endnote w:id="63">
    <w:p w:rsidR="00F130B2" w:rsidRDefault="00F130B2" w:rsidP="00B21B73">
      <w:pPr>
        <w:pStyle w:val="EndnoteText"/>
      </w:pPr>
      <w:r>
        <w:rPr>
          <w:rStyle w:val="EndnoteReference"/>
          <w:rFonts w:eastAsia="MS ????"/>
        </w:rPr>
        <w:endnoteRef/>
      </w:r>
      <w:r>
        <w:t xml:space="preserve"> </w:t>
      </w:r>
      <w:proofErr w:type="gramStart"/>
      <w:r>
        <w:t>Receipt of these funds were</w:t>
      </w:r>
      <w:proofErr w:type="gramEnd"/>
      <w:r>
        <w:t xml:space="preserve"> delayed due to a change in funding arrangements. Consequently, effectively no funds were received in 2011/12. This delayed project implementation by approximately one year. </w:t>
      </w:r>
    </w:p>
  </w:endnote>
  <w:endnote w:id="64">
    <w:p w:rsidR="00F130B2" w:rsidRDefault="00F130B2" w:rsidP="009971CE">
      <w:pPr>
        <w:pStyle w:val="EndnoteText"/>
      </w:pPr>
      <w:r>
        <w:rPr>
          <w:rStyle w:val="EndnoteReference"/>
        </w:rPr>
        <w:endnoteRef/>
      </w:r>
      <w:r>
        <w:t xml:space="preserve"> Ref 40</w:t>
      </w:r>
    </w:p>
  </w:endnote>
  <w:endnote w:id="65">
    <w:p w:rsidR="00F130B2" w:rsidRDefault="00F130B2" w:rsidP="009971CE">
      <w:pPr>
        <w:pStyle w:val="EndnoteText"/>
      </w:pPr>
      <w:r>
        <w:rPr>
          <w:rStyle w:val="EndnoteReference"/>
        </w:rPr>
        <w:endnoteRef/>
      </w:r>
      <w:r>
        <w:t xml:space="preserve"> Ref 3, 6a</w:t>
      </w:r>
    </w:p>
  </w:endnote>
  <w:endnote w:id="66">
    <w:p w:rsidR="00F130B2" w:rsidRDefault="00F130B2" w:rsidP="009971CE">
      <w:pPr>
        <w:pStyle w:val="EndnoteText"/>
      </w:pPr>
      <w:r>
        <w:rPr>
          <w:rStyle w:val="EndnoteReference"/>
        </w:rPr>
        <w:endnoteRef/>
      </w:r>
      <w:r>
        <w:t xml:space="preserve"> Ref 3, 6a</w:t>
      </w:r>
    </w:p>
  </w:endnote>
  <w:endnote w:id="67">
    <w:p w:rsidR="00F130B2" w:rsidRDefault="00F130B2" w:rsidP="009971CE">
      <w:pPr>
        <w:pStyle w:val="EndnoteText"/>
      </w:pPr>
      <w:r>
        <w:rPr>
          <w:rStyle w:val="EndnoteReference"/>
        </w:rPr>
        <w:endnoteRef/>
      </w:r>
      <w:r>
        <w:t xml:space="preserve"> Re 23</w:t>
      </w:r>
    </w:p>
  </w:endnote>
  <w:endnote w:id="68">
    <w:p w:rsidR="00F130B2" w:rsidRDefault="00F130B2" w:rsidP="009971CE">
      <w:pPr>
        <w:pStyle w:val="EndnoteText"/>
      </w:pPr>
      <w:r>
        <w:rPr>
          <w:rStyle w:val="EndnoteReference"/>
        </w:rPr>
        <w:endnoteRef/>
      </w:r>
      <w:r>
        <w:t xml:space="preserve"> Ref 4</w:t>
      </w:r>
    </w:p>
  </w:endnote>
  <w:endnote w:id="69">
    <w:p w:rsidR="00F130B2" w:rsidRDefault="00F130B2" w:rsidP="009971CE">
      <w:pPr>
        <w:pStyle w:val="EndnoteText"/>
      </w:pPr>
      <w:r>
        <w:rPr>
          <w:rStyle w:val="EndnoteReference"/>
        </w:rPr>
        <w:endnoteRef/>
      </w:r>
      <w:r>
        <w:t xml:space="preserve"> Ref 2</w:t>
      </w:r>
    </w:p>
  </w:endnote>
  <w:endnote w:id="70">
    <w:p w:rsidR="00F130B2" w:rsidRDefault="00F130B2" w:rsidP="009971CE">
      <w:pPr>
        <w:pStyle w:val="EndnoteText"/>
      </w:pPr>
      <w:r>
        <w:rPr>
          <w:rStyle w:val="EndnoteReference"/>
        </w:rPr>
        <w:endnoteRef/>
      </w:r>
      <w:r>
        <w:t xml:space="preserve"> Ref 37a</w:t>
      </w:r>
    </w:p>
  </w:endnote>
  <w:endnote w:id="71">
    <w:p w:rsidR="00F130B2" w:rsidRDefault="00F130B2" w:rsidP="008C4FDE">
      <w:pPr>
        <w:pStyle w:val="EndnoteText"/>
      </w:pPr>
      <w:r>
        <w:rPr>
          <w:rStyle w:val="EndnoteReference"/>
        </w:rPr>
        <w:endnoteRef/>
      </w:r>
      <w:r>
        <w:t xml:space="preserve"> Ref 20</w:t>
      </w:r>
    </w:p>
  </w:endnote>
  <w:endnote w:id="72">
    <w:p w:rsidR="00F130B2" w:rsidRDefault="00F130B2" w:rsidP="008C4FDE">
      <w:pPr>
        <w:pStyle w:val="EndnoteText"/>
      </w:pPr>
      <w:r>
        <w:rPr>
          <w:rStyle w:val="EndnoteReference"/>
        </w:rPr>
        <w:endnoteRef/>
      </w:r>
      <w:r>
        <w:t xml:space="preserve"> Ref 5</w:t>
      </w:r>
    </w:p>
  </w:endnote>
  <w:endnote w:id="73">
    <w:p w:rsidR="00F130B2" w:rsidRDefault="00F130B2">
      <w:pPr>
        <w:pStyle w:val="EndnoteText"/>
      </w:pPr>
      <w:r>
        <w:rPr>
          <w:rStyle w:val="EndnoteReference"/>
        </w:rPr>
        <w:endnoteRef/>
      </w:r>
      <w:r>
        <w:t xml:space="preserve"> Ref 49, 52b</w:t>
      </w:r>
    </w:p>
  </w:endnote>
  <w:endnote w:id="74">
    <w:p w:rsidR="00F130B2" w:rsidRDefault="00F130B2" w:rsidP="008C4FDE">
      <w:pPr>
        <w:pStyle w:val="EndnoteText"/>
      </w:pPr>
      <w:r>
        <w:rPr>
          <w:rStyle w:val="EndnoteReference"/>
        </w:rPr>
        <w:endnoteRef/>
      </w:r>
      <w:r>
        <w:t xml:space="preserve"> </w:t>
      </w:r>
      <w:proofErr w:type="gramStart"/>
      <w:r>
        <w:t>Ref 20.</w:t>
      </w:r>
      <w:proofErr w:type="gramEnd"/>
      <w:r>
        <w:t xml:space="preserve"> </w:t>
      </w:r>
    </w:p>
  </w:endnote>
  <w:endnote w:id="75">
    <w:p w:rsidR="00F130B2" w:rsidRDefault="00F130B2" w:rsidP="008C4FDE">
      <w:pPr>
        <w:pStyle w:val="EndnoteText"/>
      </w:pPr>
      <w:r>
        <w:rPr>
          <w:rStyle w:val="EndnoteReference"/>
        </w:rPr>
        <w:endnoteRef/>
      </w:r>
      <w:r>
        <w:t xml:space="preserve"> Ref 8a</w:t>
      </w:r>
    </w:p>
  </w:endnote>
  <w:endnote w:id="76">
    <w:p w:rsidR="00F130B2" w:rsidRDefault="00F130B2">
      <w:pPr>
        <w:pStyle w:val="EndnoteText"/>
      </w:pPr>
      <w:r>
        <w:rPr>
          <w:rStyle w:val="EndnoteReference"/>
        </w:rPr>
        <w:endnoteRef/>
      </w:r>
      <w:r>
        <w:t xml:space="preserve"> Ref 17b, 23b, 62</w:t>
      </w:r>
    </w:p>
  </w:endnote>
  <w:endnote w:id="77">
    <w:p w:rsidR="00F130B2" w:rsidRDefault="00F130B2" w:rsidP="008C4FDE">
      <w:pPr>
        <w:pStyle w:val="EndnoteText"/>
      </w:pPr>
      <w:r>
        <w:rPr>
          <w:rStyle w:val="EndnoteReference"/>
        </w:rPr>
        <w:endnoteRef/>
      </w:r>
      <w:r>
        <w:t xml:space="preserve"> Ref 40</w:t>
      </w:r>
    </w:p>
  </w:endnote>
  <w:endnote w:id="78">
    <w:p w:rsidR="00F130B2" w:rsidRDefault="00F130B2" w:rsidP="008C4FDE">
      <w:pPr>
        <w:pStyle w:val="EndnoteText"/>
      </w:pPr>
      <w:r>
        <w:rPr>
          <w:rStyle w:val="EndnoteReference"/>
        </w:rPr>
        <w:endnoteRef/>
      </w:r>
      <w:r>
        <w:t xml:space="preserve"> Ref 40</w:t>
      </w:r>
    </w:p>
  </w:endnote>
  <w:endnote w:id="79">
    <w:p w:rsidR="00F130B2" w:rsidRDefault="00F130B2" w:rsidP="008C4FDE">
      <w:pPr>
        <w:pStyle w:val="EndnoteText"/>
      </w:pPr>
      <w:r>
        <w:rPr>
          <w:rStyle w:val="EndnoteReference"/>
        </w:rPr>
        <w:endnoteRef/>
      </w:r>
      <w:r>
        <w:t xml:space="preserve"> Ref 40</w:t>
      </w:r>
    </w:p>
  </w:endnote>
  <w:endnote w:id="80">
    <w:p w:rsidR="00F130B2" w:rsidRDefault="00F130B2" w:rsidP="008C4FDE">
      <w:pPr>
        <w:pStyle w:val="EndnoteText"/>
      </w:pPr>
      <w:r>
        <w:rPr>
          <w:rStyle w:val="EndnoteReference"/>
        </w:rPr>
        <w:endnoteRef/>
      </w:r>
      <w:r>
        <w:t xml:space="preserve"> MJCA and the NZAID funded Samoa MJCA ISP had previously obtained quotes for this work. These quotes ranged from 10 - 15m Tala. The cost of the work funded by the SLJS was 1.4m Tala, significantly less. The quality of the work is at least as good. In addition, MJCA is now planning to use the equipment to also establish electronic copies of other Court records – thus gaining added value from the investment. </w:t>
      </w:r>
    </w:p>
  </w:endnote>
  <w:endnote w:id="81">
    <w:p w:rsidR="00F130B2" w:rsidRDefault="00F130B2" w:rsidP="008C4FDE">
      <w:pPr>
        <w:pStyle w:val="EndnoteText"/>
      </w:pPr>
      <w:r>
        <w:rPr>
          <w:rStyle w:val="EndnoteReference"/>
        </w:rPr>
        <w:endnoteRef/>
      </w:r>
      <w:r>
        <w:t xml:space="preserve"> </w:t>
      </w:r>
      <w:r w:rsidRPr="00521F23">
        <w:t>Minutes 30 Nov 2012</w:t>
      </w:r>
    </w:p>
  </w:endnote>
  <w:endnote w:id="82">
    <w:p w:rsidR="00F130B2" w:rsidRDefault="00F130B2" w:rsidP="00DF054E">
      <w:pPr>
        <w:pStyle w:val="EndnoteText"/>
      </w:pPr>
      <w:r>
        <w:rPr>
          <w:rStyle w:val="EndnoteReference"/>
        </w:rPr>
        <w:endnoteRef/>
      </w:r>
      <w:r>
        <w:t xml:space="preserve"> This is based on the attendance recorded in the minutes of SC meetings. In addition, AusAID officers identified that they adopted a “hands off” management approach which limited their involvement in discussions (Ref 9, 11b). SC members also identified that AusAID should attend the SC regularly to gain a </w:t>
      </w:r>
      <w:proofErr w:type="spellStart"/>
      <w:r>
        <w:t>sould</w:t>
      </w:r>
      <w:proofErr w:type="spellEnd"/>
      <w:r>
        <w:t xml:space="preserve"> understanding </w:t>
      </w:r>
      <w:proofErr w:type="spellStart"/>
      <w:r>
        <w:t>ofd</w:t>
      </w:r>
      <w:proofErr w:type="spellEnd"/>
      <w:r>
        <w:t xml:space="preserve"> the sector’s needs </w:t>
      </w:r>
      <w:proofErr w:type="spellStart"/>
      <w:r>
        <w:t>etc</w:t>
      </w:r>
      <w:proofErr w:type="spellEnd"/>
      <w:r>
        <w:t xml:space="preserve"> (Ref 14b). </w:t>
      </w:r>
    </w:p>
  </w:endnote>
  <w:endnote w:id="83">
    <w:p w:rsidR="00F130B2" w:rsidRDefault="00F130B2" w:rsidP="00DF054E">
      <w:pPr>
        <w:pStyle w:val="EndnoteText"/>
      </w:pPr>
      <w:r>
        <w:rPr>
          <w:rStyle w:val="EndnoteReference"/>
        </w:rPr>
        <w:endnoteRef/>
      </w:r>
      <w:r>
        <w:t xml:space="preserve"> Ref 46b, 52, </w:t>
      </w:r>
    </w:p>
  </w:endnote>
  <w:endnote w:id="84">
    <w:p w:rsidR="00F130B2" w:rsidRDefault="00F130B2" w:rsidP="00DF054E">
      <w:pPr>
        <w:pStyle w:val="EndnoteText"/>
      </w:pPr>
      <w:r>
        <w:rPr>
          <w:rStyle w:val="EndnoteReference"/>
        </w:rPr>
        <w:endnoteRef/>
      </w:r>
      <w:r>
        <w:t xml:space="preserve"> </w:t>
      </w:r>
      <w:proofErr w:type="gramStart"/>
      <w:r w:rsidRPr="00F40673">
        <w:t>Charles Kendall &amp; Partners, 2013</w:t>
      </w:r>
      <w:r>
        <w:t>; DFAT, 2012.</w:t>
      </w:r>
      <w:proofErr w:type="gramEnd"/>
    </w:p>
  </w:endnote>
  <w:endnote w:id="85">
    <w:p w:rsidR="00F130B2" w:rsidRDefault="00F130B2" w:rsidP="00DF054E">
      <w:pPr>
        <w:pStyle w:val="EndnoteText"/>
      </w:pPr>
      <w:r>
        <w:rPr>
          <w:rStyle w:val="EndnoteReference"/>
        </w:rPr>
        <w:endnoteRef/>
      </w:r>
      <w:r>
        <w:t xml:space="preserve"> Ref 14b, 52</w:t>
      </w:r>
    </w:p>
  </w:endnote>
  <w:endnote w:id="86">
    <w:p w:rsidR="00F130B2" w:rsidRDefault="00F130B2" w:rsidP="00DF054E">
      <w:pPr>
        <w:pStyle w:val="EndnoteText"/>
      </w:pPr>
      <w:r>
        <w:rPr>
          <w:rStyle w:val="EndnoteReference"/>
        </w:rPr>
        <w:endnoteRef/>
      </w:r>
      <w:r>
        <w:t xml:space="preserve"> Ref 52, various AusAID emails June 2013. </w:t>
      </w:r>
    </w:p>
  </w:endnote>
  <w:endnote w:id="87">
    <w:p w:rsidR="00F130B2" w:rsidRDefault="00F130B2" w:rsidP="00DF054E">
      <w:pPr>
        <w:pStyle w:val="EndnoteText"/>
      </w:pPr>
      <w:r>
        <w:rPr>
          <w:rStyle w:val="EndnoteReference"/>
        </w:rPr>
        <w:endnoteRef/>
      </w:r>
      <w:r>
        <w:t xml:space="preserve"> Ref 11b, 14, 23b, 57b, various correspondence between AusAID, </w:t>
      </w:r>
      <w:proofErr w:type="spellStart"/>
      <w:r>
        <w:t>MoF</w:t>
      </w:r>
      <w:proofErr w:type="spellEnd"/>
      <w:r>
        <w:t xml:space="preserve"> and the SC following the Design Aide Memoire (May – July 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Theme Body)">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Lucida Grande">
    <w:altName w:val="Arial"/>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venir Roman">
    <w:altName w:val="Corbel"/>
    <w:panose1 w:val="00000000000000000000"/>
    <w:charset w:val="00"/>
    <w:family w:val="auto"/>
    <w:notTrueType/>
    <w:pitch w:val="variable"/>
    <w:sig w:usb0="00000003" w:usb1="00000000" w:usb2="00000000" w:usb3="00000000" w:csb0="00000001" w:csb1="00000000"/>
  </w:font>
  <w:font w:name="MetaSerif-Book">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3A0" w:rsidRDefault="008E23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3A0" w:rsidRDefault="008E23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3A0" w:rsidRDefault="008E23A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0B2" w:rsidRDefault="00F130B2" w:rsidP="004902E0">
    <w:pPr>
      <w:pStyle w:val="Footer"/>
    </w:pPr>
    <w:r>
      <w:fldChar w:fldCharType="begin"/>
    </w:r>
    <w:r>
      <w:instrText xml:space="preserve"> PAGE   \* MERGEFORMAT </w:instrText>
    </w:r>
    <w:r>
      <w:fldChar w:fldCharType="separate"/>
    </w:r>
    <w:r>
      <w:rPr>
        <w:noProof/>
      </w:rPr>
      <w:t>10</w:t>
    </w:r>
    <w:r>
      <w:fldChar w:fldCharType="end"/>
    </w:r>
  </w:p>
  <w:p w:rsidR="00F130B2" w:rsidRDefault="00F130B2" w:rsidP="004902E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0B2" w:rsidRDefault="00F130B2" w:rsidP="004902E0">
    <w:pPr>
      <w:pStyle w:val="Footer"/>
    </w:pPr>
    <w:r>
      <w:fldChar w:fldCharType="begin"/>
    </w:r>
    <w:r>
      <w:instrText xml:space="preserve"> PAGE   \* MERGEFORMAT </w:instrText>
    </w:r>
    <w:r>
      <w:fldChar w:fldCharType="separate"/>
    </w:r>
    <w:r w:rsidR="008E23A0">
      <w:rPr>
        <w:noProof/>
      </w:rPr>
      <w:t>86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0B2" w:rsidRDefault="00F130B2" w:rsidP="004902E0">
    <w:pPr>
      <w:pStyle w:val="Footer"/>
    </w:pPr>
    <w:r>
      <w:fldChar w:fldCharType="begin"/>
    </w:r>
    <w:r>
      <w:instrText xml:space="preserve"> PAGE   \* MERGEFORMAT </w:instrText>
    </w:r>
    <w:r>
      <w:fldChar w:fldCharType="separate"/>
    </w:r>
    <w:r w:rsidR="008E23A0">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0B2" w:rsidRDefault="00F130B2" w:rsidP="004902E0">
    <w:pPr>
      <w:pStyle w:val="Footer"/>
    </w:pPr>
    <w:r>
      <w:fldChar w:fldCharType="begin"/>
    </w:r>
    <w:r>
      <w:instrText xml:space="preserve"> PAGE   \* MERGEFORMAT </w:instrText>
    </w:r>
    <w:r>
      <w:fldChar w:fldCharType="separate"/>
    </w:r>
    <w:r w:rsidR="008E23A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0B2" w:rsidRDefault="00F130B2" w:rsidP="004902E0">
      <w:r>
        <w:separator/>
      </w:r>
    </w:p>
  </w:footnote>
  <w:footnote w:type="continuationSeparator" w:id="0">
    <w:p w:rsidR="00F130B2" w:rsidRDefault="00F130B2" w:rsidP="004902E0">
      <w:r>
        <w:continuationSeparator/>
      </w:r>
    </w:p>
  </w:footnote>
  <w:footnote w:type="continuationNotice" w:id="1">
    <w:p w:rsidR="00F130B2" w:rsidRDefault="00F130B2" w:rsidP="004902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3A0" w:rsidRDefault="008E23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3A0" w:rsidRDefault="008E23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3A0" w:rsidRDefault="008E23A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0B2" w:rsidRDefault="008E23A0" w:rsidP="004902E0">
    <w:pPr>
      <w:pStyle w:val="Header"/>
    </w:pPr>
    <w:r>
      <w:fldChar w:fldCharType="begin"/>
    </w:r>
    <w:r>
      <w:instrText xml:space="preserve"> FILENAME   \* MERGEFORMAT </w:instrText>
    </w:r>
    <w:r>
      <w:fldChar w:fldCharType="separate"/>
    </w:r>
    <w:r w:rsidR="00F130B2">
      <w:rPr>
        <w:noProof/>
      </w:rPr>
      <w:t>Law and Justice Independent Evaluation 2015 Final Version for Publication(2)</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0B2" w:rsidRPr="00AA45A4" w:rsidRDefault="00F130B2" w:rsidP="004902E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0B2" w:rsidRPr="00AA45A4" w:rsidRDefault="00F130B2" w:rsidP="004902E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0B2" w:rsidRPr="00AA45A4" w:rsidRDefault="00F130B2" w:rsidP="004902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3EE159A"/>
    <w:lvl w:ilvl="0">
      <w:start w:val="1"/>
      <w:numFmt w:val="bullet"/>
      <w:pStyle w:val="Numberlist2"/>
      <w:lvlText w:val=""/>
      <w:lvlJc w:val="left"/>
      <w:pPr>
        <w:tabs>
          <w:tab w:val="num" w:pos="360"/>
        </w:tabs>
        <w:ind w:left="360" w:hanging="360"/>
      </w:pPr>
      <w:rPr>
        <w:rFonts w:ascii="Symbol" w:hAnsi="Symbol" w:hint="default"/>
      </w:rPr>
    </w:lvl>
  </w:abstractNum>
  <w:abstractNum w:abstractNumId="1">
    <w:nsid w:val="006B42C3"/>
    <w:multiLevelType w:val="hybridMultilevel"/>
    <w:tmpl w:val="B620673C"/>
    <w:lvl w:ilvl="0" w:tplc="884061B0">
      <w:start w:val="1"/>
      <w:numFmt w:val="decimal"/>
      <w:pStyle w:val="BoxName"/>
      <w:lvlText w:val="Box %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bullet"/>
      <w:lvlText w:val="•"/>
      <w:lvlJc w:val="left"/>
      <w:pPr>
        <w:tabs>
          <w:tab w:val="num" w:pos="2880"/>
        </w:tabs>
        <w:ind w:left="2880" w:hanging="360"/>
      </w:pPr>
      <w:rPr>
        <w:rFonts w:ascii="Times New Roman" w:hAnsi="Times New Roman" w:hint="default"/>
        <w:sz w:val="16"/>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20D66F2"/>
    <w:multiLevelType w:val="hybridMultilevel"/>
    <w:tmpl w:val="484046F0"/>
    <w:lvl w:ilvl="0" w:tplc="FA564518">
      <w:start w:val="1"/>
      <w:numFmt w:val="lowerLetter"/>
      <w:pStyle w:val="TableListNumber2"/>
      <w:lvlText w:val="%1."/>
      <w:lvlJc w:val="left"/>
      <w:pPr>
        <w:ind w:left="1004" w:hanging="360"/>
      </w:pPr>
      <w:rPr>
        <w:rFonts w:cs="Times New Roman"/>
      </w:rPr>
    </w:lvl>
    <w:lvl w:ilvl="1" w:tplc="0C090019" w:tentative="1">
      <w:start w:val="1"/>
      <w:numFmt w:val="lowerLetter"/>
      <w:lvlText w:val="%2."/>
      <w:lvlJc w:val="left"/>
      <w:pPr>
        <w:ind w:left="1724" w:hanging="360"/>
      </w:pPr>
      <w:rPr>
        <w:rFonts w:cs="Times New Roman"/>
      </w:rPr>
    </w:lvl>
    <w:lvl w:ilvl="2" w:tplc="0C09001B" w:tentative="1">
      <w:start w:val="1"/>
      <w:numFmt w:val="lowerRoman"/>
      <w:lvlText w:val="%3."/>
      <w:lvlJc w:val="right"/>
      <w:pPr>
        <w:ind w:left="2444" w:hanging="180"/>
      </w:pPr>
      <w:rPr>
        <w:rFonts w:cs="Times New Roman"/>
      </w:rPr>
    </w:lvl>
    <w:lvl w:ilvl="3" w:tplc="0C09000F" w:tentative="1">
      <w:start w:val="1"/>
      <w:numFmt w:val="decimal"/>
      <w:lvlText w:val="%4."/>
      <w:lvlJc w:val="left"/>
      <w:pPr>
        <w:ind w:left="3164" w:hanging="360"/>
      </w:pPr>
      <w:rPr>
        <w:rFonts w:cs="Times New Roman"/>
      </w:rPr>
    </w:lvl>
    <w:lvl w:ilvl="4" w:tplc="0C090019" w:tentative="1">
      <w:start w:val="1"/>
      <w:numFmt w:val="lowerLetter"/>
      <w:lvlText w:val="%5."/>
      <w:lvlJc w:val="left"/>
      <w:pPr>
        <w:ind w:left="3884" w:hanging="360"/>
      </w:pPr>
      <w:rPr>
        <w:rFonts w:cs="Times New Roman"/>
      </w:rPr>
    </w:lvl>
    <w:lvl w:ilvl="5" w:tplc="0C09001B" w:tentative="1">
      <w:start w:val="1"/>
      <w:numFmt w:val="lowerRoman"/>
      <w:lvlText w:val="%6."/>
      <w:lvlJc w:val="right"/>
      <w:pPr>
        <w:ind w:left="4604" w:hanging="180"/>
      </w:pPr>
      <w:rPr>
        <w:rFonts w:cs="Times New Roman"/>
      </w:rPr>
    </w:lvl>
    <w:lvl w:ilvl="6" w:tplc="0C09000F" w:tentative="1">
      <w:start w:val="1"/>
      <w:numFmt w:val="decimal"/>
      <w:lvlText w:val="%7."/>
      <w:lvlJc w:val="left"/>
      <w:pPr>
        <w:ind w:left="5324" w:hanging="360"/>
      </w:pPr>
      <w:rPr>
        <w:rFonts w:cs="Times New Roman"/>
      </w:rPr>
    </w:lvl>
    <w:lvl w:ilvl="7" w:tplc="0C090019" w:tentative="1">
      <w:start w:val="1"/>
      <w:numFmt w:val="lowerLetter"/>
      <w:lvlText w:val="%8."/>
      <w:lvlJc w:val="left"/>
      <w:pPr>
        <w:ind w:left="6044" w:hanging="360"/>
      </w:pPr>
      <w:rPr>
        <w:rFonts w:cs="Times New Roman"/>
      </w:rPr>
    </w:lvl>
    <w:lvl w:ilvl="8" w:tplc="0C09001B" w:tentative="1">
      <w:start w:val="1"/>
      <w:numFmt w:val="lowerRoman"/>
      <w:lvlText w:val="%9."/>
      <w:lvlJc w:val="right"/>
      <w:pPr>
        <w:ind w:left="6764" w:hanging="180"/>
      </w:pPr>
      <w:rPr>
        <w:rFonts w:cs="Times New Roman"/>
      </w:rPr>
    </w:lvl>
  </w:abstractNum>
  <w:abstractNum w:abstractNumId="3">
    <w:nsid w:val="04F606FF"/>
    <w:multiLevelType w:val="multilevel"/>
    <w:tmpl w:val="9E3C02F6"/>
    <w:lvl w:ilvl="0">
      <w:start w:val="1"/>
      <w:numFmt w:val="upperLetter"/>
      <w:pStyle w:val="AppendixHeading1"/>
      <w:lvlText w:val="Appendix %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68E2521"/>
    <w:multiLevelType w:val="hybridMultilevel"/>
    <w:tmpl w:val="32F0A866"/>
    <w:lvl w:ilvl="0" w:tplc="27C28EE2">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A1613E2"/>
    <w:multiLevelType w:val="hybridMultilevel"/>
    <w:tmpl w:val="007A9DA8"/>
    <w:lvl w:ilvl="0" w:tplc="9E521BE2">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B200295"/>
    <w:multiLevelType w:val="hybridMultilevel"/>
    <w:tmpl w:val="60E820F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nsid w:val="14621CE7"/>
    <w:multiLevelType w:val="hybridMultilevel"/>
    <w:tmpl w:val="9F282FDC"/>
    <w:lvl w:ilvl="0" w:tplc="7862B858">
      <w:start w:val="1"/>
      <w:numFmt w:val="bullet"/>
      <w:pStyle w:val="TableDash"/>
      <w:lvlText w:val="»"/>
      <w:lvlJc w:val="left"/>
      <w:pPr>
        <w:ind w:left="587" w:hanging="360"/>
      </w:pPr>
      <w:rPr>
        <w:rFonts w:ascii="Times New Roman" w:hAnsi="Times New Roman" w:hint="default"/>
      </w:rPr>
    </w:lvl>
    <w:lvl w:ilvl="1" w:tplc="947E372C" w:tentative="1">
      <w:start w:val="1"/>
      <w:numFmt w:val="bullet"/>
      <w:lvlText w:val="o"/>
      <w:lvlJc w:val="left"/>
      <w:pPr>
        <w:tabs>
          <w:tab w:val="num" w:pos="1440"/>
        </w:tabs>
        <w:ind w:left="1440" w:hanging="360"/>
      </w:pPr>
      <w:rPr>
        <w:rFonts w:ascii="Courier New" w:hAnsi="Courier New" w:hint="default"/>
      </w:rPr>
    </w:lvl>
    <w:lvl w:ilvl="2" w:tplc="EB360BC2" w:tentative="1">
      <w:start w:val="1"/>
      <w:numFmt w:val="bullet"/>
      <w:lvlText w:val=""/>
      <w:lvlJc w:val="left"/>
      <w:pPr>
        <w:tabs>
          <w:tab w:val="num" w:pos="2160"/>
        </w:tabs>
        <w:ind w:left="2160" w:hanging="360"/>
      </w:pPr>
      <w:rPr>
        <w:rFonts w:ascii="Wingdings" w:hAnsi="Wingdings" w:hint="default"/>
      </w:rPr>
    </w:lvl>
    <w:lvl w:ilvl="3" w:tplc="870C39C6" w:tentative="1">
      <w:start w:val="1"/>
      <w:numFmt w:val="bullet"/>
      <w:lvlText w:val=""/>
      <w:lvlJc w:val="left"/>
      <w:pPr>
        <w:tabs>
          <w:tab w:val="num" w:pos="2880"/>
        </w:tabs>
        <w:ind w:left="2880" w:hanging="360"/>
      </w:pPr>
      <w:rPr>
        <w:rFonts w:ascii="Symbol" w:hAnsi="Symbol" w:hint="default"/>
      </w:rPr>
    </w:lvl>
    <w:lvl w:ilvl="4" w:tplc="C75CAEA6" w:tentative="1">
      <w:start w:val="1"/>
      <w:numFmt w:val="bullet"/>
      <w:lvlText w:val="o"/>
      <w:lvlJc w:val="left"/>
      <w:pPr>
        <w:tabs>
          <w:tab w:val="num" w:pos="3600"/>
        </w:tabs>
        <w:ind w:left="3600" w:hanging="360"/>
      </w:pPr>
      <w:rPr>
        <w:rFonts w:ascii="Courier New" w:hAnsi="Courier New" w:hint="default"/>
      </w:rPr>
    </w:lvl>
    <w:lvl w:ilvl="5" w:tplc="A10E0402" w:tentative="1">
      <w:start w:val="1"/>
      <w:numFmt w:val="bullet"/>
      <w:lvlText w:val=""/>
      <w:lvlJc w:val="left"/>
      <w:pPr>
        <w:tabs>
          <w:tab w:val="num" w:pos="4320"/>
        </w:tabs>
        <w:ind w:left="4320" w:hanging="360"/>
      </w:pPr>
      <w:rPr>
        <w:rFonts w:ascii="Wingdings" w:hAnsi="Wingdings" w:hint="default"/>
      </w:rPr>
    </w:lvl>
    <w:lvl w:ilvl="6" w:tplc="2C5E5F06" w:tentative="1">
      <w:start w:val="1"/>
      <w:numFmt w:val="bullet"/>
      <w:lvlText w:val=""/>
      <w:lvlJc w:val="left"/>
      <w:pPr>
        <w:tabs>
          <w:tab w:val="num" w:pos="5040"/>
        </w:tabs>
        <w:ind w:left="5040" w:hanging="360"/>
      </w:pPr>
      <w:rPr>
        <w:rFonts w:ascii="Symbol" w:hAnsi="Symbol" w:hint="default"/>
      </w:rPr>
    </w:lvl>
    <w:lvl w:ilvl="7" w:tplc="F404DE94" w:tentative="1">
      <w:start w:val="1"/>
      <w:numFmt w:val="bullet"/>
      <w:lvlText w:val="o"/>
      <w:lvlJc w:val="left"/>
      <w:pPr>
        <w:tabs>
          <w:tab w:val="num" w:pos="5760"/>
        </w:tabs>
        <w:ind w:left="5760" w:hanging="360"/>
      </w:pPr>
      <w:rPr>
        <w:rFonts w:ascii="Courier New" w:hAnsi="Courier New" w:hint="default"/>
      </w:rPr>
    </w:lvl>
    <w:lvl w:ilvl="8" w:tplc="8B221DA6" w:tentative="1">
      <w:start w:val="1"/>
      <w:numFmt w:val="bullet"/>
      <w:lvlText w:val=""/>
      <w:lvlJc w:val="left"/>
      <w:pPr>
        <w:tabs>
          <w:tab w:val="num" w:pos="6480"/>
        </w:tabs>
        <w:ind w:left="6480" w:hanging="360"/>
      </w:pPr>
      <w:rPr>
        <w:rFonts w:ascii="Wingdings" w:hAnsi="Wingdings" w:hint="default"/>
      </w:rPr>
    </w:lvl>
  </w:abstractNum>
  <w:abstractNum w:abstractNumId="8">
    <w:nsid w:val="15923374"/>
    <w:multiLevelType w:val="multilevel"/>
    <w:tmpl w:val="660AF56A"/>
    <w:styleLink w:val="List6"/>
    <w:lvl w:ilvl="0">
      <w:start w:val="1"/>
      <w:numFmt w:val="bullet"/>
      <w:lvlText w:val="•"/>
      <w:lvlJc w:val="left"/>
      <w:rPr>
        <w:position w:val="0"/>
      </w:rPr>
    </w:lvl>
    <w:lvl w:ilv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9">
    <w:nsid w:val="15BC0988"/>
    <w:multiLevelType w:val="hybridMultilevel"/>
    <w:tmpl w:val="07E084EE"/>
    <w:lvl w:ilvl="0" w:tplc="009CC830">
      <w:start w:val="1"/>
      <w:numFmt w:val="bullet"/>
      <w:pStyle w:val="Bulletslevel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BB4224"/>
    <w:multiLevelType w:val="hybridMultilevel"/>
    <w:tmpl w:val="0E427BCE"/>
    <w:lvl w:ilvl="0" w:tplc="167A8A7E">
      <w:start w:val="1"/>
      <w:numFmt w:val="bullet"/>
      <w:pStyle w:val="BoxBullet"/>
      <w:lvlText w:val="›"/>
      <w:lvlJc w:val="left"/>
      <w:pPr>
        <w:tabs>
          <w:tab w:val="num" w:pos="357"/>
        </w:tabs>
        <w:ind w:left="357" w:hanging="357"/>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7B7DD8"/>
    <w:multiLevelType w:val="hybridMultilevel"/>
    <w:tmpl w:val="BE4AD784"/>
    <w:lvl w:ilvl="0" w:tplc="A6C2F2AE">
      <w:start w:val="1"/>
      <w:numFmt w:val="lowerLetter"/>
      <w:pStyle w:val="TableNumberList2"/>
      <w:lvlText w:val="%1."/>
      <w:lvlJc w:val="left"/>
      <w:pPr>
        <w:ind w:left="587" w:hanging="360"/>
      </w:pPr>
      <w:rPr>
        <w:rFonts w:cs="Times New Roman" w:hint="default"/>
      </w:rPr>
    </w:lvl>
    <w:lvl w:ilvl="1" w:tplc="EB583B20" w:tentative="1">
      <w:start w:val="1"/>
      <w:numFmt w:val="lowerLetter"/>
      <w:lvlText w:val="%2."/>
      <w:lvlJc w:val="left"/>
      <w:pPr>
        <w:tabs>
          <w:tab w:val="num" w:pos="1440"/>
        </w:tabs>
        <w:ind w:left="1440" w:hanging="360"/>
      </w:pPr>
      <w:rPr>
        <w:rFonts w:cs="Times New Roman"/>
      </w:rPr>
    </w:lvl>
    <w:lvl w:ilvl="2" w:tplc="B5E21B8A" w:tentative="1">
      <w:start w:val="1"/>
      <w:numFmt w:val="lowerRoman"/>
      <w:lvlText w:val="%3."/>
      <w:lvlJc w:val="right"/>
      <w:pPr>
        <w:tabs>
          <w:tab w:val="num" w:pos="2160"/>
        </w:tabs>
        <w:ind w:left="2160" w:hanging="180"/>
      </w:pPr>
      <w:rPr>
        <w:rFonts w:cs="Times New Roman"/>
      </w:rPr>
    </w:lvl>
    <w:lvl w:ilvl="3" w:tplc="017C68B8" w:tentative="1">
      <w:start w:val="1"/>
      <w:numFmt w:val="decimal"/>
      <w:lvlText w:val="%4."/>
      <w:lvlJc w:val="left"/>
      <w:pPr>
        <w:tabs>
          <w:tab w:val="num" w:pos="2880"/>
        </w:tabs>
        <w:ind w:left="2880" w:hanging="360"/>
      </w:pPr>
      <w:rPr>
        <w:rFonts w:cs="Times New Roman"/>
      </w:rPr>
    </w:lvl>
    <w:lvl w:ilvl="4" w:tplc="D1789FF6" w:tentative="1">
      <w:start w:val="1"/>
      <w:numFmt w:val="lowerLetter"/>
      <w:lvlText w:val="%5."/>
      <w:lvlJc w:val="left"/>
      <w:pPr>
        <w:tabs>
          <w:tab w:val="num" w:pos="3600"/>
        </w:tabs>
        <w:ind w:left="3600" w:hanging="360"/>
      </w:pPr>
      <w:rPr>
        <w:rFonts w:cs="Times New Roman"/>
      </w:rPr>
    </w:lvl>
    <w:lvl w:ilvl="5" w:tplc="105ACA1A" w:tentative="1">
      <w:start w:val="1"/>
      <w:numFmt w:val="lowerRoman"/>
      <w:lvlText w:val="%6."/>
      <w:lvlJc w:val="right"/>
      <w:pPr>
        <w:tabs>
          <w:tab w:val="num" w:pos="4320"/>
        </w:tabs>
        <w:ind w:left="4320" w:hanging="180"/>
      </w:pPr>
      <w:rPr>
        <w:rFonts w:cs="Times New Roman"/>
      </w:rPr>
    </w:lvl>
    <w:lvl w:ilvl="6" w:tplc="EF6CA31C" w:tentative="1">
      <w:start w:val="1"/>
      <w:numFmt w:val="decimal"/>
      <w:lvlText w:val="%7."/>
      <w:lvlJc w:val="left"/>
      <w:pPr>
        <w:tabs>
          <w:tab w:val="num" w:pos="5040"/>
        </w:tabs>
        <w:ind w:left="5040" w:hanging="360"/>
      </w:pPr>
      <w:rPr>
        <w:rFonts w:cs="Times New Roman"/>
      </w:rPr>
    </w:lvl>
    <w:lvl w:ilvl="7" w:tplc="FD7C2C44" w:tentative="1">
      <w:start w:val="1"/>
      <w:numFmt w:val="lowerLetter"/>
      <w:lvlText w:val="%8."/>
      <w:lvlJc w:val="left"/>
      <w:pPr>
        <w:tabs>
          <w:tab w:val="num" w:pos="5760"/>
        </w:tabs>
        <w:ind w:left="5760" w:hanging="360"/>
      </w:pPr>
      <w:rPr>
        <w:rFonts w:cs="Times New Roman"/>
      </w:rPr>
    </w:lvl>
    <w:lvl w:ilvl="8" w:tplc="A68E2E52" w:tentative="1">
      <w:start w:val="1"/>
      <w:numFmt w:val="lowerRoman"/>
      <w:lvlText w:val="%9."/>
      <w:lvlJc w:val="right"/>
      <w:pPr>
        <w:tabs>
          <w:tab w:val="num" w:pos="6480"/>
        </w:tabs>
        <w:ind w:left="6480" w:hanging="180"/>
      </w:pPr>
      <w:rPr>
        <w:rFonts w:cs="Times New Roman"/>
      </w:rPr>
    </w:lvl>
  </w:abstractNum>
  <w:abstractNum w:abstractNumId="12">
    <w:nsid w:val="204665A2"/>
    <w:multiLevelType w:val="hybridMultilevel"/>
    <w:tmpl w:val="A31250BE"/>
    <w:lvl w:ilvl="0" w:tplc="08CAAC8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09B02A7"/>
    <w:multiLevelType w:val="singleLevel"/>
    <w:tmpl w:val="0B94AE00"/>
    <w:lvl w:ilvl="0">
      <w:start w:val="1"/>
      <w:numFmt w:val="bullet"/>
      <w:pStyle w:val="Dash"/>
      <w:lvlText w:val="»"/>
      <w:lvlJc w:val="left"/>
      <w:pPr>
        <w:ind w:left="644" w:hanging="360"/>
      </w:pPr>
      <w:rPr>
        <w:rFonts w:ascii="Times New Roman" w:hAnsi="Times New Roman" w:hint="default"/>
        <w:color w:val="auto"/>
        <w:sz w:val="21"/>
      </w:rPr>
    </w:lvl>
  </w:abstractNum>
  <w:abstractNum w:abstractNumId="14">
    <w:nsid w:val="22350863"/>
    <w:multiLevelType w:val="multilevel"/>
    <w:tmpl w:val="BC64C6F8"/>
    <w:styleLink w:val="List31"/>
    <w:lvl w:ilvl="0">
      <w:start w:val="1"/>
      <w:numFmt w:val="bullet"/>
      <w:lvlText w:val="•"/>
      <w:lvlJc w:val="left"/>
      <w:rPr>
        <w:position w:val="0"/>
      </w:rPr>
    </w:lvl>
    <w:lvl w:ilv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5">
    <w:nsid w:val="25864DFE"/>
    <w:multiLevelType w:val="hybridMultilevel"/>
    <w:tmpl w:val="7ED2B614"/>
    <w:lvl w:ilvl="0" w:tplc="E9FCED3E">
      <w:start w:val="1"/>
      <w:numFmt w:val="decimal"/>
      <w:pStyle w:val="Bullet-numbered"/>
      <w:lvlText w:val="%1."/>
      <w:lvlJc w:val="left"/>
      <w:pPr>
        <w:tabs>
          <w:tab w:val="num" w:pos="360"/>
        </w:tabs>
        <w:ind w:left="360" w:hanging="360"/>
      </w:pPr>
      <w:rPr>
        <w:rFonts w:ascii="Calibri" w:hAnsi="Calibri" w:cs="Times New Roman" w:hint="default"/>
        <w:sz w:val="20"/>
        <w:szCs w:val="20"/>
      </w:rPr>
    </w:lvl>
    <w:lvl w:ilvl="1" w:tplc="0C090019">
      <w:start w:val="1"/>
      <w:numFmt w:val="lowerLetter"/>
      <w:lvlText w:val="%2."/>
      <w:lvlJc w:val="left"/>
      <w:pPr>
        <w:tabs>
          <w:tab w:val="num" w:pos="1440"/>
        </w:tabs>
        <w:ind w:left="1440" w:hanging="360"/>
      </w:pPr>
      <w:rPr>
        <w:rFonts w:cs="Times New Roman"/>
      </w:rPr>
    </w:lvl>
    <w:lvl w:ilvl="2" w:tplc="AC387226">
      <w:numFmt w:val="bullet"/>
      <w:lvlText w:val="•"/>
      <w:lvlJc w:val="left"/>
      <w:pPr>
        <w:ind w:left="2700" w:hanging="720"/>
      </w:pPr>
      <w:rPr>
        <w:rFonts w:ascii="Calibri" w:eastAsia="Times New Roman" w:hAnsi="Calibri" w:cs="Times New Roman"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2C823731"/>
    <w:multiLevelType w:val="hybridMultilevel"/>
    <w:tmpl w:val="B838C686"/>
    <w:lvl w:ilvl="0" w:tplc="7F3A368A">
      <w:start w:val="1"/>
      <w:numFmt w:val="decimal"/>
      <w:pStyle w:val="Bodynumberedindent"/>
      <w:lvlText w:val="%1."/>
      <w:lvlJc w:val="left"/>
      <w:pPr>
        <w:tabs>
          <w:tab w:val="num" w:pos="567"/>
        </w:tabs>
        <w:ind w:left="567" w:hanging="567"/>
      </w:pPr>
      <w:rPr>
        <w:rFonts w:ascii="Cambria (Theme Body)" w:hAnsi="Cambria (Theme Body)" w:cs="Times New Roman" w:hint="default"/>
        <w:b/>
        <w:bCs/>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E1E7C88"/>
    <w:multiLevelType w:val="multilevel"/>
    <w:tmpl w:val="085E3F2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9">
    <w:nsid w:val="2FCC4FEE"/>
    <w:multiLevelType w:val="multilevel"/>
    <w:tmpl w:val="B1F21C0A"/>
    <w:lvl w:ilvl="0">
      <w:start w:val="1"/>
      <w:numFmt w:val="decimal"/>
      <w:pStyle w:val="ClauseLevel1"/>
      <w:lvlText w:val="%1."/>
      <w:lvlJc w:val="left"/>
      <w:pPr>
        <w:tabs>
          <w:tab w:val="num" w:pos="1134"/>
        </w:tabs>
        <w:ind w:left="1134" w:hanging="1134"/>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pStyle w:val="ClauseLevel2"/>
      <w:lvlText w:val="%1.%2."/>
      <w:lvlJc w:val="left"/>
      <w:pPr>
        <w:tabs>
          <w:tab w:val="num" w:pos="1134"/>
        </w:tabs>
        <w:ind w:left="1134" w:hanging="1134"/>
      </w:pPr>
      <w:rPr>
        <w:rFonts w:cs="Times New Roman" w:hint="default"/>
        <w:b w:val="0"/>
        <w:i w:val="0"/>
        <w:sz w:val="22"/>
      </w:rPr>
    </w:lvl>
    <w:lvl w:ilvl="2">
      <w:start w:val="1"/>
      <w:numFmt w:val="decimal"/>
      <w:pStyle w:val="ClauseLevel3"/>
      <w:lvlText w:val="%1.%2.%3."/>
      <w:lvlJc w:val="left"/>
      <w:pPr>
        <w:tabs>
          <w:tab w:val="num" w:pos="1418"/>
        </w:tabs>
        <w:ind w:left="1418" w:hanging="1134"/>
      </w:pPr>
      <w:rPr>
        <w:rFonts w:cs="Times New Roman" w:hint="default"/>
        <w:b w:val="0"/>
        <w:sz w:val="22"/>
      </w:rPr>
    </w:lvl>
    <w:lvl w:ilvl="3">
      <w:start w:val="1"/>
      <w:numFmt w:val="lowerLetter"/>
      <w:pStyle w:val="ClauseLevel4"/>
      <w:lvlText w:val="%4."/>
      <w:lvlJc w:val="left"/>
      <w:pPr>
        <w:tabs>
          <w:tab w:val="num" w:pos="1702"/>
        </w:tabs>
        <w:ind w:left="1702" w:hanging="425"/>
      </w:pPr>
      <w:rPr>
        <w:rFonts w:cs="Times New Roman" w:hint="default"/>
        <w:b w:val="0"/>
      </w:rPr>
    </w:lvl>
    <w:lvl w:ilvl="4">
      <w:start w:val="1"/>
      <w:numFmt w:val="lowerRoman"/>
      <w:pStyle w:val="ClauseLevel5"/>
      <w:lvlText w:val="%5."/>
      <w:lvlJc w:val="left"/>
      <w:pPr>
        <w:tabs>
          <w:tab w:val="num" w:pos="1985"/>
        </w:tabs>
        <w:ind w:left="1985" w:hanging="426"/>
      </w:pPr>
      <w:rPr>
        <w:rFonts w:cs="Times New Roman" w:hint="default"/>
        <w:b w:val="0"/>
      </w:rPr>
    </w:lvl>
    <w:lvl w:ilvl="5">
      <w:start w:val="1"/>
      <w:numFmt w:val="upperLetter"/>
      <w:pStyle w:val="ClauseLevel6"/>
      <w:lvlText w:val="%6."/>
      <w:lvlJc w:val="left"/>
      <w:pPr>
        <w:tabs>
          <w:tab w:val="num" w:pos="2410"/>
        </w:tabs>
        <w:ind w:left="2410" w:hanging="425"/>
      </w:pPr>
      <w:rPr>
        <w:rFonts w:cs="Times New Roman" w:hint="default"/>
      </w:rPr>
    </w:lvl>
    <w:lvl w:ilvl="6">
      <w:start w:val="1"/>
      <w:numFmt w:val="upperLetter"/>
      <w:pStyle w:val="ClauseLevel7"/>
      <w:lvlText w:val="%7."/>
      <w:lvlJc w:val="left"/>
      <w:pPr>
        <w:tabs>
          <w:tab w:val="num" w:pos="1985"/>
        </w:tabs>
        <w:ind w:left="1985" w:hanging="426"/>
      </w:pPr>
      <w:rPr>
        <w:rFonts w:cs="Times New Roman" w:hint="default"/>
      </w:rPr>
    </w:lvl>
    <w:lvl w:ilvl="7">
      <w:start w:val="1"/>
      <w:numFmt w:val="upperLetter"/>
      <w:pStyle w:val="ClauseLevel8"/>
      <w:lvlText w:val="%8."/>
      <w:lvlJc w:val="left"/>
      <w:pPr>
        <w:tabs>
          <w:tab w:val="num" w:pos="1985"/>
        </w:tabs>
        <w:ind w:left="1985" w:hanging="426"/>
      </w:pPr>
      <w:rPr>
        <w:rFonts w:cs="Times New Roman" w:hint="default"/>
      </w:rPr>
    </w:lvl>
    <w:lvl w:ilvl="8">
      <w:start w:val="1"/>
      <w:numFmt w:val="upperLetter"/>
      <w:pStyle w:val="ClauseLevel9"/>
      <w:lvlText w:val="%9."/>
      <w:lvlJc w:val="left"/>
      <w:pPr>
        <w:tabs>
          <w:tab w:val="num" w:pos="1985"/>
        </w:tabs>
        <w:ind w:left="1985" w:hanging="426"/>
      </w:pPr>
      <w:rPr>
        <w:rFonts w:cs="Times New Roman" w:hint="default"/>
      </w:rPr>
    </w:lvl>
  </w:abstractNum>
  <w:abstractNum w:abstractNumId="20">
    <w:nsid w:val="31804632"/>
    <w:multiLevelType w:val="singleLevel"/>
    <w:tmpl w:val="7FCAFB5A"/>
    <w:lvl w:ilvl="0">
      <w:start w:val="1"/>
      <w:numFmt w:val="lowerLetter"/>
      <w:pStyle w:val="Leveli"/>
      <w:lvlText w:val="(%1)"/>
      <w:lvlJc w:val="left"/>
      <w:pPr>
        <w:ind w:left="1145" w:hanging="720"/>
      </w:pPr>
      <w:rPr>
        <w:rFonts w:cs="Times New Roman" w:hint="default"/>
        <w:b w:val="0"/>
      </w:rPr>
    </w:lvl>
  </w:abstractNum>
  <w:abstractNum w:abstractNumId="21">
    <w:nsid w:val="351F1FCA"/>
    <w:multiLevelType w:val="multilevel"/>
    <w:tmpl w:val="9FC8535A"/>
    <w:styleLink w:val="List51"/>
    <w:lvl w:ilvl="0">
      <w:start w:val="1"/>
      <w:numFmt w:val="bullet"/>
      <w:lvlText w:val="•"/>
      <w:lvlJc w:val="left"/>
      <w:rPr>
        <w:position w:val="0"/>
      </w:rPr>
    </w:lvl>
    <w:lvl w:ilv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2">
    <w:nsid w:val="39204AFC"/>
    <w:multiLevelType w:val="multilevel"/>
    <w:tmpl w:val="CFE41572"/>
    <w:styleLink w:val="List21"/>
    <w:lvl w:ilvl="0">
      <w:start w:val="1"/>
      <w:numFmt w:val="bullet"/>
      <w:lvlText w:val="•"/>
      <w:lvlJc w:val="left"/>
      <w:rPr>
        <w:position w:val="0"/>
      </w:rPr>
    </w:lvl>
    <w:lvl w:ilv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3">
    <w:nsid w:val="3F611F54"/>
    <w:multiLevelType w:val="hybridMultilevel"/>
    <w:tmpl w:val="38A0D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2087D42"/>
    <w:multiLevelType w:val="hybridMultilevel"/>
    <w:tmpl w:val="63C039FE"/>
    <w:lvl w:ilvl="0" w:tplc="A8624846">
      <w:start w:val="1"/>
      <w:numFmt w:val="decimal"/>
      <w:pStyle w:val="TableNumberedList"/>
      <w:lvlText w:val="%1"/>
      <w:lvlJc w:val="left"/>
      <w:pPr>
        <w:ind w:left="720" w:hanging="360"/>
      </w:pPr>
      <w:rPr>
        <w:rFonts w:cs="Times New Roman" w:hint="default"/>
      </w:rPr>
    </w:lvl>
    <w:lvl w:ilvl="1" w:tplc="5F1044BC">
      <w:start w:val="1"/>
      <w:numFmt w:val="bullet"/>
      <w:lvlText w:val="•"/>
      <w:lvlJc w:val="left"/>
      <w:pPr>
        <w:tabs>
          <w:tab w:val="num" w:pos="1440"/>
        </w:tabs>
        <w:ind w:left="1440" w:hanging="360"/>
      </w:pPr>
      <w:rPr>
        <w:rFonts w:ascii="Times New Roman" w:hAnsi="Times New Roman" w:cs="Times New Roman" w:hint="default"/>
        <w:color w:val="auto"/>
        <w:sz w:val="24"/>
        <w:szCs w:val="24"/>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431C51C9"/>
    <w:multiLevelType w:val="hybridMultilevel"/>
    <w:tmpl w:val="443E7B3A"/>
    <w:lvl w:ilvl="0" w:tplc="B8B69B2C">
      <w:numFmt w:val="bullet"/>
      <w:pStyle w:val="Implicaion"/>
      <w:lvlText w:val=""/>
      <w:lvlJc w:val="left"/>
      <w:pPr>
        <w:ind w:left="1080" w:hanging="360"/>
      </w:pPr>
      <w:rPr>
        <w:rFonts w:ascii="Wingdings" w:eastAsia="Times New Roman" w:hAnsi="Wingdings"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44B80488"/>
    <w:multiLevelType w:val="hybridMultilevel"/>
    <w:tmpl w:val="0BB80B08"/>
    <w:lvl w:ilvl="0" w:tplc="184A1EB6">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96A1FAE"/>
    <w:multiLevelType w:val="hybridMultilevel"/>
    <w:tmpl w:val="33D02AF4"/>
    <w:lvl w:ilvl="0" w:tplc="E1F647D4">
      <w:start w:val="1"/>
      <w:numFmt w:val="bullet"/>
      <w:pStyle w:val="BodyTextindentitalic"/>
      <w:lvlText w:val=""/>
      <w:lvlJc w:val="left"/>
      <w:pPr>
        <w:tabs>
          <w:tab w:val="num" w:pos="284"/>
        </w:tabs>
        <w:ind w:left="284" w:hanging="284"/>
      </w:pPr>
      <w:rPr>
        <w:rFonts w:ascii="Wingdings" w:hAnsi="Wingdings" w:hint="default"/>
      </w:rPr>
    </w:lvl>
    <w:lvl w:ilvl="1" w:tplc="0C090019" w:tentative="1">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8">
    <w:nsid w:val="49806FF1"/>
    <w:multiLevelType w:val="hybridMultilevel"/>
    <w:tmpl w:val="8158AFC8"/>
    <w:lvl w:ilvl="0" w:tplc="C2E66D6E">
      <w:start w:val="1"/>
      <w:numFmt w:val="bullet"/>
      <w:pStyle w:val="Table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E87842"/>
    <w:multiLevelType w:val="hybridMultilevel"/>
    <w:tmpl w:val="7FBE1B20"/>
    <w:lvl w:ilvl="0" w:tplc="F704D888">
      <w:start w:val="1"/>
      <w:numFmt w:val="decimal"/>
      <w:lvlText w:val="%1."/>
      <w:lvlJc w:val="left"/>
      <w:pPr>
        <w:tabs>
          <w:tab w:val="num" w:pos="360"/>
        </w:tabs>
        <w:ind w:left="360" w:hanging="360"/>
      </w:pPr>
    </w:lvl>
    <w:lvl w:ilvl="1" w:tplc="04090003">
      <w:start w:val="1"/>
      <w:numFmt w:val="bullet"/>
      <w:lvlText w:val="•"/>
      <w:lvlJc w:val="left"/>
      <w:pPr>
        <w:tabs>
          <w:tab w:val="num" w:pos="1080"/>
        </w:tabs>
        <w:ind w:left="1080" w:hanging="360"/>
      </w:pPr>
      <w:rPr>
        <w:rFonts w:ascii="Times New Roman" w:hAnsi="Times New Roman" w:cs="Times New Roman" w:hint="default"/>
        <w:color w:val="auto"/>
        <w:sz w:val="24"/>
        <w:szCs w:val="24"/>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nsid w:val="4CAD525A"/>
    <w:multiLevelType w:val="multilevel"/>
    <w:tmpl w:val="34ECC674"/>
    <w:styleLink w:val="List7"/>
    <w:lvl w:ilvl="0">
      <w:start w:val="1"/>
      <w:numFmt w:val="bullet"/>
      <w:lvlText w:val="•"/>
      <w:lvlJc w:val="left"/>
      <w:rPr>
        <w:position w:val="0"/>
      </w:rPr>
    </w:lvl>
    <w:lvl w:ilv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31">
    <w:nsid w:val="4DB1385B"/>
    <w:multiLevelType w:val="multilevel"/>
    <w:tmpl w:val="85F6926A"/>
    <w:styleLink w:val="List41"/>
    <w:lvl w:ilvl="0">
      <w:start w:val="1"/>
      <w:numFmt w:val="bullet"/>
      <w:lvlText w:val="•"/>
      <w:lvlJc w:val="left"/>
      <w:rPr>
        <w:position w:val="0"/>
      </w:rPr>
    </w:lvl>
    <w:lvl w:ilv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32">
    <w:nsid w:val="4E100756"/>
    <w:multiLevelType w:val="hybridMultilevel"/>
    <w:tmpl w:val="ED6497E4"/>
    <w:lvl w:ilvl="0" w:tplc="CB984250">
      <w:start w:val="1"/>
      <w:numFmt w:val="decimal"/>
      <w:pStyle w:val="TableListNumber"/>
      <w:lvlText w:val="%1."/>
      <w:lvlJc w:val="left"/>
      <w:pPr>
        <w:ind w:left="720" w:hanging="360"/>
      </w:pPr>
      <w:rPr>
        <w:rFonts w:cs="Times New Roman"/>
      </w:rPr>
    </w:lvl>
    <w:lvl w:ilvl="1" w:tplc="61D8153E" w:tentative="1">
      <w:start w:val="1"/>
      <w:numFmt w:val="lowerLetter"/>
      <w:lvlText w:val="%2."/>
      <w:lvlJc w:val="left"/>
      <w:pPr>
        <w:ind w:left="1440" w:hanging="360"/>
      </w:pPr>
      <w:rPr>
        <w:rFonts w:cs="Times New Roman"/>
      </w:rPr>
    </w:lvl>
    <w:lvl w:ilvl="2" w:tplc="3ADEEA9C" w:tentative="1">
      <w:start w:val="1"/>
      <w:numFmt w:val="lowerRoman"/>
      <w:lvlText w:val="%3."/>
      <w:lvlJc w:val="right"/>
      <w:pPr>
        <w:ind w:left="2160" w:hanging="180"/>
      </w:pPr>
      <w:rPr>
        <w:rFonts w:cs="Times New Roman"/>
      </w:rPr>
    </w:lvl>
    <w:lvl w:ilvl="3" w:tplc="F3B85988" w:tentative="1">
      <w:start w:val="1"/>
      <w:numFmt w:val="decimal"/>
      <w:lvlText w:val="%4."/>
      <w:lvlJc w:val="left"/>
      <w:pPr>
        <w:ind w:left="2880" w:hanging="360"/>
      </w:pPr>
      <w:rPr>
        <w:rFonts w:cs="Times New Roman"/>
      </w:rPr>
    </w:lvl>
    <w:lvl w:ilvl="4" w:tplc="27B26496" w:tentative="1">
      <w:start w:val="1"/>
      <w:numFmt w:val="lowerLetter"/>
      <w:lvlText w:val="%5."/>
      <w:lvlJc w:val="left"/>
      <w:pPr>
        <w:ind w:left="3600" w:hanging="360"/>
      </w:pPr>
      <w:rPr>
        <w:rFonts w:cs="Times New Roman"/>
      </w:rPr>
    </w:lvl>
    <w:lvl w:ilvl="5" w:tplc="52C844F0" w:tentative="1">
      <w:start w:val="1"/>
      <w:numFmt w:val="lowerRoman"/>
      <w:lvlText w:val="%6."/>
      <w:lvlJc w:val="right"/>
      <w:pPr>
        <w:ind w:left="4320" w:hanging="180"/>
      </w:pPr>
      <w:rPr>
        <w:rFonts w:cs="Times New Roman"/>
      </w:rPr>
    </w:lvl>
    <w:lvl w:ilvl="6" w:tplc="FF0C2320" w:tentative="1">
      <w:start w:val="1"/>
      <w:numFmt w:val="decimal"/>
      <w:lvlText w:val="%7."/>
      <w:lvlJc w:val="left"/>
      <w:pPr>
        <w:ind w:left="5040" w:hanging="360"/>
      </w:pPr>
      <w:rPr>
        <w:rFonts w:cs="Times New Roman"/>
      </w:rPr>
    </w:lvl>
    <w:lvl w:ilvl="7" w:tplc="DCC2BE22" w:tentative="1">
      <w:start w:val="1"/>
      <w:numFmt w:val="lowerLetter"/>
      <w:lvlText w:val="%8."/>
      <w:lvlJc w:val="left"/>
      <w:pPr>
        <w:ind w:left="5760" w:hanging="360"/>
      </w:pPr>
      <w:rPr>
        <w:rFonts w:cs="Times New Roman"/>
      </w:rPr>
    </w:lvl>
    <w:lvl w:ilvl="8" w:tplc="D904FD4A" w:tentative="1">
      <w:start w:val="1"/>
      <w:numFmt w:val="lowerRoman"/>
      <w:lvlText w:val="%9."/>
      <w:lvlJc w:val="right"/>
      <w:pPr>
        <w:ind w:left="6480" w:hanging="180"/>
      </w:pPr>
      <w:rPr>
        <w:rFonts w:cs="Times New Roman"/>
      </w:rPr>
    </w:lvl>
  </w:abstractNum>
  <w:abstractNum w:abstractNumId="33">
    <w:nsid w:val="541B5041"/>
    <w:multiLevelType w:val="hybridMultilevel"/>
    <w:tmpl w:val="CE1ECE1C"/>
    <w:lvl w:ilvl="0" w:tplc="3E362F8E">
      <w:start w:val="1"/>
      <w:numFmt w:val="bullet"/>
      <w:lvlText w:val=""/>
      <w:lvlJc w:val="left"/>
      <w:pPr>
        <w:ind w:left="360" w:hanging="360"/>
      </w:pPr>
      <w:rPr>
        <w:rFonts w:ascii="Symbol" w:hAnsi="Symbol" w:hint="default"/>
      </w:rPr>
    </w:lvl>
    <w:lvl w:ilvl="1" w:tplc="7D7445A8">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598A5214"/>
    <w:multiLevelType w:val="hybridMultilevel"/>
    <w:tmpl w:val="7884C832"/>
    <w:lvl w:ilvl="0" w:tplc="9586D7A6">
      <w:start w:val="1"/>
      <w:numFmt w:val="decimal"/>
      <w:pStyle w:val="TableNumberList"/>
      <w:lvlText w:val="%1."/>
      <w:lvlJc w:val="left"/>
      <w:pPr>
        <w:ind w:left="36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5">
    <w:nsid w:val="5F5A442B"/>
    <w:multiLevelType w:val="hybridMultilevel"/>
    <w:tmpl w:val="AB58CEFE"/>
    <w:lvl w:ilvl="0" w:tplc="27C28EE2">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4707242"/>
    <w:multiLevelType w:val="hybridMultilevel"/>
    <w:tmpl w:val="1CD807B4"/>
    <w:lvl w:ilvl="0" w:tplc="07522316">
      <w:start w:val="1"/>
      <w:numFmt w:val="bullet"/>
      <w:pStyle w:val="Bullets"/>
      <w:lvlText w:val=""/>
      <w:lvlJc w:val="left"/>
      <w:pPr>
        <w:tabs>
          <w:tab w:val="num" w:pos="284"/>
        </w:tabs>
        <w:ind w:left="284" w:hanging="284"/>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nsid w:val="66C55035"/>
    <w:multiLevelType w:val="hybridMultilevel"/>
    <w:tmpl w:val="55C6E97A"/>
    <w:lvl w:ilvl="0" w:tplc="0409000F">
      <w:start w:val="1"/>
      <w:numFmt w:val="bullet"/>
      <w:pStyle w:val="TableBullet"/>
      <w:lvlText w:val="›"/>
      <w:lvlJc w:val="left"/>
      <w:pPr>
        <w:ind w:left="360" w:hanging="360"/>
      </w:pPr>
      <w:rPr>
        <w:rFonts w:ascii="Times New Roman" w:hAnsi="Times New Roman" w:hint="default"/>
        <w:color w:val="auto"/>
        <w:spacing w:val="0"/>
        <w:w w:val="100"/>
        <w:position w:val="3"/>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68F715BF"/>
    <w:multiLevelType w:val="hybridMultilevel"/>
    <w:tmpl w:val="163A05E4"/>
    <w:lvl w:ilvl="0" w:tplc="121CFD5A">
      <w:start w:val="1"/>
      <w:numFmt w:val="bullet"/>
      <w:pStyle w:val="Textbox8ptbullts"/>
      <w:lvlText w:val=""/>
      <w:lvlJc w:val="left"/>
      <w:pPr>
        <w:tabs>
          <w:tab w:val="num" w:pos="170"/>
        </w:tabs>
        <w:ind w:left="170" w:hanging="17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636211"/>
    <w:multiLevelType w:val="hybridMultilevel"/>
    <w:tmpl w:val="E61ED16C"/>
    <w:lvl w:ilvl="0" w:tplc="7848D426">
      <w:start w:val="1"/>
      <w:numFmt w:val="bullet"/>
      <w:lvlText w:val=""/>
      <w:lvlJc w:val="left"/>
      <w:pPr>
        <w:ind w:left="677" w:hanging="360"/>
      </w:pPr>
      <w:rPr>
        <w:rFonts w:ascii="Symbol" w:hAnsi="Symbol" w:hint="default"/>
      </w:rPr>
    </w:lvl>
    <w:lvl w:ilvl="1" w:tplc="DD1C3B26">
      <w:start w:val="1"/>
      <w:numFmt w:val="bullet"/>
      <w:pStyle w:val="Tablebullets2"/>
      <w:lvlText w:val="o"/>
      <w:lvlJc w:val="left"/>
      <w:pPr>
        <w:ind w:left="1440" w:hanging="360"/>
      </w:pPr>
      <w:rPr>
        <w:rFonts w:ascii="Courier New" w:hAnsi="Courier New" w:hint="default"/>
      </w:rPr>
    </w:lvl>
    <w:lvl w:ilvl="2" w:tplc="99748D30" w:tentative="1">
      <w:start w:val="1"/>
      <w:numFmt w:val="bullet"/>
      <w:lvlText w:val=""/>
      <w:lvlJc w:val="left"/>
      <w:pPr>
        <w:ind w:left="2160" w:hanging="360"/>
      </w:pPr>
      <w:rPr>
        <w:rFonts w:ascii="Wingdings" w:hAnsi="Wingdings" w:hint="default"/>
      </w:rPr>
    </w:lvl>
    <w:lvl w:ilvl="3" w:tplc="0DF60BFA" w:tentative="1">
      <w:start w:val="1"/>
      <w:numFmt w:val="bullet"/>
      <w:lvlText w:val=""/>
      <w:lvlJc w:val="left"/>
      <w:pPr>
        <w:ind w:left="2880" w:hanging="360"/>
      </w:pPr>
      <w:rPr>
        <w:rFonts w:ascii="Symbol" w:hAnsi="Symbol" w:hint="default"/>
      </w:rPr>
    </w:lvl>
    <w:lvl w:ilvl="4" w:tplc="DD4E902C" w:tentative="1">
      <w:start w:val="1"/>
      <w:numFmt w:val="bullet"/>
      <w:lvlText w:val="o"/>
      <w:lvlJc w:val="left"/>
      <w:pPr>
        <w:ind w:left="3600" w:hanging="360"/>
      </w:pPr>
      <w:rPr>
        <w:rFonts w:ascii="Courier New" w:hAnsi="Courier New" w:hint="default"/>
      </w:rPr>
    </w:lvl>
    <w:lvl w:ilvl="5" w:tplc="64B02D42" w:tentative="1">
      <w:start w:val="1"/>
      <w:numFmt w:val="bullet"/>
      <w:lvlText w:val=""/>
      <w:lvlJc w:val="left"/>
      <w:pPr>
        <w:ind w:left="4320" w:hanging="360"/>
      </w:pPr>
      <w:rPr>
        <w:rFonts w:ascii="Wingdings" w:hAnsi="Wingdings" w:hint="default"/>
      </w:rPr>
    </w:lvl>
    <w:lvl w:ilvl="6" w:tplc="88A247DA" w:tentative="1">
      <w:start w:val="1"/>
      <w:numFmt w:val="bullet"/>
      <w:lvlText w:val=""/>
      <w:lvlJc w:val="left"/>
      <w:pPr>
        <w:ind w:left="5040" w:hanging="360"/>
      </w:pPr>
      <w:rPr>
        <w:rFonts w:ascii="Symbol" w:hAnsi="Symbol" w:hint="default"/>
      </w:rPr>
    </w:lvl>
    <w:lvl w:ilvl="7" w:tplc="01FC8B3C" w:tentative="1">
      <w:start w:val="1"/>
      <w:numFmt w:val="bullet"/>
      <w:lvlText w:val="o"/>
      <w:lvlJc w:val="left"/>
      <w:pPr>
        <w:ind w:left="5760" w:hanging="360"/>
      </w:pPr>
      <w:rPr>
        <w:rFonts w:ascii="Courier New" w:hAnsi="Courier New" w:hint="default"/>
      </w:rPr>
    </w:lvl>
    <w:lvl w:ilvl="8" w:tplc="0FF81D96" w:tentative="1">
      <w:start w:val="1"/>
      <w:numFmt w:val="bullet"/>
      <w:lvlText w:val=""/>
      <w:lvlJc w:val="left"/>
      <w:pPr>
        <w:ind w:left="6480" w:hanging="360"/>
      </w:pPr>
      <w:rPr>
        <w:rFonts w:ascii="Wingdings" w:hAnsi="Wingdings" w:hint="default"/>
      </w:rPr>
    </w:lvl>
  </w:abstractNum>
  <w:abstractNum w:abstractNumId="40">
    <w:nsid w:val="70BB088E"/>
    <w:multiLevelType w:val="hybridMultilevel"/>
    <w:tmpl w:val="5076440C"/>
    <w:lvl w:ilvl="0" w:tplc="6660D37E">
      <w:start w:val="1"/>
      <w:numFmt w:val="decimal"/>
      <w:pStyle w:val="Bulletnumbered"/>
      <w:lvlText w:val="%1."/>
      <w:lvlJc w:val="left"/>
      <w:pPr>
        <w:tabs>
          <w:tab w:val="num" w:pos="360"/>
        </w:tabs>
        <w:ind w:left="360" w:hanging="360"/>
      </w:pPr>
      <w:rPr>
        <w:rFonts w:ascii="Calibri" w:hAnsi="Calibri" w:cs="Times New Roman" w:hint="default"/>
        <w:color w:val="auto"/>
        <w:position w:val="3"/>
        <w:sz w:val="20"/>
        <w:szCs w:val="20"/>
      </w:rPr>
    </w:lvl>
    <w:lvl w:ilvl="1" w:tplc="04090003">
      <w:start w:val="1"/>
      <w:numFmt w:val="lowerLetter"/>
      <w:lvlText w:val="%2."/>
      <w:lvlJc w:val="left"/>
      <w:pPr>
        <w:ind w:left="1440" w:hanging="360"/>
      </w:pPr>
      <w:rPr>
        <w:rFonts w:cs="Times New Roman" w:hint="default"/>
        <w:color w:val="auto"/>
        <w:position w:val="3"/>
        <w:sz w:val="20"/>
        <w:szCs w:val="20"/>
      </w:rPr>
    </w:lvl>
    <w:lvl w:ilvl="2" w:tplc="E8303D0C">
      <w:start w:val="1"/>
      <w:numFmt w:val="lowerLetter"/>
      <w:pStyle w:val="Bulletnumberedindented"/>
      <w:lvlText w:val="(%3)"/>
      <w:lvlJc w:val="left"/>
      <w:pPr>
        <w:tabs>
          <w:tab w:val="num" w:pos="2160"/>
        </w:tabs>
        <w:ind w:left="2160" w:hanging="36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446737D"/>
    <w:multiLevelType w:val="hybridMultilevel"/>
    <w:tmpl w:val="793C6E72"/>
    <w:lvl w:ilvl="0" w:tplc="ABA08344">
      <w:start w:val="1"/>
      <w:numFmt w:val="lowerRoman"/>
      <w:pStyle w:val="RecommendationTextnumbered"/>
      <w:lvlText w:val="%1."/>
      <w:lvlJc w:val="left"/>
      <w:pPr>
        <w:tabs>
          <w:tab w:val="num" w:pos="360"/>
        </w:tabs>
        <w:ind w:left="360" w:hanging="360"/>
      </w:pPr>
      <w:rPr>
        <w:rFonts w:cs="Times New Roman" w:hint="default"/>
      </w:rPr>
    </w:lvl>
    <w:lvl w:ilvl="1" w:tplc="B4968FD8" w:tentative="1">
      <w:start w:val="1"/>
      <w:numFmt w:val="lowerLetter"/>
      <w:lvlText w:val="%2."/>
      <w:lvlJc w:val="left"/>
      <w:pPr>
        <w:tabs>
          <w:tab w:val="num" w:pos="1080"/>
        </w:tabs>
        <w:ind w:left="1080" w:hanging="360"/>
      </w:pPr>
      <w:rPr>
        <w:rFonts w:cs="Times New Roman"/>
      </w:rPr>
    </w:lvl>
    <w:lvl w:ilvl="2" w:tplc="04090005" w:tentative="1">
      <w:start w:val="1"/>
      <w:numFmt w:val="lowerRoman"/>
      <w:lvlText w:val="%3."/>
      <w:lvlJc w:val="right"/>
      <w:pPr>
        <w:tabs>
          <w:tab w:val="num" w:pos="1800"/>
        </w:tabs>
        <w:ind w:left="1800" w:hanging="180"/>
      </w:pPr>
      <w:rPr>
        <w:rFonts w:cs="Times New Roman"/>
      </w:rPr>
    </w:lvl>
    <w:lvl w:ilvl="3" w:tplc="04090001" w:tentative="1">
      <w:start w:val="1"/>
      <w:numFmt w:val="decimal"/>
      <w:lvlText w:val="%4."/>
      <w:lvlJc w:val="left"/>
      <w:pPr>
        <w:tabs>
          <w:tab w:val="num" w:pos="2520"/>
        </w:tabs>
        <w:ind w:left="2520" w:hanging="360"/>
      </w:pPr>
      <w:rPr>
        <w:rFonts w:cs="Times New Roman"/>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42">
    <w:nsid w:val="77E5604B"/>
    <w:multiLevelType w:val="hybridMultilevel"/>
    <w:tmpl w:val="0BB80B08"/>
    <w:lvl w:ilvl="0" w:tplc="184A1EB6">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8E81FDC"/>
    <w:multiLevelType w:val="hybridMultilevel"/>
    <w:tmpl w:val="D5C698E8"/>
    <w:lvl w:ilvl="0" w:tplc="60D2D89E">
      <w:start w:val="1"/>
      <w:numFmt w:val="bullet"/>
      <w:pStyle w:val="BulletBeforeDash"/>
      <w:lvlText w:val="•"/>
      <w:lvlJc w:val="left"/>
      <w:pPr>
        <w:tabs>
          <w:tab w:val="num" w:pos="360"/>
        </w:tabs>
        <w:ind w:left="360" w:hanging="360"/>
      </w:pPr>
      <w:rPr>
        <w:rFonts w:hint="default"/>
      </w:rPr>
    </w:lvl>
    <w:lvl w:ilvl="1" w:tplc="735290F6">
      <w:start w:val="1"/>
      <w:numFmt w:val="bullet"/>
      <w:lvlText w:val="o"/>
      <w:lvlJc w:val="left"/>
      <w:pPr>
        <w:tabs>
          <w:tab w:val="num" w:pos="1440"/>
        </w:tabs>
        <w:ind w:left="1440" w:hanging="360"/>
      </w:pPr>
      <w:rPr>
        <w:rFonts w:ascii="Courier New" w:hAnsi="Courier New" w:hint="default"/>
      </w:rPr>
    </w:lvl>
    <w:lvl w:ilvl="2" w:tplc="AECA0046"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7BB92AF2"/>
    <w:multiLevelType w:val="hybridMultilevel"/>
    <w:tmpl w:val="6FDA6B5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5">
    <w:nsid w:val="7BE13991"/>
    <w:multiLevelType w:val="hybridMultilevel"/>
    <w:tmpl w:val="489C0996"/>
    <w:lvl w:ilvl="0" w:tplc="0C09001B">
      <w:start w:val="1"/>
      <w:numFmt w:val="lowerRoman"/>
      <w:lvlText w:val="%1."/>
      <w:lvlJc w:val="right"/>
      <w:pPr>
        <w:ind w:left="1854" w:hanging="360"/>
      </w:pPr>
      <w:rPr>
        <w:rFonts w:cs="Times New Roman"/>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46">
    <w:nsid w:val="7C691500"/>
    <w:multiLevelType w:val="multilevel"/>
    <w:tmpl w:val="F3801740"/>
    <w:lvl w:ilvl="0">
      <w:start w:val="1"/>
      <w:numFmt w:val="decimal"/>
      <w:pStyle w:val="Attachmentheading1"/>
      <w:lvlText w:val="Attachment %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nsid w:val="7F7A528B"/>
    <w:multiLevelType w:val="hybridMultilevel"/>
    <w:tmpl w:val="40044598"/>
    <w:lvl w:ilvl="0" w:tplc="FFFFFFFF">
      <w:start w:val="1"/>
      <w:numFmt w:val="bullet"/>
      <w:pStyle w:val="Bullet"/>
      <w:lvlText w:val="›"/>
      <w:lvlJc w:val="left"/>
      <w:pPr>
        <w:ind w:left="360" w:hanging="360"/>
      </w:pPr>
      <w:rPr>
        <w:rFonts w:ascii="Times New Roman" w:hAnsi="Times New Roman" w:hint="default"/>
        <w:color w:val="auto"/>
        <w:position w:val="3"/>
      </w:rPr>
    </w:lvl>
    <w:lvl w:ilvl="1" w:tplc="3C76F0A2">
      <w:start w:val="1"/>
      <w:numFmt w:val="bullet"/>
      <w:pStyle w:val="Bulletinden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10"/>
  </w:num>
  <w:num w:numId="4">
    <w:abstractNumId w:val="24"/>
  </w:num>
  <w:num w:numId="5">
    <w:abstractNumId w:val="32"/>
  </w:num>
  <w:num w:numId="6">
    <w:abstractNumId w:val="2"/>
  </w:num>
  <w:num w:numId="7">
    <w:abstractNumId w:val="13"/>
  </w:num>
  <w:num w:numId="8">
    <w:abstractNumId w:val="47"/>
  </w:num>
  <w:num w:numId="9">
    <w:abstractNumId w:val="37"/>
  </w:num>
  <w:num w:numId="10">
    <w:abstractNumId w:val="7"/>
  </w:num>
  <w:num w:numId="11">
    <w:abstractNumId w:val="34"/>
  </w:num>
  <w:num w:numId="12">
    <w:abstractNumId w:val="11"/>
  </w:num>
  <w:num w:numId="13">
    <w:abstractNumId w:val="36"/>
  </w:num>
  <w:num w:numId="14">
    <w:abstractNumId w:val="43"/>
  </w:num>
  <w:num w:numId="15">
    <w:abstractNumId w:val="27"/>
  </w:num>
  <w:num w:numId="16">
    <w:abstractNumId w:val="9"/>
  </w:num>
  <w:num w:numId="17">
    <w:abstractNumId w:val="46"/>
  </w:num>
  <w:num w:numId="18">
    <w:abstractNumId w:val="39"/>
  </w:num>
  <w:num w:numId="19">
    <w:abstractNumId w:val="28"/>
  </w:num>
  <w:num w:numId="20">
    <w:abstractNumId w:val="38"/>
  </w:num>
  <w:num w:numId="21">
    <w:abstractNumId w:val="20"/>
  </w:num>
  <w:num w:numId="22">
    <w:abstractNumId w:val="22"/>
  </w:num>
  <w:num w:numId="23">
    <w:abstractNumId w:val="14"/>
  </w:num>
  <w:num w:numId="24">
    <w:abstractNumId w:val="31"/>
  </w:num>
  <w:num w:numId="25">
    <w:abstractNumId w:val="21"/>
  </w:num>
  <w:num w:numId="26">
    <w:abstractNumId w:val="8"/>
  </w:num>
  <w:num w:numId="27">
    <w:abstractNumId w:val="30"/>
  </w:num>
  <w:num w:numId="28">
    <w:abstractNumId w:val="3"/>
  </w:num>
  <w:num w:numId="29">
    <w:abstractNumId w:val="18"/>
  </w:num>
  <w:num w:numId="30">
    <w:abstractNumId w:val="1"/>
  </w:num>
  <w:num w:numId="31">
    <w:abstractNumId w:val="40"/>
  </w:num>
  <w:num w:numId="32">
    <w:abstractNumId w:val="41"/>
  </w:num>
  <w:num w:numId="33">
    <w:abstractNumId w:val="15"/>
  </w:num>
  <w:num w:numId="34">
    <w:abstractNumId w:val="29"/>
  </w:num>
  <w:num w:numId="35">
    <w:abstractNumId w:val="44"/>
  </w:num>
  <w:num w:numId="36">
    <w:abstractNumId w:val="6"/>
  </w:num>
  <w:num w:numId="37">
    <w:abstractNumId w:val="17"/>
  </w:num>
  <w:num w:numId="38">
    <w:abstractNumId w:val="25"/>
  </w:num>
  <w:num w:numId="39">
    <w:abstractNumId w:val="33"/>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35"/>
  </w:num>
  <w:num w:numId="43">
    <w:abstractNumId w:val="26"/>
  </w:num>
  <w:num w:numId="44">
    <w:abstractNumId w:val="19"/>
  </w:num>
  <w:num w:numId="45">
    <w:abstractNumId w:val="45"/>
  </w:num>
  <w:num w:numId="46">
    <w:abstractNumId w:val="42"/>
  </w:num>
  <w:num w:numId="47">
    <w:abstractNumId w:val="23"/>
  </w:num>
  <w:num w:numId="48">
    <w:abstractNumId w:val="12"/>
  </w:num>
  <w:num w:numId="49">
    <w:abstractNumId w:val="47"/>
  </w:num>
  <w:num w:numId="50">
    <w:abstractNumId w:val="47"/>
  </w:num>
  <w:num w:numId="51">
    <w:abstractNumId w:val="47"/>
  </w:num>
  <w:num w:numId="52">
    <w:abstractNumId w:val="3"/>
  </w:num>
  <w:num w:numId="53">
    <w:abstractNumId w:val="3"/>
  </w:num>
  <w:num w:numId="54">
    <w:abstractNumId w:val="17"/>
    <w:lvlOverride w:ilvl="0">
      <w:startOverride w:val="1"/>
    </w:lvlOverride>
  </w:num>
  <w:num w:numId="55">
    <w:abstractNumId w:val="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BE4"/>
    <w:rsid w:val="00000A87"/>
    <w:rsid w:val="00000BC0"/>
    <w:rsid w:val="00000C89"/>
    <w:rsid w:val="0000226F"/>
    <w:rsid w:val="00002B6A"/>
    <w:rsid w:val="00004CEA"/>
    <w:rsid w:val="000054A3"/>
    <w:rsid w:val="00005C19"/>
    <w:rsid w:val="00006333"/>
    <w:rsid w:val="00006D92"/>
    <w:rsid w:val="00007530"/>
    <w:rsid w:val="00010AB2"/>
    <w:rsid w:val="000110E0"/>
    <w:rsid w:val="0001118E"/>
    <w:rsid w:val="000114FC"/>
    <w:rsid w:val="00012D7C"/>
    <w:rsid w:val="00013A29"/>
    <w:rsid w:val="000146EC"/>
    <w:rsid w:val="000157AD"/>
    <w:rsid w:val="00015C2C"/>
    <w:rsid w:val="00020488"/>
    <w:rsid w:val="00020AE5"/>
    <w:rsid w:val="00020B29"/>
    <w:rsid w:val="00021BE4"/>
    <w:rsid w:val="00021CB8"/>
    <w:rsid w:val="000222B9"/>
    <w:rsid w:val="000239EB"/>
    <w:rsid w:val="000268A5"/>
    <w:rsid w:val="00026C87"/>
    <w:rsid w:val="00026DD6"/>
    <w:rsid w:val="00026F13"/>
    <w:rsid w:val="00030EEE"/>
    <w:rsid w:val="00030F9D"/>
    <w:rsid w:val="000310D3"/>
    <w:rsid w:val="000323FC"/>
    <w:rsid w:val="0003274B"/>
    <w:rsid w:val="00032893"/>
    <w:rsid w:val="000337E6"/>
    <w:rsid w:val="00035E32"/>
    <w:rsid w:val="000364CE"/>
    <w:rsid w:val="00036671"/>
    <w:rsid w:val="00037D7A"/>
    <w:rsid w:val="00040269"/>
    <w:rsid w:val="00042CC3"/>
    <w:rsid w:val="00043668"/>
    <w:rsid w:val="00043739"/>
    <w:rsid w:val="00044B9D"/>
    <w:rsid w:val="0004599F"/>
    <w:rsid w:val="00047954"/>
    <w:rsid w:val="0005056D"/>
    <w:rsid w:val="000510B7"/>
    <w:rsid w:val="000510F2"/>
    <w:rsid w:val="000526C2"/>
    <w:rsid w:val="00052FF1"/>
    <w:rsid w:val="000532BD"/>
    <w:rsid w:val="000542D9"/>
    <w:rsid w:val="00055EC8"/>
    <w:rsid w:val="00056794"/>
    <w:rsid w:val="00056DE9"/>
    <w:rsid w:val="0006191F"/>
    <w:rsid w:val="00062EB8"/>
    <w:rsid w:val="000631C5"/>
    <w:rsid w:val="00063A2A"/>
    <w:rsid w:val="000715B6"/>
    <w:rsid w:val="00071CBD"/>
    <w:rsid w:val="00071EFD"/>
    <w:rsid w:val="000728B1"/>
    <w:rsid w:val="0007341A"/>
    <w:rsid w:val="00073910"/>
    <w:rsid w:val="00074024"/>
    <w:rsid w:val="00075750"/>
    <w:rsid w:val="0007619D"/>
    <w:rsid w:val="00076265"/>
    <w:rsid w:val="0007738B"/>
    <w:rsid w:val="000803A1"/>
    <w:rsid w:val="00080568"/>
    <w:rsid w:val="00080EA9"/>
    <w:rsid w:val="00081E87"/>
    <w:rsid w:val="00081F27"/>
    <w:rsid w:val="00083B6A"/>
    <w:rsid w:val="00084F3E"/>
    <w:rsid w:val="0008671D"/>
    <w:rsid w:val="00087BD5"/>
    <w:rsid w:val="00087F59"/>
    <w:rsid w:val="00090E4C"/>
    <w:rsid w:val="000921E9"/>
    <w:rsid w:val="00092F71"/>
    <w:rsid w:val="00093724"/>
    <w:rsid w:val="0009476B"/>
    <w:rsid w:val="00094982"/>
    <w:rsid w:val="000949C8"/>
    <w:rsid w:val="00095555"/>
    <w:rsid w:val="00095BA0"/>
    <w:rsid w:val="0009611E"/>
    <w:rsid w:val="00096AA0"/>
    <w:rsid w:val="000975BB"/>
    <w:rsid w:val="00097B53"/>
    <w:rsid w:val="000A0E6F"/>
    <w:rsid w:val="000A1C62"/>
    <w:rsid w:val="000A277E"/>
    <w:rsid w:val="000A35E1"/>
    <w:rsid w:val="000A43EA"/>
    <w:rsid w:val="000A448A"/>
    <w:rsid w:val="000A44FB"/>
    <w:rsid w:val="000A5178"/>
    <w:rsid w:val="000A5E20"/>
    <w:rsid w:val="000B01F8"/>
    <w:rsid w:val="000B12BA"/>
    <w:rsid w:val="000B1AD1"/>
    <w:rsid w:val="000B2449"/>
    <w:rsid w:val="000B257B"/>
    <w:rsid w:val="000B26BA"/>
    <w:rsid w:val="000B42BF"/>
    <w:rsid w:val="000B4D59"/>
    <w:rsid w:val="000B5A3A"/>
    <w:rsid w:val="000B6683"/>
    <w:rsid w:val="000B6BDA"/>
    <w:rsid w:val="000B76F6"/>
    <w:rsid w:val="000C0A59"/>
    <w:rsid w:val="000C10BA"/>
    <w:rsid w:val="000C11A4"/>
    <w:rsid w:val="000C12B2"/>
    <w:rsid w:val="000C285E"/>
    <w:rsid w:val="000C3B81"/>
    <w:rsid w:val="000C609D"/>
    <w:rsid w:val="000C6EAE"/>
    <w:rsid w:val="000D0D28"/>
    <w:rsid w:val="000D290A"/>
    <w:rsid w:val="000D2D6F"/>
    <w:rsid w:val="000D41FB"/>
    <w:rsid w:val="000D4F29"/>
    <w:rsid w:val="000D5560"/>
    <w:rsid w:val="000D5EE5"/>
    <w:rsid w:val="000D6A8A"/>
    <w:rsid w:val="000D6B40"/>
    <w:rsid w:val="000D6D97"/>
    <w:rsid w:val="000D73AD"/>
    <w:rsid w:val="000E03D7"/>
    <w:rsid w:val="000E071C"/>
    <w:rsid w:val="000E18D1"/>
    <w:rsid w:val="000E1D80"/>
    <w:rsid w:val="000E328E"/>
    <w:rsid w:val="000E41E0"/>
    <w:rsid w:val="000E42C3"/>
    <w:rsid w:val="000E529E"/>
    <w:rsid w:val="000E537E"/>
    <w:rsid w:val="000E5951"/>
    <w:rsid w:val="000E6E0A"/>
    <w:rsid w:val="000E6E30"/>
    <w:rsid w:val="000E7481"/>
    <w:rsid w:val="000E78B1"/>
    <w:rsid w:val="000F03AC"/>
    <w:rsid w:val="000F1020"/>
    <w:rsid w:val="000F1027"/>
    <w:rsid w:val="000F1989"/>
    <w:rsid w:val="000F2065"/>
    <w:rsid w:val="000F2C4B"/>
    <w:rsid w:val="000F385B"/>
    <w:rsid w:val="000F4395"/>
    <w:rsid w:val="000F4632"/>
    <w:rsid w:val="000F4D0F"/>
    <w:rsid w:val="000F50F5"/>
    <w:rsid w:val="000F529D"/>
    <w:rsid w:val="000F53B0"/>
    <w:rsid w:val="000F5473"/>
    <w:rsid w:val="000F5838"/>
    <w:rsid w:val="000F6430"/>
    <w:rsid w:val="000F67C7"/>
    <w:rsid w:val="000F6DDC"/>
    <w:rsid w:val="000F733D"/>
    <w:rsid w:val="000F736B"/>
    <w:rsid w:val="000F73DC"/>
    <w:rsid w:val="000F74F2"/>
    <w:rsid w:val="000F7876"/>
    <w:rsid w:val="00100909"/>
    <w:rsid w:val="00101F29"/>
    <w:rsid w:val="00103BE8"/>
    <w:rsid w:val="00104026"/>
    <w:rsid w:val="00104201"/>
    <w:rsid w:val="0010496A"/>
    <w:rsid w:val="00104E39"/>
    <w:rsid w:val="00105326"/>
    <w:rsid w:val="00105C53"/>
    <w:rsid w:val="00105D22"/>
    <w:rsid w:val="00105E90"/>
    <w:rsid w:val="0010740D"/>
    <w:rsid w:val="00107D47"/>
    <w:rsid w:val="00107FE7"/>
    <w:rsid w:val="001148A2"/>
    <w:rsid w:val="00114BAC"/>
    <w:rsid w:val="00115F40"/>
    <w:rsid w:val="001251F2"/>
    <w:rsid w:val="00125331"/>
    <w:rsid w:val="00127531"/>
    <w:rsid w:val="00130179"/>
    <w:rsid w:val="001302A2"/>
    <w:rsid w:val="00130BFF"/>
    <w:rsid w:val="00130DB3"/>
    <w:rsid w:val="001316A8"/>
    <w:rsid w:val="0013208D"/>
    <w:rsid w:val="00132CAC"/>
    <w:rsid w:val="00132DA9"/>
    <w:rsid w:val="001330C7"/>
    <w:rsid w:val="001334E0"/>
    <w:rsid w:val="0013422F"/>
    <w:rsid w:val="001356D3"/>
    <w:rsid w:val="00135C58"/>
    <w:rsid w:val="0013644A"/>
    <w:rsid w:val="001424F5"/>
    <w:rsid w:val="00142919"/>
    <w:rsid w:val="001429F3"/>
    <w:rsid w:val="00143857"/>
    <w:rsid w:val="00144E79"/>
    <w:rsid w:val="00145D0E"/>
    <w:rsid w:val="00145D69"/>
    <w:rsid w:val="00146461"/>
    <w:rsid w:val="001468D8"/>
    <w:rsid w:val="00146F7D"/>
    <w:rsid w:val="0014732E"/>
    <w:rsid w:val="001507DE"/>
    <w:rsid w:val="0015166A"/>
    <w:rsid w:val="00151862"/>
    <w:rsid w:val="00151B3F"/>
    <w:rsid w:val="00152454"/>
    <w:rsid w:val="00152871"/>
    <w:rsid w:val="0015623E"/>
    <w:rsid w:val="0015656F"/>
    <w:rsid w:val="001566C1"/>
    <w:rsid w:val="00160228"/>
    <w:rsid w:val="0016112D"/>
    <w:rsid w:val="001612B4"/>
    <w:rsid w:val="00161B6F"/>
    <w:rsid w:val="00161ED9"/>
    <w:rsid w:val="001622DE"/>
    <w:rsid w:val="0016484B"/>
    <w:rsid w:val="001648EF"/>
    <w:rsid w:val="00165127"/>
    <w:rsid w:val="001653DE"/>
    <w:rsid w:val="001656E0"/>
    <w:rsid w:val="00165A73"/>
    <w:rsid w:val="00165D3E"/>
    <w:rsid w:val="00166274"/>
    <w:rsid w:val="00167C94"/>
    <w:rsid w:val="001705D6"/>
    <w:rsid w:val="00170AEA"/>
    <w:rsid w:val="0017165B"/>
    <w:rsid w:val="00171C59"/>
    <w:rsid w:val="00173491"/>
    <w:rsid w:val="00175694"/>
    <w:rsid w:val="00175C81"/>
    <w:rsid w:val="00175F85"/>
    <w:rsid w:val="0017783A"/>
    <w:rsid w:val="00180000"/>
    <w:rsid w:val="001812CC"/>
    <w:rsid w:val="00181E51"/>
    <w:rsid w:val="00183B09"/>
    <w:rsid w:val="00183CE4"/>
    <w:rsid w:val="0018429E"/>
    <w:rsid w:val="0018497C"/>
    <w:rsid w:val="00184EF6"/>
    <w:rsid w:val="00185809"/>
    <w:rsid w:val="001859CF"/>
    <w:rsid w:val="00186030"/>
    <w:rsid w:val="001863B5"/>
    <w:rsid w:val="00192F6A"/>
    <w:rsid w:val="00193924"/>
    <w:rsid w:val="00194053"/>
    <w:rsid w:val="0019576E"/>
    <w:rsid w:val="00195EB6"/>
    <w:rsid w:val="001965C1"/>
    <w:rsid w:val="00197417"/>
    <w:rsid w:val="001A2481"/>
    <w:rsid w:val="001A2583"/>
    <w:rsid w:val="001A2CB7"/>
    <w:rsid w:val="001A31EC"/>
    <w:rsid w:val="001A3794"/>
    <w:rsid w:val="001A48C1"/>
    <w:rsid w:val="001A4A1C"/>
    <w:rsid w:val="001A53AA"/>
    <w:rsid w:val="001A629F"/>
    <w:rsid w:val="001A66B1"/>
    <w:rsid w:val="001A6E86"/>
    <w:rsid w:val="001A6F34"/>
    <w:rsid w:val="001A7A59"/>
    <w:rsid w:val="001B0864"/>
    <w:rsid w:val="001B4530"/>
    <w:rsid w:val="001B454D"/>
    <w:rsid w:val="001B736D"/>
    <w:rsid w:val="001C17A7"/>
    <w:rsid w:val="001C1C34"/>
    <w:rsid w:val="001C276F"/>
    <w:rsid w:val="001C2A1A"/>
    <w:rsid w:val="001C351D"/>
    <w:rsid w:val="001C5FF4"/>
    <w:rsid w:val="001D1123"/>
    <w:rsid w:val="001D1336"/>
    <w:rsid w:val="001D17DD"/>
    <w:rsid w:val="001D1D18"/>
    <w:rsid w:val="001D3BB2"/>
    <w:rsid w:val="001D4A4B"/>
    <w:rsid w:val="001D4D1F"/>
    <w:rsid w:val="001D5203"/>
    <w:rsid w:val="001D555E"/>
    <w:rsid w:val="001D72D1"/>
    <w:rsid w:val="001D72EE"/>
    <w:rsid w:val="001D7DFF"/>
    <w:rsid w:val="001E0A7C"/>
    <w:rsid w:val="001E11C4"/>
    <w:rsid w:val="001E259C"/>
    <w:rsid w:val="001E5A45"/>
    <w:rsid w:val="001E666C"/>
    <w:rsid w:val="001E6CDC"/>
    <w:rsid w:val="001F05D0"/>
    <w:rsid w:val="001F1237"/>
    <w:rsid w:val="001F19E4"/>
    <w:rsid w:val="001F1ECC"/>
    <w:rsid w:val="001F2FB6"/>
    <w:rsid w:val="001F37AB"/>
    <w:rsid w:val="001F6288"/>
    <w:rsid w:val="001F6876"/>
    <w:rsid w:val="001F7BD1"/>
    <w:rsid w:val="002004CB"/>
    <w:rsid w:val="00200809"/>
    <w:rsid w:val="00200B99"/>
    <w:rsid w:val="00200F04"/>
    <w:rsid w:val="00201707"/>
    <w:rsid w:val="0020319C"/>
    <w:rsid w:val="0020337D"/>
    <w:rsid w:val="002034B7"/>
    <w:rsid w:val="00203E0D"/>
    <w:rsid w:val="002057DE"/>
    <w:rsid w:val="00211B23"/>
    <w:rsid w:val="00211F2D"/>
    <w:rsid w:val="00212891"/>
    <w:rsid w:val="00215CAA"/>
    <w:rsid w:val="002165FE"/>
    <w:rsid w:val="00221B46"/>
    <w:rsid w:val="0022207A"/>
    <w:rsid w:val="00223521"/>
    <w:rsid w:val="002246BD"/>
    <w:rsid w:val="00224C06"/>
    <w:rsid w:val="00226739"/>
    <w:rsid w:val="002279B8"/>
    <w:rsid w:val="00227B84"/>
    <w:rsid w:val="00230737"/>
    <w:rsid w:val="00230DD1"/>
    <w:rsid w:val="002315BF"/>
    <w:rsid w:val="00233A5E"/>
    <w:rsid w:val="00233AE7"/>
    <w:rsid w:val="002341C4"/>
    <w:rsid w:val="00235944"/>
    <w:rsid w:val="00235C08"/>
    <w:rsid w:val="00235F39"/>
    <w:rsid w:val="00237B6B"/>
    <w:rsid w:val="00240544"/>
    <w:rsid w:val="00240A71"/>
    <w:rsid w:val="00240E75"/>
    <w:rsid w:val="002410EC"/>
    <w:rsid w:val="00241D0B"/>
    <w:rsid w:val="00242E4C"/>
    <w:rsid w:val="00243242"/>
    <w:rsid w:val="002443DC"/>
    <w:rsid w:val="0024473A"/>
    <w:rsid w:val="0024517A"/>
    <w:rsid w:val="00245587"/>
    <w:rsid w:val="00247061"/>
    <w:rsid w:val="002500BF"/>
    <w:rsid w:val="002502DF"/>
    <w:rsid w:val="002503C5"/>
    <w:rsid w:val="002506AA"/>
    <w:rsid w:val="002518F9"/>
    <w:rsid w:val="00251F44"/>
    <w:rsid w:val="002534E9"/>
    <w:rsid w:val="00253540"/>
    <w:rsid w:val="00254849"/>
    <w:rsid w:val="00254954"/>
    <w:rsid w:val="002556BD"/>
    <w:rsid w:val="00255C82"/>
    <w:rsid w:val="002613FA"/>
    <w:rsid w:val="00262180"/>
    <w:rsid w:val="002621ED"/>
    <w:rsid w:val="00262912"/>
    <w:rsid w:val="00262FA6"/>
    <w:rsid w:val="002633AD"/>
    <w:rsid w:val="002644A0"/>
    <w:rsid w:val="00264DB8"/>
    <w:rsid w:val="00265249"/>
    <w:rsid w:val="00265C36"/>
    <w:rsid w:val="00266107"/>
    <w:rsid w:val="00266620"/>
    <w:rsid w:val="0026723B"/>
    <w:rsid w:val="0026742C"/>
    <w:rsid w:val="002674E5"/>
    <w:rsid w:val="00267534"/>
    <w:rsid w:val="002702A4"/>
    <w:rsid w:val="002702B7"/>
    <w:rsid w:val="00271B40"/>
    <w:rsid w:val="00273B20"/>
    <w:rsid w:val="00274172"/>
    <w:rsid w:val="002768E2"/>
    <w:rsid w:val="002770DC"/>
    <w:rsid w:val="00277ABC"/>
    <w:rsid w:val="00281142"/>
    <w:rsid w:val="00281223"/>
    <w:rsid w:val="00281461"/>
    <w:rsid w:val="00282197"/>
    <w:rsid w:val="002821F7"/>
    <w:rsid w:val="00282227"/>
    <w:rsid w:val="002823E8"/>
    <w:rsid w:val="00282A8B"/>
    <w:rsid w:val="00284611"/>
    <w:rsid w:val="00284F00"/>
    <w:rsid w:val="002857E4"/>
    <w:rsid w:val="0028625F"/>
    <w:rsid w:val="00286A0D"/>
    <w:rsid w:val="00287681"/>
    <w:rsid w:val="00291ADC"/>
    <w:rsid w:val="00291B04"/>
    <w:rsid w:val="002928FF"/>
    <w:rsid w:val="0029345F"/>
    <w:rsid w:val="0029476C"/>
    <w:rsid w:val="002950A9"/>
    <w:rsid w:val="00296011"/>
    <w:rsid w:val="00296C3F"/>
    <w:rsid w:val="00296C98"/>
    <w:rsid w:val="00297DCE"/>
    <w:rsid w:val="002A0E1F"/>
    <w:rsid w:val="002A3BD3"/>
    <w:rsid w:val="002A3F65"/>
    <w:rsid w:val="002A40FF"/>
    <w:rsid w:val="002A4C79"/>
    <w:rsid w:val="002A6710"/>
    <w:rsid w:val="002A67CD"/>
    <w:rsid w:val="002A6FD8"/>
    <w:rsid w:val="002A72C7"/>
    <w:rsid w:val="002B2A2C"/>
    <w:rsid w:val="002B319A"/>
    <w:rsid w:val="002B369B"/>
    <w:rsid w:val="002B3F61"/>
    <w:rsid w:val="002B502F"/>
    <w:rsid w:val="002B5E27"/>
    <w:rsid w:val="002B68DB"/>
    <w:rsid w:val="002B6C06"/>
    <w:rsid w:val="002C037E"/>
    <w:rsid w:val="002C07F6"/>
    <w:rsid w:val="002C0A04"/>
    <w:rsid w:val="002C0B64"/>
    <w:rsid w:val="002C0D25"/>
    <w:rsid w:val="002C19BF"/>
    <w:rsid w:val="002C3F92"/>
    <w:rsid w:val="002C4A81"/>
    <w:rsid w:val="002C535B"/>
    <w:rsid w:val="002C5A91"/>
    <w:rsid w:val="002C61F5"/>
    <w:rsid w:val="002C71F3"/>
    <w:rsid w:val="002C7415"/>
    <w:rsid w:val="002C777E"/>
    <w:rsid w:val="002D0313"/>
    <w:rsid w:val="002D0644"/>
    <w:rsid w:val="002D0691"/>
    <w:rsid w:val="002D40BB"/>
    <w:rsid w:val="002D53DF"/>
    <w:rsid w:val="002D5AF8"/>
    <w:rsid w:val="002D5EAA"/>
    <w:rsid w:val="002D6074"/>
    <w:rsid w:val="002E04AF"/>
    <w:rsid w:val="002E1045"/>
    <w:rsid w:val="002E1C12"/>
    <w:rsid w:val="002E1E1C"/>
    <w:rsid w:val="002E2F0A"/>
    <w:rsid w:val="002E4815"/>
    <w:rsid w:val="002E6060"/>
    <w:rsid w:val="002E6239"/>
    <w:rsid w:val="002E7615"/>
    <w:rsid w:val="002F0F07"/>
    <w:rsid w:val="002F28BF"/>
    <w:rsid w:val="002F2DB2"/>
    <w:rsid w:val="002F3B3A"/>
    <w:rsid w:val="002F5DCE"/>
    <w:rsid w:val="002F6038"/>
    <w:rsid w:val="002F6212"/>
    <w:rsid w:val="002F6316"/>
    <w:rsid w:val="002F660D"/>
    <w:rsid w:val="002F6731"/>
    <w:rsid w:val="002F7C43"/>
    <w:rsid w:val="002F7E85"/>
    <w:rsid w:val="003001F7"/>
    <w:rsid w:val="00300365"/>
    <w:rsid w:val="003005C3"/>
    <w:rsid w:val="003007AE"/>
    <w:rsid w:val="00300B63"/>
    <w:rsid w:val="003029B9"/>
    <w:rsid w:val="00302D2E"/>
    <w:rsid w:val="00303359"/>
    <w:rsid w:val="00304201"/>
    <w:rsid w:val="0030484D"/>
    <w:rsid w:val="0030495F"/>
    <w:rsid w:val="00304A5B"/>
    <w:rsid w:val="00306A73"/>
    <w:rsid w:val="003071CE"/>
    <w:rsid w:val="00307EBE"/>
    <w:rsid w:val="00311211"/>
    <w:rsid w:val="00312F7A"/>
    <w:rsid w:val="0031442A"/>
    <w:rsid w:val="0031497C"/>
    <w:rsid w:val="003160B0"/>
    <w:rsid w:val="00316C6B"/>
    <w:rsid w:val="00316CC6"/>
    <w:rsid w:val="00320A3E"/>
    <w:rsid w:val="00321799"/>
    <w:rsid w:val="003238BE"/>
    <w:rsid w:val="00324980"/>
    <w:rsid w:val="00324D9E"/>
    <w:rsid w:val="00325B65"/>
    <w:rsid w:val="003265FF"/>
    <w:rsid w:val="00326845"/>
    <w:rsid w:val="00326B81"/>
    <w:rsid w:val="0032722B"/>
    <w:rsid w:val="00327611"/>
    <w:rsid w:val="003277C9"/>
    <w:rsid w:val="0033084B"/>
    <w:rsid w:val="0033188B"/>
    <w:rsid w:val="00331C4E"/>
    <w:rsid w:val="003335B7"/>
    <w:rsid w:val="00333AAE"/>
    <w:rsid w:val="00334423"/>
    <w:rsid w:val="003347B0"/>
    <w:rsid w:val="00334889"/>
    <w:rsid w:val="00335C6A"/>
    <w:rsid w:val="003360DD"/>
    <w:rsid w:val="00336350"/>
    <w:rsid w:val="0033665C"/>
    <w:rsid w:val="0033700E"/>
    <w:rsid w:val="00337126"/>
    <w:rsid w:val="003375F1"/>
    <w:rsid w:val="003401ED"/>
    <w:rsid w:val="003423CF"/>
    <w:rsid w:val="00342465"/>
    <w:rsid w:val="00342F27"/>
    <w:rsid w:val="003442D5"/>
    <w:rsid w:val="0034450F"/>
    <w:rsid w:val="00344930"/>
    <w:rsid w:val="0034529F"/>
    <w:rsid w:val="00345921"/>
    <w:rsid w:val="00351BC0"/>
    <w:rsid w:val="0035342F"/>
    <w:rsid w:val="00355CAE"/>
    <w:rsid w:val="00355EFD"/>
    <w:rsid w:val="003566A8"/>
    <w:rsid w:val="003574B1"/>
    <w:rsid w:val="00357B5B"/>
    <w:rsid w:val="003607AD"/>
    <w:rsid w:val="00361808"/>
    <w:rsid w:val="0036184B"/>
    <w:rsid w:val="00361A00"/>
    <w:rsid w:val="00362405"/>
    <w:rsid w:val="00362A64"/>
    <w:rsid w:val="00364813"/>
    <w:rsid w:val="00366146"/>
    <w:rsid w:val="003668EE"/>
    <w:rsid w:val="00370A0E"/>
    <w:rsid w:val="00371886"/>
    <w:rsid w:val="0037202B"/>
    <w:rsid w:val="0037306A"/>
    <w:rsid w:val="00374306"/>
    <w:rsid w:val="0037554A"/>
    <w:rsid w:val="003755FD"/>
    <w:rsid w:val="003758CF"/>
    <w:rsid w:val="00376C73"/>
    <w:rsid w:val="00376DF7"/>
    <w:rsid w:val="00377701"/>
    <w:rsid w:val="00380044"/>
    <w:rsid w:val="00381495"/>
    <w:rsid w:val="00381AE7"/>
    <w:rsid w:val="00384FAA"/>
    <w:rsid w:val="00385CCB"/>
    <w:rsid w:val="00391110"/>
    <w:rsid w:val="00391FCB"/>
    <w:rsid w:val="003920E0"/>
    <w:rsid w:val="00392A02"/>
    <w:rsid w:val="0039342E"/>
    <w:rsid w:val="0039354A"/>
    <w:rsid w:val="0039361E"/>
    <w:rsid w:val="00393F10"/>
    <w:rsid w:val="003949C8"/>
    <w:rsid w:val="00396F45"/>
    <w:rsid w:val="00397155"/>
    <w:rsid w:val="00397975"/>
    <w:rsid w:val="003A0006"/>
    <w:rsid w:val="003A04A0"/>
    <w:rsid w:val="003A0B7E"/>
    <w:rsid w:val="003A1DBB"/>
    <w:rsid w:val="003A2F0F"/>
    <w:rsid w:val="003A312E"/>
    <w:rsid w:val="003A32F0"/>
    <w:rsid w:val="003A37D5"/>
    <w:rsid w:val="003A4301"/>
    <w:rsid w:val="003A477A"/>
    <w:rsid w:val="003A6C42"/>
    <w:rsid w:val="003A7754"/>
    <w:rsid w:val="003B06A1"/>
    <w:rsid w:val="003B0CFC"/>
    <w:rsid w:val="003B2A7F"/>
    <w:rsid w:val="003B2DD1"/>
    <w:rsid w:val="003B6C01"/>
    <w:rsid w:val="003B717A"/>
    <w:rsid w:val="003C1840"/>
    <w:rsid w:val="003C3A29"/>
    <w:rsid w:val="003C434C"/>
    <w:rsid w:val="003C4CC6"/>
    <w:rsid w:val="003C4D65"/>
    <w:rsid w:val="003C4F5D"/>
    <w:rsid w:val="003C6432"/>
    <w:rsid w:val="003C64CF"/>
    <w:rsid w:val="003C7E77"/>
    <w:rsid w:val="003D0620"/>
    <w:rsid w:val="003D0DD0"/>
    <w:rsid w:val="003D0E6D"/>
    <w:rsid w:val="003D2B76"/>
    <w:rsid w:val="003D3056"/>
    <w:rsid w:val="003D34D2"/>
    <w:rsid w:val="003D4F77"/>
    <w:rsid w:val="003D590A"/>
    <w:rsid w:val="003D5B8F"/>
    <w:rsid w:val="003D5D52"/>
    <w:rsid w:val="003D6732"/>
    <w:rsid w:val="003E0806"/>
    <w:rsid w:val="003E1902"/>
    <w:rsid w:val="003E1B14"/>
    <w:rsid w:val="003E4339"/>
    <w:rsid w:val="003E440F"/>
    <w:rsid w:val="003E4A6D"/>
    <w:rsid w:val="003E4AB9"/>
    <w:rsid w:val="003E5CD5"/>
    <w:rsid w:val="003E602A"/>
    <w:rsid w:val="003E75A6"/>
    <w:rsid w:val="003E783E"/>
    <w:rsid w:val="003F037D"/>
    <w:rsid w:val="003F061E"/>
    <w:rsid w:val="003F0D08"/>
    <w:rsid w:val="003F1674"/>
    <w:rsid w:val="003F1FDA"/>
    <w:rsid w:val="003F28E0"/>
    <w:rsid w:val="003F2F51"/>
    <w:rsid w:val="003F367D"/>
    <w:rsid w:val="003F44AD"/>
    <w:rsid w:val="003F5C1F"/>
    <w:rsid w:val="003F68DB"/>
    <w:rsid w:val="003F6FF6"/>
    <w:rsid w:val="00401FD0"/>
    <w:rsid w:val="004028E0"/>
    <w:rsid w:val="00402A36"/>
    <w:rsid w:val="0040363C"/>
    <w:rsid w:val="004040E1"/>
    <w:rsid w:val="0040520B"/>
    <w:rsid w:val="0040642C"/>
    <w:rsid w:val="0040739E"/>
    <w:rsid w:val="00407AC1"/>
    <w:rsid w:val="00407C93"/>
    <w:rsid w:val="00411B72"/>
    <w:rsid w:val="004142E3"/>
    <w:rsid w:val="0041472A"/>
    <w:rsid w:val="004149B7"/>
    <w:rsid w:val="00414A20"/>
    <w:rsid w:val="00415F34"/>
    <w:rsid w:val="004160A7"/>
    <w:rsid w:val="004164C0"/>
    <w:rsid w:val="004220D6"/>
    <w:rsid w:val="00422797"/>
    <w:rsid w:val="00422C8A"/>
    <w:rsid w:val="00422E03"/>
    <w:rsid w:val="00422EF0"/>
    <w:rsid w:val="00423A51"/>
    <w:rsid w:val="00425E89"/>
    <w:rsid w:val="00426CE2"/>
    <w:rsid w:val="00426D85"/>
    <w:rsid w:val="0043078C"/>
    <w:rsid w:val="00432AC8"/>
    <w:rsid w:val="00432F46"/>
    <w:rsid w:val="004330D1"/>
    <w:rsid w:val="00434C70"/>
    <w:rsid w:val="004350B4"/>
    <w:rsid w:val="00435736"/>
    <w:rsid w:val="0043576A"/>
    <w:rsid w:val="00436802"/>
    <w:rsid w:val="004370EF"/>
    <w:rsid w:val="0043784F"/>
    <w:rsid w:val="00440906"/>
    <w:rsid w:val="0044143B"/>
    <w:rsid w:val="0044189A"/>
    <w:rsid w:val="00442D7F"/>
    <w:rsid w:val="00444F6A"/>
    <w:rsid w:val="004463FC"/>
    <w:rsid w:val="00446FCA"/>
    <w:rsid w:val="0045042C"/>
    <w:rsid w:val="00451045"/>
    <w:rsid w:val="004513AD"/>
    <w:rsid w:val="004515E0"/>
    <w:rsid w:val="00451BC9"/>
    <w:rsid w:val="00452491"/>
    <w:rsid w:val="00452B25"/>
    <w:rsid w:val="00454AE8"/>
    <w:rsid w:val="00454BD0"/>
    <w:rsid w:val="0045510D"/>
    <w:rsid w:val="00455202"/>
    <w:rsid w:val="004555DB"/>
    <w:rsid w:val="004562CD"/>
    <w:rsid w:val="00456E00"/>
    <w:rsid w:val="004579E9"/>
    <w:rsid w:val="0046012A"/>
    <w:rsid w:val="00460828"/>
    <w:rsid w:val="00461E1A"/>
    <w:rsid w:val="00462E2C"/>
    <w:rsid w:val="00463313"/>
    <w:rsid w:val="00463975"/>
    <w:rsid w:val="00463B03"/>
    <w:rsid w:val="00464338"/>
    <w:rsid w:val="00465569"/>
    <w:rsid w:val="004676FE"/>
    <w:rsid w:val="00470A8A"/>
    <w:rsid w:val="00473D0A"/>
    <w:rsid w:val="00474287"/>
    <w:rsid w:val="00474790"/>
    <w:rsid w:val="004748DD"/>
    <w:rsid w:val="00474EB5"/>
    <w:rsid w:val="00475CD9"/>
    <w:rsid w:val="00475FCC"/>
    <w:rsid w:val="0048200C"/>
    <w:rsid w:val="00482197"/>
    <w:rsid w:val="004822BC"/>
    <w:rsid w:val="0048295D"/>
    <w:rsid w:val="00484FFB"/>
    <w:rsid w:val="004861A4"/>
    <w:rsid w:val="004867AD"/>
    <w:rsid w:val="0048716B"/>
    <w:rsid w:val="00487D44"/>
    <w:rsid w:val="00490077"/>
    <w:rsid w:val="004900B9"/>
    <w:rsid w:val="004902E0"/>
    <w:rsid w:val="004927C1"/>
    <w:rsid w:val="0049298C"/>
    <w:rsid w:val="00493308"/>
    <w:rsid w:val="004935CE"/>
    <w:rsid w:val="004957C3"/>
    <w:rsid w:val="00495B7A"/>
    <w:rsid w:val="00497083"/>
    <w:rsid w:val="00497B6C"/>
    <w:rsid w:val="00497D20"/>
    <w:rsid w:val="004A03A0"/>
    <w:rsid w:val="004A22E3"/>
    <w:rsid w:val="004A39F8"/>
    <w:rsid w:val="004A5321"/>
    <w:rsid w:val="004A67C7"/>
    <w:rsid w:val="004B1E70"/>
    <w:rsid w:val="004B1F4B"/>
    <w:rsid w:val="004B2934"/>
    <w:rsid w:val="004B3624"/>
    <w:rsid w:val="004B4F69"/>
    <w:rsid w:val="004B58E5"/>
    <w:rsid w:val="004B762F"/>
    <w:rsid w:val="004B7F35"/>
    <w:rsid w:val="004C2D21"/>
    <w:rsid w:val="004C3F0C"/>
    <w:rsid w:val="004C4064"/>
    <w:rsid w:val="004C4615"/>
    <w:rsid w:val="004C5249"/>
    <w:rsid w:val="004C6040"/>
    <w:rsid w:val="004C6876"/>
    <w:rsid w:val="004C68B4"/>
    <w:rsid w:val="004C7E8D"/>
    <w:rsid w:val="004D1EE0"/>
    <w:rsid w:val="004D23EC"/>
    <w:rsid w:val="004D467F"/>
    <w:rsid w:val="004D4B62"/>
    <w:rsid w:val="004D5C3F"/>
    <w:rsid w:val="004D787C"/>
    <w:rsid w:val="004D79BE"/>
    <w:rsid w:val="004D7C37"/>
    <w:rsid w:val="004E0202"/>
    <w:rsid w:val="004E1574"/>
    <w:rsid w:val="004E169C"/>
    <w:rsid w:val="004E27C2"/>
    <w:rsid w:val="004E3C43"/>
    <w:rsid w:val="004E4DB7"/>
    <w:rsid w:val="004E59A7"/>
    <w:rsid w:val="004F0A61"/>
    <w:rsid w:val="004F13B0"/>
    <w:rsid w:val="004F402B"/>
    <w:rsid w:val="004F488E"/>
    <w:rsid w:val="004F6644"/>
    <w:rsid w:val="004F7D0D"/>
    <w:rsid w:val="004F7E31"/>
    <w:rsid w:val="004F7E60"/>
    <w:rsid w:val="0050090D"/>
    <w:rsid w:val="005016CE"/>
    <w:rsid w:val="00502519"/>
    <w:rsid w:val="00503079"/>
    <w:rsid w:val="005050D9"/>
    <w:rsid w:val="0050554B"/>
    <w:rsid w:val="005058C7"/>
    <w:rsid w:val="0050606F"/>
    <w:rsid w:val="005078F1"/>
    <w:rsid w:val="00507A6B"/>
    <w:rsid w:val="005101AA"/>
    <w:rsid w:val="00514A55"/>
    <w:rsid w:val="00516080"/>
    <w:rsid w:val="0051649C"/>
    <w:rsid w:val="00516940"/>
    <w:rsid w:val="00516C67"/>
    <w:rsid w:val="005170EA"/>
    <w:rsid w:val="005204A6"/>
    <w:rsid w:val="00520587"/>
    <w:rsid w:val="00521F23"/>
    <w:rsid w:val="00522387"/>
    <w:rsid w:val="005238D4"/>
    <w:rsid w:val="00524BE6"/>
    <w:rsid w:val="00524DEF"/>
    <w:rsid w:val="0052727D"/>
    <w:rsid w:val="005307BF"/>
    <w:rsid w:val="00530909"/>
    <w:rsid w:val="00530E0E"/>
    <w:rsid w:val="00531EEE"/>
    <w:rsid w:val="00532444"/>
    <w:rsid w:val="0053247E"/>
    <w:rsid w:val="00534A10"/>
    <w:rsid w:val="0053516B"/>
    <w:rsid w:val="0053590E"/>
    <w:rsid w:val="00535BA0"/>
    <w:rsid w:val="00535F36"/>
    <w:rsid w:val="005366AF"/>
    <w:rsid w:val="00537E70"/>
    <w:rsid w:val="00544914"/>
    <w:rsid w:val="005452EE"/>
    <w:rsid w:val="0054574F"/>
    <w:rsid w:val="0054690A"/>
    <w:rsid w:val="005518A0"/>
    <w:rsid w:val="0055242B"/>
    <w:rsid w:val="005524B2"/>
    <w:rsid w:val="005529A9"/>
    <w:rsid w:val="00554645"/>
    <w:rsid w:val="0055501D"/>
    <w:rsid w:val="00556007"/>
    <w:rsid w:val="0056092F"/>
    <w:rsid w:val="005615FF"/>
    <w:rsid w:val="00561821"/>
    <w:rsid w:val="00562418"/>
    <w:rsid w:val="00562F67"/>
    <w:rsid w:val="00570469"/>
    <w:rsid w:val="00570E72"/>
    <w:rsid w:val="0057147C"/>
    <w:rsid w:val="00572584"/>
    <w:rsid w:val="005729AB"/>
    <w:rsid w:val="00572F4D"/>
    <w:rsid w:val="00574844"/>
    <w:rsid w:val="00575CEA"/>
    <w:rsid w:val="00575E54"/>
    <w:rsid w:val="00577171"/>
    <w:rsid w:val="005777A5"/>
    <w:rsid w:val="005779A1"/>
    <w:rsid w:val="00577CCB"/>
    <w:rsid w:val="0058027B"/>
    <w:rsid w:val="005816AB"/>
    <w:rsid w:val="00581946"/>
    <w:rsid w:val="00582209"/>
    <w:rsid w:val="00582CAF"/>
    <w:rsid w:val="0058318F"/>
    <w:rsid w:val="005832EC"/>
    <w:rsid w:val="00583B37"/>
    <w:rsid w:val="005841E3"/>
    <w:rsid w:val="005905DA"/>
    <w:rsid w:val="00591976"/>
    <w:rsid w:val="00592418"/>
    <w:rsid w:val="00593720"/>
    <w:rsid w:val="005951DC"/>
    <w:rsid w:val="00595818"/>
    <w:rsid w:val="00595832"/>
    <w:rsid w:val="00595A68"/>
    <w:rsid w:val="00595C87"/>
    <w:rsid w:val="00596F65"/>
    <w:rsid w:val="00597430"/>
    <w:rsid w:val="00597592"/>
    <w:rsid w:val="00597D03"/>
    <w:rsid w:val="00597D08"/>
    <w:rsid w:val="005A03DE"/>
    <w:rsid w:val="005A11FA"/>
    <w:rsid w:val="005A1680"/>
    <w:rsid w:val="005A181B"/>
    <w:rsid w:val="005A1E5A"/>
    <w:rsid w:val="005A2D72"/>
    <w:rsid w:val="005A3244"/>
    <w:rsid w:val="005A6300"/>
    <w:rsid w:val="005A6A96"/>
    <w:rsid w:val="005A72C4"/>
    <w:rsid w:val="005B19CE"/>
    <w:rsid w:val="005B1BED"/>
    <w:rsid w:val="005B2322"/>
    <w:rsid w:val="005B29C8"/>
    <w:rsid w:val="005B3B6E"/>
    <w:rsid w:val="005B4BED"/>
    <w:rsid w:val="005B5E73"/>
    <w:rsid w:val="005B65CE"/>
    <w:rsid w:val="005B70C5"/>
    <w:rsid w:val="005B73D6"/>
    <w:rsid w:val="005B74A0"/>
    <w:rsid w:val="005B76A5"/>
    <w:rsid w:val="005C08D0"/>
    <w:rsid w:val="005C1045"/>
    <w:rsid w:val="005C10AB"/>
    <w:rsid w:val="005C166B"/>
    <w:rsid w:val="005C2FC3"/>
    <w:rsid w:val="005C3229"/>
    <w:rsid w:val="005C35F7"/>
    <w:rsid w:val="005C36C5"/>
    <w:rsid w:val="005C3E00"/>
    <w:rsid w:val="005C4D32"/>
    <w:rsid w:val="005C5128"/>
    <w:rsid w:val="005C5C19"/>
    <w:rsid w:val="005C6062"/>
    <w:rsid w:val="005C7C84"/>
    <w:rsid w:val="005D0534"/>
    <w:rsid w:val="005D0CA3"/>
    <w:rsid w:val="005D0E62"/>
    <w:rsid w:val="005D159D"/>
    <w:rsid w:val="005D39FA"/>
    <w:rsid w:val="005D3BCA"/>
    <w:rsid w:val="005D449B"/>
    <w:rsid w:val="005D4A25"/>
    <w:rsid w:val="005D5CE8"/>
    <w:rsid w:val="005D6467"/>
    <w:rsid w:val="005E00AF"/>
    <w:rsid w:val="005E0231"/>
    <w:rsid w:val="005E02FA"/>
    <w:rsid w:val="005E044D"/>
    <w:rsid w:val="005E0F85"/>
    <w:rsid w:val="005E13DA"/>
    <w:rsid w:val="005E730D"/>
    <w:rsid w:val="005F08D8"/>
    <w:rsid w:val="005F1827"/>
    <w:rsid w:val="005F1C52"/>
    <w:rsid w:val="005F2608"/>
    <w:rsid w:val="005F43BB"/>
    <w:rsid w:val="005F43EF"/>
    <w:rsid w:val="005F5328"/>
    <w:rsid w:val="005F53D1"/>
    <w:rsid w:val="005F55FA"/>
    <w:rsid w:val="005F7D21"/>
    <w:rsid w:val="00600D70"/>
    <w:rsid w:val="00601685"/>
    <w:rsid w:val="006029BA"/>
    <w:rsid w:val="00602C7C"/>
    <w:rsid w:val="00602D0D"/>
    <w:rsid w:val="006030D0"/>
    <w:rsid w:val="0060353D"/>
    <w:rsid w:val="0060387A"/>
    <w:rsid w:val="00603E33"/>
    <w:rsid w:val="0060600C"/>
    <w:rsid w:val="006068DE"/>
    <w:rsid w:val="006072A1"/>
    <w:rsid w:val="0060799D"/>
    <w:rsid w:val="006102B4"/>
    <w:rsid w:val="00610611"/>
    <w:rsid w:val="0061150E"/>
    <w:rsid w:val="0061192F"/>
    <w:rsid w:val="00611D65"/>
    <w:rsid w:val="00613059"/>
    <w:rsid w:val="00614313"/>
    <w:rsid w:val="00615028"/>
    <w:rsid w:val="00615261"/>
    <w:rsid w:val="00615821"/>
    <w:rsid w:val="00616058"/>
    <w:rsid w:val="00617540"/>
    <w:rsid w:val="006209D1"/>
    <w:rsid w:val="00621E7B"/>
    <w:rsid w:val="00622E8D"/>
    <w:rsid w:val="00624573"/>
    <w:rsid w:val="006256B8"/>
    <w:rsid w:val="00625CEA"/>
    <w:rsid w:val="00625FF8"/>
    <w:rsid w:val="006262B1"/>
    <w:rsid w:val="006279CF"/>
    <w:rsid w:val="00627D4D"/>
    <w:rsid w:val="006330FF"/>
    <w:rsid w:val="00634906"/>
    <w:rsid w:val="00636332"/>
    <w:rsid w:val="00637212"/>
    <w:rsid w:val="00637FD0"/>
    <w:rsid w:val="00641299"/>
    <w:rsid w:val="006412A0"/>
    <w:rsid w:val="00641559"/>
    <w:rsid w:val="00642D2A"/>
    <w:rsid w:val="006438EA"/>
    <w:rsid w:val="0064416A"/>
    <w:rsid w:val="006442EA"/>
    <w:rsid w:val="00644C2B"/>
    <w:rsid w:val="006503BB"/>
    <w:rsid w:val="00650855"/>
    <w:rsid w:val="00651F48"/>
    <w:rsid w:val="00651FF9"/>
    <w:rsid w:val="00653525"/>
    <w:rsid w:val="006555D7"/>
    <w:rsid w:val="00655B37"/>
    <w:rsid w:val="00655CDA"/>
    <w:rsid w:val="00656004"/>
    <w:rsid w:val="00656268"/>
    <w:rsid w:val="00656A95"/>
    <w:rsid w:val="00656F2F"/>
    <w:rsid w:val="00657EE5"/>
    <w:rsid w:val="0066263F"/>
    <w:rsid w:val="00662DA0"/>
    <w:rsid w:val="00663F14"/>
    <w:rsid w:val="0066401B"/>
    <w:rsid w:val="0066662D"/>
    <w:rsid w:val="006671E9"/>
    <w:rsid w:val="00670146"/>
    <w:rsid w:val="00670CC0"/>
    <w:rsid w:val="00671D59"/>
    <w:rsid w:val="00672139"/>
    <w:rsid w:val="006728FA"/>
    <w:rsid w:val="00672EAB"/>
    <w:rsid w:val="00674388"/>
    <w:rsid w:val="0067458E"/>
    <w:rsid w:val="00674DA2"/>
    <w:rsid w:val="00675A7F"/>
    <w:rsid w:val="00676210"/>
    <w:rsid w:val="00676A61"/>
    <w:rsid w:val="0067711C"/>
    <w:rsid w:val="006777DC"/>
    <w:rsid w:val="006803E0"/>
    <w:rsid w:val="00680AA6"/>
    <w:rsid w:val="00680E62"/>
    <w:rsid w:val="00682A08"/>
    <w:rsid w:val="006832C0"/>
    <w:rsid w:val="00684958"/>
    <w:rsid w:val="00685B75"/>
    <w:rsid w:val="0068735A"/>
    <w:rsid w:val="006876A1"/>
    <w:rsid w:val="006928ED"/>
    <w:rsid w:val="00692B58"/>
    <w:rsid w:val="006931A3"/>
    <w:rsid w:val="006932EE"/>
    <w:rsid w:val="00693ACB"/>
    <w:rsid w:val="0069448F"/>
    <w:rsid w:val="00694D77"/>
    <w:rsid w:val="00694E3A"/>
    <w:rsid w:val="00694EF7"/>
    <w:rsid w:val="00695E26"/>
    <w:rsid w:val="006962F8"/>
    <w:rsid w:val="00696F5A"/>
    <w:rsid w:val="00697D22"/>
    <w:rsid w:val="006A0281"/>
    <w:rsid w:val="006A0A55"/>
    <w:rsid w:val="006A2D81"/>
    <w:rsid w:val="006A2DBB"/>
    <w:rsid w:val="006A3A42"/>
    <w:rsid w:val="006A43E1"/>
    <w:rsid w:val="006A5393"/>
    <w:rsid w:val="006A5EC2"/>
    <w:rsid w:val="006A7063"/>
    <w:rsid w:val="006B00B9"/>
    <w:rsid w:val="006B0266"/>
    <w:rsid w:val="006B1353"/>
    <w:rsid w:val="006B13C6"/>
    <w:rsid w:val="006B4086"/>
    <w:rsid w:val="006B40A5"/>
    <w:rsid w:val="006B53B8"/>
    <w:rsid w:val="006B7DDE"/>
    <w:rsid w:val="006C197C"/>
    <w:rsid w:val="006C244C"/>
    <w:rsid w:val="006C320F"/>
    <w:rsid w:val="006C615E"/>
    <w:rsid w:val="006C62B2"/>
    <w:rsid w:val="006C7942"/>
    <w:rsid w:val="006C7948"/>
    <w:rsid w:val="006D0588"/>
    <w:rsid w:val="006D1508"/>
    <w:rsid w:val="006D2050"/>
    <w:rsid w:val="006D33F6"/>
    <w:rsid w:val="006D4D35"/>
    <w:rsid w:val="006D567A"/>
    <w:rsid w:val="006D6F74"/>
    <w:rsid w:val="006D7561"/>
    <w:rsid w:val="006E1D47"/>
    <w:rsid w:val="006E1EE9"/>
    <w:rsid w:val="006E25DF"/>
    <w:rsid w:val="006E275E"/>
    <w:rsid w:val="006E2F25"/>
    <w:rsid w:val="006E316B"/>
    <w:rsid w:val="006E5289"/>
    <w:rsid w:val="006E530C"/>
    <w:rsid w:val="006E538A"/>
    <w:rsid w:val="006E55A3"/>
    <w:rsid w:val="006E6D50"/>
    <w:rsid w:val="006E6F43"/>
    <w:rsid w:val="006E72E0"/>
    <w:rsid w:val="006E736C"/>
    <w:rsid w:val="006E7D0F"/>
    <w:rsid w:val="006F0655"/>
    <w:rsid w:val="006F14F6"/>
    <w:rsid w:val="006F28EE"/>
    <w:rsid w:val="006F3146"/>
    <w:rsid w:val="006F3E72"/>
    <w:rsid w:val="006F4172"/>
    <w:rsid w:val="006F5743"/>
    <w:rsid w:val="006F5797"/>
    <w:rsid w:val="00700A9B"/>
    <w:rsid w:val="00703621"/>
    <w:rsid w:val="00703A44"/>
    <w:rsid w:val="00704B73"/>
    <w:rsid w:val="00704FE3"/>
    <w:rsid w:val="007067CB"/>
    <w:rsid w:val="00706A07"/>
    <w:rsid w:val="00706A74"/>
    <w:rsid w:val="00706C91"/>
    <w:rsid w:val="00710727"/>
    <w:rsid w:val="00710829"/>
    <w:rsid w:val="007118D3"/>
    <w:rsid w:val="007127AB"/>
    <w:rsid w:val="00713254"/>
    <w:rsid w:val="00713634"/>
    <w:rsid w:val="007148AA"/>
    <w:rsid w:val="00715C23"/>
    <w:rsid w:val="00715EA4"/>
    <w:rsid w:val="007172FC"/>
    <w:rsid w:val="0071774B"/>
    <w:rsid w:val="00721310"/>
    <w:rsid w:val="007216E7"/>
    <w:rsid w:val="00723F35"/>
    <w:rsid w:val="00724B1A"/>
    <w:rsid w:val="00724DEF"/>
    <w:rsid w:val="00725B78"/>
    <w:rsid w:val="00726BE6"/>
    <w:rsid w:val="00727E2A"/>
    <w:rsid w:val="007414C2"/>
    <w:rsid w:val="00743031"/>
    <w:rsid w:val="00743BB9"/>
    <w:rsid w:val="00744E1E"/>
    <w:rsid w:val="00745FC8"/>
    <w:rsid w:val="00746A65"/>
    <w:rsid w:val="00747898"/>
    <w:rsid w:val="00747DEF"/>
    <w:rsid w:val="0075075E"/>
    <w:rsid w:val="00750813"/>
    <w:rsid w:val="007508DD"/>
    <w:rsid w:val="00750E5D"/>
    <w:rsid w:val="00751943"/>
    <w:rsid w:val="007532F6"/>
    <w:rsid w:val="00753529"/>
    <w:rsid w:val="007542FF"/>
    <w:rsid w:val="00755EF7"/>
    <w:rsid w:val="007567E8"/>
    <w:rsid w:val="007606B1"/>
    <w:rsid w:val="00762B32"/>
    <w:rsid w:val="00763160"/>
    <w:rsid w:val="0076366E"/>
    <w:rsid w:val="00764105"/>
    <w:rsid w:val="007658DC"/>
    <w:rsid w:val="00770969"/>
    <w:rsid w:val="00771BC1"/>
    <w:rsid w:val="00772D67"/>
    <w:rsid w:val="00773806"/>
    <w:rsid w:val="00773CBF"/>
    <w:rsid w:val="007754ED"/>
    <w:rsid w:val="007771E9"/>
    <w:rsid w:val="0077732C"/>
    <w:rsid w:val="00777ADB"/>
    <w:rsid w:val="00780C91"/>
    <w:rsid w:val="00781EEF"/>
    <w:rsid w:val="00783E71"/>
    <w:rsid w:val="00783E92"/>
    <w:rsid w:val="007854A4"/>
    <w:rsid w:val="007854F4"/>
    <w:rsid w:val="00785A7F"/>
    <w:rsid w:val="00786852"/>
    <w:rsid w:val="00786A06"/>
    <w:rsid w:val="007915EA"/>
    <w:rsid w:val="007927D4"/>
    <w:rsid w:val="00792F43"/>
    <w:rsid w:val="00793655"/>
    <w:rsid w:val="00793721"/>
    <w:rsid w:val="007945EE"/>
    <w:rsid w:val="007946A9"/>
    <w:rsid w:val="00795B53"/>
    <w:rsid w:val="0079669D"/>
    <w:rsid w:val="00796B33"/>
    <w:rsid w:val="007A0AE7"/>
    <w:rsid w:val="007A326F"/>
    <w:rsid w:val="007A5451"/>
    <w:rsid w:val="007A70D3"/>
    <w:rsid w:val="007A7DF6"/>
    <w:rsid w:val="007B18C4"/>
    <w:rsid w:val="007B1B24"/>
    <w:rsid w:val="007B295F"/>
    <w:rsid w:val="007B38AD"/>
    <w:rsid w:val="007B3A92"/>
    <w:rsid w:val="007B3C8C"/>
    <w:rsid w:val="007B3EB2"/>
    <w:rsid w:val="007B42D3"/>
    <w:rsid w:val="007B6376"/>
    <w:rsid w:val="007B638C"/>
    <w:rsid w:val="007B6A59"/>
    <w:rsid w:val="007B7005"/>
    <w:rsid w:val="007B71B2"/>
    <w:rsid w:val="007B7524"/>
    <w:rsid w:val="007B75B7"/>
    <w:rsid w:val="007C1409"/>
    <w:rsid w:val="007C1D1B"/>
    <w:rsid w:val="007C3B62"/>
    <w:rsid w:val="007C3FCE"/>
    <w:rsid w:val="007C45A0"/>
    <w:rsid w:val="007C6F69"/>
    <w:rsid w:val="007C70F8"/>
    <w:rsid w:val="007C731B"/>
    <w:rsid w:val="007D12AB"/>
    <w:rsid w:val="007D55D9"/>
    <w:rsid w:val="007D5AC4"/>
    <w:rsid w:val="007D5D65"/>
    <w:rsid w:val="007D7642"/>
    <w:rsid w:val="007D768B"/>
    <w:rsid w:val="007E0FC2"/>
    <w:rsid w:val="007E1382"/>
    <w:rsid w:val="007E2596"/>
    <w:rsid w:val="007E25F4"/>
    <w:rsid w:val="007E31F4"/>
    <w:rsid w:val="007E5203"/>
    <w:rsid w:val="007E752F"/>
    <w:rsid w:val="007F0F9C"/>
    <w:rsid w:val="007F1910"/>
    <w:rsid w:val="007F39DF"/>
    <w:rsid w:val="007F4030"/>
    <w:rsid w:val="007F40C5"/>
    <w:rsid w:val="007F42EE"/>
    <w:rsid w:val="007F4E95"/>
    <w:rsid w:val="008009BC"/>
    <w:rsid w:val="00801B96"/>
    <w:rsid w:val="00802107"/>
    <w:rsid w:val="008024E8"/>
    <w:rsid w:val="00802B23"/>
    <w:rsid w:val="00805815"/>
    <w:rsid w:val="00805E67"/>
    <w:rsid w:val="00806688"/>
    <w:rsid w:val="0080689D"/>
    <w:rsid w:val="00807426"/>
    <w:rsid w:val="008101A7"/>
    <w:rsid w:val="00810D5E"/>
    <w:rsid w:val="008111C9"/>
    <w:rsid w:val="00811505"/>
    <w:rsid w:val="0081231B"/>
    <w:rsid w:val="0081251E"/>
    <w:rsid w:val="00812E83"/>
    <w:rsid w:val="00814082"/>
    <w:rsid w:val="00814256"/>
    <w:rsid w:val="008143A4"/>
    <w:rsid w:val="00814F5C"/>
    <w:rsid w:val="00815D59"/>
    <w:rsid w:val="00820C1F"/>
    <w:rsid w:val="00821620"/>
    <w:rsid w:val="008228EC"/>
    <w:rsid w:val="00823F3A"/>
    <w:rsid w:val="008257FD"/>
    <w:rsid w:val="00826CEB"/>
    <w:rsid w:val="00827AEF"/>
    <w:rsid w:val="0083231E"/>
    <w:rsid w:val="008327DB"/>
    <w:rsid w:val="00833E54"/>
    <w:rsid w:val="00836306"/>
    <w:rsid w:val="00836412"/>
    <w:rsid w:val="0083654E"/>
    <w:rsid w:val="00836A09"/>
    <w:rsid w:val="008372F7"/>
    <w:rsid w:val="008407BE"/>
    <w:rsid w:val="00840AA9"/>
    <w:rsid w:val="00841240"/>
    <w:rsid w:val="0084160D"/>
    <w:rsid w:val="00842256"/>
    <w:rsid w:val="00842DC3"/>
    <w:rsid w:val="00844CA1"/>
    <w:rsid w:val="00846043"/>
    <w:rsid w:val="0084730D"/>
    <w:rsid w:val="008474DD"/>
    <w:rsid w:val="008479F1"/>
    <w:rsid w:val="008518C8"/>
    <w:rsid w:val="0085275A"/>
    <w:rsid w:val="00853BAE"/>
    <w:rsid w:val="0085541F"/>
    <w:rsid w:val="00856312"/>
    <w:rsid w:val="0085701B"/>
    <w:rsid w:val="00857601"/>
    <w:rsid w:val="008579AF"/>
    <w:rsid w:val="008619E3"/>
    <w:rsid w:val="008630CB"/>
    <w:rsid w:val="0086398B"/>
    <w:rsid w:val="008644D1"/>
    <w:rsid w:val="00865452"/>
    <w:rsid w:val="00865586"/>
    <w:rsid w:val="00867C52"/>
    <w:rsid w:val="00867FCA"/>
    <w:rsid w:val="008703A2"/>
    <w:rsid w:val="0087127A"/>
    <w:rsid w:val="008715B9"/>
    <w:rsid w:val="00871D1C"/>
    <w:rsid w:val="00872157"/>
    <w:rsid w:val="00872247"/>
    <w:rsid w:val="00874296"/>
    <w:rsid w:val="008753B8"/>
    <w:rsid w:val="008753DF"/>
    <w:rsid w:val="00875CF3"/>
    <w:rsid w:val="00877503"/>
    <w:rsid w:val="008777B4"/>
    <w:rsid w:val="008779F3"/>
    <w:rsid w:val="00877E31"/>
    <w:rsid w:val="008802DF"/>
    <w:rsid w:val="0088030E"/>
    <w:rsid w:val="00880E5D"/>
    <w:rsid w:val="008813DD"/>
    <w:rsid w:val="00881A18"/>
    <w:rsid w:val="00886ECB"/>
    <w:rsid w:val="008876CA"/>
    <w:rsid w:val="0088790E"/>
    <w:rsid w:val="00887B71"/>
    <w:rsid w:val="00887FA3"/>
    <w:rsid w:val="00890DA6"/>
    <w:rsid w:val="00890FE0"/>
    <w:rsid w:val="00891112"/>
    <w:rsid w:val="00891701"/>
    <w:rsid w:val="00891A09"/>
    <w:rsid w:val="00891F5A"/>
    <w:rsid w:val="00892BC6"/>
    <w:rsid w:val="008940FB"/>
    <w:rsid w:val="0089490B"/>
    <w:rsid w:val="00894E58"/>
    <w:rsid w:val="008961EB"/>
    <w:rsid w:val="008975F1"/>
    <w:rsid w:val="00897AB6"/>
    <w:rsid w:val="00897E41"/>
    <w:rsid w:val="008A362D"/>
    <w:rsid w:val="008A4013"/>
    <w:rsid w:val="008A42F1"/>
    <w:rsid w:val="008A4313"/>
    <w:rsid w:val="008A5410"/>
    <w:rsid w:val="008A59D0"/>
    <w:rsid w:val="008A5BDA"/>
    <w:rsid w:val="008A7C7A"/>
    <w:rsid w:val="008B0D2C"/>
    <w:rsid w:val="008B1C0E"/>
    <w:rsid w:val="008B429C"/>
    <w:rsid w:val="008B6167"/>
    <w:rsid w:val="008B7077"/>
    <w:rsid w:val="008C0043"/>
    <w:rsid w:val="008C0ADA"/>
    <w:rsid w:val="008C0B35"/>
    <w:rsid w:val="008C121F"/>
    <w:rsid w:val="008C2146"/>
    <w:rsid w:val="008C2AC1"/>
    <w:rsid w:val="008C4FDE"/>
    <w:rsid w:val="008C5873"/>
    <w:rsid w:val="008C602C"/>
    <w:rsid w:val="008C69E9"/>
    <w:rsid w:val="008D054F"/>
    <w:rsid w:val="008D09FB"/>
    <w:rsid w:val="008D0DDE"/>
    <w:rsid w:val="008D18C4"/>
    <w:rsid w:val="008D253D"/>
    <w:rsid w:val="008D2C7E"/>
    <w:rsid w:val="008D32BA"/>
    <w:rsid w:val="008D3A20"/>
    <w:rsid w:val="008D3DED"/>
    <w:rsid w:val="008D4AC8"/>
    <w:rsid w:val="008D5409"/>
    <w:rsid w:val="008D554F"/>
    <w:rsid w:val="008D5825"/>
    <w:rsid w:val="008D680D"/>
    <w:rsid w:val="008D7761"/>
    <w:rsid w:val="008D7C6C"/>
    <w:rsid w:val="008E14F8"/>
    <w:rsid w:val="008E1FD0"/>
    <w:rsid w:val="008E23A0"/>
    <w:rsid w:val="008E2763"/>
    <w:rsid w:val="008E361D"/>
    <w:rsid w:val="008E429C"/>
    <w:rsid w:val="008E43ED"/>
    <w:rsid w:val="008E5F67"/>
    <w:rsid w:val="008E64AB"/>
    <w:rsid w:val="008E6505"/>
    <w:rsid w:val="008E6653"/>
    <w:rsid w:val="008F00D9"/>
    <w:rsid w:val="008F15B6"/>
    <w:rsid w:val="008F1904"/>
    <w:rsid w:val="008F1FED"/>
    <w:rsid w:val="008F36C6"/>
    <w:rsid w:val="008F3AA8"/>
    <w:rsid w:val="008F4A35"/>
    <w:rsid w:val="008F4F66"/>
    <w:rsid w:val="008F6D59"/>
    <w:rsid w:val="008F78E6"/>
    <w:rsid w:val="00900351"/>
    <w:rsid w:val="00900D33"/>
    <w:rsid w:val="009011A4"/>
    <w:rsid w:val="00901201"/>
    <w:rsid w:val="009059E9"/>
    <w:rsid w:val="00906F2D"/>
    <w:rsid w:val="009070F4"/>
    <w:rsid w:val="00907C1F"/>
    <w:rsid w:val="009167AD"/>
    <w:rsid w:val="00917A04"/>
    <w:rsid w:val="0092152C"/>
    <w:rsid w:val="009215EE"/>
    <w:rsid w:val="0092491E"/>
    <w:rsid w:val="009260AF"/>
    <w:rsid w:val="009260F1"/>
    <w:rsid w:val="00926D86"/>
    <w:rsid w:val="009323C0"/>
    <w:rsid w:val="00932C6D"/>
    <w:rsid w:val="00932DE8"/>
    <w:rsid w:val="0093378D"/>
    <w:rsid w:val="0093435D"/>
    <w:rsid w:val="00934AC5"/>
    <w:rsid w:val="00935AD8"/>
    <w:rsid w:val="0093638A"/>
    <w:rsid w:val="0093675C"/>
    <w:rsid w:val="00937662"/>
    <w:rsid w:val="00940ABD"/>
    <w:rsid w:val="00940D36"/>
    <w:rsid w:val="009420F6"/>
    <w:rsid w:val="009422AE"/>
    <w:rsid w:val="00942940"/>
    <w:rsid w:val="00943E8E"/>
    <w:rsid w:val="009446B1"/>
    <w:rsid w:val="00945152"/>
    <w:rsid w:val="00945E3D"/>
    <w:rsid w:val="00946F0C"/>
    <w:rsid w:val="00947446"/>
    <w:rsid w:val="00947692"/>
    <w:rsid w:val="00951399"/>
    <w:rsid w:val="009519B8"/>
    <w:rsid w:val="009529F9"/>
    <w:rsid w:val="0095322B"/>
    <w:rsid w:val="00954BA2"/>
    <w:rsid w:val="00954D59"/>
    <w:rsid w:val="009553D8"/>
    <w:rsid w:val="009555B7"/>
    <w:rsid w:val="00955B5C"/>
    <w:rsid w:val="00955D90"/>
    <w:rsid w:val="0096081E"/>
    <w:rsid w:val="00960B9A"/>
    <w:rsid w:val="00961243"/>
    <w:rsid w:val="00961A82"/>
    <w:rsid w:val="00962CD2"/>
    <w:rsid w:val="00962E29"/>
    <w:rsid w:val="00962FD6"/>
    <w:rsid w:val="00963B3F"/>
    <w:rsid w:val="00966632"/>
    <w:rsid w:val="009666AC"/>
    <w:rsid w:val="00966C5C"/>
    <w:rsid w:val="00967078"/>
    <w:rsid w:val="00967643"/>
    <w:rsid w:val="009727E7"/>
    <w:rsid w:val="00972C85"/>
    <w:rsid w:val="009752F1"/>
    <w:rsid w:val="009768AB"/>
    <w:rsid w:val="00976D59"/>
    <w:rsid w:val="00977BED"/>
    <w:rsid w:val="00980CC6"/>
    <w:rsid w:val="00980D28"/>
    <w:rsid w:val="009812A2"/>
    <w:rsid w:val="00981442"/>
    <w:rsid w:val="0098231D"/>
    <w:rsid w:val="00983069"/>
    <w:rsid w:val="0098333F"/>
    <w:rsid w:val="0098545A"/>
    <w:rsid w:val="009855B8"/>
    <w:rsid w:val="00985DD3"/>
    <w:rsid w:val="00986AC4"/>
    <w:rsid w:val="00986EF8"/>
    <w:rsid w:val="009877F5"/>
    <w:rsid w:val="00987EB8"/>
    <w:rsid w:val="009901F4"/>
    <w:rsid w:val="00990981"/>
    <w:rsid w:val="00991C38"/>
    <w:rsid w:val="00993E22"/>
    <w:rsid w:val="00994756"/>
    <w:rsid w:val="00994836"/>
    <w:rsid w:val="009951E0"/>
    <w:rsid w:val="00995CD9"/>
    <w:rsid w:val="009971CE"/>
    <w:rsid w:val="009A0D7F"/>
    <w:rsid w:val="009A1B75"/>
    <w:rsid w:val="009A20C8"/>
    <w:rsid w:val="009A2791"/>
    <w:rsid w:val="009A463B"/>
    <w:rsid w:val="009A503F"/>
    <w:rsid w:val="009A50A2"/>
    <w:rsid w:val="009A5E98"/>
    <w:rsid w:val="009A5F3E"/>
    <w:rsid w:val="009B1288"/>
    <w:rsid w:val="009B138E"/>
    <w:rsid w:val="009B144B"/>
    <w:rsid w:val="009B1C5C"/>
    <w:rsid w:val="009B49B3"/>
    <w:rsid w:val="009B70D9"/>
    <w:rsid w:val="009B7BF0"/>
    <w:rsid w:val="009B7E65"/>
    <w:rsid w:val="009C14A3"/>
    <w:rsid w:val="009C3717"/>
    <w:rsid w:val="009C3D29"/>
    <w:rsid w:val="009C4DED"/>
    <w:rsid w:val="009C51A6"/>
    <w:rsid w:val="009C593A"/>
    <w:rsid w:val="009C71BB"/>
    <w:rsid w:val="009C734D"/>
    <w:rsid w:val="009C76B5"/>
    <w:rsid w:val="009C7720"/>
    <w:rsid w:val="009C7A9A"/>
    <w:rsid w:val="009C7BA5"/>
    <w:rsid w:val="009D1052"/>
    <w:rsid w:val="009D1AF1"/>
    <w:rsid w:val="009D2A02"/>
    <w:rsid w:val="009D3191"/>
    <w:rsid w:val="009D5136"/>
    <w:rsid w:val="009D53A7"/>
    <w:rsid w:val="009D5838"/>
    <w:rsid w:val="009D58A6"/>
    <w:rsid w:val="009D5CBD"/>
    <w:rsid w:val="009E0034"/>
    <w:rsid w:val="009E1FE7"/>
    <w:rsid w:val="009E2295"/>
    <w:rsid w:val="009E247D"/>
    <w:rsid w:val="009E2DD2"/>
    <w:rsid w:val="009E2E50"/>
    <w:rsid w:val="009E3B68"/>
    <w:rsid w:val="009E3DB9"/>
    <w:rsid w:val="009E3F1A"/>
    <w:rsid w:val="009E4440"/>
    <w:rsid w:val="009E629C"/>
    <w:rsid w:val="009E65A1"/>
    <w:rsid w:val="009E6A6B"/>
    <w:rsid w:val="009F3C1A"/>
    <w:rsid w:val="009F4A63"/>
    <w:rsid w:val="009F5B97"/>
    <w:rsid w:val="009F5FA1"/>
    <w:rsid w:val="009F623A"/>
    <w:rsid w:val="009F7942"/>
    <w:rsid w:val="00A011FB"/>
    <w:rsid w:val="00A027B5"/>
    <w:rsid w:val="00A028CE"/>
    <w:rsid w:val="00A02FC6"/>
    <w:rsid w:val="00A03821"/>
    <w:rsid w:val="00A063D3"/>
    <w:rsid w:val="00A104FB"/>
    <w:rsid w:val="00A109DB"/>
    <w:rsid w:val="00A15B07"/>
    <w:rsid w:val="00A17A72"/>
    <w:rsid w:val="00A17CBC"/>
    <w:rsid w:val="00A20BE9"/>
    <w:rsid w:val="00A2163D"/>
    <w:rsid w:val="00A21E34"/>
    <w:rsid w:val="00A2202F"/>
    <w:rsid w:val="00A22283"/>
    <w:rsid w:val="00A22AE2"/>
    <w:rsid w:val="00A23191"/>
    <w:rsid w:val="00A23F6C"/>
    <w:rsid w:val="00A24710"/>
    <w:rsid w:val="00A25238"/>
    <w:rsid w:val="00A2594B"/>
    <w:rsid w:val="00A25A7C"/>
    <w:rsid w:val="00A25C15"/>
    <w:rsid w:val="00A25FDA"/>
    <w:rsid w:val="00A273DA"/>
    <w:rsid w:val="00A27871"/>
    <w:rsid w:val="00A27C59"/>
    <w:rsid w:val="00A303FB"/>
    <w:rsid w:val="00A3094B"/>
    <w:rsid w:val="00A3100E"/>
    <w:rsid w:val="00A318D5"/>
    <w:rsid w:val="00A31BC9"/>
    <w:rsid w:val="00A3236A"/>
    <w:rsid w:val="00A33CB6"/>
    <w:rsid w:val="00A345EF"/>
    <w:rsid w:val="00A347F8"/>
    <w:rsid w:val="00A358F2"/>
    <w:rsid w:val="00A364E9"/>
    <w:rsid w:val="00A405DC"/>
    <w:rsid w:val="00A40FD3"/>
    <w:rsid w:val="00A41353"/>
    <w:rsid w:val="00A413AE"/>
    <w:rsid w:val="00A41469"/>
    <w:rsid w:val="00A4328B"/>
    <w:rsid w:val="00A43E2F"/>
    <w:rsid w:val="00A442F7"/>
    <w:rsid w:val="00A45323"/>
    <w:rsid w:val="00A45906"/>
    <w:rsid w:val="00A45A3A"/>
    <w:rsid w:val="00A45BA5"/>
    <w:rsid w:val="00A47812"/>
    <w:rsid w:val="00A5141C"/>
    <w:rsid w:val="00A524D4"/>
    <w:rsid w:val="00A528F2"/>
    <w:rsid w:val="00A52F24"/>
    <w:rsid w:val="00A564A7"/>
    <w:rsid w:val="00A5650F"/>
    <w:rsid w:val="00A573DF"/>
    <w:rsid w:val="00A6276F"/>
    <w:rsid w:val="00A6283D"/>
    <w:rsid w:val="00A63138"/>
    <w:rsid w:val="00A63556"/>
    <w:rsid w:val="00A64023"/>
    <w:rsid w:val="00A6424B"/>
    <w:rsid w:val="00A64399"/>
    <w:rsid w:val="00A665B8"/>
    <w:rsid w:val="00A66E7B"/>
    <w:rsid w:val="00A6733A"/>
    <w:rsid w:val="00A67DE4"/>
    <w:rsid w:val="00A67F5A"/>
    <w:rsid w:val="00A71D01"/>
    <w:rsid w:val="00A71EF7"/>
    <w:rsid w:val="00A721D4"/>
    <w:rsid w:val="00A72825"/>
    <w:rsid w:val="00A7295C"/>
    <w:rsid w:val="00A72C2D"/>
    <w:rsid w:val="00A734C8"/>
    <w:rsid w:val="00A740F9"/>
    <w:rsid w:val="00A7525D"/>
    <w:rsid w:val="00A758D1"/>
    <w:rsid w:val="00A75F01"/>
    <w:rsid w:val="00A75FD2"/>
    <w:rsid w:val="00A764EA"/>
    <w:rsid w:val="00A777FF"/>
    <w:rsid w:val="00A82201"/>
    <w:rsid w:val="00A82316"/>
    <w:rsid w:val="00A8253C"/>
    <w:rsid w:val="00A82D26"/>
    <w:rsid w:val="00A83508"/>
    <w:rsid w:val="00A8459C"/>
    <w:rsid w:val="00A85133"/>
    <w:rsid w:val="00A873EE"/>
    <w:rsid w:val="00A87625"/>
    <w:rsid w:val="00A87920"/>
    <w:rsid w:val="00A87FEA"/>
    <w:rsid w:val="00A9025C"/>
    <w:rsid w:val="00A90E50"/>
    <w:rsid w:val="00A90E51"/>
    <w:rsid w:val="00A910DE"/>
    <w:rsid w:val="00A9136A"/>
    <w:rsid w:val="00A919A1"/>
    <w:rsid w:val="00A921D9"/>
    <w:rsid w:val="00A92C61"/>
    <w:rsid w:val="00A9331B"/>
    <w:rsid w:val="00A9383B"/>
    <w:rsid w:val="00A9582B"/>
    <w:rsid w:val="00A95E9D"/>
    <w:rsid w:val="00A96290"/>
    <w:rsid w:val="00A96DB3"/>
    <w:rsid w:val="00A973D0"/>
    <w:rsid w:val="00A974CA"/>
    <w:rsid w:val="00A97ADF"/>
    <w:rsid w:val="00AA0AFC"/>
    <w:rsid w:val="00AA0D85"/>
    <w:rsid w:val="00AA2041"/>
    <w:rsid w:val="00AA2049"/>
    <w:rsid w:val="00AA222C"/>
    <w:rsid w:val="00AA2D40"/>
    <w:rsid w:val="00AA45A4"/>
    <w:rsid w:val="00AA491D"/>
    <w:rsid w:val="00AA56D8"/>
    <w:rsid w:val="00AA5C60"/>
    <w:rsid w:val="00AA6279"/>
    <w:rsid w:val="00AA6E5A"/>
    <w:rsid w:val="00AA7C6A"/>
    <w:rsid w:val="00AB0CE3"/>
    <w:rsid w:val="00AB117E"/>
    <w:rsid w:val="00AB1D84"/>
    <w:rsid w:val="00AB4F31"/>
    <w:rsid w:val="00AB5960"/>
    <w:rsid w:val="00AB6760"/>
    <w:rsid w:val="00AC0D38"/>
    <w:rsid w:val="00AC14EF"/>
    <w:rsid w:val="00AC27B1"/>
    <w:rsid w:val="00AC2B6E"/>
    <w:rsid w:val="00AC2FB8"/>
    <w:rsid w:val="00AC3268"/>
    <w:rsid w:val="00AC34CC"/>
    <w:rsid w:val="00AC3A55"/>
    <w:rsid w:val="00AC5C62"/>
    <w:rsid w:val="00AC60DF"/>
    <w:rsid w:val="00AC61D5"/>
    <w:rsid w:val="00AD0CD0"/>
    <w:rsid w:val="00AD2316"/>
    <w:rsid w:val="00AD2A27"/>
    <w:rsid w:val="00AD36C7"/>
    <w:rsid w:val="00AD40B8"/>
    <w:rsid w:val="00AD4454"/>
    <w:rsid w:val="00AD5AF8"/>
    <w:rsid w:val="00AD5F09"/>
    <w:rsid w:val="00AD64BE"/>
    <w:rsid w:val="00AD76AE"/>
    <w:rsid w:val="00AD77C1"/>
    <w:rsid w:val="00AE05C4"/>
    <w:rsid w:val="00AE081E"/>
    <w:rsid w:val="00AE0ABC"/>
    <w:rsid w:val="00AE1815"/>
    <w:rsid w:val="00AE1839"/>
    <w:rsid w:val="00AE275C"/>
    <w:rsid w:val="00AE32A3"/>
    <w:rsid w:val="00AE3B22"/>
    <w:rsid w:val="00AE46FA"/>
    <w:rsid w:val="00AE564E"/>
    <w:rsid w:val="00AF1D82"/>
    <w:rsid w:val="00AF2556"/>
    <w:rsid w:val="00AF2996"/>
    <w:rsid w:val="00AF33DB"/>
    <w:rsid w:val="00AF447B"/>
    <w:rsid w:val="00AF6122"/>
    <w:rsid w:val="00AF6247"/>
    <w:rsid w:val="00AF7785"/>
    <w:rsid w:val="00AF7B47"/>
    <w:rsid w:val="00B014F4"/>
    <w:rsid w:val="00B0261D"/>
    <w:rsid w:val="00B035DA"/>
    <w:rsid w:val="00B05E17"/>
    <w:rsid w:val="00B0784C"/>
    <w:rsid w:val="00B11A0D"/>
    <w:rsid w:val="00B12D43"/>
    <w:rsid w:val="00B13869"/>
    <w:rsid w:val="00B13A25"/>
    <w:rsid w:val="00B13EC7"/>
    <w:rsid w:val="00B14EC2"/>
    <w:rsid w:val="00B15090"/>
    <w:rsid w:val="00B1647E"/>
    <w:rsid w:val="00B16E6C"/>
    <w:rsid w:val="00B20782"/>
    <w:rsid w:val="00B21031"/>
    <w:rsid w:val="00B21897"/>
    <w:rsid w:val="00B21B0A"/>
    <w:rsid w:val="00B21B73"/>
    <w:rsid w:val="00B21CC9"/>
    <w:rsid w:val="00B21D59"/>
    <w:rsid w:val="00B22095"/>
    <w:rsid w:val="00B233B5"/>
    <w:rsid w:val="00B245AB"/>
    <w:rsid w:val="00B24A47"/>
    <w:rsid w:val="00B24BD5"/>
    <w:rsid w:val="00B24C8F"/>
    <w:rsid w:val="00B252DC"/>
    <w:rsid w:val="00B25810"/>
    <w:rsid w:val="00B259D4"/>
    <w:rsid w:val="00B25F55"/>
    <w:rsid w:val="00B2623A"/>
    <w:rsid w:val="00B30E30"/>
    <w:rsid w:val="00B31221"/>
    <w:rsid w:val="00B314BD"/>
    <w:rsid w:val="00B3199F"/>
    <w:rsid w:val="00B31E12"/>
    <w:rsid w:val="00B32BF4"/>
    <w:rsid w:val="00B32E4E"/>
    <w:rsid w:val="00B35A46"/>
    <w:rsid w:val="00B35E5D"/>
    <w:rsid w:val="00B36365"/>
    <w:rsid w:val="00B367C7"/>
    <w:rsid w:val="00B36AAD"/>
    <w:rsid w:val="00B36AFB"/>
    <w:rsid w:val="00B3702C"/>
    <w:rsid w:val="00B40654"/>
    <w:rsid w:val="00B40DE5"/>
    <w:rsid w:val="00B40E81"/>
    <w:rsid w:val="00B43026"/>
    <w:rsid w:val="00B473A1"/>
    <w:rsid w:val="00B47804"/>
    <w:rsid w:val="00B504F2"/>
    <w:rsid w:val="00B50D30"/>
    <w:rsid w:val="00B5175B"/>
    <w:rsid w:val="00B51873"/>
    <w:rsid w:val="00B51BEF"/>
    <w:rsid w:val="00B549E2"/>
    <w:rsid w:val="00B55F41"/>
    <w:rsid w:val="00B570B7"/>
    <w:rsid w:val="00B575A4"/>
    <w:rsid w:val="00B57F59"/>
    <w:rsid w:val="00B60112"/>
    <w:rsid w:val="00B6027B"/>
    <w:rsid w:val="00B615DB"/>
    <w:rsid w:val="00B62111"/>
    <w:rsid w:val="00B63747"/>
    <w:rsid w:val="00B64210"/>
    <w:rsid w:val="00B64994"/>
    <w:rsid w:val="00B6560F"/>
    <w:rsid w:val="00B65A6F"/>
    <w:rsid w:val="00B66AEE"/>
    <w:rsid w:val="00B67F18"/>
    <w:rsid w:val="00B7037D"/>
    <w:rsid w:val="00B72DD5"/>
    <w:rsid w:val="00B7349A"/>
    <w:rsid w:val="00B734DF"/>
    <w:rsid w:val="00B743B7"/>
    <w:rsid w:val="00B7484F"/>
    <w:rsid w:val="00B74EB7"/>
    <w:rsid w:val="00B76F85"/>
    <w:rsid w:val="00B80489"/>
    <w:rsid w:val="00B80B68"/>
    <w:rsid w:val="00B82FD2"/>
    <w:rsid w:val="00B84A68"/>
    <w:rsid w:val="00B84F56"/>
    <w:rsid w:val="00B859E2"/>
    <w:rsid w:val="00B85F3A"/>
    <w:rsid w:val="00B90906"/>
    <w:rsid w:val="00B92C48"/>
    <w:rsid w:val="00B95486"/>
    <w:rsid w:val="00BA062B"/>
    <w:rsid w:val="00BA067C"/>
    <w:rsid w:val="00BA1595"/>
    <w:rsid w:val="00BA2B18"/>
    <w:rsid w:val="00BA3070"/>
    <w:rsid w:val="00BA3235"/>
    <w:rsid w:val="00BA3BCC"/>
    <w:rsid w:val="00BA5205"/>
    <w:rsid w:val="00BA5C72"/>
    <w:rsid w:val="00BA7CAC"/>
    <w:rsid w:val="00BB0489"/>
    <w:rsid w:val="00BB1574"/>
    <w:rsid w:val="00BB1682"/>
    <w:rsid w:val="00BB3B22"/>
    <w:rsid w:val="00BB47B1"/>
    <w:rsid w:val="00BB5800"/>
    <w:rsid w:val="00BC045C"/>
    <w:rsid w:val="00BC08E7"/>
    <w:rsid w:val="00BC175F"/>
    <w:rsid w:val="00BC1A5D"/>
    <w:rsid w:val="00BC1A8A"/>
    <w:rsid w:val="00BC2235"/>
    <w:rsid w:val="00BC28CD"/>
    <w:rsid w:val="00BC6E26"/>
    <w:rsid w:val="00BC7164"/>
    <w:rsid w:val="00BC775D"/>
    <w:rsid w:val="00BD0B5E"/>
    <w:rsid w:val="00BD1E38"/>
    <w:rsid w:val="00BD346C"/>
    <w:rsid w:val="00BD34A4"/>
    <w:rsid w:val="00BD39A1"/>
    <w:rsid w:val="00BD5757"/>
    <w:rsid w:val="00BD6053"/>
    <w:rsid w:val="00BD665F"/>
    <w:rsid w:val="00BE10F8"/>
    <w:rsid w:val="00BE310E"/>
    <w:rsid w:val="00BE3345"/>
    <w:rsid w:val="00BE3E92"/>
    <w:rsid w:val="00BE5039"/>
    <w:rsid w:val="00BE56F2"/>
    <w:rsid w:val="00BE5E48"/>
    <w:rsid w:val="00BE69EC"/>
    <w:rsid w:val="00BE6BD5"/>
    <w:rsid w:val="00BF0FE1"/>
    <w:rsid w:val="00BF1DB2"/>
    <w:rsid w:val="00BF222C"/>
    <w:rsid w:val="00BF334A"/>
    <w:rsid w:val="00BF3566"/>
    <w:rsid w:val="00BF528B"/>
    <w:rsid w:val="00BF623C"/>
    <w:rsid w:val="00C002A3"/>
    <w:rsid w:val="00C00B53"/>
    <w:rsid w:val="00C0197B"/>
    <w:rsid w:val="00C0314F"/>
    <w:rsid w:val="00C049B6"/>
    <w:rsid w:val="00C054A6"/>
    <w:rsid w:val="00C058BB"/>
    <w:rsid w:val="00C06A63"/>
    <w:rsid w:val="00C127E3"/>
    <w:rsid w:val="00C14064"/>
    <w:rsid w:val="00C1410C"/>
    <w:rsid w:val="00C15410"/>
    <w:rsid w:val="00C15DB3"/>
    <w:rsid w:val="00C16AE9"/>
    <w:rsid w:val="00C17510"/>
    <w:rsid w:val="00C17F60"/>
    <w:rsid w:val="00C22218"/>
    <w:rsid w:val="00C224CD"/>
    <w:rsid w:val="00C236F5"/>
    <w:rsid w:val="00C24225"/>
    <w:rsid w:val="00C246CE"/>
    <w:rsid w:val="00C25A55"/>
    <w:rsid w:val="00C25E3A"/>
    <w:rsid w:val="00C26138"/>
    <w:rsid w:val="00C30306"/>
    <w:rsid w:val="00C30B0E"/>
    <w:rsid w:val="00C314D3"/>
    <w:rsid w:val="00C31529"/>
    <w:rsid w:val="00C32836"/>
    <w:rsid w:val="00C349E9"/>
    <w:rsid w:val="00C36C76"/>
    <w:rsid w:val="00C4161F"/>
    <w:rsid w:val="00C426A1"/>
    <w:rsid w:val="00C42779"/>
    <w:rsid w:val="00C42B0D"/>
    <w:rsid w:val="00C42F32"/>
    <w:rsid w:val="00C444C9"/>
    <w:rsid w:val="00C45C28"/>
    <w:rsid w:val="00C45E70"/>
    <w:rsid w:val="00C464F9"/>
    <w:rsid w:val="00C4790D"/>
    <w:rsid w:val="00C522A2"/>
    <w:rsid w:val="00C52AF7"/>
    <w:rsid w:val="00C52C94"/>
    <w:rsid w:val="00C53375"/>
    <w:rsid w:val="00C539E0"/>
    <w:rsid w:val="00C53A62"/>
    <w:rsid w:val="00C53D14"/>
    <w:rsid w:val="00C53D9C"/>
    <w:rsid w:val="00C546FA"/>
    <w:rsid w:val="00C54EE8"/>
    <w:rsid w:val="00C56F3C"/>
    <w:rsid w:val="00C57FBE"/>
    <w:rsid w:val="00C60AFF"/>
    <w:rsid w:val="00C653D4"/>
    <w:rsid w:val="00C656C3"/>
    <w:rsid w:val="00C66780"/>
    <w:rsid w:val="00C668FF"/>
    <w:rsid w:val="00C676BF"/>
    <w:rsid w:val="00C70054"/>
    <w:rsid w:val="00C70130"/>
    <w:rsid w:val="00C70597"/>
    <w:rsid w:val="00C70B42"/>
    <w:rsid w:val="00C71A52"/>
    <w:rsid w:val="00C73317"/>
    <w:rsid w:val="00C745FC"/>
    <w:rsid w:val="00C749B8"/>
    <w:rsid w:val="00C74AD0"/>
    <w:rsid w:val="00C750D8"/>
    <w:rsid w:val="00C75DE5"/>
    <w:rsid w:val="00C75E0D"/>
    <w:rsid w:val="00C767CA"/>
    <w:rsid w:val="00C77872"/>
    <w:rsid w:val="00C77D9E"/>
    <w:rsid w:val="00C819DF"/>
    <w:rsid w:val="00C826BD"/>
    <w:rsid w:val="00C82C1F"/>
    <w:rsid w:val="00C831DF"/>
    <w:rsid w:val="00C831FD"/>
    <w:rsid w:val="00C833C8"/>
    <w:rsid w:val="00C84FFE"/>
    <w:rsid w:val="00C85EB6"/>
    <w:rsid w:val="00C87829"/>
    <w:rsid w:val="00C87FB0"/>
    <w:rsid w:val="00C9018C"/>
    <w:rsid w:val="00C90C19"/>
    <w:rsid w:val="00C92341"/>
    <w:rsid w:val="00C93C63"/>
    <w:rsid w:val="00C951F0"/>
    <w:rsid w:val="00C9562E"/>
    <w:rsid w:val="00C95E00"/>
    <w:rsid w:val="00CA00FB"/>
    <w:rsid w:val="00CA1353"/>
    <w:rsid w:val="00CA1436"/>
    <w:rsid w:val="00CA15C8"/>
    <w:rsid w:val="00CA1A50"/>
    <w:rsid w:val="00CA2609"/>
    <w:rsid w:val="00CA2F89"/>
    <w:rsid w:val="00CA41CA"/>
    <w:rsid w:val="00CA4766"/>
    <w:rsid w:val="00CA7745"/>
    <w:rsid w:val="00CA7A15"/>
    <w:rsid w:val="00CB178E"/>
    <w:rsid w:val="00CB17DC"/>
    <w:rsid w:val="00CB205C"/>
    <w:rsid w:val="00CB2308"/>
    <w:rsid w:val="00CB2C2C"/>
    <w:rsid w:val="00CB425D"/>
    <w:rsid w:val="00CB4557"/>
    <w:rsid w:val="00CB5C59"/>
    <w:rsid w:val="00CB6A59"/>
    <w:rsid w:val="00CB7347"/>
    <w:rsid w:val="00CC0AE4"/>
    <w:rsid w:val="00CC0ED5"/>
    <w:rsid w:val="00CC1AB0"/>
    <w:rsid w:val="00CC2EF0"/>
    <w:rsid w:val="00CC306E"/>
    <w:rsid w:val="00CC393E"/>
    <w:rsid w:val="00CC54EF"/>
    <w:rsid w:val="00CC670C"/>
    <w:rsid w:val="00CC6DAA"/>
    <w:rsid w:val="00CC7391"/>
    <w:rsid w:val="00CD3536"/>
    <w:rsid w:val="00CD4E02"/>
    <w:rsid w:val="00CD61FD"/>
    <w:rsid w:val="00CD7BC9"/>
    <w:rsid w:val="00CE0756"/>
    <w:rsid w:val="00CE0EB4"/>
    <w:rsid w:val="00CE15E5"/>
    <w:rsid w:val="00CE17CE"/>
    <w:rsid w:val="00CE27D3"/>
    <w:rsid w:val="00CE3450"/>
    <w:rsid w:val="00CE35B5"/>
    <w:rsid w:val="00CE3D50"/>
    <w:rsid w:val="00CE55B7"/>
    <w:rsid w:val="00CE6158"/>
    <w:rsid w:val="00CE63EC"/>
    <w:rsid w:val="00CE70CA"/>
    <w:rsid w:val="00CE70E7"/>
    <w:rsid w:val="00CF0D0D"/>
    <w:rsid w:val="00CF0DEB"/>
    <w:rsid w:val="00CF10C4"/>
    <w:rsid w:val="00CF2B71"/>
    <w:rsid w:val="00CF343C"/>
    <w:rsid w:val="00CF3901"/>
    <w:rsid w:val="00CF4C32"/>
    <w:rsid w:val="00CF52A9"/>
    <w:rsid w:val="00CF6C64"/>
    <w:rsid w:val="00CF76FF"/>
    <w:rsid w:val="00D00079"/>
    <w:rsid w:val="00D00B43"/>
    <w:rsid w:val="00D018E7"/>
    <w:rsid w:val="00D020BE"/>
    <w:rsid w:val="00D0227C"/>
    <w:rsid w:val="00D0393C"/>
    <w:rsid w:val="00D0607A"/>
    <w:rsid w:val="00D06080"/>
    <w:rsid w:val="00D063ED"/>
    <w:rsid w:val="00D06474"/>
    <w:rsid w:val="00D07710"/>
    <w:rsid w:val="00D07FBA"/>
    <w:rsid w:val="00D116C6"/>
    <w:rsid w:val="00D11DA3"/>
    <w:rsid w:val="00D11FA7"/>
    <w:rsid w:val="00D1205D"/>
    <w:rsid w:val="00D126E4"/>
    <w:rsid w:val="00D14785"/>
    <w:rsid w:val="00D15FBF"/>
    <w:rsid w:val="00D16794"/>
    <w:rsid w:val="00D17763"/>
    <w:rsid w:val="00D203F1"/>
    <w:rsid w:val="00D20FD9"/>
    <w:rsid w:val="00D21029"/>
    <w:rsid w:val="00D213C6"/>
    <w:rsid w:val="00D25C15"/>
    <w:rsid w:val="00D26863"/>
    <w:rsid w:val="00D27736"/>
    <w:rsid w:val="00D30C05"/>
    <w:rsid w:val="00D33773"/>
    <w:rsid w:val="00D33ABA"/>
    <w:rsid w:val="00D33B83"/>
    <w:rsid w:val="00D34D58"/>
    <w:rsid w:val="00D357DA"/>
    <w:rsid w:val="00D36664"/>
    <w:rsid w:val="00D404CD"/>
    <w:rsid w:val="00D428C4"/>
    <w:rsid w:val="00D45B0F"/>
    <w:rsid w:val="00D46309"/>
    <w:rsid w:val="00D47637"/>
    <w:rsid w:val="00D47D8F"/>
    <w:rsid w:val="00D50B7A"/>
    <w:rsid w:val="00D5106B"/>
    <w:rsid w:val="00D5246F"/>
    <w:rsid w:val="00D52C49"/>
    <w:rsid w:val="00D52D0A"/>
    <w:rsid w:val="00D52FEE"/>
    <w:rsid w:val="00D54144"/>
    <w:rsid w:val="00D55002"/>
    <w:rsid w:val="00D55A13"/>
    <w:rsid w:val="00D568EC"/>
    <w:rsid w:val="00D56C7F"/>
    <w:rsid w:val="00D57FE9"/>
    <w:rsid w:val="00D615FD"/>
    <w:rsid w:val="00D62F06"/>
    <w:rsid w:val="00D64E7C"/>
    <w:rsid w:val="00D65625"/>
    <w:rsid w:val="00D67DA3"/>
    <w:rsid w:val="00D706D4"/>
    <w:rsid w:val="00D718A7"/>
    <w:rsid w:val="00D71DA1"/>
    <w:rsid w:val="00D73554"/>
    <w:rsid w:val="00D73DBF"/>
    <w:rsid w:val="00D73F79"/>
    <w:rsid w:val="00D74753"/>
    <w:rsid w:val="00D74A91"/>
    <w:rsid w:val="00D75A37"/>
    <w:rsid w:val="00D75AC5"/>
    <w:rsid w:val="00D77D02"/>
    <w:rsid w:val="00D80EC8"/>
    <w:rsid w:val="00D814C0"/>
    <w:rsid w:val="00D82066"/>
    <w:rsid w:val="00D822B7"/>
    <w:rsid w:val="00D83630"/>
    <w:rsid w:val="00D84B1E"/>
    <w:rsid w:val="00D85147"/>
    <w:rsid w:val="00D851DA"/>
    <w:rsid w:val="00D85260"/>
    <w:rsid w:val="00D867FE"/>
    <w:rsid w:val="00D87217"/>
    <w:rsid w:val="00D9264D"/>
    <w:rsid w:val="00D937B6"/>
    <w:rsid w:val="00D939C8"/>
    <w:rsid w:val="00D93E7D"/>
    <w:rsid w:val="00D94004"/>
    <w:rsid w:val="00D94718"/>
    <w:rsid w:val="00D9492C"/>
    <w:rsid w:val="00D94A94"/>
    <w:rsid w:val="00D94C33"/>
    <w:rsid w:val="00D96278"/>
    <w:rsid w:val="00D96F7C"/>
    <w:rsid w:val="00D97F3C"/>
    <w:rsid w:val="00DA05E7"/>
    <w:rsid w:val="00DA0B0D"/>
    <w:rsid w:val="00DA5232"/>
    <w:rsid w:val="00DA5670"/>
    <w:rsid w:val="00DA6C25"/>
    <w:rsid w:val="00DB08A8"/>
    <w:rsid w:val="00DB0989"/>
    <w:rsid w:val="00DB1837"/>
    <w:rsid w:val="00DB1B6B"/>
    <w:rsid w:val="00DB28E5"/>
    <w:rsid w:val="00DB30E0"/>
    <w:rsid w:val="00DB3DD4"/>
    <w:rsid w:val="00DB4533"/>
    <w:rsid w:val="00DB4655"/>
    <w:rsid w:val="00DB5D2B"/>
    <w:rsid w:val="00DB6F04"/>
    <w:rsid w:val="00DB70FD"/>
    <w:rsid w:val="00DB7E1B"/>
    <w:rsid w:val="00DC122C"/>
    <w:rsid w:val="00DC2C5C"/>
    <w:rsid w:val="00DC333C"/>
    <w:rsid w:val="00DC36F7"/>
    <w:rsid w:val="00DC5701"/>
    <w:rsid w:val="00DC5987"/>
    <w:rsid w:val="00DC5E2A"/>
    <w:rsid w:val="00DC61F5"/>
    <w:rsid w:val="00DC722B"/>
    <w:rsid w:val="00DC7351"/>
    <w:rsid w:val="00DD0869"/>
    <w:rsid w:val="00DD1079"/>
    <w:rsid w:val="00DD15C5"/>
    <w:rsid w:val="00DD272D"/>
    <w:rsid w:val="00DD351A"/>
    <w:rsid w:val="00DD427B"/>
    <w:rsid w:val="00DD44C6"/>
    <w:rsid w:val="00DD4F49"/>
    <w:rsid w:val="00DD58AC"/>
    <w:rsid w:val="00DD6835"/>
    <w:rsid w:val="00DD7A20"/>
    <w:rsid w:val="00DD7C0A"/>
    <w:rsid w:val="00DE0A7F"/>
    <w:rsid w:val="00DE0CAE"/>
    <w:rsid w:val="00DE1E1D"/>
    <w:rsid w:val="00DE321F"/>
    <w:rsid w:val="00DE3FBF"/>
    <w:rsid w:val="00DE4DAD"/>
    <w:rsid w:val="00DE4F21"/>
    <w:rsid w:val="00DE52F8"/>
    <w:rsid w:val="00DE5B6B"/>
    <w:rsid w:val="00DE5FE9"/>
    <w:rsid w:val="00DE6135"/>
    <w:rsid w:val="00DE6F66"/>
    <w:rsid w:val="00DE7747"/>
    <w:rsid w:val="00DF054E"/>
    <w:rsid w:val="00DF0CF6"/>
    <w:rsid w:val="00DF0E01"/>
    <w:rsid w:val="00DF1B3A"/>
    <w:rsid w:val="00DF2415"/>
    <w:rsid w:val="00DF28BF"/>
    <w:rsid w:val="00DF2B6A"/>
    <w:rsid w:val="00DF481C"/>
    <w:rsid w:val="00DF4DBA"/>
    <w:rsid w:val="00DF56DD"/>
    <w:rsid w:val="00DF5FF6"/>
    <w:rsid w:val="00DF78BB"/>
    <w:rsid w:val="00E0024E"/>
    <w:rsid w:val="00E002D7"/>
    <w:rsid w:val="00E00C10"/>
    <w:rsid w:val="00E02652"/>
    <w:rsid w:val="00E02FCA"/>
    <w:rsid w:val="00E04D2B"/>
    <w:rsid w:val="00E051C7"/>
    <w:rsid w:val="00E052BB"/>
    <w:rsid w:val="00E07D7E"/>
    <w:rsid w:val="00E1198A"/>
    <w:rsid w:val="00E12A1D"/>
    <w:rsid w:val="00E13238"/>
    <w:rsid w:val="00E13425"/>
    <w:rsid w:val="00E13779"/>
    <w:rsid w:val="00E170BE"/>
    <w:rsid w:val="00E21112"/>
    <w:rsid w:val="00E21714"/>
    <w:rsid w:val="00E21B64"/>
    <w:rsid w:val="00E22B81"/>
    <w:rsid w:val="00E22D32"/>
    <w:rsid w:val="00E25185"/>
    <w:rsid w:val="00E2574E"/>
    <w:rsid w:val="00E2587F"/>
    <w:rsid w:val="00E27C79"/>
    <w:rsid w:val="00E30617"/>
    <w:rsid w:val="00E30A03"/>
    <w:rsid w:val="00E312AD"/>
    <w:rsid w:val="00E31DDC"/>
    <w:rsid w:val="00E3266E"/>
    <w:rsid w:val="00E326F1"/>
    <w:rsid w:val="00E32F7C"/>
    <w:rsid w:val="00E33237"/>
    <w:rsid w:val="00E33503"/>
    <w:rsid w:val="00E337E0"/>
    <w:rsid w:val="00E35570"/>
    <w:rsid w:val="00E35727"/>
    <w:rsid w:val="00E35737"/>
    <w:rsid w:val="00E35DF1"/>
    <w:rsid w:val="00E3703C"/>
    <w:rsid w:val="00E3749E"/>
    <w:rsid w:val="00E378B1"/>
    <w:rsid w:val="00E37D42"/>
    <w:rsid w:val="00E437BF"/>
    <w:rsid w:val="00E4510D"/>
    <w:rsid w:val="00E45C00"/>
    <w:rsid w:val="00E46172"/>
    <w:rsid w:val="00E473E3"/>
    <w:rsid w:val="00E50974"/>
    <w:rsid w:val="00E50CBE"/>
    <w:rsid w:val="00E513B3"/>
    <w:rsid w:val="00E52062"/>
    <w:rsid w:val="00E5263D"/>
    <w:rsid w:val="00E53130"/>
    <w:rsid w:val="00E53C56"/>
    <w:rsid w:val="00E55983"/>
    <w:rsid w:val="00E56E22"/>
    <w:rsid w:val="00E57128"/>
    <w:rsid w:val="00E60E4F"/>
    <w:rsid w:val="00E61CC5"/>
    <w:rsid w:val="00E625FD"/>
    <w:rsid w:val="00E63917"/>
    <w:rsid w:val="00E63A9B"/>
    <w:rsid w:val="00E64805"/>
    <w:rsid w:val="00E65268"/>
    <w:rsid w:val="00E718A6"/>
    <w:rsid w:val="00E71A70"/>
    <w:rsid w:val="00E73BD4"/>
    <w:rsid w:val="00E73E9C"/>
    <w:rsid w:val="00E76364"/>
    <w:rsid w:val="00E7661F"/>
    <w:rsid w:val="00E770ED"/>
    <w:rsid w:val="00E77837"/>
    <w:rsid w:val="00E8094B"/>
    <w:rsid w:val="00E809CD"/>
    <w:rsid w:val="00E810A2"/>
    <w:rsid w:val="00E824A7"/>
    <w:rsid w:val="00E827BC"/>
    <w:rsid w:val="00E82EBE"/>
    <w:rsid w:val="00E85049"/>
    <w:rsid w:val="00E85074"/>
    <w:rsid w:val="00E903B7"/>
    <w:rsid w:val="00E911F0"/>
    <w:rsid w:val="00E913F9"/>
    <w:rsid w:val="00E914CA"/>
    <w:rsid w:val="00E92F8F"/>
    <w:rsid w:val="00E93D4F"/>
    <w:rsid w:val="00E93FFF"/>
    <w:rsid w:val="00E957CE"/>
    <w:rsid w:val="00E960D2"/>
    <w:rsid w:val="00E965DE"/>
    <w:rsid w:val="00E968AB"/>
    <w:rsid w:val="00EA010C"/>
    <w:rsid w:val="00EA09EA"/>
    <w:rsid w:val="00EA0BA6"/>
    <w:rsid w:val="00EA196F"/>
    <w:rsid w:val="00EA1E5D"/>
    <w:rsid w:val="00EA279E"/>
    <w:rsid w:val="00EA3AB5"/>
    <w:rsid w:val="00EA52CD"/>
    <w:rsid w:val="00EB025E"/>
    <w:rsid w:val="00EB03E4"/>
    <w:rsid w:val="00EB09AE"/>
    <w:rsid w:val="00EB0D4C"/>
    <w:rsid w:val="00EB0E05"/>
    <w:rsid w:val="00EB1CFD"/>
    <w:rsid w:val="00EB246C"/>
    <w:rsid w:val="00EB3561"/>
    <w:rsid w:val="00EB38E4"/>
    <w:rsid w:val="00EB4AC2"/>
    <w:rsid w:val="00EB770F"/>
    <w:rsid w:val="00EC097A"/>
    <w:rsid w:val="00EC1878"/>
    <w:rsid w:val="00EC2901"/>
    <w:rsid w:val="00EC2D73"/>
    <w:rsid w:val="00EC3778"/>
    <w:rsid w:val="00EC3872"/>
    <w:rsid w:val="00EC5766"/>
    <w:rsid w:val="00EC5F1D"/>
    <w:rsid w:val="00EC6605"/>
    <w:rsid w:val="00EC798A"/>
    <w:rsid w:val="00ED0348"/>
    <w:rsid w:val="00ED0853"/>
    <w:rsid w:val="00ED096C"/>
    <w:rsid w:val="00ED19D9"/>
    <w:rsid w:val="00ED2D3A"/>
    <w:rsid w:val="00ED2E5A"/>
    <w:rsid w:val="00ED448D"/>
    <w:rsid w:val="00ED4824"/>
    <w:rsid w:val="00ED5B96"/>
    <w:rsid w:val="00ED635C"/>
    <w:rsid w:val="00ED6845"/>
    <w:rsid w:val="00ED6DB3"/>
    <w:rsid w:val="00ED78FA"/>
    <w:rsid w:val="00ED7E0D"/>
    <w:rsid w:val="00EE0DEC"/>
    <w:rsid w:val="00EE118E"/>
    <w:rsid w:val="00EE1659"/>
    <w:rsid w:val="00EE4E95"/>
    <w:rsid w:val="00EE6791"/>
    <w:rsid w:val="00EE72AD"/>
    <w:rsid w:val="00EE7969"/>
    <w:rsid w:val="00EE7B06"/>
    <w:rsid w:val="00EF0AC4"/>
    <w:rsid w:val="00EF3909"/>
    <w:rsid w:val="00EF3ABD"/>
    <w:rsid w:val="00EF42CB"/>
    <w:rsid w:val="00EF4E14"/>
    <w:rsid w:val="00EF6AD8"/>
    <w:rsid w:val="00F00287"/>
    <w:rsid w:val="00F00AD8"/>
    <w:rsid w:val="00F048BC"/>
    <w:rsid w:val="00F0495F"/>
    <w:rsid w:val="00F0499D"/>
    <w:rsid w:val="00F04C81"/>
    <w:rsid w:val="00F05C85"/>
    <w:rsid w:val="00F0611B"/>
    <w:rsid w:val="00F11058"/>
    <w:rsid w:val="00F130B2"/>
    <w:rsid w:val="00F131B2"/>
    <w:rsid w:val="00F13431"/>
    <w:rsid w:val="00F137B9"/>
    <w:rsid w:val="00F13838"/>
    <w:rsid w:val="00F14ECA"/>
    <w:rsid w:val="00F16F3D"/>
    <w:rsid w:val="00F1711F"/>
    <w:rsid w:val="00F17872"/>
    <w:rsid w:val="00F20070"/>
    <w:rsid w:val="00F20450"/>
    <w:rsid w:val="00F23C5B"/>
    <w:rsid w:val="00F23CB8"/>
    <w:rsid w:val="00F2453D"/>
    <w:rsid w:val="00F248EA"/>
    <w:rsid w:val="00F26E4D"/>
    <w:rsid w:val="00F27597"/>
    <w:rsid w:val="00F3021E"/>
    <w:rsid w:val="00F30621"/>
    <w:rsid w:val="00F30BAE"/>
    <w:rsid w:val="00F326F3"/>
    <w:rsid w:val="00F33C7D"/>
    <w:rsid w:val="00F34017"/>
    <w:rsid w:val="00F34AE1"/>
    <w:rsid w:val="00F34F32"/>
    <w:rsid w:val="00F375CE"/>
    <w:rsid w:val="00F40673"/>
    <w:rsid w:val="00F41151"/>
    <w:rsid w:val="00F42A33"/>
    <w:rsid w:val="00F42CBB"/>
    <w:rsid w:val="00F42D3B"/>
    <w:rsid w:val="00F442EA"/>
    <w:rsid w:val="00F45D00"/>
    <w:rsid w:val="00F465B8"/>
    <w:rsid w:val="00F47903"/>
    <w:rsid w:val="00F50127"/>
    <w:rsid w:val="00F505A0"/>
    <w:rsid w:val="00F5086E"/>
    <w:rsid w:val="00F50E85"/>
    <w:rsid w:val="00F51230"/>
    <w:rsid w:val="00F53010"/>
    <w:rsid w:val="00F54EDD"/>
    <w:rsid w:val="00F556A0"/>
    <w:rsid w:val="00F56D54"/>
    <w:rsid w:val="00F5724B"/>
    <w:rsid w:val="00F5742E"/>
    <w:rsid w:val="00F57554"/>
    <w:rsid w:val="00F60496"/>
    <w:rsid w:val="00F60903"/>
    <w:rsid w:val="00F60A39"/>
    <w:rsid w:val="00F610F0"/>
    <w:rsid w:val="00F61C2A"/>
    <w:rsid w:val="00F62293"/>
    <w:rsid w:val="00F64482"/>
    <w:rsid w:val="00F65533"/>
    <w:rsid w:val="00F65C7D"/>
    <w:rsid w:val="00F664C0"/>
    <w:rsid w:val="00F70401"/>
    <w:rsid w:val="00F70BF1"/>
    <w:rsid w:val="00F72CD8"/>
    <w:rsid w:val="00F72EB8"/>
    <w:rsid w:val="00F7305A"/>
    <w:rsid w:val="00F73F64"/>
    <w:rsid w:val="00F74BBF"/>
    <w:rsid w:val="00F751CB"/>
    <w:rsid w:val="00F75720"/>
    <w:rsid w:val="00F75B26"/>
    <w:rsid w:val="00F7743F"/>
    <w:rsid w:val="00F777A2"/>
    <w:rsid w:val="00F80ACF"/>
    <w:rsid w:val="00F81BBD"/>
    <w:rsid w:val="00F81C73"/>
    <w:rsid w:val="00F81F8B"/>
    <w:rsid w:val="00F826D6"/>
    <w:rsid w:val="00F82C5E"/>
    <w:rsid w:val="00F83345"/>
    <w:rsid w:val="00F838D1"/>
    <w:rsid w:val="00F839E8"/>
    <w:rsid w:val="00F8427C"/>
    <w:rsid w:val="00F85C6A"/>
    <w:rsid w:val="00F86D4B"/>
    <w:rsid w:val="00F876FB"/>
    <w:rsid w:val="00F8788E"/>
    <w:rsid w:val="00F919FB"/>
    <w:rsid w:val="00F930F0"/>
    <w:rsid w:val="00F93E2F"/>
    <w:rsid w:val="00F94311"/>
    <w:rsid w:val="00F94BBA"/>
    <w:rsid w:val="00F94D67"/>
    <w:rsid w:val="00F95354"/>
    <w:rsid w:val="00F95390"/>
    <w:rsid w:val="00F9550C"/>
    <w:rsid w:val="00F97380"/>
    <w:rsid w:val="00FA0110"/>
    <w:rsid w:val="00FA0188"/>
    <w:rsid w:val="00FA05FB"/>
    <w:rsid w:val="00FA1A79"/>
    <w:rsid w:val="00FA25E9"/>
    <w:rsid w:val="00FA26F7"/>
    <w:rsid w:val="00FA3DDE"/>
    <w:rsid w:val="00FA4473"/>
    <w:rsid w:val="00FA5458"/>
    <w:rsid w:val="00FA5DE1"/>
    <w:rsid w:val="00FA6B73"/>
    <w:rsid w:val="00FA6C82"/>
    <w:rsid w:val="00FA7A32"/>
    <w:rsid w:val="00FB0E79"/>
    <w:rsid w:val="00FB0FC7"/>
    <w:rsid w:val="00FB1AA2"/>
    <w:rsid w:val="00FB2882"/>
    <w:rsid w:val="00FB28DF"/>
    <w:rsid w:val="00FB2918"/>
    <w:rsid w:val="00FB3947"/>
    <w:rsid w:val="00FB4E1F"/>
    <w:rsid w:val="00FB6023"/>
    <w:rsid w:val="00FB798A"/>
    <w:rsid w:val="00FB7D85"/>
    <w:rsid w:val="00FC0433"/>
    <w:rsid w:val="00FC239D"/>
    <w:rsid w:val="00FC29D6"/>
    <w:rsid w:val="00FC435D"/>
    <w:rsid w:val="00FC43F2"/>
    <w:rsid w:val="00FC482E"/>
    <w:rsid w:val="00FC52A8"/>
    <w:rsid w:val="00FC5F5C"/>
    <w:rsid w:val="00FC606D"/>
    <w:rsid w:val="00FC6A37"/>
    <w:rsid w:val="00FC7029"/>
    <w:rsid w:val="00FD0004"/>
    <w:rsid w:val="00FD2FAD"/>
    <w:rsid w:val="00FD307D"/>
    <w:rsid w:val="00FD43BD"/>
    <w:rsid w:val="00FD4558"/>
    <w:rsid w:val="00FD5958"/>
    <w:rsid w:val="00FD615C"/>
    <w:rsid w:val="00FD6666"/>
    <w:rsid w:val="00FD6BDB"/>
    <w:rsid w:val="00FE14AC"/>
    <w:rsid w:val="00FE1DFC"/>
    <w:rsid w:val="00FE2972"/>
    <w:rsid w:val="00FE2DBD"/>
    <w:rsid w:val="00FE3F4F"/>
    <w:rsid w:val="00FE49A5"/>
    <w:rsid w:val="00FE4B81"/>
    <w:rsid w:val="00FE5901"/>
    <w:rsid w:val="00FE64E2"/>
    <w:rsid w:val="00FE64E4"/>
    <w:rsid w:val="00FE6C9E"/>
    <w:rsid w:val="00FE7D11"/>
    <w:rsid w:val="00FF071F"/>
    <w:rsid w:val="00FF0B1A"/>
    <w:rsid w:val="00FF12D7"/>
    <w:rsid w:val="00FF185D"/>
    <w:rsid w:val="00FF22BA"/>
    <w:rsid w:val="00FF308A"/>
    <w:rsid w:val="00FF3F66"/>
    <w:rsid w:val="00FF464A"/>
    <w:rsid w:val="00FF47B9"/>
    <w:rsid w:val="00FF671A"/>
    <w:rsid w:val="00FF78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FDE"/>
    <w:pPr>
      <w:spacing w:before="200"/>
    </w:pPr>
    <w:rPr>
      <w:rFonts w:ascii="Calibri" w:hAnsi="Calibri"/>
      <w:sz w:val="24"/>
      <w:szCs w:val="24"/>
      <w:lang w:eastAsia="ja-JP"/>
    </w:rPr>
  </w:style>
  <w:style w:type="paragraph" w:styleId="Heading1">
    <w:name w:val="heading 1"/>
    <w:basedOn w:val="Normal"/>
    <w:next w:val="Normal"/>
    <w:link w:val="Heading1Char"/>
    <w:uiPriority w:val="9"/>
    <w:qFormat/>
    <w:rsid w:val="002443DC"/>
    <w:pPr>
      <w:keepNext/>
      <w:pageBreakBefore/>
      <w:numPr>
        <w:numId w:val="29"/>
      </w:numPr>
      <w:spacing w:before="480" w:after="1440" w:line="540" w:lineRule="atLeast"/>
      <w:outlineLvl w:val="0"/>
    </w:pPr>
    <w:rPr>
      <w:rFonts w:ascii="Arial" w:hAnsi="Arial" w:cs="Arial"/>
      <w:bCs/>
      <w:noProof/>
      <w:color w:val="FFFFFF"/>
      <w:sz w:val="44"/>
      <w:szCs w:val="32"/>
      <w:lang w:val="en-US" w:eastAsia="en-US"/>
    </w:rPr>
  </w:style>
  <w:style w:type="paragraph" w:styleId="Heading2">
    <w:name w:val="heading 2"/>
    <w:basedOn w:val="Normal"/>
    <w:next w:val="Normal"/>
    <w:link w:val="Heading2Char"/>
    <w:uiPriority w:val="9"/>
    <w:qFormat/>
    <w:rsid w:val="002443DC"/>
    <w:pPr>
      <w:keepNext/>
      <w:numPr>
        <w:ilvl w:val="1"/>
        <w:numId w:val="29"/>
      </w:numPr>
      <w:spacing w:before="480" w:after="120"/>
      <w:outlineLvl w:val="1"/>
    </w:pPr>
    <w:rPr>
      <w:rFonts w:ascii="Arial" w:hAnsi="Arial" w:cs="Arial"/>
      <w:b/>
      <w:bCs/>
      <w:iCs/>
      <w:color w:val="124486"/>
      <w:sz w:val="28"/>
      <w:szCs w:val="28"/>
    </w:rPr>
  </w:style>
  <w:style w:type="paragraph" w:styleId="Heading3">
    <w:name w:val="heading 3"/>
    <w:basedOn w:val="Normal"/>
    <w:next w:val="Normal"/>
    <w:link w:val="Heading3Char"/>
    <w:uiPriority w:val="9"/>
    <w:qFormat/>
    <w:rsid w:val="00582CAF"/>
    <w:pPr>
      <w:keepNext/>
      <w:numPr>
        <w:ilvl w:val="2"/>
        <w:numId w:val="29"/>
      </w:numPr>
      <w:spacing w:before="360" w:after="120"/>
      <w:outlineLvl w:val="2"/>
    </w:pPr>
    <w:rPr>
      <w:rFonts w:ascii="Arial" w:eastAsia="MS ??" w:hAnsi="Arial" w:cs="Arial"/>
      <w:bCs/>
      <w:color w:val="007FAD"/>
      <w:szCs w:val="26"/>
    </w:rPr>
  </w:style>
  <w:style w:type="paragraph" w:styleId="Heading4">
    <w:name w:val="heading 4"/>
    <w:basedOn w:val="Normal"/>
    <w:next w:val="Normal"/>
    <w:link w:val="Heading4Char"/>
    <w:uiPriority w:val="9"/>
    <w:qFormat/>
    <w:rsid w:val="00891A09"/>
    <w:pPr>
      <w:keepNext/>
      <w:spacing w:before="240" w:after="120"/>
      <w:outlineLvl w:val="3"/>
    </w:pPr>
    <w:rPr>
      <w:rFonts w:ascii="Arial" w:eastAsia="MS ??" w:hAnsi="Arial"/>
      <w:b/>
      <w:bCs/>
      <w:sz w:val="28"/>
      <w:szCs w:val="28"/>
    </w:rPr>
  </w:style>
  <w:style w:type="paragraph" w:styleId="Heading5">
    <w:name w:val="heading 5"/>
    <w:basedOn w:val="Normal"/>
    <w:next w:val="Normal"/>
    <w:link w:val="Heading5Char"/>
    <w:uiPriority w:val="9"/>
    <w:qFormat/>
    <w:rsid w:val="002443DC"/>
    <w:pPr>
      <w:keepNext/>
      <w:numPr>
        <w:ilvl w:val="4"/>
        <w:numId w:val="29"/>
      </w:numPr>
      <w:spacing w:before="60" w:after="60"/>
      <w:outlineLvl w:val="4"/>
    </w:pPr>
    <w:rPr>
      <w:rFonts w:ascii="Arial" w:hAnsi="Arial"/>
      <w:bCs/>
      <w:i/>
      <w:iCs/>
      <w:sz w:val="22"/>
      <w:szCs w:val="26"/>
    </w:rPr>
  </w:style>
  <w:style w:type="paragraph" w:styleId="Heading6">
    <w:name w:val="heading 6"/>
    <w:basedOn w:val="Normal"/>
    <w:next w:val="Normal"/>
    <w:link w:val="Heading6Char"/>
    <w:uiPriority w:val="9"/>
    <w:qFormat/>
    <w:rsid w:val="002443DC"/>
    <w:pPr>
      <w:keepNext/>
      <w:keepLines/>
      <w:widowControl w:val="0"/>
      <w:numPr>
        <w:ilvl w:val="5"/>
        <w:numId w:val="29"/>
      </w:numPr>
      <w:spacing w:line="276" w:lineRule="auto"/>
      <w:outlineLvl w:val="5"/>
    </w:pPr>
    <w:rPr>
      <w:rFonts w:ascii="Cambria" w:eastAsia="MS ????" w:hAnsi="Cambria"/>
      <w:i/>
      <w:iCs/>
      <w:color w:val="243F60"/>
      <w:sz w:val="22"/>
      <w:szCs w:val="22"/>
      <w:lang w:val="en-US" w:eastAsia="en-US"/>
    </w:rPr>
  </w:style>
  <w:style w:type="paragraph" w:styleId="Heading7">
    <w:name w:val="heading 7"/>
    <w:basedOn w:val="Normal"/>
    <w:next w:val="Normal"/>
    <w:link w:val="Heading7Char"/>
    <w:uiPriority w:val="9"/>
    <w:qFormat/>
    <w:rsid w:val="002443DC"/>
    <w:pPr>
      <w:keepNext/>
      <w:keepLines/>
      <w:widowControl w:val="0"/>
      <w:numPr>
        <w:ilvl w:val="6"/>
        <w:numId w:val="29"/>
      </w:numPr>
      <w:spacing w:line="276" w:lineRule="auto"/>
      <w:outlineLvl w:val="6"/>
    </w:pPr>
    <w:rPr>
      <w:rFonts w:ascii="Cambria" w:eastAsia="MS ????" w:hAnsi="Cambria"/>
      <w:i/>
      <w:iCs/>
      <w:color w:val="404040"/>
      <w:sz w:val="22"/>
      <w:szCs w:val="22"/>
      <w:lang w:val="en-US" w:eastAsia="en-US"/>
    </w:rPr>
  </w:style>
  <w:style w:type="paragraph" w:styleId="Heading8">
    <w:name w:val="heading 8"/>
    <w:basedOn w:val="Normal"/>
    <w:next w:val="Normal"/>
    <w:link w:val="Heading8Char"/>
    <w:uiPriority w:val="9"/>
    <w:qFormat/>
    <w:rsid w:val="002443DC"/>
    <w:pPr>
      <w:keepNext/>
      <w:keepLines/>
      <w:widowControl w:val="0"/>
      <w:numPr>
        <w:ilvl w:val="7"/>
        <w:numId w:val="29"/>
      </w:numPr>
      <w:spacing w:line="276" w:lineRule="auto"/>
      <w:outlineLvl w:val="7"/>
    </w:pPr>
    <w:rPr>
      <w:rFonts w:ascii="Cambria" w:eastAsia="MS ????" w:hAnsi="Cambria"/>
      <w:color w:val="404040"/>
      <w:sz w:val="20"/>
      <w:lang w:val="en-US" w:eastAsia="en-US"/>
    </w:rPr>
  </w:style>
  <w:style w:type="paragraph" w:styleId="Heading9">
    <w:name w:val="heading 9"/>
    <w:basedOn w:val="Normal"/>
    <w:next w:val="Normal"/>
    <w:link w:val="Heading9Char"/>
    <w:uiPriority w:val="9"/>
    <w:qFormat/>
    <w:rsid w:val="002443DC"/>
    <w:pPr>
      <w:keepNext/>
      <w:keepLines/>
      <w:widowControl w:val="0"/>
      <w:numPr>
        <w:ilvl w:val="8"/>
        <w:numId w:val="29"/>
      </w:numPr>
      <w:spacing w:line="276" w:lineRule="auto"/>
      <w:outlineLvl w:val="8"/>
    </w:pPr>
    <w:rPr>
      <w:rFonts w:ascii="Cambria" w:eastAsia="MS ????" w:hAnsi="Cambria"/>
      <w:i/>
      <w:iCs/>
      <w:color w:val="404040"/>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443DC"/>
    <w:rPr>
      <w:rFonts w:ascii="Arial" w:hAnsi="Arial" w:cs="Arial"/>
      <w:bCs/>
      <w:noProof/>
      <w:color w:val="FFFFFF"/>
      <w:sz w:val="44"/>
      <w:szCs w:val="32"/>
      <w:lang w:val="en-US" w:eastAsia="en-US"/>
    </w:rPr>
  </w:style>
  <w:style w:type="character" w:customStyle="1" w:styleId="Heading2Char">
    <w:name w:val="Heading 2 Char"/>
    <w:link w:val="Heading2"/>
    <w:uiPriority w:val="9"/>
    <w:locked/>
    <w:rsid w:val="002443DC"/>
    <w:rPr>
      <w:rFonts w:ascii="Arial" w:hAnsi="Arial" w:cs="Arial"/>
      <w:b/>
      <w:bCs/>
      <w:iCs/>
      <w:color w:val="124486"/>
      <w:sz w:val="28"/>
      <w:szCs w:val="28"/>
      <w:lang w:eastAsia="ja-JP"/>
    </w:rPr>
  </w:style>
  <w:style w:type="character" w:customStyle="1" w:styleId="Heading3Char">
    <w:name w:val="Heading 3 Char"/>
    <w:link w:val="Heading3"/>
    <w:uiPriority w:val="9"/>
    <w:locked/>
    <w:rsid w:val="00582CAF"/>
    <w:rPr>
      <w:rFonts w:ascii="Arial" w:eastAsia="MS ??" w:hAnsi="Arial" w:cs="Arial"/>
      <w:bCs/>
      <w:color w:val="007FAD"/>
      <w:sz w:val="24"/>
      <w:szCs w:val="26"/>
      <w:lang w:eastAsia="ja-JP"/>
    </w:rPr>
  </w:style>
  <w:style w:type="character" w:customStyle="1" w:styleId="Heading4Char">
    <w:name w:val="Heading 4 Char"/>
    <w:link w:val="Heading4"/>
    <w:uiPriority w:val="9"/>
    <w:locked/>
    <w:rsid w:val="00891A09"/>
    <w:rPr>
      <w:rFonts w:ascii="Arial" w:eastAsia="MS ??" w:hAnsi="Arial"/>
      <w:b/>
      <w:sz w:val="28"/>
    </w:rPr>
  </w:style>
  <w:style w:type="character" w:customStyle="1" w:styleId="Heading5Char">
    <w:name w:val="Heading 5 Char"/>
    <w:link w:val="Heading5"/>
    <w:uiPriority w:val="9"/>
    <w:locked/>
    <w:rsid w:val="002443DC"/>
    <w:rPr>
      <w:rFonts w:ascii="Arial" w:hAnsi="Arial"/>
      <w:bCs/>
      <w:i/>
      <w:iCs/>
      <w:sz w:val="22"/>
      <w:szCs w:val="26"/>
      <w:lang w:eastAsia="ja-JP"/>
    </w:rPr>
  </w:style>
  <w:style w:type="character" w:customStyle="1" w:styleId="Heading6Char">
    <w:name w:val="Heading 6 Char"/>
    <w:link w:val="Heading6"/>
    <w:uiPriority w:val="9"/>
    <w:locked/>
    <w:rsid w:val="002443DC"/>
    <w:rPr>
      <w:rFonts w:ascii="Cambria" w:eastAsia="MS ????" w:hAnsi="Cambria"/>
      <w:i/>
      <w:iCs/>
      <w:color w:val="243F60"/>
      <w:sz w:val="22"/>
      <w:szCs w:val="22"/>
      <w:lang w:val="en-US" w:eastAsia="en-US"/>
    </w:rPr>
  </w:style>
  <w:style w:type="character" w:customStyle="1" w:styleId="Heading7Char">
    <w:name w:val="Heading 7 Char"/>
    <w:link w:val="Heading7"/>
    <w:uiPriority w:val="9"/>
    <w:locked/>
    <w:rsid w:val="002443DC"/>
    <w:rPr>
      <w:rFonts w:ascii="Cambria" w:eastAsia="MS ????" w:hAnsi="Cambria"/>
      <w:i/>
      <w:iCs/>
      <w:color w:val="404040"/>
      <w:sz w:val="22"/>
      <w:szCs w:val="22"/>
      <w:lang w:val="en-US" w:eastAsia="en-US"/>
    </w:rPr>
  </w:style>
  <w:style w:type="character" w:customStyle="1" w:styleId="Heading8Char">
    <w:name w:val="Heading 8 Char"/>
    <w:link w:val="Heading8"/>
    <w:uiPriority w:val="9"/>
    <w:locked/>
    <w:rsid w:val="002443DC"/>
    <w:rPr>
      <w:rFonts w:ascii="Cambria" w:eastAsia="MS ????" w:hAnsi="Cambria"/>
      <w:color w:val="404040"/>
      <w:szCs w:val="24"/>
      <w:lang w:val="en-US" w:eastAsia="en-US"/>
    </w:rPr>
  </w:style>
  <w:style w:type="character" w:customStyle="1" w:styleId="Heading9Char">
    <w:name w:val="Heading 9 Char"/>
    <w:link w:val="Heading9"/>
    <w:uiPriority w:val="9"/>
    <w:locked/>
    <w:rsid w:val="002443DC"/>
    <w:rPr>
      <w:rFonts w:ascii="Cambria" w:eastAsia="MS ????" w:hAnsi="Cambria"/>
      <w:i/>
      <w:iCs/>
      <w:color w:val="404040"/>
      <w:szCs w:val="24"/>
      <w:lang w:val="en-US" w:eastAsia="en-US"/>
    </w:rPr>
  </w:style>
  <w:style w:type="paragraph" w:styleId="Date">
    <w:name w:val="Date"/>
    <w:basedOn w:val="Subtitle"/>
    <w:next w:val="Normal"/>
    <w:link w:val="DateChar"/>
    <w:uiPriority w:val="99"/>
    <w:rsid w:val="00887FA3"/>
    <w:pPr>
      <w:spacing w:after="600"/>
    </w:pPr>
    <w:rPr>
      <w:i/>
    </w:rPr>
  </w:style>
  <w:style w:type="character" w:customStyle="1" w:styleId="DateChar">
    <w:name w:val="Date Char"/>
    <w:link w:val="Date"/>
    <w:uiPriority w:val="99"/>
    <w:locked/>
    <w:rsid w:val="00887FA3"/>
    <w:rPr>
      <w:rFonts w:ascii="Helvetica" w:hAnsi="Helvetica"/>
      <w:i/>
      <w:noProof/>
      <w:color w:val="FFFFFF"/>
      <w:kern w:val="28"/>
      <w:sz w:val="32"/>
      <w:lang w:val="en-US" w:eastAsia="en-US"/>
    </w:rPr>
  </w:style>
  <w:style w:type="paragraph" w:customStyle="1" w:styleId="PullQuote">
    <w:name w:val="PullQuote"/>
    <w:basedOn w:val="Normal"/>
    <w:next w:val="Normal"/>
    <w:rsid w:val="00D020BE"/>
    <w:rPr>
      <w:rFonts w:ascii="Trebuchet MS" w:hAnsi="Trebuchet MS"/>
      <w:b/>
      <w:i/>
      <w:color w:val="007FAD"/>
    </w:rPr>
  </w:style>
  <w:style w:type="paragraph" w:customStyle="1" w:styleId="ReportDate">
    <w:name w:val="ReportDate"/>
    <w:basedOn w:val="Normal"/>
    <w:rsid w:val="00E07D7E"/>
    <w:pPr>
      <w:spacing w:before="960"/>
    </w:pPr>
    <w:rPr>
      <w:sz w:val="28"/>
    </w:rPr>
  </w:style>
  <w:style w:type="paragraph" w:customStyle="1" w:styleId="Heading1a">
    <w:name w:val="Heading 1a"/>
    <w:basedOn w:val="Heading1"/>
    <w:next w:val="Normal"/>
    <w:rsid w:val="002443DC"/>
    <w:pPr>
      <w:outlineLvl w:val="9"/>
    </w:pPr>
  </w:style>
  <w:style w:type="paragraph" w:customStyle="1" w:styleId="Heading2a">
    <w:name w:val="Heading 2a"/>
    <w:basedOn w:val="Heading2"/>
    <w:next w:val="Normal"/>
    <w:rsid w:val="00582CAF"/>
    <w:pPr>
      <w:numPr>
        <w:ilvl w:val="0"/>
        <w:numId w:val="0"/>
      </w:numPr>
      <w:spacing w:before="360"/>
      <w:outlineLvl w:val="9"/>
    </w:pPr>
  </w:style>
  <w:style w:type="paragraph" w:customStyle="1" w:styleId="Heading3a">
    <w:name w:val="Heading 3a"/>
    <w:basedOn w:val="Heading3"/>
    <w:next w:val="Normal"/>
    <w:rsid w:val="00894E58"/>
    <w:pPr>
      <w:numPr>
        <w:ilvl w:val="0"/>
        <w:numId w:val="0"/>
      </w:numPr>
      <w:outlineLvl w:val="9"/>
    </w:pPr>
  </w:style>
  <w:style w:type="paragraph" w:styleId="Header">
    <w:name w:val="header"/>
    <w:basedOn w:val="Normal"/>
    <w:link w:val="HeaderChar"/>
    <w:uiPriority w:val="99"/>
    <w:rsid w:val="00D20FD9"/>
    <w:pPr>
      <w:tabs>
        <w:tab w:val="right" w:pos="9000"/>
      </w:tabs>
    </w:pPr>
    <w:rPr>
      <w:color w:val="000000"/>
      <w:sz w:val="18"/>
    </w:rPr>
  </w:style>
  <w:style w:type="character" w:customStyle="1" w:styleId="HeaderChar">
    <w:name w:val="Header Char"/>
    <w:link w:val="Header"/>
    <w:uiPriority w:val="99"/>
    <w:locked/>
    <w:rsid w:val="004164C0"/>
    <w:rPr>
      <w:rFonts w:ascii="Franklin Gothic Book" w:hAnsi="Franklin Gothic Book"/>
      <w:color w:val="000000"/>
      <w:sz w:val="18"/>
    </w:rPr>
  </w:style>
  <w:style w:type="paragraph" w:styleId="Footer">
    <w:name w:val="footer"/>
    <w:basedOn w:val="Normal"/>
    <w:link w:val="FooterChar"/>
    <w:uiPriority w:val="99"/>
    <w:rsid w:val="00D20FD9"/>
    <w:pPr>
      <w:tabs>
        <w:tab w:val="right" w:pos="9000"/>
      </w:tabs>
    </w:pPr>
    <w:rPr>
      <w:rFonts w:ascii="Times New Roman" w:hAnsi="Times New Roman"/>
      <w:color w:val="000000"/>
      <w:sz w:val="20"/>
    </w:rPr>
  </w:style>
  <w:style w:type="character" w:customStyle="1" w:styleId="FooterChar">
    <w:name w:val="Footer Char"/>
    <w:link w:val="Footer"/>
    <w:uiPriority w:val="99"/>
    <w:locked/>
    <w:rsid w:val="005A72C4"/>
    <w:rPr>
      <w:color w:val="000000"/>
    </w:rPr>
  </w:style>
  <w:style w:type="character" w:styleId="PageNumber">
    <w:name w:val="page number"/>
    <w:uiPriority w:val="99"/>
    <w:semiHidden/>
    <w:rsid w:val="00D20FD9"/>
    <w:rPr>
      <w:rFonts w:ascii="Times New Roman" w:hAnsi="Times New Roman"/>
      <w:b/>
      <w:sz w:val="20"/>
    </w:rPr>
  </w:style>
  <w:style w:type="paragraph" w:customStyle="1" w:styleId="TableText">
    <w:name w:val="TableText"/>
    <w:basedOn w:val="Normal"/>
    <w:rsid w:val="007B6A59"/>
    <w:pPr>
      <w:spacing w:after="40" w:line="200" w:lineRule="atLeast"/>
      <w:jc w:val="center"/>
    </w:pPr>
    <w:rPr>
      <w:rFonts w:eastAsia="MS Gothic"/>
      <w:color w:val="000000"/>
      <w:sz w:val="17"/>
      <w:szCs w:val="21"/>
    </w:rPr>
  </w:style>
  <w:style w:type="paragraph" w:customStyle="1" w:styleId="TFListNotesSpace">
    <w:name w:val="TFListNotes+Space"/>
    <w:basedOn w:val="TableText"/>
    <w:next w:val="Normal"/>
    <w:rsid w:val="00BE10F8"/>
    <w:pPr>
      <w:keepLines/>
      <w:spacing w:after="360"/>
      <w:ind w:left="170" w:hanging="170"/>
    </w:pPr>
    <w:rPr>
      <w:sz w:val="16"/>
      <w:szCs w:val="18"/>
    </w:rPr>
  </w:style>
  <w:style w:type="paragraph" w:customStyle="1" w:styleId="TFListNotes">
    <w:name w:val="TFListNotes"/>
    <w:basedOn w:val="TFListNotesSpace"/>
    <w:rsid w:val="00BE10F8"/>
    <w:pPr>
      <w:keepNext/>
      <w:spacing w:after="0"/>
    </w:pPr>
  </w:style>
  <w:style w:type="paragraph" w:customStyle="1" w:styleId="TableName">
    <w:name w:val="TableName"/>
    <w:basedOn w:val="TableText"/>
    <w:rsid w:val="001F6876"/>
    <w:pPr>
      <w:keepNext/>
      <w:tabs>
        <w:tab w:val="left" w:pos="1276"/>
      </w:tabs>
      <w:spacing w:before="80" w:after="120"/>
      <w:ind w:left="1276" w:hanging="1276"/>
    </w:pPr>
    <w:rPr>
      <w:b/>
      <w:bCs/>
      <w:color w:val="auto"/>
      <w:sz w:val="22"/>
    </w:rPr>
  </w:style>
  <w:style w:type="paragraph" w:customStyle="1" w:styleId="TableHeading">
    <w:name w:val="TableHeading"/>
    <w:basedOn w:val="TableText"/>
    <w:rsid w:val="00595A68"/>
    <w:pPr>
      <w:spacing w:before="80" w:after="80"/>
    </w:pPr>
    <w:rPr>
      <w:rFonts w:ascii="Arial" w:hAnsi="Arial"/>
      <w:b/>
      <w:bCs/>
      <w:color w:val="FFFFFF"/>
      <w:sz w:val="20"/>
    </w:rPr>
  </w:style>
  <w:style w:type="paragraph" w:customStyle="1" w:styleId="BoxText">
    <w:name w:val="BoxText"/>
    <w:basedOn w:val="BodyText1"/>
    <w:link w:val="BoxTextChar"/>
    <w:qFormat/>
    <w:rsid w:val="006C7942"/>
    <w:pPr>
      <w:pBdr>
        <w:top w:val="single" w:sz="4" w:space="4" w:color="007FAD"/>
        <w:left w:val="single" w:sz="4" w:space="4" w:color="007FAD"/>
        <w:bottom w:val="single" w:sz="4" w:space="4" w:color="007FAD"/>
        <w:right w:val="single" w:sz="4" w:space="4" w:color="007FAD"/>
      </w:pBdr>
      <w:shd w:val="clear" w:color="auto" w:fill="ECF1F7"/>
      <w:spacing w:before="40" w:after="120" w:line="288" w:lineRule="auto"/>
    </w:pPr>
    <w:rPr>
      <w:rFonts w:ascii="Franklin Gothic Book" w:hAnsi="Franklin Gothic Book"/>
      <w:sz w:val="21"/>
      <w:szCs w:val="20"/>
      <w:lang w:val="en-AU" w:eastAsia="en-AU"/>
    </w:rPr>
  </w:style>
  <w:style w:type="paragraph" w:customStyle="1" w:styleId="BoxNotes">
    <w:name w:val="BoxNotes"/>
    <w:basedOn w:val="BoxText"/>
    <w:rsid w:val="0066662D"/>
    <w:pPr>
      <w:spacing w:before="120" w:after="60"/>
    </w:pPr>
    <w:rPr>
      <w:sz w:val="18"/>
    </w:rPr>
  </w:style>
  <w:style w:type="paragraph" w:styleId="Quote">
    <w:name w:val="Quote"/>
    <w:basedOn w:val="Normal"/>
    <w:link w:val="QuoteChar"/>
    <w:uiPriority w:val="29"/>
    <w:qFormat/>
    <w:rsid w:val="00EB0D4C"/>
    <w:pPr>
      <w:ind w:left="567" w:right="567"/>
    </w:pPr>
    <w:rPr>
      <w:i/>
      <w:color w:val="000000"/>
    </w:rPr>
  </w:style>
  <w:style w:type="character" w:customStyle="1" w:styleId="QuoteChar">
    <w:name w:val="Quote Char"/>
    <w:link w:val="Quote"/>
    <w:uiPriority w:val="29"/>
    <w:locked/>
    <w:rsid w:val="00AF6247"/>
    <w:rPr>
      <w:rFonts w:ascii="Franklin Gothic Book" w:hAnsi="Franklin Gothic Book"/>
      <w:i/>
      <w:color w:val="000000"/>
      <w:sz w:val="21"/>
    </w:rPr>
  </w:style>
  <w:style w:type="paragraph" w:customStyle="1" w:styleId="References">
    <w:name w:val="References"/>
    <w:basedOn w:val="Normal"/>
    <w:rsid w:val="001E259C"/>
    <w:pPr>
      <w:keepLines/>
      <w:ind w:left="284" w:hanging="284"/>
    </w:pPr>
  </w:style>
  <w:style w:type="paragraph" w:styleId="FootnoteText">
    <w:name w:val="footnote text"/>
    <w:basedOn w:val="Normal"/>
    <w:link w:val="FootnoteTextChar"/>
    <w:uiPriority w:val="99"/>
    <w:rsid w:val="00E56E22"/>
    <w:pPr>
      <w:ind w:left="360" w:hanging="360"/>
    </w:pPr>
    <w:rPr>
      <w:rFonts w:ascii="Times New Roman" w:hAnsi="Times New Roman"/>
      <w:sz w:val="17"/>
    </w:rPr>
  </w:style>
  <w:style w:type="character" w:customStyle="1" w:styleId="FootnoteTextChar">
    <w:name w:val="Footnote Text Char"/>
    <w:link w:val="FootnoteText"/>
    <w:uiPriority w:val="99"/>
    <w:locked/>
    <w:rsid w:val="00E56E22"/>
    <w:rPr>
      <w:sz w:val="17"/>
    </w:rPr>
  </w:style>
  <w:style w:type="character" w:styleId="FootnoteReference">
    <w:name w:val="footnote reference"/>
    <w:aliases w:val="ftref,footnote ref,16 Point,Superscript 6 Point"/>
    <w:uiPriority w:val="99"/>
    <w:rsid w:val="00D20FD9"/>
    <w:rPr>
      <w:vertAlign w:val="superscript"/>
    </w:rPr>
  </w:style>
  <w:style w:type="paragraph" w:customStyle="1" w:styleId="FigTabPara">
    <w:name w:val="FigTabPara"/>
    <w:basedOn w:val="Normal"/>
    <w:next w:val="Normal"/>
    <w:rsid w:val="00396F45"/>
    <w:pPr>
      <w:keepNext/>
      <w:ind w:left="1077"/>
    </w:pPr>
    <w:rPr>
      <w:sz w:val="20"/>
    </w:rPr>
  </w:style>
  <w:style w:type="paragraph" w:customStyle="1" w:styleId="TableBullet">
    <w:name w:val="TableBullet"/>
    <w:basedOn w:val="Normal"/>
    <w:rsid w:val="002443DC"/>
    <w:pPr>
      <w:numPr>
        <w:numId w:val="9"/>
      </w:numPr>
      <w:spacing w:after="40"/>
    </w:pPr>
    <w:rPr>
      <w:sz w:val="17"/>
      <w:szCs w:val="17"/>
      <w:lang w:eastAsia="en-US"/>
    </w:rPr>
  </w:style>
  <w:style w:type="paragraph" w:customStyle="1" w:styleId="TFAbbrevs">
    <w:name w:val="TFAbbrevs"/>
    <w:basedOn w:val="TFListNotes"/>
    <w:rsid w:val="00BE10F8"/>
    <w:pPr>
      <w:ind w:left="0" w:firstLine="0"/>
    </w:pPr>
  </w:style>
  <w:style w:type="paragraph" w:styleId="TOC1">
    <w:name w:val="toc 1"/>
    <w:basedOn w:val="Normal"/>
    <w:next w:val="Normal"/>
    <w:autoRedefine/>
    <w:uiPriority w:val="39"/>
    <w:rsid w:val="006068DE"/>
    <w:pPr>
      <w:tabs>
        <w:tab w:val="left" w:pos="720"/>
        <w:tab w:val="right" w:leader="dot" w:pos="9016"/>
      </w:tabs>
      <w:spacing w:before="120" w:after="120"/>
      <w:ind w:left="720" w:right="720" w:hanging="720"/>
    </w:pPr>
    <w:rPr>
      <w:rFonts w:ascii="Arial" w:hAnsi="Arial"/>
      <w:bCs/>
      <w:noProof/>
      <w:color w:val="007FAD"/>
    </w:rPr>
  </w:style>
  <w:style w:type="paragraph" w:styleId="TOC2">
    <w:name w:val="toc 2"/>
    <w:basedOn w:val="Normal"/>
    <w:next w:val="Normal"/>
    <w:autoRedefine/>
    <w:uiPriority w:val="39"/>
    <w:rsid w:val="006068DE"/>
    <w:pPr>
      <w:tabs>
        <w:tab w:val="left" w:pos="1440"/>
        <w:tab w:val="right" w:leader="dot" w:pos="9016"/>
      </w:tabs>
      <w:spacing w:before="120" w:after="120"/>
      <w:ind w:left="1440" w:right="720" w:hanging="720"/>
    </w:pPr>
    <w:rPr>
      <w:rFonts w:ascii="Arial" w:hAnsi="Arial"/>
    </w:rPr>
  </w:style>
  <w:style w:type="paragraph" w:styleId="TableofFigures">
    <w:name w:val="table of figures"/>
    <w:basedOn w:val="Normal"/>
    <w:next w:val="Normal"/>
    <w:uiPriority w:val="99"/>
    <w:rsid w:val="006068DE"/>
    <w:pPr>
      <w:tabs>
        <w:tab w:val="left" w:pos="1080"/>
        <w:tab w:val="right" w:leader="dot" w:pos="9000"/>
      </w:tabs>
      <w:ind w:left="1080" w:right="720" w:hangingChars="450" w:hanging="1080"/>
    </w:pPr>
    <w:rPr>
      <w:rFonts w:ascii="Arial" w:hAnsi="Arial"/>
      <w:sz w:val="22"/>
    </w:rPr>
  </w:style>
  <w:style w:type="paragraph" w:customStyle="1" w:styleId="TableDash">
    <w:name w:val="TableDash"/>
    <w:basedOn w:val="TableBullet"/>
    <w:link w:val="TableDashChar"/>
    <w:rsid w:val="002443DC"/>
    <w:pPr>
      <w:numPr>
        <w:numId w:val="10"/>
      </w:numPr>
    </w:pPr>
    <w:rPr>
      <w:lang w:val="x-none"/>
    </w:rPr>
  </w:style>
  <w:style w:type="paragraph" w:customStyle="1" w:styleId="Bullet">
    <w:name w:val="Bullet"/>
    <w:basedOn w:val="Normal"/>
    <w:link w:val="BulletChar"/>
    <w:qFormat/>
    <w:rsid w:val="0043784F"/>
    <w:pPr>
      <w:numPr>
        <w:numId w:val="8"/>
      </w:numPr>
      <w:spacing w:before="60"/>
    </w:pPr>
    <w:rPr>
      <w:szCs w:val="20"/>
      <w:lang w:eastAsia="en-AU"/>
    </w:rPr>
  </w:style>
  <w:style w:type="paragraph" w:customStyle="1" w:styleId="BulletLast">
    <w:name w:val="BulletLast"/>
    <w:basedOn w:val="Bullet"/>
    <w:qFormat/>
    <w:rsid w:val="002443DC"/>
    <w:pPr>
      <w:spacing w:after="160"/>
    </w:pPr>
  </w:style>
  <w:style w:type="paragraph" w:customStyle="1" w:styleId="Dash">
    <w:name w:val="Dash"/>
    <w:basedOn w:val="Normal"/>
    <w:rsid w:val="002443DC"/>
    <w:pPr>
      <w:numPr>
        <w:numId w:val="7"/>
      </w:numPr>
      <w:spacing w:before="0" w:after="80" w:line="280" w:lineRule="exact"/>
      <w:ind w:left="568" w:hanging="284"/>
    </w:pPr>
  </w:style>
  <w:style w:type="paragraph" w:customStyle="1" w:styleId="DashLast">
    <w:name w:val="DashLast"/>
    <w:basedOn w:val="Dash"/>
    <w:rsid w:val="002443DC"/>
    <w:pPr>
      <w:spacing w:after="120"/>
    </w:pPr>
  </w:style>
  <w:style w:type="paragraph" w:customStyle="1" w:styleId="DashLastSpace">
    <w:name w:val="DashLast+Space"/>
    <w:basedOn w:val="DashLast"/>
    <w:rsid w:val="002443DC"/>
    <w:pPr>
      <w:spacing w:after="240"/>
    </w:pPr>
  </w:style>
  <w:style w:type="paragraph" w:customStyle="1" w:styleId="NormalBeforeBullet">
    <w:name w:val="NormalBeforeBullet"/>
    <w:basedOn w:val="Normal"/>
    <w:qFormat/>
    <w:rsid w:val="00020AE5"/>
    <w:pPr>
      <w:keepNext/>
      <w:spacing w:before="0" w:after="80"/>
    </w:pPr>
  </w:style>
  <w:style w:type="paragraph" w:customStyle="1" w:styleId="BoxName">
    <w:name w:val="BoxName"/>
    <w:basedOn w:val="BoxText"/>
    <w:rsid w:val="007B6A59"/>
    <w:pPr>
      <w:keepNext/>
      <w:numPr>
        <w:numId w:val="30"/>
      </w:numPr>
      <w:shd w:val="clear" w:color="auto" w:fill="007FAD"/>
      <w:tabs>
        <w:tab w:val="left" w:pos="993"/>
      </w:tabs>
      <w:spacing w:before="180"/>
      <w:ind w:left="714" w:hanging="714"/>
    </w:pPr>
    <w:rPr>
      <w:rFonts w:ascii="Arial" w:hAnsi="Arial"/>
      <w:b/>
      <w:bCs/>
      <w:color w:val="FFFFFF"/>
      <w:sz w:val="24"/>
    </w:rPr>
  </w:style>
  <w:style w:type="paragraph" w:customStyle="1" w:styleId="BoxHeading">
    <w:name w:val="BoxHeading"/>
    <w:basedOn w:val="BoxText"/>
    <w:link w:val="BoxHeadingChar"/>
    <w:rsid w:val="00AB0CE3"/>
    <w:pPr>
      <w:keepNext/>
      <w:spacing w:before="360" w:after="60"/>
    </w:pPr>
    <w:rPr>
      <w:b/>
      <w:sz w:val="22"/>
      <w:lang w:val="x-none" w:eastAsia="x-none"/>
    </w:rPr>
  </w:style>
  <w:style w:type="paragraph" w:customStyle="1" w:styleId="BoxBullet">
    <w:name w:val="BoxBullet"/>
    <w:basedOn w:val="BoxText"/>
    <w:link w:val="BoxBulletChar"/>
    <w:rsid w:val="002443DC"/>
    <w:pPr>
      <w:numPr>
        <w:numId w:val="3"/>
      </w:numPr>
    </w:pPr>
  </w:style>
  <w:style w:type="character" w:customStyle="1" w:styleId="BoxBulletChar">
    <w:name w:val="BoxBullet Char"/>
    <w:link w:val="BoxBullet"/>
    <w:locked/>
    <w:rsid w:val="002443DC"/>
    <w:rPr>
      <w:rFonts w:ascii="Franklin Gothic Book" w:hAnsi="Franklin Gothic Book"/>
      <w:sz w:val="21"/>
      <w:shd w:val="clear" w:color="auto" w:fill="ECF1F7"/>
    </w:rPr>
  </w:style>
  <w:style w:type="paragraph" w:customStyle="1" w:styleId="BoxHeading2">
    <w:name w:val="BoxHeading2"/>
    <w:basedOn w:val="BoxHeading"/>
    <w:link w:val="BoxHeading2Char"/>
    <w:qFormat/>
    <w:rsid w:val="00AB0CE3"/>
    <w:pPr>
      <w:spacing w:before="240"/>
    </w:pPr>
    <w:rPr>
      <w:bCs/>
      <w:i/>
      <w:sz w:val="21"/>
    </w:rPr>
  </w:style>
  <w:style w:type="paragraph" w:customStyle="1" w:styleId="FigureName">
    <w:name w:val="FigureName"/>
    <w:basedOn w:val="Normal"/>
    <w:next w:val="Normal"/>
    <w:rsid w:val="009555B7"/>
    <w:pPr>
      <w:keepNext/>
      <w:keepLines/>
      <w:tabs>
        <w:tab w:val="left" w:pos="1080"/>
      </w:tabs>
      <w:spacing w:before="80" w:after="80"/>
      <w:ind w:left="1077" w:hanging="1077"/>
    </w:pPr>
    <w:rPr>
      <w:b/>
      <w:bCs/>
      <w:sz w:val="22"/>
    </w:rPr>
  </w:style>
  <w:style w:type="paragraph" w:styleId="Index1">
    <w:name w:val="index 1"/>
    <w:basedOn w:val="Normal"/>
    <w:next w:val="Normal"/>
    <w:uiPriority w:val="99"/>
    <w:rsid w:val="005F1827"/>
    <w:pPr>
      <w:ind w:left="518" w:hanging="518"/>
    </w:pPr>
    <w:rPr>
      <w:noProof/>
      <w:sz w:val="22"/>
    </w:rPr>
  </w:style>
  <w:style w:type="paragraph" w:styleId="Index2">
    <w:name w:val="index 2"/>
    <w:basedOn w:val="Index1"/>
    <w:next w:val="Normal"/>
    <w:uiPriority w:val="99"/>
    <w:rsid w:val="005F1827"/>
    <w:pPr>
      <w:ind w:left="816" w:hanging="476"/>
    </w:pPr>
  </w:style>
  <w:style w:type="paragraph" w:styleId="TOC4">
    <w:name w:val="toc 4"/>
    <w:basedOn w:val="Normal"/>
    <w:next w:val="Normal"/>
    <w:autoRedefine/>
    <w:uiPriority w:val="39"/>
    <w:semiHidden/>
    <w:rsid w:val="00D20FD9"/>
    <w:pPr>
      <w:tabs>
        <w:tab w:val="right" w:leader="dot" w:pos="9016"/>
      </w:tabs>
      <w:ind w:left="2160" w:right="720"/>
    </w:pPr>
    <w:rPr>
      <w:noProof/>
    </w:rPr>
  </w:style>
  <w:style w:type="paragraph" w:customStyle="1" w:styleId="NumberList">
    <w:name w:val="NumberList"/>
    <w:basedOn w:val="Normal"/>
    <w:rsid w:val="00D20FD9"/>
    <w:pPr>
      <w:tabs>
        <w:tab w:val="left" w:pos="360"/>
      </w:tabs>
      <w:ind w:left="360" w:hanging="360"/>
    </w:pPr>
  </w:style>
  <w:style w:type="paragraph" w:customStyle="1" w:styleId="TFNoteSourceSpace">
    <w:name w:val="TFNoteSource+Space"/>
    <w:basedOn w:val="TFListNotesSpace"/>
    <w:next w:val="Normal"/>
    <w:rsid w:val="00026DD6"/>
    <w:pPr>
      <w:ind w:left="624" w:hanging="624"/>
    </w:pPr>
  </w:style>
  <w:style w:type="paragraph" w:customStyle="1" w:styleId="TFNoteSource">
    <w:name w:val="TFNoteSource"/>
    <w:basedOn w:val="TFNoteSourceSpace"/>
    <w:rsid w:val="00026DD6"/>
    <w:pPr>
      <w:spacing w:after="0"/>
    </w:pPr>
  </w:style>
  <w:style w:type="paragraph" w:customStyle="1" w:styleId="TFAbbrevsSpace">
    <w:name w:val="TFAbbrevs+Space"/>
    <w:basedOn w:val="TFAbbrevs"/>
    <w:next w:val="Normal"/>
    <w:rsid w:val="00EE7B06"/>
    <w:pPr>
      <w:spacing w:after="360"/>
    </w:pPr>
  </w:style>
  <w:style w:type="character" w:styleId="Strong">
    <w:name w:val="Strong"/>
    <w:uiPriority w:val="22"/>
    <w:qFormat/>
    <w:rsid w:val="00692B58"/>
    <w:rPr>
      <w:b/>
    </w:rPr>
  </w:style>
  <w:style w:type="character" w:styleId="Emphasis">
    <w:name w:val="Emphasis"/>
    <w:uiPriority w:val="20"/>
    <w:qFormat/>
    <w:rsid w:val="00692B58"/>
    <w:rPr>
      <w:i/>
    </w:rPr>
  </w:style>
  <w:style w:type="character" w:customStyle="1" w:styleId="Roman">
    <w:name w:val="Roman"/>
    <w:uiPriority w:val="1"/>
    <w:rsid w:val="00114BAC"/>
    <w:rPr>
      <w:i/>
    </w:rPr>
  </w:style>
  <w:style w:type="character" w:customStyle="1" w:styleId="TableDashChar">
    <w:name w:val="TableDash Char"/>
    <w:link w:val="TableDash"/>
    <w:locked/>
    <w:rsid w:val="002443DC"/>
    <w:rPr>
      <w:rFonts w:ascii="Calibri" w:hAnsi="Calibri"/>
      <w:sz w:val="17"/>
      <w:szCs w:val="17"/>
      <w:lang w:val="x-none" w:eastAsia="en-US"/>
    </w:rPr>
  </w:style>
  <w:style w:type="table" w:styleId="TableGrid">
    <w:name w:val="Table Grid"/>
    <w:basedOn w:val="TableNormal"/>
    <w:uiPriority w:val="39"/>
    <w:rsid w:val="0093435D"/>
    <w:rPr>
      <w:rFonts w:ascii="Calibri" w:hAnsi="Calibri"/>
    </w:rPr>
    <w:tblPr>
      <w:jc w:val="center"/>
      <w:tblBorders>
        <w:top w:val="single" w:sz="4" w:space="0" w:color="007FAD"/>
        <w:bottom w:val="single" w:sz="4" w:space="0" w:color="007FAD"/>
        <w:insideH w:val="single" w:sz="4" w:space="0" w:color="007FAD"/>
      </w:tblBorders>
      <w:tblCellMar>
        <w:top w:w="85" w:type="dxa"/>
        <w:bottom w:w="85" w:type="dxa"/>
      </w:tblCellMar>
    </w:tblPr>
    <w:trPr>
      <w:jc w:val="center"/>
    </w:trPr>
    <w:tcPr>
      <w:shd w:val="clear" w:color="auto" w:fill="FFFFFF"/>
    </w:tcPr>
    <w:tblStylePr w:type="firstRow">
      <w:pPr>
        <w:wordWrap/>
        <w:spacing w:beforeLines="0" w:before="100" w:beforeAutospacing="1" w:afterLines="0" w:after="100" w:afterAutospacing="1" w:line="240" w:lineRule="auto"/>
      </w:pPr>
      <w:rPr>
        <w:rFonts w:cs="Times New Roman"/>
      </w:rPr>
      <w:tblPr/>
      <w:trPr>
        <w:cantSplit/>
        <w:tblHeader/>
      </w:trPr>
      <w:tcPr>
        <w:shd w:val="clear" w:color="auto" w:fill="007FAD"/>
      </w:tcPr>
    </w:tblStylePr>
    <w:tblStylePr w:type="lastRow">
      <w:pPr>
        <w:wordWrap/>
        <w:spacing w:beforeLines="0" w:before="100" w:beforeAutospacing="1" w:afterLines="0" w:after="100" w:afterAutospacing="1" w:line="240" w:lineRule="auto"/>
      </w:pPr>
    </w:tblStylePr>
  </w:style>
  <w:style w:type="paragraph" w:customStyle="1" w:styleId="TableNumberList">
    <w:name w:val="TableNumberList"/>
    <w:basedOn w:val="Normal"/>
    <w:rsid w:val="002443DC"/>
    <w:pPr>
      <w:numPr>
        <w:numId w:val="11"/>
      </w:numPr>
      <w:spacing w:after="40"/>
    </w:pPr>
    <w:rPr>
      <w:sz w:val="17"/>
      <w:szCs w:val="17"/>
      <w:lang w:eastAsia="en-US"/>
    </w:rPr>
  </w:style>
  <w:style w:type="character" w:customStyle="1" w:styleId="BoxTextChar">
    <w:name w:val="BoxText Char"/>
    <w:link w:val="BoxText"/>
    <w:locked/>
    <w:rsid w:val="006C7942"/>
    <w:rPr>
      <w:rFonts w:ascii="Franklin Gothic Book" w:hAnsi="Franklin Gothic Book"/>
      <w:sz w:val="21"/>
      <w:lang w:val="en-AU" w:eastAsia="en-AU"/>
    </w:rPr>
  </w:style>
  <w:style w:type="character" w:customStyle="1" w:styleId="Subscript">
    <w:name w:val="Subscript"/>
    <w:uiPriority w:val="1"/>
    <w:rsid w:val="00C92341"/>
    <w:rPr>
      <w:noProof/>
      <w:vertAlign w:val="subscript"/>
    </w:rPr>
  </w:style>
  <w:style w:type="character" w:customStyle="1" w:styleId="Superscript">
    <w:name w:val="Superscript"/>
    <w:uiPriority w:val="1"/>
    <w:rsid w:val="00C92341"/>
    <w:rPr>
      <w:noProof/>
      <w:vertAlign w:val="superscript"/>
    </w:rPr>
  </w:style>
  <w:style w:type="character" w:customStyle="1" w:styleId="Symbol">
    <w:name w:val="Symbol"/>
    <w:uiPriority w:val="1"/>
    <w:rsid w:val="00C92341"/>
    <w:rPr>
      <w:noProof/>
    </w:rPr>
  </w:style>
  <w:style w:type="character" w:customStyle="1" w:styleId="BoxHeadingChar">
    <w:name w:val="BoxHeading Char"/>
    <w:link w:val="BoxHeading"/>
    <w:locked/>
    <w:rsid w:val="00AB0CE3"/>
    <w:rPr>
      <w:rFonts w:ascii="Franklin Gothic Book" w:hAnsi="Franklin Gothic Book"/>
      <w:b/>
      <w:sz w:val="22"/>
      <w:shd w:val="clear" w:color="auto" w:fill="ECF1F7"/>
    </w:rPr>
  </w:style>
  <w:style w:type="character" w:customStyle="1" w:styleId="BoxHeading2Char">
    <w:name w:val="BoxHeading2 Char"/>
    <w:link w:val="BoxHeading2"/>
    <w:locked/>
    <w:rsid w:val="00AB0CE3"/>
    <w:rPr>
      <w:rFonts w:ascii="Franklin Gothic Book" w:hAnsi="Franklin Gothic Book"/>
      <w:b/>
      <w:i/>
      <w:sz w:val="21"/>
      <w:shd w:val="clear" w:color="auto" w:fill="ECF1F7"/>
    </w:rPr>
  </w:style>
  <w:style w:type="paragraph" w:customStyle="1" w:styleId="TableNumberList2">
    <w:name w:val="TableNumberList2"/>
    <w:basedOn w:val="TableNumberList"/>
    <w:rsid w:val="002443DC"/>
    <w:pPr>
      <w:numPr>
        <w:numId w:val="12"/>
      </w:numPr>
    </w:pPr>
  </w:style>
  <w:style w:type="paragraph" w:customStyle="1" w:styleId="ImprintText">
    <w:name w:val="ImprintText"/>
    <w:basedOn w:val="Normal"/>
    <w:rsid w:val="00C16AE9"/>
  </w:style>
  <w:style w:type="paragraph" w:styleId="Subtitle">
    <w:name w:val="Subtitle"/>
    <w:basedOn w:val="Title"/>
    <w:next w:val="Date"/>
    <w:link w:val="SubtitleChar"/>
    <w:uiPriority w:val="11"/>
    <w:qFormat/>
    <w:rsid w:val="00887FA3"/>
    <w:pPr>
      <w:pageBreakBefore w:val="0"/>
      <w:spacing w:before="200" w:after="0" w:line="380" w:lineRule="atLeast"/>
    </w:pPr>
    <w:rPr>
      <w:sz w:val="32"/>
    </w:rPr>
  </w:style>
  <w:style w:type="character" w:customStyle="1" w:styleId="SubtitleChar">
    <w:name w:val="Subtitle Char"/>
    <w:link w:val="Subtitle"/>
    <w:uiPriority w:val="11"/>
    <w:locked/>
    <w:rsid w:val="00887FA3"/>
    <w:rPr>
      <w:rFonts w:ascii="Helvetica" w:hAnsi="Helvetica"/>
      <w:noProof/>
      <w:color w:val="FFFFFF"/>
      <w:kern w:val="28"/>
      <w:sz w:val="32"/>
      <w:lang w:val="en-US" w:eastAsia="en-US"/>
    </w:rPr>
  </w:style>
  <w:style w:type="paragraph" w:styleId="Caption">
    <w:name w:val="caption"/>
    <w:basedOn w:val="Normal"/>
    <w:next w:val="Credit"/>
    <w:uiPriority w:val="35"/>
    <w:qFormat/>
    <w:rsid w:val="00D06080"/>
    <w:pPr>
      <w:keepNext/>
      <w:spacing w:before="120" w:after="200"/>
      <w:ind w:left="992" w:hanging="992"/>
    </w:pPr>
    <w:rPr>
      <w:b/>
      <w:bCs/>
      <w:sz w:val="20"/>
      <w:szCs w:val="18"/>
    </w:rPr>
  </w:style>
  <w:style w:type="paragraph" w:customStyle="1" w:styleId="Credit">
    <w:name w:val="Credit"/>
    <w:basedOn w:val="Caption"/>
    <w:next w:val="Normal"/>
    <w:rsid w:val="003E5CD5"/>
    <w:pPr>
      <w:spacing w:after="240"/>
    </w:pPr>
    <w:rPr>
      <w:b w:val="0"/>
      <w:noProof/>
    </w:rPr>
  </w:style>
  <w:style w:type="paragraph" w:customStyle="1" w:styleId="TableHeadingCA">
    <w:name w:val="TableHeadingCA"/>
    <w:basedOn w:val="TableHeading"/>
    <w:rsid w:val="00C45C28"/>
  </w:style>
  <w:style w:type="paragraph" w:customStyle="1" w:styleId="TableTextCA">
    <w:name w:val="TableTextCA"/>
    <w:basedOn w:val="TableText"/>
    <w:rsid w:val="000F733D"/>
  </w:style>
  <w:style w:type="paragraph" w:customStyle="1" w:styleId="TableTextDecimalAlign">
    <w:name w:val="TableTextDecimalAlign"/>
    <w:basedOn w:val="TableText"/>
    <w:rsid w:val="009C7BA5"/>
    <w:pPr>
      <w:tabs>
        <w:tab w:val="decimal" w:pos="1119"/>
      </w:tabs>
    </w:pPr>
  </w:style>
  <w:style w:type="paragraph" w:customStyle="1" w:styleId="NormalIndent">
    <w:name w:val="NormalIndent"/>
    <w:basedOn w:val="Normal"/>
    <w:rsid w:val="008D32BA"/>
    <w:pPr>
      <w:ind w:left="357"/>
    </w:pPr>
  </w:style>
  <w:style w:type="paragraph" w:styleId="BalloonText">
    <w:name w:val="Balloon Text"/>
    <w:basedOn w:val="Normal"/>
    <w:link w:val="BalloonTextChar"/>
    <w:uiPriority w:val="99"/>
    <w:semiHidden/>
    <w:unhideWhenUsed/>
    <w:rsid w:val="00704FE3"/>
    <w:rPr>
      <w:rFonts w:ascii="Tahoma" w:hAnsi="Tahoma"/>
      <w:color w:val="000000"/>
      <w:sz w:val="16"/>
      <w:szCs w:val="16"/>
    </w:rPr>
  </w:style>
  <w:style w:type="character" w:customStyle="1" w:styleId="BalloonTextChar">
    <w:name w:val="Balloon Text Char"/>
    <w:link w:val="BalloonText"/>
    <w:uiPriority w:val="99"/>
    <w:semiHidden/>
    <w:locked/>
    <w:rsid w:val="00704FE3"/>
    <w:rPr>
      <w:rFonts w:ascii="Tahoma" w:hAnsi="Tahoma"/>
      <w:color w:val="000000"/>
      <w:sz w:val="16"/>
    </w:rPr>
  </w:style>
  <w:style w:type="paragraph" w:customStyle="1" w:styleId="RecommendationText">
    <w:name w:val="RecommendationText"/>
    <w:basedOn w:val="BoxText"/>
    <w:link w:val="RecommendationTextChar"/>
    <w:qFormat/>
    <w:rsid w:val="001812CC"/>
    <w:pPr>
      <w:pBdr>
        <w:top w:val="none" w:sz="0" w:space="0" w:color="auto"/>
        <w:left w:val="none" w:sz="0" w:space="0" w:color="auto"/>
        <w:bottom w:val="none" w:sz="0" w:space="0" w:color="auto"/>
        <w:right w:val="none" w:sz="0" w:space="0" w:color="auto"/>
      </w:pBdr>
      <w:shd w:val="clear" w:color="auto" w:fill="auto"/>
    </w:pPr>
  </w:style>
  <w:style w:type="paragraph" w:styleId="Title">
    <w:name w:val="Title"/>
    <w:basedOn w:val="Normal"/>
    <w:next w:val="Subtitle"/>
    <w:link w:val="TitleChar"/>
    <w:uiPriority w:val="10"/>
    <w:qFormat/>
    <w:rsid w:val="004164C0"/>
    <w:pPr>
      <w:pageBreakBefore/>
      <w:spacing w:before="8700" w:after="1080" w:line="640" w:lineRule="atLeast"/>
      <w:ind w:left="2410" w:right="-198"/>
    </w:pPr>
    <w:rPr>
      <w:rFonts w:ascii="Helvetica" w:hAnsi="Helvetica"/>
      <w:noProof/>
      <w:color w:val="FFFFFF"/>
      <w:kern w:val="28"/>
      <w:sz w:val="50"/>
      <w:lang w:val="en-US" w:eastAsia="en-US"/>
    </w:rPr>
  </w:style>
  <w:style w:type="character" w:customStyle="1" w:styleId="TitleChar">
    <w:name w:val="Title Char"/>
    <w:link w:val="Title"/>
    <w:uiPriority w:val="10"/>
    <w:locked/>
    <w:rsid w:val="004164C0"/>
    <w:rPr>
      <w:rFonts w:ascii="Helvetica" w:hAnsi="Helvetica"/>
      <w:noProof/>
      <w:color w:val="FFFFFF"/>
      <w:kern w:val="28"/>
      <w:sz w:val="50"/>
      <w:lang w:val="en-US" w:eastAsia="en-US"/>
    </w:rPr>
  </w:style>
  <w:style w:type="paragraph" w:customStyle="1" w:styleId="SectionTitle">
    <w:name w:val="SectionTitle"/>
    <w:basedOn w:val="Normal"/>
    <w:next w:val="Normal"/>
    <w:rsid w:val="00A41469"/>
    <w:pPr>
      <w:pageBreakBefore/>
      <w:outlineLvl w:val="0"/>
    </w:pPr>
    <w:rPr>
      <w:rFonts w:ascii="Arial" w:hAnsi="Arial"/>
      <w:b/>
      <w:color w:val="124486"/>
      <w:sz w:val="50"/>
    </w:rPr>
  </w:style>
  <w:style w:type="paragraph" w:customStyle="1" w:styleId="SectionSubtitle">
    <w:name w:val="SectionSubtitle"/>
    <w:basedOn w:val="Normal"/>
    <w:rsid w:val="00E718A6"/>
    <w:rPr>
      <w:color w:val="007FAD"/>
      <w:sz w:val="32"/>
    </w:rPr>
  </w:style>
  <w:style w:type="paragraph" w:customStyle="1" w:styleId="QuoteNumberList">
    <w:name w:val="QuoteNumberList"/>
    <w:basedOn w:val="Quote"/>
    <w:rsid w:val="00BD346C"/>
    <w:pPr>
      <w:ind w:left="1117" w:hanging="397"/>
    </w:pPr>
    <w:rPr>
      <w:noProof/>
    </w:rPr>
  </w:style>
  <w:style w:type="paragraph" w:customStyle="1" w:styleId="QuoteBullet">
    <w:name w:val="QuoteBullet"/>
    <w:basedOn w:val="Quote"/>
    <w:rsid w:val="002443DC"/>
    <w:pPr>
      <w:numPr>
        <w:numId w:val="2"/>
      </w:numPr>
      <w:tabs>
        <w:tab w:val="left" w:pos="851"/>
      </w:tabs>
      <w:ind w:left="851" w:hanging="284"/>
    </w:pPr>
    <w:rPr>
      <w:noProof/>
    </w:rPr>
  </w:style>
  <w:style w:type="paragraph" w:customStyle="1" w:styleId="TableNumberedList">
    <w:name w:val="TableNumberedList"/>
    <w:basedOn w:val="TableText"/>
    <w:autoRedefine/>
    <w:qFormat/>
    <w:rsid w:val="002443DC"/>
    <w:pPr>
      <w:numPr>
        <w:numId w:val="4"/>
      </w:numPr>
      <w:ind w:left="357" w:hanging="357"/>
    </w:pPr>
  </w:style>
  <w:style w:type="paragraph" w:customStyle="1" w:styleId="TableListNumber">
    <w:name w:val="TableListNumber"/>
    <w:basedOn w:val="Normal"/>
    <w:qFormat/>
    <w:rsid w:val="002443DC"/>
    <w:pPr>
      <w:keepNext/>
      <w:numPr>
        <w:numId w:val="5"/>
      </w:numPr>
      <w:tabs>
        <w:tab w:val="left" w:pos="216"/>
      </w:tabs>
      <w:spacing w:after="40" w:line="200" w:lineRule="atLeast"/>
      <w:ind w:left="284" w:hanging="284"/>
    </w:pPr>
    <w:rPr>
      <w:color w:val="000000"/>
      <w:sz w:val="17"/>
      <w:szCs w:val="21"/>
    </w:rPr>
  </w:style>
  <w:style w:type="paragraph" w:customStyle="1" w:styleId="TableListNumber2">
    <w:name w:val="TableListNumber 2"/>
    <w:basedOn w:val="TableListNumber"/>
    <w:qFormat/>
    <w:rsid w:val="002443DC"/>
    <w:pPr>
      <w:numPr>
        <w:numId w:val="6"/>
      </w:numPr>
      <w:tabs>
        <w:tab w:val="clear" w:pos="216"/>
        <w:tab w:val="left" w:pos="284"/>
      </w:tabs>
      <w:ind w:left="430" w:hanging="215"/>
    </w:pPr>
  </w:style>
  <w:style w:type="paragraph" w:customStyle="1" w:styleId="TableHeading2">
    <w:name w:val="TableHeading2"/>
    <w:basedOn w:val="TableHeading"/>
    <w:qFormat/>
    <w:rsid w:val="00BE10F8"/>
    <w:rPr>
      <w:i/>
    </w:rPr>
  </w:style>
  <w:style w:type="paragraph" w:customStyle="1" w:styleId="Draftingnote">
    <w:name w:val="Drafting note"/>
    <w:basedOn w:val="Normal"/>
    <w:link w:val="DraftingnoteChar"/>
    <w:qFormat/>
    <w:rsid w:val="00BA5205"/>
    <w:rPr>
      <w:rFonts w:ascii="Cambria" w:hAnsi="Cambria"/>
      <w:b/>
      <w:color w:val="FF0000"/>
      <w:sz w:val="20"/>
      <w:u w:val="dotted"/>
      <w:lang w:val="x-none" w:eastAsia="x-none"/>
    </w:rPr>
  </w:style>
  <w:style w:type="character" w:customStyle="1" w:styleId="DraftingnoteChar">
    <w:name w:val="Drafting note Char"/>
    <w:link w:val="Draftingnote"/>
    <w:locked/>
    <w:rsid w:val="00BA5205"/>
    <w:rPr>
      <w:rFonts w:ascii="Cambria" w:hAnsi="Cambria"/>
      <w:b/>
      <w:color w:val="FF0000"/>
      <w:u w:val="dotted"/>
    </w:rPr>
  </w:style>
  <w:style w:type="character" w:styleId="Hyperlink">
    <w:name w:val="Hyperlink"/>
    <w:uiPriority w:val="99"/>
    <w:unhideWhenUsed/>
    <w:rsid w:val="001B454D"/>
    <w:rPr>
      <w:color w:val="007FAD"/>
      <w:u w:val="single"/>
    </w:rPr>
  </w:style>
  <w:style w:type="character" w:styleId="CommentReference">
    <w:name w:val="annotation reference"/>
    <w:uiPriority w:val="99"/>
    <w:semiHidden/>
    <w:unhideWhenUsed/>
    <w:rsid w:val="00DF1B3A"/>
    <w:rPr>
      <w:sz w:val="16"/>
    </w:rPr>
  </w:style>
  <w:style w:type="paragraph" w:styleId="CommentText">
    <w:name w:val="annotation text"/>
    <w:basedOn w:val="Normal"/>
    <w:link w:val="CommentTextChar"/>
    <w:uiPriority w:val="99"/>
    <w:unhideWhenUsed/>
    <w:rsid w:val="00DF1B3A"/>
    <w:rPr>
      <w:rFonts w:ascii="Cambria" w:hAnsi="Cambria"/>
      <w:color w:val="000000"/>
      <w:sz w:val="20"/>
    </w:rPr>
  </w:style>
  <w:style w:type="character" w:customStyle="1" w:styleId="CommentTextChar">
    <w:name w:val="Comment Text Char"/>
    <w:link w:val="CommentText"/>
    <w:uiPriority w:val="99"/>
    <w:locked/>
    <w:rsid w:val="00DF1B3A"/>
    <w:rPr>
      <w:rFonts w:ascii="Cambria" w:hAnsi="Cambria"/>
      <w:color w:val="000000"/>
    </w:rPr>
  </w:style>
  <w:style w:type="paragraph" w:styleId="CommentSubject">
    <w:name w:val="annotation subject"/>
    <w:basedOn w:val="CommentText"/>
    <w:next w:val="CommentText"/>
    <w:link w:val="CommentSubjectChar"/>
    <w:uiPriority w:val="99"/>
    <w:semiHidden/>
    <w:unhideWhenUsed/>
    <w:rsid w:val="00DF1B3A"/>
    <w:rPr>
      <w:b/>
      <w:bCs/>
    </w:rPr>
  </w:style>
  <w:style w:type="character" w:customStyle="1" w:styleId="CommentSubjectChar">
    <w:name w:val="Comment Subject Char"/>
    <w:link w:val="CommentSubject"/>
    <w:uiPriority w:val="99"/>
    <w:semiHidden/>
    <w:locked/>
    <w:rsid w:val="00DF1B3A"/>
    <w:rPr>
      <w:rFonts w:ascii="Cambria" w:hAnsi="Cambria"/>
      <w:b/>
      <w:color w:val="000000"/>
    </w:rPr>
  </w:style>
  <w:style w:type="table" w:styleId="LightShading">
    <w:name w:val="Light Shading"/>
    <w:basedOn w:val="TableNormal"/>
    <w:uiPriority w:val="60"/>
    <w:rsid w:val="00FB4E1F"/>
    <w:rPr>
      <w:color w:val="00000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EEFEE"/>
    </w:tcPr>
    <w:tblStylePr w:type="firstRow">
      <w:pPr>
        <w:spacing w:before="0" w:after="0"/>
      </w:pPr>
      <w:rPr>
        <w:rFonts w:cs="Times New Roman"/>
        <w:b/>
        <w:bCs/>
      </w:rPr>
      <w:tblPr/>
      <w:tcPr>
        <w:tcBorders>
          <w:top w:val="nil"/>
          <w:left w:val="nil"/>
          <w:bottom w:val="nil"/>
          <w:right w:val="nil"/>
          <w:insideH w:val="nil"/>
          <w:insideV w:val="nil"/>
          <w:tl2br w:val="nil"/>
          <w:tr2bl w:val="nil"/>
        </w:tcBorders>
        <w:shd w:val="clear" w:color="auto" w:fill="92C3CA"/>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List">
    <w:name w:val="Light List"/>
    <w:basedOn w:val="TableNormal"/>
    <w:uiPriority w:val="61"/>
    <w:rsid w:val="00FB4E1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Numberlist2">
    <w:name w:val="Numberlist2"/>
    <w:basedOn w:val="Normal"/>
    <w:rsid w:val="002443DC"/>
    <w:pPr>
      <w:numPr>
        <w:numId w:val="1"/>
      </w:numPr>
      <w:tabs>
        <w:tab w:val="clear" w:pos="360"/>
        <w:tab w:val="num" w:pos="567"/>
      </w:tabs>
      <w:spacing w:before="0" w:line="280" w:lineRule="exact"/>
      <w:ind w:left="568" w:hanging="284"/>
    </w:pPr>
  </w:style>
  <w:style w:type="paragraph" w:customStyle="1" w:styleId="NumberList3">
    <w:name w:val="NumberList3"/>
    <w:basedOn w:val="Normal"/>
    <w:rsid w:val="002443DC"/>
    <w:pPr>
      <w:tabs>
        <w:tab w:val="num" w:pos="643"/>
      </w:tabs>
      <w:spacing w:before="0" w:line="280" w:lineRule="exact"/>
      <w:ind w:left="851" w:hanging="284"/>
      <w:contextualSpacing/>
    </w:pPr>
  </w:style>
  <w:style w:type="paragraph" w:customStyle="1" w:styleId="BoxDash">
    <w:name w:val="BoxDash"/>
    <w:basedOn w:val="BoxText"/>
    <w:rsid w:val="00BE3345"/>
    <w:pPr>
      <w:tabs>
        <w:tab w:val="left" w:pos="360"/>
        <w:tab w:val="left" w:pos="720"/>
      </w:tabs>
      <w:ind w:left="720" w:hanging="720"/>
    </w:pPr>
  </w:style>
  <w:style w:type="paragraph" w:styleId="EndnoteText">
    <w:name w:val="endnote text"/>
    <w:basedOn w:val="Normal"/>
    <w:link w:val="EndnoteTextChar"/>
    <w:uiPriority w:val="99"/>
    <w:unhideWhenUsed/>
    <w:rsid w:val="003E5CD5"/>
    <w:pPr>
      <w:spacing w:before="0"/>
    </w:pPr>
    <w:rPr>
      <w:color w:val="000000"/>
      <w:sz w:val="20"/>
    </w:rPr>
  </w:style>
  <w:style w:type="character" w:customStyle="1" w:styleId="EndnoteTextChar">
    <w:name w:val="Endnote Text Char"/>
    <w:link w:val="EndnoteText"/>
    <w:uiPriority w:val="99"/>
    <w:locked/>
    <w:rsid w:val="003E5CD5"/>
    <w:rPr>
      <w:rFonts w:ascii="Franklin Gothic Book" w:hAnsi="Franklin Gothic Book"/>
      <w:color w:val="000000"/>
    </w:rPr>
  </w:style>
  <w:style w:type="character" w:styleId="EndnoteReference">
    <w:name w:val="endnote reference"/>
    <w:uiPriority w:val="99"/>
    <w:semiHidden/>
    <w:unhideWhenUsed/>
    <w:rsid w:val="003E5CD5"/>
    <w:rPr>
      <w:vertAlign w:val="superscript"/>
    </w:rPr>
  </w:style>
  <w:style w:type="paragraph" w:customStyle="1" w:styleId="BoxQuote">
    <w:name w:val="BoxQuote"/>
    <w:basedOn w:val="BoxText"/>
    <w:next w:val="BoxQuoteSource"/>
    <w:link w:val="BoxQuoteChar"/>
    <w:qFormat/>
    <w:rsid w:val="007E31F4"/>
    <w:pPr>
      <w:ind w:left="357" w:hanging="357"/>
    </w:pPr>
    <w:rPr>
      <w:i/>
      <w:lang w:val="x-none" w:eastAsia="x-none"/>
    </w:rPr>
  </w:style>
  <w:style w:type="paragraph" w:customStyle="1" w:styleId="BoxQuoteSource">
    <w:name w:val="BoxQuoteSource"/>
    <w:basedOn w:val="BoxText"/>
    <w:link w:val="BoxQuoteSourceChar"/>
    <w:qFormat/>
    <w:rsid w:val="008777B4"/>
    <w:pPr>
      <w:jc w:val="right"/>
    </w:pPr>
    <w:rPr>
      <w:noProof/>
      <w:lang w:val="x-none" w:eastAsia="x-none"/>
    </w:rPr>
  </w:style>
  <w:style w:type="paragraph" w:customStyle="1" w:styleId="QuoteSource">
    <w:name w:val="QuoteSource"/>
    <w:basedOn w:val="Quote"/>
    <w:link w:val="QuoteSourceChar"/>
    <w:qFormat/>
    <w:rsid w:val="00AF6247"/>
    <w:pPr>
      <w:spacing w:after="240"/>
      <w:jc w:val="right"/>
    </w:pPr>
    <w:rPr>
      <w:i w:val="0"/>
    </w:rPr>
  </w:style>
  <w:style w:type="character" w:customStyle="1" w:styleId="BoxQuoteChar">
    <w:name w:val="BoxQuote Char"/>
    <w:link w:val="BoxQuote"/>
    <w:locked/>
    <w:rsid w:val="007E31F4"/>
    <w:rPr>
      <w:rFonts w:ascii="Franklin Gothic Book" w:hAnsi="Franklin Gothic Book"/>
      <w:i/>
      <w:sz w:val="21"/>
      <w:shd w:val="clear" w:color="auto" w:fill="ECF1F7"/>
    </w:rPr>
  </w:style>
  <w:style w:type="character" w:customStyle="1" w:styleId="BoxQuoteSourceChar">
    <w:name w:val="BoxQuoteSource Char"/>
    <w:link w:val="BoxQuoteSource"/>
    <w:locked/>
    <w:rsid w:val="008777B4"/>
    <w:rPr>
      <w:rFonts w:ascii="Franklin Gothic Book" w:hAnsi="Franklin Gothic Book"/>
      <w:noProof/>
      <w:sz w:val="21"/>
      <w:shd w:val="clear" w:color="auto" w:fill="ECF1F7"/>
    </w:rPr>
  </w:style>
  <w:style w:type="character" w:customStyle="1" w:styleId="QuoteSourceChar">
    <w:name w:val="QuoteSource Char"/>
    <w:link w:val="QuoteSource"/>
    <w:locked/>
    <w:rsid w:val="00AF6247"/>
    <w:rPr>
      <w:rFonts w:ascii="Franklin Gothic Book" w:hAnsi="Franklin Gothic Book" w:cs="Times New Roman"/>
      <w:i/>
      <w:color w:val="000000"/>
      <w:sz w:val="21"/>
    </w:rPr>
  </w:style>
  <w:style w:type="paragraph" w:customStyle="1" w:styleId="RecommendationEnd">
    <w:name w:val="Recommendation End"/>
    <w:basedOn w:val="RecommendationText"/>
    <w:link w:val="RecommendationEndCharChar"/>
    <w:qFormat/>
    <w:rsid w:val="008C4FDE"/>
    <w:pPr>
      <w:pBdr>
        <w:bottom w:val="single" w:sz="4" w:space="1" w:color="124486"/>
      </w:pBdr>
    </w:pPr>
  </w:style>
  <w:style w:type="character" w:customStyle="1" w:styleId="RecommendationTextChar">
    <w:name w:val="RecommendationText Char"/>
    <w:link w:val="RecommendationText"/>
    <w:locked/>
    <w:rsid w:val="001812CC"/>
    <w:rPr>
      <w:rFonts w:ascii="Calibri" w:hAnsi="Calibri" w:cs="Times New Roman"/>
      <w:sz w:val="24"/>
      <w:szCs w:val="24"/>
      <w:lang w:val="en-US" w:eastAsia="ja-JP" w:bidi="ar-SA"/>
    </w:rPr>
  </w:style>
  <w:style w:type="paragraph" w:customStyle="1" w:styleId="RecommendationName">
    <w:name w:val="RecommendationName"/>
    <w:basedOn w:val="RecommendationText"/>
    <w:link w:val="RecommendationNameChar"/>
    <w:qFormat/>
    <w:rsid w:val="001812CC"/>
    <w:pPr>
      <w:pBdr>
        <w:top w:val="single" w:sz="4" w:space="1" w:color="124486"/>
      </w:pBdr>
      <w:spacing w:before="120"/>
    </w:pPr>
    <w:rPr>
      <w:rFonts w:ascii="Arial Bold" w:hAnsi="Arial Bold"/>
      <w:b/>
      <w:color w:val="EB0029"/>
      <w:sz w:val="24"/>
      <w:lang w:val="en-US" w:eastAsia="ja-JP"/>
    </w:rPr>
  </w:style>
  <w:style w:type="character" w:customStyle="1" w:styleId="RecommendationEndCharChar">
    <w:name w:val="Recommendation End Char Char"/>
    <w:link w:val="RecommendationEnd"/>
    <w:locked/>
    <w:rsid w:val="008C4FDE"/>
    <w:rPr>
      <w:rFonts w:ascii="Franklin Gothic Book" w:hAnsi="Franklin Gothic Book" w:cs="Times New Roman"/>
      <w:sz w:val="21"/>
      <w:szCs w:val="24"/>
      <w:lang w:val="en-US" w:eastAsia="ja-JP" w:bidi="ar-SA"/>
    </w:rPr>
  </w:style>
  <w:style w:type="character" w:customStyle="1" w:styleId="RecommendationNameChar">
    <w:name w:val="RecommendationName Char"/>
    <w:link w:val="RecommendationName"/>
    <w:locked/>
    <w:rsid w:val="001812CC"/>
    <w:rPr>
      <w:rFonts w:ascii="Arial Bold" w:hAnsi="Arial Bold"/>
      <w:b/>
      <w:color w:val="EB0029"/>
      <w:sz w:val="24"/>
      <w:lang w:val="en-US" w:eastAsia="ja-JP"/>
    </w:rPr>
  </w:style>
  <w:style w:type="paragraph" w:styleId="BodyText">
    <w:name w:val="Body Text"/>
    <w:basedOn w:val="Normal"/>
    <w:link w:val="BodyTextChar"/>
    <w:uiPriority w:val="99"/>
    <w:unhideWhenUsed/>
    <w:qFormat/>
    <w:rsid w:val="008779F3"/>
    <w:rPr>
      <w:lang w:val="en-US"/>
    </w:rPr>
  </w:style>
  <w:style w:type="character" w:customStyle="1" w:styleId="BodyTextChar">
    <w:name w:val="Body Text Char"/>
    <w:link w:val="BodyText"/>
    <w:uiPriority w:val="99"/>
    <w:locked/>
    <w:rsid w:val="008779F3"/>
    <w:rPr>
      <w:rFonts w:ascii="Calibri" w:hAnsi="Calibri"/>
      <w:sz w:val="24"/>
      <w:lang w:val="en-US" w:eastAsia="ja-JP"/>
    </w:rPr>
  </w:style>
  <w:style w:type="paragraph" w:customStyle="1" w:styleId="Heading">
    <w:name w:val="Heading"/>
    <w:qFormat/>
    <w:rsid w:val="008779F3"/>
    <w:pPr>
      <w:pBdr>
        <w:bottom w:val="single" w:sz="4" w:space="1" w:color="auto"/>
      </w:pBdr>
      <w:spacing w:before="200" w:after="100"/>
    </w:pPr>
    <w:rPr>
      <w:rFonts w:ascii="Arial" w:eastAsia="MS ????" w:hAnsi="Arial"/>
      <w:b/>
      <w:bCs/>
      <w:kern w:val="32"/>
      <w:sz w:val="24"/>
      <w:szCs w:val="32"/>
      <w:lang w:val="en-US" w:eastAsia="en-US"/>
    </w:rPr>
  </w:style>
  <w:style w:type="paragraph" w:customStyle="1" w:styleId="Bullets">
    <w:name w:val="Bullets"/>
    <w:basedOn w:val="BodyText"/>
    <w:qFormat/>
    <w:rsid w:val="002443DC"/>
    <w:pPr>
      <w:numPr>
        <w:numId w:val="13"/>
      </w:numPr>
      <w:spacing w:before="100"/>
    </w:pPr>
  </w:style>
  <w:style w:type="paragraph" w:styleId="ListNumber">
    <w:name w:val="List Number"/>
    <w:basedOn w:val="Normal"/>
    <w:uiPriority w:val="99"/>
    <w:unhideWhenUsed/>
    <w:rsid w:val="002443DC"/>
    <w:pPr>
      <w:ind w:left="360" w:hanging="360"/>
      <w:contextualSpacing/>
    </w:pPr>
  </w:style>
  <w:style w:type="paragraph" w:styleId="ListParagraph">
    <w:name w:val="List Paragraph"/>
    <w:basedOn w:val="Normal"/>
    <w:link w:val="ListParagraphChar"/>
    <w:uiPriority w:val="34"/>
    <w:qFormat/>
    <w:rsid w:val="003005C3"/>
    <w:pPr>
      <w:ind w:left="720"/>
      <w:contextualSpacing/>
    </w:pPr>
  </w:style>
  <w:style w:type="paragraph" w:customStyle="1" w:styleId="Tabletext0">
    <w:name w:val="Table text"/>
    <w:basedOn w:val="BodyText"/>
    <w:qFormat/>
    <w:rsid w:val="00370A0E"/>
    <w:pPr>
      <w:spacing w:before="100"/>
    </w:pPr>
    <w:rPr>
      <w:sz w:val="18"/>
    </w:rPr>
  </w:style>
  <w:style w:type="paragraph" w:customStyle="1" w:styleId="Recommendationheading">
    <w:name w:val="Recommendation heading"/>
    <w:basedOn w:val="Normal"/>
    <w:qFormat/>
    <w:rsid w:val="007542FF"/>
    <w:pPr>
      <w:widowControl w:val="0"/>
      <w:pBdr>
        <w:top w:val="single" w:sz="4" w:space="15" w:color="auto"/>
      </w:pBdr>
      <w:spacing w:before="0"/>
      <w:ind w:left="120" w:right="-20"/>
    </w:pPr>
    <w:rPr>
      <w:rFonts w:ascii="Arial" w:hAnsi="Arial" w:cs="Arial"/>
      <w:b/>
      <w:bCs/>
      <w:color w:val="EB0029"/>
      <w:lang w:val="en-US" w:eastAsia="en-US"/>
    </w:rPr>
  </w:style>
  <w:style w:type="paragraph" w:styleId="ListBullet">
    <w:name w:val="List Bullet"/>
    <w:basedOn w:val="Normal"/>
    <w:uiPriority w:val="99"/>
    <w:unhideWhenUsed/>
    <w:rsid w:val="007542FF"/>
    <w:pPr>
      <w:widowControl w:val="0"/>
      <w:spacing w:before="100"/>
      <w:ind w:left="709" w:hanging="283"/>
    </w:pPr>
    <w:rPr>
      <w:position w:val="3"/>
      <w:szCs w:val="21"/>
      <w:lang w:val="en-GB" w:eastAsia="en-US"/>
    </w:rPr>
  </w:style>
  <w:style w:type="paragraph" w:customStyle="1" w:styleId="BulletBeforeDash">
    <w:name w:val="BulletBeforeDash"/>
    <w:basedOn w:val="Normal"/>
    <w:rsid w:val="002443DC"/>
    <w:pPr>
      <w:numPr>
        <w:numId w:val="14"/>
      </w:numPr>
    </w:pPr>
    <w:rPr>
      <w:rFonts w:ascii="Cambria" w:hAnsi="Cambria"/>
      <w:color w:val="000000"/>
    </w:rPr>
  </w:style>
  <w:style w:type="paragraph" w:styleId="NormalWeb">
    <w:name w:val="Normal (Web)"/>
    <w:basedOn w:val="Normal"/>
    <w:uiPriority w:val="99"/>
    <w:unhideWhenUsed/>
    <w:rsid w:val="007542FF"/>
    <w:pPr>
      <w:spacing w:before="100" w:beforeAutospacing="1" w:after="100" w:afterAutospacing="1"/>
    </w:pPr>
    <w:rPr>
      <w:rFonts w:ascii="Times" w:hAnsi="Times"/>
      <w:sz w:val="20"/>
      <w:lang w:eastAsia="en-US"/>
    </w:rPr>
  </w:style>
  <w:style w:type="paragraph" w:customStyle="1" w:styleId="CharChar">
    <w:name w:val="Char Char"/>
    <w:basedOn w:val="Normal"/>
    <w:semiHidden/>
    <w:rsid w:val="007542FF"/>
    <w:pPr>
      <w:spacing w:before="180" w:line="280" w:lineRule="atLeast"/>
    </w:pPr>
    <w:rPr>
      <w:rFonts w:ascii="Arial" w:hAnsi="Arial"/>
      <w:sz w:val="22"/>
      <w:lang w:eastAsia="en-US"/>
    </w:rPr>
  </w:style>
  <w:style w:type="paragraph" w:styleId="Bibliography">
    <w:name w:val="Bibliography"/>
    <w:basedOn w:val="Normal"/>
    <w:next w:val="Normal"/>
    <w:uiPriority w:val="37"/>
    <w:unhideWhenUsed/>
    <w:rsid w:val="007542FF"/>
  </w:style>
  <w:style w:type="paragraph" w:styleId="ListNumber3">
    <w:name w:val="List Number 3"/>
    <w:basedOn w:val="Normal"/>
    <w:uiPriority w:val="99"/>
    <w:unhideWhenUsed/>
    <w:rsid w:val="007542FF"/>
    <w:pPr>
      <w:ind w:left="926" w:hanging="360"/>
      <w:contextualSpacing/>
    </w:pPr>
  </w:style>
  <w:style w:type="paragraph" w:styleId="ListNumber2">
    <w:name w:val="List Number 2"/>
    <w:basedOn w:val="Normal"/>
    <w:uiPriority w:val="99"/>
    <w:unhideWhenUsed/>
    <w:rsid w:val="007542FF"/>
    <w:pPr>
      <w:tabs>
        <w:tab w:val="num" w:pos="643"/>
      </w:tabs>
      <w:ind w:left="643" w:hanging="360"/>
      <w:contextualSpacing/>
    </w:pPr>
  </w:style>
  <w:style w:type="paragraph" w:customStyle="1" w:styleId="NoSpacing1">
    <w:name w:val="No Spacing1"/>
    <w:aliases w:val="bullet"/>
    <w:uiPriority w:val="1"/>
    <w:qFormat/>
    <w:rsid w:val="007542FF"/>
    <w:pPr>
      <w:spacing w:before="120" w:after="120"/>
    </w:pPr>
    <w:rPr>
      <w:rFonts w:ascii="Arial" w:hAnsi="Arial"/>
      <w:sz w:val="22"/>
      <w:szCs w:val="22"/>
      <w:lang w:eastAsia="en-US"/>
    </w:rPr>
  </w:style>
  <w:style w:type="paragraph" w:customStyle="1" w:styleId="BulletList">
    <w:name w:val="Bullet List"/>
    <w:basedOn w:val="BulletLast"/>
    <w:autoRedefine/>
    <w:rsid w:val="007542FF"/>
    <w:pPr>
      <w:numPr>
        <w:numId w:val="0"/>
      </w:numPr>
      <w:tabs>
        <w:tab w:val="num" w:pos="567"/>
      </w:tabs>
      <w:ind w:left="567" w:hanging="283"/>
    </w:pPr>
  </w:style>
  <w:style w:type="paragraph" w:customStyle="1" w:styleId="TableText10pt">
    <w:name w:val="Table Text 10 pt"/>
    <w:qFormat/>
    <w:rsid w:val="007542FF"/>
    <w:pPr>
      <w:spacing w:before="60" w:after="20"/>
      <w:jc w:val="both"/>
    </w:pPr>
    <w:rPr>
      <w:rFonts w:ascii="Calibri" w:hAnsi="Calibri" w:cs="Angsana New"/>
      <w:color w:val="000000"/>
      <w:sz w:val="24"/>
      <w:szCs w:val="24"/>
      <w:lang w:eastAsia="en-GB" w:bidi="th-TH"/>
    </w:rPr>
  </w:style>
  <w:style w:type="paragraph" w:customStyle="1" w:styleId="BodyCopy">
    <w:name w:val="Body Copy"/>
    <w:qFormat/>
    <w:rsid w:val="007542FF"/>
    <w:pPr>
      <w:spacing w:before="57" w:after="113" w:line="240" w:lineRule="atLeast"/>
    </w:pPr>
    <w:rPr>
      <w:rFonts w:ascii="Calibri" w:hAnsi="Calibri"/>
      <w:spacing w:val="-2"/>
      <w:sz w:val="24"/>
      <w:szCs w:val="24"/>
      <w:lang w:eastAsia="en-US"/>
    </w:rPr>
  </w:style>
  <w:style w:type="paragraph" w:styleId="TOC3">
    <w:name w:val="toc 3"/>
    <w:basedOn w:val="Normal"/>
    <w:next w:val="Normal"/>
    <w:autoRedefine/>
    <w:uiPriority w:val="39"/>
    <w:unhideWhenUsed/>
    <w:rsid w:val="007542FF"/>
    <w:pPr>
      <w:ind w:left="420"/>
    </w:pPr>
  </w:style>
  <w:style w:type="paragraph" w:styleId="TOC5">
    <w:name w:val="toc 5"/>
    <w:basedOn w:val="Normal"/>
    <w:next w:val="Normal"/>
    <w:autoRedefine/>
    <w:uiPriority w:val="39"/>
    <w:unhideWhenUsed/>
    <w:rsid w:val="007542FF"/>
    <w:pPr>
      <w:ind w:left="840"/>
    </w:pPr>
  </w:style>
  <w:style w:type="paragraph" w:styleId="TOC6">
    <w:name w:val="toc 6"/>
    <w:basedOn w:val="Normal"/>
    <w:next w:val="Normal"/>
    <w:autoRedefine/>
    <w:uiPriority w:val="39"/>
    <w:unhideWhenUsed/>
    <w:rsid w:val="007542FF"/>
    <w:pPr>
      <w:ind w:left="1050"/>
    </w:pPr>
  </w:style>
  <w:style w:type="paragraph" w:styleId="TOC7">
    <w:name w:val="toc 7"/>
    <w:basedOn w:val="Normal"/>
    <w:next w:val="Normal"/>
    <w:autoRedefine/>
    <w:uiPriority w:val="39"/>
    <w:unhideWhenUsed/>
    <w:rsid w:val="007542FF"/>
    <w:pPr>
      <w:ind w:left="1260"/>
    </w:pPr>
  </w:style>
  <w:style w:type="paragraph" w:styleId="TOC8">
    <w:name w:val="toc 8"/>
    <w:basedOn w:val="Normal"/>
    <w:next w:val="Normal"/>
    <w:autoRedefine/>
    <w:uiPriority w:val="39"/>
    <w:unhideWhenUsed/>
    <w:rsid w:val="007542FF"/>
    <w:pPr>
      <w:ind w:left="1470"/>
    </w:pPr>
  </w:style>
  <w:style w:type="paragraph" w:styleId="TOC9">
    <w:name w:val="toc 9"/>
    <w:basedOn w:val="Normal"/>
    <w:next w:val="Normal"/>
    <w:autoRedefine/>
    <w:uiPriority w:val="39"/>
    <w:unhideWhenUsed/>
    <w:rsid w:val="007542FF"/>
    <w:pPr>
      <w:ind w:left="1680"/>
    </w:pPr>
  </w:style>
  <w:style w:type="paragraph" w:customStyle="1" w:styleId="AttachmentHeading10">
    <w:name w:val="Attachment Heading 1"/>
    <w:basedOn w:val="BodyText"/>
    <w:rsid w:val="007542FF"/>
    <w:rPr>
      <w:rFonts w:ascii="Arial" w:hAnsi="Arial" w:cs="Arial"/>
      <w:bCs/>
      <w:noProof/>
      <w:color w:val="FFFFFF"/>
      <w:sz w:val="44"/>
      <w:szCs w:val="32"/>
      <w:lang w:eastAsia="en-US"/>
    </w:rPr>
  </w:style>
  <w:style w:type="paragraph" w:styleId="DocumentMap">
    <w:name w:val="Document Map"/>
    <w:basedOn w:val="Normal"/>
    <w:link w:val="DocumentMapChar"/>
    <w:uiPriority w:val="99"/>
    <w:semiHidden/>
    <w:unhideWhenUsed/>
    <w:rsid w:val="007542FF"/>
    <w:pPr>
      <w:spacing w:before="0"/>
    </w:pPr>
    <w:rPr>
      <w:rFonts w:ascii="Lucida Grande" w:hAnsi="Lucida Grande"/>
    </w:rPr>
  </w:style>
  <w:style w:type="character" w:customStyle="1" w:styleId="DocumentMapChar">
    <w:name w:val="Document Map Char"/>
    <w:link w:val="DocumentMap"/>
    <w:uiPriority w:val="99"/>
    <w:semiHidden/>
    <w:locked/>
    <w:rsid w:val="007542FF"/>
    <w:rPr>
      <w:rFonts w:ascii="Lucida Grande" w:hAnsi="Lucida Grande"/>
      <w:sz w:val="24"/>
    </w:rPr>
  </w:style>
  <w:style w:type="paragraph" w:customStyle="1" w:styleId="BodyTextindentitalic">
    <w:name w:val="Body Text indent italic"/>
    <w:basedOn w:val="BodyText"/>
    <w:qFormat/>
    <w:rsid w:val="002443DC"/>
    <w:pPr>
      <w:numPr>
        <w:numId w:val="15"/>
      </w:numPr>
    </w:pPr>
    <w:rPr>
      <w:i/>
    </w:rPr>
  </w:style>
  <w:style w:type="paragraph" w:customStyle="1" w:styleId="BodyTextitalics">
    <w:name w:val="Body Text italics"/>
    <w:basedOn w:val="BodyText"/>
    <w:qFormat/>
    <w:rsid w:val="00B21D59"/>
    <w:pPr>
      <w:spacing w:before="160"/>
    </w:pPr>
    <w:rPr>
      <w:i/>
    </w:rPr>
  </w:style>
  <w:style w:type="paragraph" w:customStyle="1" w:styleId="TextBox9pt">
    <w:name w:val="Text Box 9pt"/>
    <w:basedOn w:val="Normal"/>
    <w:qFormat/>
    <w:rsid w:val="00B21D59"/>
    <w:pPr>
      <w:spacing w:before="20" w:after="20"/>
      <w:jc w:val="center"/>
    </w:pPr>
    <w:rPr>
      <w:sz w:val="18"/>
      <w:szCs w:val="22"/>
      <w:lang w:val="en-US" w:eastAsia="en-US"/>
    </w:rPr>
  </w:style>
  <w:style w:type="paragraph" w:customStyle="1" w:styleId="Textboxbullets">
    <w:name w:val="Text box bullets"/>
    <w:basedOn w:val="TextBox9pt"/>
    <w:qFormat/>
    <w:rsid w:val="00B21D59"/>
    <w:pPr>
      <w:keepNext/>
      <w:spacing w:before="40" w:after="0"/>
      <w:jc w:val="left"/>
    </w:pPr>
    <w:rPr>
      <w:rFonts w:cs="Angsana New"/>
      <w:sz w:val="14"/>
      <w:lang w:val="en-GB" w:eastAsia="en-GB" w:bidi="th-TH"/>
    </w:rPr>
  </w:style>
  <w:style w:type="paragraph" w:customStyle="1" w:styleId="TextBox11pt">
    <w:name w:val="Text Box 11pt"/>
    <w:basedOn w:val="Normal"/>
    <w:qFormat/>
    <w:rsid w:val="00B21D59"/>
    <w:pPr>
      <w:spacing w:before="20" w:after="20"/>
      <w:jc w:val="center"/>
    </w:pPr>
    <w:rPr>
      <w:sz w:val="20"/>
      <w:szCs w:val="22"/>
      <w:lang w:val="en-US" w:eastAsia="en-US"/>
    </w:rPr>
  </w:style>
  <w:style w:type="paragraph" w:customStyle="1" w:styleId="Bulletslevel2">
    <w:name w:val="Bullets level 2"/>
    <w:basedOn w:val="Bullets"/>
    <w:qFormat/>
    <w:rsid w:val="008C0043"/>
    <w:pPr>
      <w:numPr>
        <w:numId w:val="16"/>
      </w:numPr>
      <w:spacing w:before="40"/>
      <w:ind w:left="709" w:hanging="284"/>
    </w:pPr>
  </w:style>
  <w:style w:type="paragraph" w:customStyle="1" w:styleId="Textboxitalics">
    <w:name w:val="Text box italics"/>
    <w:basedOn w:val="BodyText"/>
    <w:rsid w:val="00B21D59"/>
    <w:pPr>
      <w:spacing w:before="40"/>
    </w:pPr>
    <w:rPr>
      <w:i/>
      <w:sz w:val="18"/>
    </w:rPr>
  </w:style>
  <w:style w:type="paragraph" w:customStyle="1" w:styleId="BodyTextbold">
    <w:name w:val="Body Text bold"/>
    <w:basedOn w:val="BodyText"/>
    <w:qFormat/>
    <w:rsid w:val="00B21D59"/>
    <w:rPr>
      <w:rFonts w:eastAsia="Batang"/>
      <w:b/>
      <w:lang w:eastAsia="ko-KR"/>
    </w:rPr>
  </w:style>
  <w:style w:type="paragraph" w:customStyle="1" w:styleId="Default">
    <w:name w:val="Default"/>
    <w:rsid w:val="00B21D59"/>
    <w:pPr>
      <w:autoSpaceDE w:val="0"/>
      <w:autoSpaceDN w:val="0"/>
      <w:adjustRightInd w:val="0"/>
    </w:pPr>
    <w:rPr>
      <w:rFonts w:ascii="Arial" w:eastAsia="MS ??" w:hAnsi="Arial" w:cs="Arial Narrow"/>
      <w:color w:val="000000"/>
      <w:szCs w:val="24"/>
    </w:rPr>
  </w:style>
  <w:style w:type="paragraph" w:customStyle="1" w:styleId="Attachmentheading1">
    <w:name w:val="Attachment heading 1"/>
    <w:basedOn w:val="Heading1"/>
    <w:qFormat/>
    <w:rsid w:val="002443DC"/>
    <w:pPr>
      <w:keepNext w:val="0"/>
      <w:numPr>
        <w:numId w:val="17"/>
      </w:numPr>
      <w:autoSpaceDE w:val="0"/>
      <w:autoSpaceDN w:val="0"/>
      <w:adjustRightInd w:val="0"/>
      <w:spacing w:before="100" w:after="100" w:line="240" w:lineRule="auto"/>
    </w:pPr>
    <w:rPr>
      <w:b/>
      <w:bCs w:val="0"/>
      <w:smallCaps/>
      <w:noProof w:val="0"/>
      <w:color w:val="auto"/>
      <w:sz w:val="22"/>
      <w:szCs w:val="24"/>
      <w:lang w:eastAsia="en-AU"/>
    </w:rPr>
  </w:style>
  <w:style w:type="paragraph" w:customStyle="1" w:styleId="Tabletext9pt">
    <w:name w:val="Table text 9 pt"/>
    <w:qFormat/>
    <w:rsid w:val="00B21D59"/>
    <w:pPr>
      <w:spacing w:before="40"/>
    </w:pPr>
    <w:rPr>
      <w:rFonts w:ascii="Calibri" w:eastAsia="MS ??" w:hAnsi="Calibri"/>
      <w:sz w:val="18"/>
      <w:szCs w:val="24"/>
      <w:lang w:val="en-GB" w:eastAsia="en-US"/>
    </w:rPr>
  </w:style>
  <w:style w:type="paragraph" w:customStyle="1" w:styleId="Firstsectionheading1">
    <w:name w:val="First section heading 1"/>
    <w:basedOn w:val="Heading1"/>
    <w:qFormat/>
    <w:rsid w:val="002443DC"/>
    <w:pPr>
      <w:pageBreakBefore w:val="0"/>
      <w:spacing w:before="200" w:after="240" w:line="240" w:lineRule="auto"/>
    </w:pPr>
    <w:rPr>
      <w:rFonts w:ascii="Avenir Roman" w:hAnsi="Avenir Roman" w:cs="Times New Roman"/>
      <w:noProof w:val="0"/>
      <w:color w:val="4F81BD"/>
      <w:kern w:val="32"/>
      <w:sz w:val="20"/>
    </w:rPr>
  </w:style>
  <w:style w:type="paragraph" w:customStyle="1" w:styleId="Recommendations">
    <w:name w:val="Recommendations"/>
    <w:basedOn w:val="BodyTextbold"/>
    <w:qFormat/>
    <w:rsid w:val="00B21D59"/>
    <w:pPr>
      <w:shd w:val="clear" w:color="auto" w:fill="B8CCE4"/>
      <w:spacing w:before="180"/>
    </w:pPr>
  </w:style>
  <w:style w:type="paragraph" w:customStyle="1" w:styleId="Attachmentheading2">
    <w:name w:val="Attachment heading 2"/>
    <w:basedOn w:val="Attachmentheading1"/>
    <w:qFormat/>
    <w:rsid w:val="002443DC"/>
  </w:style>
  <w:style w:type="paragraph" w:styleId="BodyTextIndent">
    <w:name w:val="Body Text Indent"/>
    <w:basedOn w:val="Normal"/>
    <w:link w:val="BodyTextIndentChar"/>
    <w:uiPriority w:val="99"/>
    <w:rsid w:val="00B21D59"/>
    <w:pPr>
      <w:spacing w:before="120"/>
      <w:ind w:left="720"/>
      <w:jc w:val="both"/>
    </w:pPr>
    <w:rPr>
      <w:sz w:val="22"/>
      <w:szCs w:val="22"/>
      <w:lang w:val="en-US" w:eastAsia="en-US"/>
    </w:rPr>
  </w:style>
  <w:style w:type="character" w:customStyle="1" w:styleId="BodyTextIndentChar">
    <w:name w:val="Body Text Indent Char"/>
    <w:link w:val="BodyTextIndent"/>
    <w:uiPriority w:val="99"/>
    <w:locked/>
    <w:rsid w:val="00B21D59"/>
    <w:rPr>
      <w:rFonts w:ascii="Calibri" w:hAnsi="Calibri"/>
      <w:sz w:val="22"/>
      <w:lang w:val="en-US" w:eastAsia="en-US"/>
    </w:rPr>
  </w:style>
  <w:style w:type="paragraph" w:customStyle="1" w:styleId="Attachmentheading3">
    <w:name w:val="Attachment heading 3"/>
    <w:basedOn w:val="BodyText"/>
    <w:qFormat/>
    <w:rsid w:val="00B21D59"/>
    <w:rPr>
      <w:b/>
      <w:i/>
      <w:lang w:eastAsia="en-AU"/>
    </w:rPr>
  </w:style>
  <w:style w:type="paragraph" w:customStyle="1" w:styleId="Tablebullets">
    <w:name w:val="Table bullets"/>
    <w:basedOn w:val="Bullets"/>
    <w:qFormat/>
    <w:rsid w:val="002443DC"/>
    <w:pPr>
      <w:numPr>
        <w:numId w:val="19"/>
      </w:numPr>
      <w:tabs>
        <w:tab w:val="num" w:pos="284"/>
      </w:tabs>
      <w:spacing w:before="20"/>
      <w:jc w:val="both"/>
    </w:pPr>
    <w:rPr>
      <w:rFonts w:cs="Angsana New"/>
      <w:color w:val="000000"/>
      <w:szCs w:val="20"/>
      <w:lang w:val="en-AU" w:eastAsia="en-GB" w:bidi="th-TH"/>
    </w:rPr>
  </w:style>
  <w:style w:type="paragraph" w:customStyle="1" w:styleId="TableText10ptitalics">
    <w:name w:val="Table Text 10 pt italics"/>
    <w:basedOn w:val="TableText10pt"/>
    <w:qFormat/>
    <w:rsid w:val="00B21D59"/>
    <w:rPr>
      <w:i/>
      <w:sz w:val="20"/>
      <w:szCs w:val="20"/>
      <w:lang w:eastAsia="en-AU"/>
    </w:rPr>
  </w:style>
  <w:style w:type="paragraph" w:customStyle="1" w:styleId="BodyTextnumbered">
    <w:name w:val="Body Text numbered"/>
    <w:basedOn w:val="BodyText"/>
    <w:qFormat/>
    <w:rsid w:val="00B21D59"/>
    <w:pPr>
      <w:spacing w:before="60"/>
    </w:pPr>
    <w:rPr>
      <w:rFonts w:eastAsia="Batang"/>
      <w:lang w:eastAsia="ko-KR"/>
    </w:rPr>
  </w:style>
  <w:style w:type="paragraph" w:customStyle="1" w:styleId="Subheading">
    <w:name w:val="Sub heading"/>
    <w:basedOn w:val="Heading3"/>
    <w:qFormat/>
    <w:rsid w:val="002443DC"/>
    <w:pPr>
      <w:spacing w:before="240" w:after="60"/>
      <w:ind w:left="0" w:firstLine="0"/>
    </w:pPr>
    <w:rPr>
      <w:rFonts w:eastAsia="MS ????" w:cs="Times New Roman"/>
      <w:b/>
      <w:i/>
      <w:color w:val="auto"/>
      <w:sz w:val="20"/>
      <w:lang w:val="en-GB" w:eastAsia="en-US"/>
    </w:rPr>
  </w:style>
  <w:style w:type="paragraph" w:customStyle="1" w:styleId="Tabletext9ptindent">
    <w:name w:val="Table text 9 pt indent"/>
    <w:basedOn w:val="BodyText"/>
    <w:qFormat/>
    <w:rsid w:val="00B21D59"/>
    <w:pPr>
      <w:keepNext/>
      <w:spacing w:before="40"/>
    </w:pPr>
    <w:rPr>
      <w:sz w:val="18"/>
    </w:rPr>
  </w:style>
  <w:style w:type="paragraph" w:customStyle="1" w:styleId="Textbox9ptindentitalics">
    <w:name w:val="Text box 9pt indent italics"/>
    <w:basedOn w:val="TextBox9pt"/>
    <w:qFormat/>
    <w:rsid w:val="00B21D59"/>
    <w:pPr>
      <w:keepNext/>
      <w:spacing w:before="60" w:after="0"/>
      <w:jc w:val="both"/>
    </w:pPr>
    <w:rPr>
      <w:rFonts w:cs="Angsana New"/>
      <w:i/>
      <w:lang w:val="en-GB" w:eastAsia="en-GB" w:bidi="th-TH"/>
    </w:rPr>
  </w:style>
  <w:style w:type="paragraph" w:customStyle="1" w:styleId="Textbox9pt0">
    <w:name w:val="Text box 9pt"/>
    <w:basedOn w:val="BodyText"/>
    <w:qFormat/>
    <w:rsid w:val="00B21D59"/>
    <w:pPr>
      <w:spacing w:before="60"/>
    </w:pPr>
    <w:rPr>
      <w:sz w:val="18"/>
    </w:rPr>
  </w:style>
  <w:style w:type="paragraph" w:customStyle="1" w:styleId="TableText1">
    <w:name w:val="Table Text"/>
    <w:basedOn w:val="TableText10pt"/>
    <w:qFormat/>
    <w:rsid w:val="00B21D59"/>
    <w:pPr>
      <w:spacing w:before="40"/>
    </w:pPr>
    <w:rPr>
      <w:rFonts w:ascii="Cambria" w:hAnsi="Cambria" w:cs="Times New Roman"/>
      <w:szCs w:val="20"/>
    </w:rPr>
  </w:style>
  <w:style w:type="paragraph" w:customStyle="1" w:styleId="Textbox10ptcentered">
    <w:name w:val="Text box 10 pt centered"/>
    <w:basedOn w:val="TextBox9pt"/>
    <w:qFormat/>
    <w:rsid w:val="00B21D59"/>
    <w:rPr>
      <w:sz w:val="20"/>
      <w:szCs w:val="20"/>
      <w:lang w:val="en-NZ" w:eastAsia="ko-KR"/>
    </w:rPr>
  </w:style>
  <w:style w:type="paragraph" w:customStyle="1" w:styleId="Heading1notnumbered">
    <w:name w:val="Heading 1 not numbered"/>
    <w:basedOn w:val="Heading1"/>
    <w:qFormat/>
    <w:rsid w:val="002443DC"/>
    <w:pPr>
      <w:numPr>
        <w:numId w:val="0"/>
      </w:numPr>
    </w:pPr>
  </w:style>
  <w:style w:type="paragraph" w:customStyle="1" w:styleId="Tabletext8pt">
    <w:name w:val="Table text 8 pt"/>
    <w:basedOn w:val="Tabletext9pt"/>
    <w:qFormat/>
    <w:rsid w:val="00B21D59"/>
    <w:rPr>
      <w:b/>
      <w:bCs/>
      <w:color w:val="365F91"/>
      <w:sz w:val="16"/>
      <w:szCs w:val="22"/>
    </w:rPr>
  </w:style>
  <w:style w:type="paragraph" w:customStyle="1" w:styleId="Textbox7pt">
    <w:name w:val="Text box 7 pt"/>
    <w:basedOn w:val="Normal"/>
    <w:qFormat/>
    <w:rsid w:val="00B21D59"/>
    <w:pPr>
      <w:spacing w:before="20"/>
    </w:pPr>
    <w:rPr>
      <w:rFonts w:ascii="Arial" w:hAnsi="Arial"/>
      <w:sz w:val="14"/>
      <w:szCs w:val="22"/>
      <w:lang w:val="en-US"/>
    </w:rPr>
  </w:style>
  <w:style w:type="paragraph" w:customStyle="1" w:styleId="Tablebullets2">
    <w:name w:val="Table bullets 2"/>
    <w:qFormat/>
    <w:rsid w:val="002443DC"/>
    <w:pPr>
      <w:numPr>
        <w:ilvl w:val="1"/>
        <w:numId w:val="18"/>
      </w:numPr>
    </w:pPr>
    <w:rPr>
      <w:rFonts w:ascii="Calibri" w:eastAsia="MS ??" w:hAnsi="Calibri" w:cs="Angsana New"/>
      <w:color w:val="000000"/>
      <w:lang w:eastAsia="en-GB" w:bidi="th-TH"/>
    </w:rPr>
  </w:style>
  <w:style w:type="paragraph" w:customStyle="1" w:styleId="Textbox8ptcentred">
    <w:name w:val="Text box 8 pt centred"/>
    <w:qFormat/>
    <w:rsid w:val="00B21D59"/>
    <w:pPr>
      <w:spacing w:after="200"/>
      <w:jc w:val="center"/>
    </w:pPr>
    <w:rPr>
      <w:rFonts w:ascii="Arial" w:eastAsia="MS ??" w:hAnsi="Arial"/>
      <w:sz w:val="16"/>
      <w:szCs w:val="22"/>
      <w:lang w:val="en-US" w:eastAsia="ja-JP"/>
    </w:rPr>
  </w:style>
  <w:style w:type="paragraph" w:customStyle="1" w:styleId="Textbox8ptbullts">
    <w:name w:val="Text box 8 pt bullts"/>
    <w:basedOn w:val="Textboxbullets"/>
    <w:qFormat/>
    <w:rsid w:val="002443DC"/>
    <w:pPr>
      <w:numPr>
        <w:numId w:val="20"/>
      </w:numPr>
      <w:spacing w:before="20"/>
    </w:pPr>
    <w:rPr>
      <w:rFonts w:ascii="Arial" w:hAnsi="Arial"/>
      <w:color w:val="000000"/>
      <w:sz w:val="16"/>
    </w:rPr>
  </w:style>
  <w:style w:type="paragraph" w:customStyle="1" w:styleId="Textbox8pt">
    <w:name w:val="Text box 8pt"/>
    <w:basedOn w:val="Normal"/>
    <w:qFormat/>
    <w:rsid w:val="00B21D59"/>
    <w:rPr>
      <w:rFonts w:ascii="Arial" w:hAnsi="Arial"/>
      <w:sz w:val="16"/>
      <w:szCs w:val="22"/>
      <w:lang w:val="en-US" w:eastAsia="en-US"/>
    </w:rPr>
  </w:style>
  <w:style w:type="paragraph" w:customStyle="1" w:styleId="Leveli">
    <w:name w:val="Level (i)"/>
    <w:basedOn w:val="Normal"/>
    <w:rsid w:val="002443DC"/>
    <w:pPr>
      <w:numPr>
        <w:numId w:val="21"/>
      </w:numPr>
      <w:spacing w:before="120"/>
      <w:jc w:val="both"/>
    </w:pPr>
    <w:rPr>
      <w:rFonts w:ascii="Arial" w:hAnsi="Arial" w:cs="Arial"/>
      <w:sz w:val="20"/>
      <w:szCs w:val="22"/>
    </w:rPr>
  </w:style>
  <w:style w:type="paragraph" w:customStyle="1" w:styleId="Textbox">
    <w:name w:val="Text box"/>
    <w:basedOn w:val="NormalWeb"/>
    <w:qFormat/>
    <w:rsid w:val="004748DD"/>
    <w:pPr>
      <w:spacing w:before="0" w:beforeAutospacing="0" w:after="0" w:afterAutospacing="0"/>
      <w:jc w:val="center"/>
    </w:pPr>
    <w:rPr>
      <w:rFonts w:ascii="Arial" w:hAnsi="Arial" w:cs="Arial"/>
      <w:color w:val="000000"/>
      <w:kern w:val="24"/>
      <w:sz w:val="18"/>
      <w:szCs w:val="18"/>
    </w:rPr>
  </w:style>
  <w:style w:type="character" w:customStyle="1" w:styleId="Hyperlink0">
    <w:name w:val="Hyperlink.0"/>
    <w:rsid w:val="00B21D59"/>
    <w:rPr>
      <w:sz w:val="18"/>
      <w:u w:val="single"/>
    </w:rPr>
  </w:style>
  <w:style w:type="paragraph" w:customStyle="1" w:styleId="Footnote">
    <w:name w:val="Footnote"/>
    <w:basedOn w:val="FootnoteText"/>
    <w:rsid w:val="000A277E"/>
  </w:style>
  <w:style w:type="paragraph" w:customStyle="1" w:styleId="Figuresource">
    <w:name w:val="Figure source"/>
    <w:basedOn w:val="QuoteSource"/>
    <w:qFormat/>
    <w:rsid w:val="00AF1D82"/>
    <w:pPr>
      <w:spacing w:before="0" w:after="200"/>
      <w:ind w:left="0"/>
      <w:jc w:val="left"/>
    </w:pPr>
    <w:rPr>
      <w:sz w:val="16"/>
      <w:szCs w:val="16"/>
    </w:rPr>
  </w:style>
  <w:style w:type="paragraph" w:customStyle="1" w:styleId="PullQuotesource">
    <w:name w:val="PullQuote source"/>
    <w:basedOn w:val="PullQuote"/>
    <w:qFormat/>
    <w:rsid w:val="00BE3E92"/>
    <w:pPr>
      <w:spacing w:before="0"/>
      <w:jc w:val="right"/>
    </w:pPr>
    <w:rPr>
      <w:i w:val="0"/>
      <w:sz w:val="18"/>
      <w:szCs w:val="18"/>
      <w:lang w:val="en-GB"/>
    </w:rPr>
  </w:style>
  <w:style w:type="paragraph" w:customStyle="1" w:styleId="Profiletext">
    <w:name w:val="Profile text"/>
    <w:qFormat/>
    <w:rsid w:val="00FE6C9E"/>
    <w:pPr>
      <w:spacing w:after="120"/>
    </w:pPr>
    <w:rPr>
      <w:rFonts w:ascii="Franklin Gothic Book" w:hAnsi="Franklin Gothic Book"/>
      <w:noProof/>
      <w:sz w:val="21"/>
      <w:lang w:val="en-US" w:eastAsia="en-US"/>
    </w:rPr>
  </w:style>
  <w:style w:type="paragraph" w:customStyle="1" w:styleId="Profilequote">
    <w:name w:val="Profile quote"/>
    <w:basedOn w:val="Profiletext"/>
    <w:qFormat/>
    <w:rsid w:val="00EB09AE"/>
    <w:pPr>
      <w:ind w:left="284"/>
    </w:pPr>
    <w:rPr>
      <w:i/>
    </w:rPr>
  </w:style>
  <w:style w:type="paragraph" w:customStyle="1" w:styleId="AppendixHeading1">
    <w:name w:val="Appendix Heading 1"/>
    <w:basedOn w:val="SectionTitle"/>
    <w:qFormat/>
    <w:rsid w:val="002443DC"/>
    <w:pPr>
      <w:numPr>
        <w:numId w:val="28"/>
      </w:numPr>
    </w:pPr>
    <w:rPr>
      <w:noProof/>
    </w:rPr>
  </w:style>
  <w:style w:type="paragraph" w:customStyle="1" w:styleId="BodyText1">
    <w:name w:val="Body Text1"/>
    <w:basedOn w:val="BodyText"/>
    <w:link w:val="BodyText1Char"/>
    <w:rsid w:val="003A4301"/>
  </w:style>
  <w:style w:type="paragraph" w:customStyle="1" w:styleId="Bullet-numbered">
    <w:name w:val="Bullet - numbered"/>
    <w:basedOn w:val="BodyText1"/>
    <w:rsid w:val="003A4301"/>
    <w:pPr>
      <w:numPr>
        <w:numId w:val="33"/>
      </w:numPr>
    </w:pPr>
  </w:style>
  <w:style w:type="paragraph" w:customStyle="1" w:styleId="Bulletnumbered">
    <w:name w:val="Bullet numbered"/>
    <w:basedOn w:val="BodyText1"/>
    <w:rsid w:val="003A4301"/>
    <w:pPr>
      <w:numPr>
        <w:numId w:val="31"/>
      </w:numPr>
    </w:pPr>
  </w:style>
  <w:style w:type="paragraph" w:customStyle="1" w:styleId="Bulletnumberedindented">
    <w:name w:val="Bullet numbered indented"/>
    <w:basedOn w:val="Bulletnumbered"/>
    <w:rsid w:val="00662DA0"/>
    <w:pPr>
      <w:numPr>
        <w:ilvl w:val="2"/>
      </w:numPr>
      <w:tabs>
        <w:tab w:val="clear" w:pos="2160"/>
        <w:tab w:val="num" w:pos="1134"/>
      </w:tabs>
      <w:ind w:left="1134" w:hanging="425"/>
    </w:pPr>
    <w:rPr>
      <w:rFonts w:ascii="Franklin Gothic Book" w:hAnsi="Franklin Gothic Book"/>
      <w:sz w:val="21"/>
      <w:szCs w:val="20"/>
      <w:lang w:val="en-AU" w:eastAsia="en-AU"/>
    </w:rPr>
  </w:style>
  <w:style w:type="paragraph" w:customStyle="1" w:styleId="Tablerowheading">
    <w:name w:val="Table row heading"/>
    <w:basedOn w:val="TableText"/>
    <w:rsid w:val="007B6A59"/>
  </w:style>
  <w:style w:type="paragraph" w:customStyle="1" w:styleId="BulletItalic">
    <w:name w:val="Bullet + Italic"/>
    <w:basedOn w:val="Bullet"/>
    <w:rsid w:val="006C7942"/>
    <w:rPr>
      <w:i/>
      <w:iCs/>
    </w:rPr>
  </w:style>
  <w:style w:type="paragraph" w:customStyle="1" w:styleId="Recommendationtextnumbered0">
    <w:name w:val="Recommendation text numbered"/>
    <w:basedOn w:val="RecommendationText"/>
    <w:rsid w:val="001812CC"/>
    <w:pPr>
      <w:tabs>
        <w:tab w:val="num" w:pos="360"/>
      </w:tabs>
      <w:ind w:left="360" w:hanging="360"/>
    </w:pPr>
  </w:style>
  <w:style w:type="paragraph" w:customStyle="1" w:styleId="RecommendationTextnumbered">
    <w:name w:val="RecommendationTextnumbered"/>
    <w:basedOn w:val="RecommendationText"/>
    <w:rsid w:val="001812CC"/>
    <w:pPr>
      <w:numPr>
        <w:numId w:val="32"/>
      </w:numPr>
    </w:pPr>
  </w:style>
  <w:style w:type="paragraph" w:styleId="BlockText">
    <w:name w:val="Block Text"/>
    <w:basedOn w:val="Normal"/>
    <w:uiPriority w:val="99"/>
    <w:rsid w:val="00C17F60"/>
    <w:pPr>
      <w:spacing w:after="120"/>
      <w:ind w:left="1440" w:right="1440"/>
    </w:pPr>
  </w:style>
  <w:style w:type="numbering" w:customStyle="1" w:styleId="List6">
    <w:name w:val="List 6"/>
    <w:rsid w:val="00335ED4"/>
    <w:pPr>
      <w:numPr>
        <w:numId w:val="26"/>
      </w:numPr>
    </w:pPr>
  </w:style>
  <w:style w:type="numbering" w:customStyle="1" w:styleId="List31">
    <w:name w:val="List 31"/>
    <w:rsid w:val="00335ED4"/>
    <w:pPr>
      <w:numPr>
        <w:numId w:val="23"/>
      </w:numPr>
    </w:pPr>
  </w:style>
  <w:style w:type="numbering" w:customStyle="1" w:styleId="List51">
    <w:name w:val="List 51"/>
    <w:rsid w:val="00335ED4"/>
    <w:pPr>
      <w:numPr>
        <w:numId w:val="25"/>
      </w:numPr>
    </w:pPr>
  </w:style>
  <w:style w:type="numbering" w:customStyle="1" w:styleId="List21">
    <w:name w:val="List 21"/>
    <w:rsid w:val="00335ED4"/>
    <w:pPr>
      <w:numPr>
        <w:numId w:val="22"/>
      </w:numPr>
    </w:pPr>
  </w:style>
  <w:style w:type="numbering" w:customStyle="1" w:styleId="List7">
    <w:name w:val="List 7"/>
    <w:rsid w:val="00335ED4"/>
    <w:pPr>
      <w:numPr>
        <w:numId w:val="27"/>
      </w:numPr>
    </w:pPr>
  </w:style>
  <w:style w:type="numbering" w:customStyle="1" w:styleId="List41">
    <w:name w:val="List 41"/>
    <w:rsid w:val="00335ED4"/>
    <w:pPr>
      <w:numPr>
        <w:numId w:val="24"/>
      </w:numPr>
    </w:pPr>
  </w:style>
  <w:style w:type="character" w:customStyle="1" w:styleId="BodyText1Char">
    <w:name w:val="Body Text1 Char"/>
    <w:link w:val="BodyText1"/>
    <w:rsid w:val="0053516B"/>
    <w:rPr>
      <w:rFonts w:ascii="Calibri" w:hAnsi="Calibri"/>
      <w:sz w:val="24"/>
      <w:szCs w:val="24"/>
      <w:lang w:val="en-US" w:eastAsia="ja-JP" w:bidi="ar-SA"/>
    </w:rPr>
  </w:style>
  <w:style w:type="character" w:customStyle="1" w:styleId="BulletChar">
    <w:name w:val="Bullet Char"/>
    <w:link w:val="Bullet"/>
    <w:rsid w:val="0043784F"/>
    <w:rPr>
      <w:rFonts w:ascii="Calibri" w:hAnsi="Calibri"/>
      <w:sz w:val="24"/>
    </w:rPr>
  </w:style>
  <w:style w:type="paragraph" w:customStyle="1" w:styleId="Body">
    <w:name w:val="Body"/>
    <w:basedOn w:val="Normal"/>
    <w:qFormat/>
    <w:rsid w:val="00C30306"/>
    <w:pPr>
      <w:widowControl w:val="0"/>
      <w:spacing w:before="0" w:line="250" w:lineRule="atLeast"/>
    </w:pPr>
    <w:rPr>
      <w:rFonts w:ascii="Cambria" w:hAnsi="Cambria"/>
      <w:color w:val="000000"/>
      <w:sz w:val="22"/>
      <w:lang w:val="en-US" w:eastAsia="en-US"/>
    </w:rPr>
  </w:style>
  <w:style w:type="paragraph" w:customStyle="1" w:styleId="Bodybullet">
    <w:name w:val="Body : bullet"/>
    <w:basedOn w:val="Normal"/>
    <w:rsid w:val="00C30306"/>
    <w:pPr>
      <w:widowControl w:val="0"/>
      <w:suppressAutoHyphens/>
      <w:autoSpaceDE w:val="0"/>
      <w:autoSpaceDN w:val="0"/>
      <w:adjustRightInd w:val="0"/>
      <w:spacing w:before="0" w:after="57" w:line="260" w:lineRule="atLeast"/>
      <w:ind w:left="283" w:hanging="283"/>
      <w:textAlignment w:val="center"/>
    </w:pPr>
    <w:rPr>
      <w:rFonts w:ascii="MetaSerif-Book" w:hAnsi="MetaSerif-Book" w:cs="MetaSerif-Book"/>
      <w:color w:val="000000"/>
      <w:sz w:val="20"/>
      <w:lang w:val="en-GB" w:eastAsia="en-US"/>
    </w:rPr>
  </w:style>
  <w:style w:type="paragraph" w:customStyle="1" w:styleId="Footnotetext0">
    <w:name w:val="Footnote : text"/>
    <w:basedOn w:val="Normal"/>
    <w:rsid w:val="00C30306"/>
    <w:pPr>
      <w:widowControl w:val="0"/>
      <w:suppressAutoHyphens/>
      <w:autoSpaceDE w:val="0"/>
      <w:autoSpaceDN w:val="0"/>
      <w:adjustRightInd w:val="0"/>
      <w:spacing w:before="0" w:line="200" w:lineRule="atLeast"/>
      <w:ind w:left="312" w:hanging="312"/>
      <w:textAlignment w:val="center"/>
    </w:pPr>
    <w:rPr>
      <w:rFonts w:ascii="Cambria" w:hAnsi="Cambria" w:cs="MetaSerif-Book"/>
      <w:color w:val="000000"/>
      <w:sz w:val="16"/>
      <w:szCs w:val="16"/>
      <w:lang w:val="en-GB" w:eastAsia="en-US"/>
    </w:rPr>
  </w:style>
  <w:style w:type="paragraph" w:customStyle="1" w:styleId="Bodynumberedindent">
    <w:name w:val="Body numbered indent"/>
    <w:basedOn w:val="Body"/>
    <w:qFormat/>
    <w:rsid w:val="00C30306"/>
    <w:pPr>
      <w:numPr>
        <w:numId w:val="37"/>
      </w:numPr>
    </w:pPr>
  </w:style>
  <w:style w:type="paragraph" w:customStyle="1" w:styleId="Implicaion">
    <w:name w:val="Implicaion"/>
    <w:basedOn w:val="ListParagraph"/>
    <w:link w:val="ImplicaionChar"/>
    <w:qFormat/>
    <w:rsid w:val="00872247"/>
    <w:pPr>
      <w:numPr>
        <w:numId w:val="38"/>
      </w:numPr>
      <w:spacing w:before="0" w:line="259" w:lineRule="auto"/>
    </w:pPr>
    <w:rPr>
      <w:sz w:val="22"/>
      <w:szCs w:val="22"/>
      <w:lang w:eastAsia="en-US"/>
    </w:rPr>
  </w:style>
  <w:style w:type="paragraph" w:customStyle="1" w:styleId="Bulletindent">
    <w:name w:val="Bullet indent"/>
    <w:basedOn w:val="Bullet"/>
    <w:link w:val="BulletindentChar"/>
    <w:qFormat/>
    <w:rsid w:val="00FB3947"/>
    <w:pPr>
      <w:numPr>
        <w:ilvl w:val="1"/>
      </w:numPr>
      <w:tabs>
        <w:tab w:val="clear" w:pos="1440"/>
        <w:tab w:val="num" w:pos="851"/>
      </w:tabs>
      <w:ind w:left="851" w:hanging="425"/>
    </w:pPr>
  </w:style>
  <w:style w:type="character" w:customStyle="1" w:styleId="ImplicaionChar">
    <w:name w:val="Implicaion Char"/>
    <w:link w:val="Implicaion"/>
    <w:rsid w:val="00872247"/>
    <w:rPr>
      <w:rFonts w:ascii="Calibri" w:hAnsi="Calibri"/>
      <w:sz w:val="22"/>
      <w:szCs w:val="22"/>
      <w:lang w:eastAsia="en-US"/>
    </w:rPr>
  </w:style>
  <w:style w:type="character" w:customStyle="1" w:styleId="BulletindentChar">
    <w:name w:val="Bullet indent Char"/>
    <w:link w:val="Bulletindent"/>
    <w:rsid w:val="00FB3947"/>
    <w:rPr>
      <w:rFonts w:ascii="Calibri" w:hAnsi="Calibri"/>
      <w:sz w:val="24"/>
    </w:rPr>
  </w:style>
  <w:style w:type="character" w:customStyle="1" w:styleId="ListParagraphChar">
    <w:name w:val="List Paragraph Char"/>
    <w:link w:val="ListParagraph"/>
    <w:uiPriority w:val="34"/>
    <w:rsid w:val="0093435D"/>
    <w:rPr>
      <w:rFonts w:ascii="Calibri" w:hAnsi="Calibri"/>
      <w:sz w:val="24"/>
      <w:szCs w:val="24"/>
      <w:lang w:eastAsia="ja-JP"/>
    </w:rPr>
  </w:style>
  <w:style w:type="paragraph" w:styleId="TOCHeading">
    <w:name w:val="TOC Heading"/>
    <w:basedOn w:val="Heading1"/>
    <w:next w:val="Normal"/>
    <w:uiPriority w:val="39"/>
    <w:unhideWhenUsed/>
    <w:qFormat/>
    <w:rsid w:val="000510B7"/>
    <w:pPr>
      <w:keepLines/>
      <w:pageBreakBefore w:val="0"/>
      <w:numPr>
        <w:numId w:val="0"/>
      </w:numPr>
      <w:spacing w:before="240" w:after="0" w:line="259" w:lineRule="auto"/>
      <w:outlineLvl w:val="9"/>
    </w:pPr>
    <w:rPr>
      <w:rFonts w:ascii="Calibri Light" w:hAnsi="Calibri Light" w:cs="Times New Roman"/>
      <w:bCs w:val="0"/>
      <w:noProof w:val="0"/>
      <w:color w:val="2E74B5"/>
      <w:sz w:val="32"/>
    </w:rPr>
  </w:style>
  <w:style w:type="paragraph" w:customStyle="1" w:styleId="Recommendation">
    <w:name w:val="Recommendation"/>
    <w:basedOn w:val="Normal"/>
    <w:link w:val="RecommendationChar"/>
    <w:qFormat/>
    <w:rsid w:val="00521F23"/>
    <w:rPr>
      <w:i/>
    </w:rPr>
  </w:style>
  <w:style w:type="table" w:customStyle="1" w:styleId="GridTable1Light-Accent51">
    <w:name w:val="Grid Table 1 Light - Accent 51"/>
    <w:basedOn w:val="TableNormal"/>
    <w:uiPriority w:val="46"/>
    <w:rsid w:val="006932EE"/>
    <w:rPr>
      <w:rFonts w:ascii="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RecommendationChar">
    <w:name w:val="Recommendation Char"/>
    <w:link w:val="Recommendation"/>
    <w:rsid w:val="00521F23"/>
    <w:rPr>
      <w:rFonts w:ascii="Calibri" w:hAnsi="Calibri"/>
      <w:i/>
      <w:sz w:val="24"/>
      <w:szCs w:val="24"/>
      <w:lang w:eastAsia="ja-JP"/>
    </w:rPr>
  </w:style>
  <w:style w:type="paragraph" w:customStyle="1" w:styleId="ClauseLevel1">
    <w:name w:val="Clause Level 1"/>
    <w:next w:val="ClauseLevel2"/>
    <w:link w:val="ClauseLevel1Char"/>
    <w:rsid w:val="00715C23"/>
    <w:pPr>
      <w:keepNext/>
      <w:numPr>
        <w:numId w:val="44"/>
      </w:numPr>
      <w:pBdr>
        <w:bottom w:val="single" w:sz="2" w:space="0" w:color="auto"/>
      </w:pBdr>
      <w:spacing w:before="200" w:line="280" w:lineRule="atLeast"/>
      <w:outlineLvl w:val="0"/>
    </w:pPr>
    <w:rPr>
      <w:rFonts w:ascii="Arial" w:hAnsi="Arial"/>
      <w:b/>
      <w:sz w:val="22"/>
    </w:rPr>
  </w:style>
  <w:style w:type="paragraph" w:customStyle="1" w:styleId="ClauseLevel2">
    <w:name w:val="Clause Level 2"/>
    <w:next w:val="ClauseLevel3"/>
    <w:link w:val="ClauseLevel2Char"/>
    <w:rsid w:val="00715C23"/>
    <w:pPr>
      <w:keepNext/>
      <w:numPr>
        <w:ilvl w:val="1"/>
        <w:numId w:val="44"/>
      </w:numPr>
      <w:spacing w:before="200" w:line="280" w:lineRule="atLeast"/>
      <w:outlineLvl w:val="1"/>
    </w:pPr>
    <w:rPr>
      <w:rFonts w:ascii="Arial" w:hAnsi="Arial"/>
      <w:b/>
      <w:sz w:val="22"/>
    </w:rPr>
  </w:style>
  <w:style w:type="paragraph" w:customStyle="1" w:styleId="ClauseLevel3">
    <w:name w:val="Clause Level 3"/>
    <w:rsid w:val="00715C23"/>
    <w:pPr>
      <w:numPr>
        <w:ilvl w:val="2"/>
        <w:numId w:val="44"/>
      </w:numPr>
      <w:spacing w:before="140" w:after="140" w:line="280" w:lineRule="atLeast"/>
      <w:outlineLvl w:val="2"/>
    </w:pPr>
    <w:rPr>
      <w:rFonts w:ascii="Arial" w:hAnsi="Arial"/>
      <w:sz w:val="22"/>
    </w:rPr>
  </w:style>
  <w:style w:type="paragraph" w:customStyle="1" w:styleId="ClauseLevel4">
    <w:name w:val="Clause Level 4"/>
    <w:link w:val="ClauseLevel4Char"/>
    <w:rsid w:val="00715C23"/>
    <w:pPr>
      <w:numPr>
        <w:ilvl w:val="3"/>
        <w:numId w:val="44"/>
      </w:numPr>
      <w:spacing w:after="140" w:line="280" w:lineRule="atLeast"/>
      <w:outlineLvl w:val="3"/>
    </w:pPr>
    <w:rPr>
      <w:rFonts w:ascii="Arial" w:hAnsi="Arial"/>
      <w:sz w:val="22"/>
    </w:rPr>
  </w:style>
  <w:style w:type="paragraph" w:customStyle="1" w:styleId="ClauseLevel5">
    <w:name w:val="Clause Level 5"/>
    <w:link w:val="ClauseLevel5Char"/>
    <w:rsid w:val="00715C23"/>
    <w:pPr>
      <w:numPr>
        <w:ilvl w:val="4"/>
        <w:numId w:val="44"/>
      </w:numPr>
      <w:spacing w:after="140" w:line="280" w:lineRule="atLeast"/>
      <w:outlineLvl w:val="4"/>
    </w:pPr>
    <w:rPr>
      <w:rFonts w:ascii="Arial" w:hAnsi="Arial"/>
      <w:sz w:val="22"/>
    </w:rPr>
  </w:style>
  <w:style w:type="paragraph" w:customStyle="1" w:styleId="ClauseLevel6">
    <w:name w:val="Clause Level 6"/>
    <w:rsid w:val="00715C23"/>
    <w:pPr>
      <w:numPr>
        <w:ilvl w:val="5"/>
        <w:numId w:val="44"/>
      </w:numPr>
      <w:spacing w:after="140" w:line="280" w:lineRule="atLeast"/>
    </w:pPr>
    <w:rPr>
      <w:rFonts w:ascii="Arial" w:hAnsi="Arial" w:cs="Arial"/>
      <w:sz w:val="22"/>
      <w:szCs w:val="22"/>
    </w:rPr>
  </w:style>
  <w:style w:type="paragraph" w:customStyle="1" w:styleId="ClauseLevel7">
    <w:name w:val="Clause Level 7"/>
    <w:basedOn w:val="ClauseLevel4"/>
    <w:next w:val="ClauseLevel5"/>
    <w:semiHidden/>
    <w:rsid w:val="00715C23"/>
    <w:pPr>
      <w:numPr>
        <w:ilvl w:val="6"/>
      </w:numPr>
      <w:tabs>
        <w:tab w:val="clear" w:pos="1985"/>
        <w:tab w:val="num" w:pos="360"/>
      </w:tabs>
      <w:ind w:left="360" w:hanging="360"/>
    </w:pPr>
  </w:style>
  <w:style w:type="paragraph" w:customStyle="1" w:styleId="ClauseLevel8">
    <w:name w:val="Clause Level 8"/>
    <w:basedOn w:val="ClauseLevel4"/>
    <w:next w:val="ClauseLevel5"/>
    <w:semiHidden/>
    <w:rsid w:val="00715C23"/>
    <w:pPr>
      <w:numPr>
        <w:ilvl w:val="7"/>
      </w:numPr>
      <w:tabs>
        <w:tab w:val="clear" w:pos="1985"/>
        <w:tab w:val="num" w:pos="360"/>
      </w:tabs>
      <w:ind w:left="360" w:hanging="360"/>
    </w:pPr>
  </w:style>
  <w:style w:type="paragraph" w:customStyle="1" w:styleId="ClauseLevel9">
    <w:name w:val="Clause Level 9"/>
    <w:basedOn w:val="ClauseLevel4"/>
    <w:next w:val="ClauseLevel5"/>
    <w:semiHidden/>
    <w:rsid w:val="00715C23"/>
    <w:pPr>
      <w:numPr>
        <w:ilvl w:val="8"/>
      </w:numPr>
      <w:tabs>
        <w:tab w:val="clear" w:pos="1985"/>
        <w:tab w:val="num" w:pos="360"/>
      </w:tabs>
      <w:ind w:left="360" w:hanging="360"/>
    </w:pPr>
  </w:style>
  <w:style w:type="character" w:customStyle="1" w:styleId="ClauseLevel1Char">
    <w:name w:val="Clause Level 1 Char"/>
    <w:link w:val="ClauseLevel1"/>
    <w:locked/>
    <w:rsid w:val="00715C23"/>
    <w:rPr>
      <w:rFonts w:ascii="Arial" w:hAnsi="Arial"/>
      <w:b/>
      <w:sz w:val="22"/>
    </w:rPr>
  </w:style>
  <w:style w:type="character" w:customStyle="1" w:styleId="ClauseLevel2Char">
    <w:name w:val="Clause Level 2 Char"/>
    <w:link w:val="ClauseLevel2"/>
    <w:locked/>
    <w:rsid w:val="00715C23"/>
    <w:rPr>
      <w:rFonts w:ascii="Arial" w:hAnsi="Arial"/>
      <w:b/>
      <w:sz w:val="22"/>
    </w:rPr>
  </w:style>
  <w:style w:type="character" w:customStyle="1" w:styleId="ClauseLevel4Char">
    <w:name w:val="Clause Level 4 Char"/>
    <w:link w:val="ClauseLevel4"/>
    <w:locked/>
    <w:rsid w:val="00715C23"/>
    <w:rPr>
      <w:rFonts w:ascii="Arial" w:hAnsi="Arial"/>
      <w:sz w:val="22"/>
    </w:rPr>
  </w:style>
  <w:style w:type="character" w:customStyle="1" w:styleId="ClauseLevel5Char">
    <w:name w:val="Clause Level 5 Char"/>
    <w:link w:val="ClauseLevel5"/>
    <w:locked/>
    <w:rsid w:val="00715C23"/>
    <w:rPr>
      <w:rFonts w:ascii="Arial" w:hAnsi="Arial"/>
      <w:sz w:val="22"/>
    </w:rPr>
  </w:style>
  <w:style w:type="paragraph" w:styleId="Revision">
    <w:name w:val="Revision"/>
    <w:hidden/>
    <w:uiPriority w:val="99"/>
    <w:semiHidden/>
    <w:rsid w:val="00C054A6"/>
    <w:rPr>
      <w:rFonts w:ascii="Calibri" w:hAnsi="Calibri"/>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FDE"/>
    <w:pPr>
      <w:spacing w:before="200"/>
    </w:pPr>
    <w:rPr>
      <w:rFonts w:ascii="Calibri" w:hAnsi="Calibri"/>
      <w:sz w:val="24"/>
      <w:szCs w:val="24"/>
      <w:lang w:eastAsia="ja-JP"/>
    </w:rPr>
  </w:style>
  <w:style w:type="paragraph" w:styleId="Heading1">
    <w:name w:val="heading 1"/>
    <w:basedOn w:val="Normal"/>
    <w:next w:val="Normal"/>
    <w:link w:val="Heading1Char"/>
    <w:uiPriority w:val="9"/>
    <w:qFormat/>
    <w:rsid w:val="002443DC"/>
    <w:pPr>
      <w:keepNext/>
      <w:pageBreakBefore/>
      <w:numPr>
        <w:numId w:val="29"/>
      </w:numPr>
      <w:spacing w:before="480" w:after="1440" w:line="540" w:lineRule="atLeast"/>
      <w:outlineLvl w:val="0"/>
    </w:pPr>
    <w:rPr>
      <w:rFonts w:ascii="Arial" w:hAnsi="Arial" w:cs="Arial"/>
      <w:bCs/>
      <w:noProof/>
      <w:color w:val="FFFFFF"/>
      <w:sz w:val="44"/>
      <w:szCs w:val="32"/>
      <w:lang w:val="en-US" w:eastAsia="en-US"/>
    </w:rPr>
  </w:style>
  <w:style w:type="paragraph" w:styleId="Heading2">
    <w:name w:val="heading 2"/>
    <w:basedOn w:val="Normal"/>
    <w:next w:val="Normal"/>
    <w:link w:val="Heading2Char"/>
    <w:uiPriority w:val="9"/>
    <w:qFormat/>
    <w:rsid w:val="002443DC"/>
    <w:pPr>
      <w:keepNext/>
      <w:numPr>
        <w:ilvl w:val="1"/>
        <w:numId w:val="29"/>
      </w:numPr>
      <w:spacing w:before="480" w:after="120"/>
      <w:outlineLvl w:val="1"/>
    </w:pPr>
    <w:rPr>
      <w:rFonts w:ascii="Arial" w:hAnsi="Arial" w:cs="Arial"/>
      <w:b/>
      <w:bCs/>
      <w:iCs/>
      <w:color w:val="124486"/>
      <w:sz w:val="28"/>
      <w:szCs w:val="28"/>
    </w:rPr>
  </w:style>
  <w:style w:type="paragraph" w:styleId="Heading3">
    <w:name w:val="heading 3"/>
    <w:basedOn w:val="Normal"/>
    <w:next w:val="Normal"/>
    <w:link w:val="Heading3Char"/>
    <w:uiPriority w:val="9"/>
    <w:qFormat/>
    <w:rsid w:val="00582CAF"/>
    <w:pPr>
      <w:keepNext/>
      <w:numPr>
        <w:ilvl w:val="2"/>
        <w:numId w:val="29"/>
      </w:numPr>
      <w:spacing w:before="360" w:after="120"/>
      <w:outlineLvl w:val="2"/>
    </w:pPr>
    <w:rPr>
      <w:rFonts w:ascii="Arial" w:eastAsia="MS ??" w:hAnsi="Arial" w:cs="Arial"/>
      <w:bCs/>
      <w:color w:val="007FAD"/>
      <w:szCs w:val="26"/>
    </w:rPr>
  </w:style>
  <w:style w:type="paragraph" w:styleId="Heading4">
    <w:name w:val="heading 4"/>
    <w:basedOn w:val="Normal"/>
    <w:next w:val="Normal"/>
    <w:link w:val="Heading4Char"/>
    <w:uiPriority w:val="9"/>
    <w:qFormat/>
    <w:rsid w:val="00891A09"/>
    <w:pPr>
      <w:keepNext/>
      <w:spacing w:before="240" w:after="120"/>
      <w:outlineLvl w:val="3"/>
    </w:pPr>
    <w:rPr>
      <w:rFonts w:ascii="Arial" w:eastAsia="MS ??" w:hAnsi="Arial"/>
      <w:b/>
      <w:bCs/>
      <w:sz w:val="28"/>
      <w:szCs w:val="28"/>
    </w:rPr>
  </w:style>
  <w:style w:type="paragraph" w:styleId="Heading5">
    <w:name w:val="heading 5"/>
    <w:basedOn w:val="Normal"/>
    <w:next w:val="Normal"/>
    <w:link w:val="Heading5Char"/>
    <w:uiPriority w:val="9"/>
    <w:qFormat/>
    <w:rsid w:val="002443DC"/>
    <w:pPr>
      <w:keepNext/>
      <w:numPr>
        <w:ilvl w:val="4"/>
        <w:numId w:val="29"/>
      </w:numPr>
      <w:spacing w:before="60" w:after="60"/>
      <w:outlineLvl w:val="4"/>
    </w:pPr>
    <w:rPr>
      <w:rFonts w:ascii="Arial" w:hAnsi="Arial"/>
      <w:bCs/>
      <w:i/>
      <w:iCs/>
      <w:sz w:val="22"/>
      <w:szCs w:val="26"/>
    </w:rPr>
  </w:style>
  <w:style w:type="paragraph" w:styleId="Heading6">
    <w:name w:val="heading 6"/>
    <w:basedOn w:val="Normal"/>
    <w:next w:val="Normal"/>
    <w:link w:val="Heading6Char"/>
    <w:uiPriority w:val="9"/>
    <w:qFormat/>
    <w:rsid w:val="002443DC"/>
    <w:pPr>
      <w:keepNext/>
      <w:keepLines/>
      <w:widowControl w:val="0"/>
      <w:numPr>
        <w:ilvl w:val="5"/>
        <w:numId w:val="29"/>
      </w:numPr>
      <w:spacing w:line="276" w:lineRule="auto"/>
      <w:outlineLvl w:val="5"/>
    </w:pPr>
    <w:rPr>
      <w:rFonts w:ascii="Cambria" w:eastAsia="MS ????" w:hAnsi="Cambria"/>
      <w:i/>
      <w:iCs/>
      <w:color w:val="243F60"/>
      <w:sz w:val="22"/>
      <w:szCs w:val="22"/>
      <w:lang w:val="en-US" w:eastAsia="en-US"/>
    </w:rPr>
  </w:style>
  <w:style w:type="paragraph" w:styleId="Heading7">
    <w:name w:val="heading 7"/>
    <w:basedOn w:val="Normal"/>
    <w:next w:val="Normal"/>
    <w:link w:val="Heading7Char"/>
    <w:uiPriority w:val="9"/>
    <w:qFormat/>
    <w:rsid w:val="002443DC"/>
    <w:pPr>
      <w:keepNext/>
      <w:keepLines/>
      <w:widowControl w:val="0"/>
      <w:numPr>
        <w:ilvl w:val="6"/>
        <w:numId w:val="29"/>
      </w:numPr>
      <w:spacing w:line="276" w:lineRule="auto"/>
      <w:outlineLvl w:val="6"/>
    </w:pPr>
    <w:rPr>
      <w:rFonts w:ascii="Cambria" w:eastAsia="MS ????" w:hAnsi="Cambria"/>
      <w:i/>
      <w:iCs/>
      <w:color w:val="404040"/>
      <w:sz w:val="22"/>
      <w:szCs w:val="22"/>
      <w:lang w:val="en-US" w:eastAsia="en-US"/>
    </w:rPr>
  </w:style>
  <w:style w:type="paragraph" w:styleId="Heading8">
    <w:name w:val="heading 8"/>
    <w:basedOn w:val="Normal"/>
    <w:next w:val="Normal"/>
    <w:link w:val="Heading8Char"/>
    <w:uiPriority w:val="9"/>
    <w:qFormat/>
    <w:rsid w:val="002443DC"/>
    <w:pPr>
      <w:keepNext/>
      <w:keepLines/>
      <w:widowControl w:val="0"/>
      <w:numPr>
        <w:ilvl w:val="7"/>
        <w:numId w:val="29"/>
      </w:numPr>
      <w:spacing w:line="276" w:lineRule="auto"/>
      <w:outlineLvl w:val="7"/>
    </w:pPr>
    <w:rPr>
      <w:rFonts w:ascii="Cambria" w:eastAsia="MS ????" w:hAnsi="Cambria"/>
      <w:color w:val="404040"/>
      <w:sz w:val="20"/>
      <w:lang w:val="en-US" w:eastAsia="en-US"/>
    </w:rPr>
  </w:style>
  <w:style w:type="paragraph" w:styleId="Heading9">
    <w:name w:val="heading 9"/>
    <w:basedOn w:val="Normal"/>
    <w:next w:val="Normal"/>
    <w:link w:val="Heading9Char"/>
    <w:uiPriority w:val="9"/>
    <w:qFormat/>
    <w:rsid w:val="002443DC"/>
    <w:pPr>
      <w:keepNext/>
      <w:keepLines/>
      <w:widowControl w:val="0"/>
      <w:numPr>
        <w:ilvl w:val="8"/>
        <w:numId w:val="29"/>
      </w:numPr>
      <w:spacing w:line="276" w:lineRule="auto"/>
      <w:outlineLvl w:val="8"/>
    </w:pPr>
    <w:rPr>
      <w:rFonts w:ascii="Cambria" w:eastAsia="MS ????" w:hAnsi="Cambria"/>
      <w:i/>
      <w:iCs/>
      <w:color w:val="404040"/>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443DC"/>
    <w:rPr>
      <w:rFonts w:ascii="Arial" w:hAnsi="Arial" w:cs="Arial"/>
      <w:bCs/>
      <w:noProof/>
      <w:color w:val="FFFFFF"/>
      <w:sz w:val="44"/>
      <w:szCs w:val="32"/>
      <w:lang w:val="en-US" w:eastAsia="en-US"/>
    </w:rPr>
  </w:style>
  <w:style w:type="character" w:customStyle="1" w:styleId="Heading2Char">
    <w:name w:val="Heading 2 Char"/>
    <w:link w:val="Heading2"/>
    <w:uiPriority w:val="9"/>
    <w:locked/>
    <w:rsid w:val="002443DC"/>
    <w:rPr>
      <w:rFonts w:ascii="Arial" w:hAnsi="Arial" w:cs="Arial"/>
      <w:b/>
      <w:bCs/>
      <w:iCs/>
      <w:color w:val="124486"/>
      <w:sz w:val="28"/>
      <w:szCs w:val="28"/>
      <w:lang w:eastAsia="ja-JP"/>
    </w:rPr>
  </w:style>
  <w:style w:type="character" w:customStyle="1" w:styleId="Heading3Char">
    <w:name w:val="Heading 3 Char"/>
    <w:link w:val="Heading3"/>
    <w:uiPriority w:val="9"/>
    <w:locked/>
    <w:rsid w:val="00582CAF"/>
    <w:rPr>
      <w:rFonts w:ascii="Arial" w:eastAsia="MS ??" w:hAnsi="Arial" w:cs="Arial"/>
      <w:bCs/>
      <w:color w:val="007FAD"/>
      <w:sz w:val="24"/>
      <w:szCs w:val="26"/>
      <w:lang w:eastAsia="ja-JP"/>
    </w:rPr>
  </w:style>
  <w:style w:type="character" w:customStyle="1" w:styleId="Heading4Char">
    <w:name w:val="Heading 4 Char"/>
    <w:link w:val="Heading4"/>
    <w:uiPriority w:val="9"/>
    <w:locked/>
    <w:rsid w:val="00891A09"/>
    <w:rPr>
      <w:rFonts w:ascii="Arial" w:eastAsia="MS ??" w:hAnsi="Arial"/>
      <w:b/>
      <w:sz w:val="28"/>
    </w:rPr>
  </w:style>
  <w:style w:type="character" w:customStyle="1" w:styleId="Heading5Char">
    <w:name w:val="Heading 5 Char"/>
    <w:link w:val="Heading5"/>
    <w:uiPriority w:val="9"/>
    <w:locked/>
    <w:rsid w:val="002443DC"/>
    <w:rPr>
      <w:rFonts w:ascii="Arial" w:hAnsi="Arial"/>
      <w:bCs/>
      <w:i/>
      <w:iCs/>
      <w:sz w:val="22"/>
      <w:szCs w:val="26"/>
      <w:lang w:eastAsia="ja-JP"/>
    </w:rPr>
  </w:style>
  <w:style w:type="character" w:customStyle="1" w:styleId="Heading6Char">
    <w:name w:val="Heading 6 Char"/>
    <w:link w:val="Heading6"/>
    <w:uiPriority w:val="9"/>
    <w:locked/>
    <w:rsid w:val="002443DC"/>
    <w:rPr>
      <w:rFonts w:ascii="Cambria" w:eastAsia="MS ????" w:hAnsi="Cambria"/>
      <w:i/>
      <w:iCs/>
      <w:color w:val="243F60"/>
      <w:sz w:val="22"/>
      <w:szCs w:val="22"/>
      <w:lang w:val="en-US" w:eastAsia="en-US"/>
    </w:rPr>
  </w:style>
  <w:style w:type="character" w:customStyle="1" w:styleId="Heading7Char">
    <w:name w:val="Heading 7 Char"/>
    <w:link w:val="Heading7"/>
    <w:uiPriority w:val="9"/>
    <w:locked/>
    <w:rsid w:val="002443DC"/>
    <w:rPr>
      <w:rFonts w:ascii="Cambria" w:eastAsia="MS ????" w:hAnsi="Cambria"/>
      <w:i/>
      <w:iCs/>
      <w:color w:val="404040"/>
      <w:sz w:val="22"/>
      <w:szCs w:val="22"/>
      <w:lang w:val="en-US" w:eastAsia="en-US"/>
    </w:rPr>
  </w:style>
  <w:style w:type="character" w:customStyle="1" w:styleId="Heading8Char">
    <w:name w:val="Heading 8 Char"/>
    <w:link w:val="Heading8"/>
    <w:uiPriority w:val="9"/>
    <w:locked/>
    <w:rsid w:val="002443DC"/>
    <w:rPr>
      <w:rFonts w:ascii="Cambria" w:eastAsia="MS ????" w:hAnsi="Cambria"/>
      <w:color w:val="404040"/>
      <w:szCs w:val="24"/>
      <w:lang w:val="en-US" w:eastAsia="en-US"/>
    </w:rPr>
  </w:style>
  <w:style w:type="character" w:customStyle="1" w:styleId="Heading9Char">
    <w:name w:val="Heading 9 Char"/>
    <w:link w:val="Heading9"/>
    <w:uiPriority w:val="9"/>
    <w:locked/>
    <w:rsid w:val="002443DC"/>
    <w:rPr>
      <w:rFonts w:ascii="Cambria" w:eastAsia="MS ????" w:hAnsi="Cambria"/>
      <w:i/>
      <w:iCs/>
      <w:color w:val="404040"/>
      <w:szCs w:val="24"/>
      <w:lang w:val="en-US" w:eastAsia="en-US"/>
    </w:rPr>
  </w:style>
  <w:style w:type="paragraph" w:styleId="Date">
    <w:name w:val="Date"/>
    <w:basedOn w:val="Subtitle"/>
    <w:next w:val="Normal"/>
    <w:link w:val="DateChar"/>
    <w:uiPriority w:val="99"/>
    <w:rsid w:val="00887FA3"/>
    <w:pPr>
      <w:spacing w:after="600"/>
    </w:pPr>
    <w:rPr>
      <w:i/>
    </w:rPr>
  </w:style>
  <w:style w:type="character" w:customStyle="1" w:styleId="DateChar">
    <w:name w:val="Date Char"/>
    <w:link w:val="Date"/>
    <w:uiPriority w:val="99"/>
    <w:locked/>
    <w:rsid w:val="00887FA3"/>
    <w:rPr>
      <w:rFonts w:ascii="Helvetica" w:hAnsi="Helvetica"/>
      <w:i/>
      <w:noProof/>
      <w:color w:val="FFFFFF"/>
      <w:kern w:val="28"/>
      <w:sz w:val="32"/>
      <w:lang w:val="en-US" w:eastAsia="en-US"/>
    </w:rPr>
  </w:style>
  <w:style w:type="paragraph" w:customStyle="1" w:styleId="PullQuote">
    <w:name w:val="PullQuote"/>
    <w:basedOn w:val="Normal"/>
    <w:next w:val="Normal"/>
    <w:rsid w:val="00D020BE"/>
    <w:rPr>
      <w:rFonts w:ascii="Trebuchet MS" w:hAnsi="Trebuchet MS"/>
      <w:b/>
      <w:i/>
      <w:color w:val="007FAD"/>
    </w:rPr>
  </w:style>
  <w:style w:type="paragraph" w:customStyle="1" w:styleId="ReportDate">
    <w:name w:val="ReportDate"/>
    <w:basedOn w:val="Normal"/>
    <w:rsid w:val="00E07D7E"/>
    <w:pPr>
      <w:spacing w:before="960"/>
    </w:pPr>
    <w:rPr>
      <w:sz w:val="28"/>
    </w:rPr>
  </w:style>
  <w:style w:type="paragraph" w:customStyle="1" w:styleId="Heading1a">
    <w:name w:val="Heading 1a"/>
    <w:basedOn w:val="Heading1"/>
    <w:next w:val="Normal"/>
    <w:rsid w:val="002443DC"/>
    <w:pPr>
      <w:outlineLvl w:val="9"/>
    </w:pPr>
  </w:style>
  <w:style w:type="paragraph" w:customStyle="1" w:styleId="Heading2a">
    <w:name w:val="Heading 2a"/>
    <w:basedOn w:val="Heading2"/>
    <w:next w:val="Normal"/>
    <w:rsid w:val="00582CAF"/>
    <w:pPr>
      <w:numPr>
        <w:ilvl w:val="0"/>
        <w:numId w:val="0"/>
      </w:numPr>
      <w:spacing w:before="360"/>
      <w:outlineLvl w:val="9"/>
    </w:pPr>
  </w:style>
  <w:style w:type="paragraph" w:customStyle="1" w:styleId="Heading3a">
    <w:name w:val="Heading 3a"/>
    <w:basedOn w:val="Heading3"/>
    <w:next w:val="Normal"/>
    <w:rsid w:val="00894E58"/>
    <w:pPr>
      <w:numPr>
        <w:ilvl w:val="0"/>
        <w:numId w:val="0"/>
      </w:numPr>
      <w:outlineLvl w:val="9"/>
    </w:pPr>
  </w:style>
  <w:style w:type="paragraph" w:styleId="Header">
    <w:name w:val="header"/>
    <w:basedOn w:val="Normal"/>
    <w:link w:val="HeaderChar"/>
    <w:uiPriority w:val="99"/>
    <w:rsid w:val="00D20FD9"/>
    <w:pPr>
      <w:tabs>
        <w:tab w:val="right" w:pos="9000"/>
      </w:tabs>
    </w:pPr>
    <w:rPr>
      <w:color w:val="000000"/>
      <w:sz w:val="18"/>
    </w:rPr>
  </w:style>
  <w:style w:type="character" w:customStyle="1" w:styleId="HeaderChar">
    <w:name w:val="Header Char"/>
    <w:link w:val="Header"/>
    <w:uiPriority w:val="99"/>
    <w:locked/>
    <w:rsid w:val="004164C0"/>
    <w:rPr>
      <w:rFonts w:ascii="Franklin Gothic Book" w:hAnsi="Franklin Gothic Book"/>
      <w:color w:val="000000"/>
      <w:sz w:val="18"/>
    </w:rPr>
  </w:style>
  <w:style w:type="paragraph" w:styleId="Footer">
    <w:name w:val="footer"/>
    <w:basedOn w:val="Normal"/>
    <w:link w:val="FooterChar"/>
    <w:uiPriority w:val="99"/>
    <w:rsid w:val="00D20FD9"/>
    <w:pPr>
      <w:tabs>
        <w:tab w:val="right" w:pos="9000"/>
      </w:tabs>
    </w:pPr>
    <w:rPr>
      <w:rFonts w:ascii="Times New Roman" w:hAnsi="Times New Roman"/>
      <w:color w:val="000000"/>
      <w:sz w:val="20"/>
    </w:rPr>
  </w:style>
  <w:style w:type="character" w:customStyle="1" w:styleId="FooterChar">
    <w:name w:val="Footer Char"/>
    <w:link w:val="Footer"/>
    <w:uiPriority w:val="99"/>
    <w:locked/>
    <w:rsid w:val="005A72C4"/>
    <w:rPr>
      <w:color w:val="000000"/>
    </w:rPr>
  </w:style>
  <w:style w:type="character" w:styleId="PageNumber">
    <w:name w:val="page number"/>
    <w:uiPriority w:val="99"/>
    <w:semiHidden/>
    <w:rsid w:val="00D20FD9"/>
    <w:rPr>
      <w:rFonts w:ascii="Times New Roman" w:hAnsi="Times New Roman"/>
      <w:b/>
      <w:sz w:val="20"/>
    </w:rPr>
  </w:style>
  <w:style w:type="paragraph" w:customStyle="1" w:styleId="TableText">
    <w:name w:val="TableText"/>
    <w:basedOn w:val="Normal"/>
    <w:rsid w:val="007B6A59"/>
    <w:pPr>
      <w:spacing w:after="40" w:line="200" w:lineRule="atLeast"/>
      <w:jc w:val="center"/>
    </w:pPr>
    <w:rPr>
      <w:rFonts w:eastAsia="MS Gothic"/>
      <w:color w:val="000000"/>
      <w:sz w:val="17"/>
      <w:szCs w:val="21"/>
    </w:rPr>
  </w:style>
  <w:style w:type="paragraph" w:customStyle="1" w:styleId="TFListNotesSpace">
    <w:name w:val="TFListNotes+Space"/>
    <w:basedOn w:val="TableText"/>
    <w:next w:val="Normal"/>
    <w:rsid w:val="00BE10F8"/>
    <w:pPr>
      <w:keepLines/>
      <w:spacing w:after="360"/>
      <w:ind w:left="170" w:hanging="170"/>
    </w:pPr>
    <w:rPr>
      <w:sz w:val="16"/>
      <w:szCs w:val="18"/>
    </w:rPr>
  </w:style>
  <w:style w:type="paragraph" w:customStyle="1" w:styleId="TFListNotes">
    <w:name w:val="TFListNotes"/>
    <w:basedOn w:val="TFListNotesSpace"/>
    <w:rsid w:val="00BE10F8"/>
    <w:pPr>
      <w:keepNext/>
      <w:spacing w:after="0"/>
    </w:pPr>
  </w:style>
  <w:style w:type="paragraph" w:customStyle="1" w:styleId="TableName">
    <w:name w:val="TableName"/>
    <w:basedOn w:val="TableText"/>
    <w:rsid w:val="001F6876"/>
    <w:pPr>
      <w:keepNext/>
      <w:tabs>
        <w:tab w:val="left" w:pos="1276"/>
      </w:tabs>
      <w:spacing w:before="80" w:after="120"/>
      <w:ind w:left="1276" w:hanging="1276"/>
    </w:pPr>
    <w:rPr>
      <w:b/>
      <w:bCs/>
      <w:color w:val="auto"/>
      <w:sz w:val="22"/>
    </w:rPr>
  </w:style>
  <w:style w:type="paragraph" w:customStyle="1" w:styleId="TableHeading">
    <w:name w:val="TableHeading"/>
    <w:basedOn w:val="TableText"/>
    <w:rsid w:val="00595A68"/>
    <w:pPr>
      <w:spacing w:before="80" w:after="80"/>
    </w:pPr>
    <w:rPr>
      <w:rFonts w:ascii="Arial" w:hAnsi="Arial"/>
      <w:b/>
      <w:bCs/>
      <w:color w:val="FFFFFF"/>
      <w:sz w:val="20"/>
    </w:rPr>
  </w:style>
  <w:style w:type="paragraph" w:customStyle="1" w:styleId="BoxText">
    <w:name w:val="BoxText"/>
    <w:basedOn w:val="BodyText1"/>
    <w:link w:val="BoxTextChar"/>
    <w:qFormat/>
    <w:rsid w:val="006C7942"/>
    <w:pPr>
      <w:pBdr>
        <w:top w:val="single" w:sz="4" w:space="4" w:color="007FAD"/>
        <w:left w:val="single" w:sz="4" w:space="4" w:color="007FAD"/>
        <w:bottom w:val="single" w:sz="4" w:space="4" w:color="007FAD"/>
        <w:right w:val="single" w:sz="4" w:space="4" w:color="007FAD"/>
      </w:pBdr>
      <w:shd w:val="clear" w:color="auto" w:fill="ECF1F7"/>
      <w:spacing w:before="40" w:after="120" w:line="288" w:lineRule="auto"/>
    </w:pPr>
    <w:rPr>
      <w:rFonts w:ascii="Franklin Gothic Book" w:hAnsi="Franklin Gothic Book"/>
      <w:sz w:val="21"/>
      <w:szCs w:val="20"/>
      <w:lang w:val="en-AU" w:eastAsia="en-AU"/>
    </w:rPr>
  </w:style>
  <w:style w:type="paragraph" w:customStyle="1" w:styleId="BoxNotes">
    <w:name w:val="BoxNotes"/>
    <w:basedOn w:val="BoxText"/>
    <w:rsid w:val="0066662D"/>
    <w:pPr>
      <w:spacing w:before="120" w:after="60"/>
    </w:pPr>
    <w:rPr>
      <w:sz w:val="18"/>
    </w:rPr>
  </w:style>
  <w:style w:type="paragraph" w:styleId="Quote">
    <w:name w:val="Quote"/>
    <w:basedOn w:val="Normal"/>
    <w:link w:val="QuoteChar"/>
    <w:uiPriority w:val="29"/>
    <w:qFormat/>
    <w:rsid w:val="00EB0D4C"/>
    <w:pPr>
      <w:ind w:left="567" w:right="567"/>
    </w:pPr>
    <w:rPr>
      <w:i/>
      <w:color w:val="000000"/>
    </w:rPr>
  </w:style>
  <w:style w:type="character" w:customStyle="1" w:styleId="QuoteChar">
    <w:name w:val="Quote Char"/>
    <w:link w:val="Quote"/>
    <w:uiPriority w:val="29"/>
    <w:locked/>
    <w:rsid w:val="00AF6247"/>
    <w:rPr>
      <w:rFonts w:ascii="Franklin Gothic Book" w:hAnsi="Franklin Gothic Book"/>
      <w:i/>
      <w:color w:val="000000"/>
      <w:sz w:val="21"/>
    </w:rPr>
  </w:style>
  <w:style w:type="paragraph" w:customStyle="1" w:styleId="References">
    <w:name w:val="References"/>
    <w:basedOn w:val="Normal"/>
    <w:rsid w:val="001E259C"/>
    <w:pPr>
      <w:keepLines/>
      <w:ind w:left="284" w:hanging="284"/>
    </w:pPr>
  </w:style>
  <w:style w:type="paragraph" w:styleId="FootnoteText">
    <w:name w:val="footnote text"/>
    <w:basedOn w:val="Normal"/>
    <w:link w:val="FootnoteTextChar"/>
    <w:uiPriority w:val="99"/>
    <w:rsid w:val="00E56E22"/>
    <w:pPr>
      <w:ind w:left="360" w:hanging="360"/>
    </w:pPr>
    <w:rPr>
      <w:rFonts w:ascii="Times New Roman" w:hAnsi="Times New Roman"/>
      <w:sz w:val="17"/>
    </w:rPr>
  </w:style>
  <w:style w:type="character" w:customStyle="1" w:styleId="FootnoteTextChar">
    <w:name w:val="Footnote Text Char"/>
    <w:link w:val="FootnoteText"/>
    <w:uiPriority w:val="99"/>
    <w:locked/>
    <w:rsid w:val="00E56E22"/>
    <w:rPr>
      <w:sz w:val="17"/>
    </w:rPr>
  </w:style>
  <w:style w:type="character" w:styleId="FootnoteReference">
    <w:name w:val="footnote reference"/>
    <w:aliases w:val="ftref,footnote ref,16 Point,Superscript 6 Point"/>
    <w:uiPriority w:val="99"/>
    <w:rsid w:val="00D20FD9"/>
    <w:rPr>
      <w:vertAlign w:val="superscript"/>
    </w:rPr>
  </w:style>
  <w:style w:type="paragraph" w:customStyle="1" w:styleId="FigTabPara">
    <w:name w:val="FigTabPara"/>
    <w:basedOn w:val="Normal"/>
    <w:next w:val="Normal"/>
    <w:rsid w:val="00396F45"/>
    <w:pPr>
      <w:keepNext/>
      <w:ind w:left="1077"/>
    </w:pPr>
    <w:rPr>
      <w:sz w:val="20"/>
    </w:rPr>
  </w:style>
  <w:style w:type="paragraph" w:customStyle="1" w:styleId="TableBullet">
    <w:name w:val="TableBullet"/>
    <w:basedOn w:val="Normal"/>
    <w:rsid w:val="002443DC"/>
    <w:pPr>
      <w:numPr>
        <w:numId w:val="9"/>
      </w:numPr>
      <w:spacing w:after="40"/>
    </w:pPr>
    <w:rPr>
      <w:sz w:val="17"/>
      <w:szCs w:val="17"/>
      <w:lang w:eastAsia="en-US"/>
    </w:rPr>
  </w:style>
  <w:style w:type="paragraph" w:customStyle="1" w:styleId="TFAbbrevs">
    <w:name w:val="TFAbbrevs"/>
    <w:basedOn w:val="TFListNotes"/>
    <w:rsid w:val="00BE10F8"/>
    <w:pPr>
      <w:ind w:left="0" w:firstLine="0"/>
    </w:pPr>
  </w:style>
  <w:style w:type="paragraph" w:styleId="TOC1">
    <w:name w:val="toc 1"/>
    <w:basedOn w:val="Normal"/>
    <w:next w:val="Normal"/>
    <w:autoRedefine/>
    <w:uiPriority w:val="39"/>
    <w:rsid w:val="006068DE"/>
    <w:pPr>
      <w:tabs>
        <w:tab w:val="left" w:pos="720"/>
        <w:tab w:val="right" w:leader="dot" w:pos="9016"/>
      </w:tabs>
      <w:spacing w:before="120" w:after="120"/>
      <w:ind w:left="720" w:right="720" w:hanging="720"/>
    </w:pPr>
    <w:rPr>
      <w:rFonts w:ascii="Arial" w:hAnsi="Arial"/>
      <w:bCs/>
      <w:noProof/>
      <w:color w:val="007FAD"/>
    </w:rPr>
  </w:style>
  <w:style w:type="paragraph" w:styleId="TOC2">
    <w:name w:val="toc 2"/>
    <w:basedOn w:val="Normal"/>
    <w:next w:val="Normal"/>
    <w:autoRedefine/>
    <w:uiPriority w:val="39"/>
    <w:rsid w:val="006068DE"/>
    <w:pPr>
      <w:tabs>
        <w:tab w:val="left" w:pos="1440"/>
        <w:tab w:val="right" w:leader="dot" w:pos="9016"/>
      </w:tabs>
      <w:spacing w:before="120" w:after="120"/>
      <w:ind w:left="1440" w:right="720" w:hanging="720"/>
    </w:pPr>
    <w:rPr>
      <w:rFonts w:ascii="Arial" w:hAnsi="Arial"/>
    </w:rPr>
  </w:style>
  <w:style w:type="paragraph" w:styleId="TableofFigures">
    <w:name w:val="table of figures"/>
    <w:basedOn w:val="Normal"/>
    <w:next w:val="Normal"/>
    <w:uiPriority w:val="99"/>
    <w:rsid w:val="006068DE"/>
    <w:pPr>
      <w:tabs>
        <w:tab w:val="left" w:pos="1080"/>
        <w:tab w:val="right" w:leader="dot" w:pos="9000"/>
      </w:tabs>
      <w:ind w:left="1080" w:right="720" w:hangingChars="450" w:hanging="1080"/>
    </w:pPr>
    <w:rPr>
      <w:rFonts w:ascii="Arial" w:hAnsi="Arial"/>
      <w:sz w:val="22"/>
    </w:rPr>
  </w:style>
  <w:style w:type="paragraph" w:customStyle="1" w:styleId="TableDash">
    <w:name w:val="TableDash"/>
    <w:basedOn w:val="TableBullet"/>
    <w:link w:val="TableDashChar"/>
    <w:rsid w:val="002443DC"/>
    <w:pPr>
      <w:numPr>
        <w:numId w:val="10"/>
      </w:numPr>
    </w:pPr>
    <w:rPr>
      <w:lang w:val="x-none"/>
    </w:rPr>
  </w:style>
  <w:style w:type="paragraph" w:customStyle="1" w:styleId="Bullet">
    <w:name w:val="Bullet"/>
    <w:basedOn w:val="Normal"/>
    <w:link w:val="BulletChar"/>
    <w:qFormat/>
    <w:rsid w:val="0043784F"/>
    <w:pPr>
      <w:numPr>
        <w:numId w:val="8"/>
      </w:numPr>
      <w:spacing w:before="60"/>
    </w:pPr>
    <w:rPr>
      <w:szCs w:val="20"/>
      <w:lang w:eastAsia="en-AU"/>
    </w:rPr>
  </w:style>
  <w:style w:type="paragraph" w:customStyle="1" w:styleId="BulletLast">
    <w:name w:val="BulletLast"/>
    <w:basedOn w:val="Bullet"/>
    <w:qFormat/>
    <w:rsid w:val="002443DC"/>
    <w:pPr>
      <w:spacing w:after="160"/>
    </w:pPr>
  </w:style>
  <w:style w:type="paragraph" w:customStyle="1" w:styleId="Dash">
    <w:name w:val="Dash"/>
    <w:basedOn w:val="Normal"/>
    <w:rsid w:val="002443DC"/>
    <w:pPr>
      <w:numPr>
        <w:numId w:val="7"/>
      </w:numPr>
      <w:spacing w:before="0" w:after="80" w:line="280" w:lineRule="exact"/>
      <w:ind w:left="568" w:hanging="284"/>
    </w:pPr>
  </w:style>
  <w:style w:type="paragraph" w:customStyle="1" w:styleId="DashLast">
    <w:name w:val="DashLast"/>
    <w:basedOn w:val="Dash"/>
    <w:rsid w:val="002443DC"/>
    <w:pPr>
      <w:spacing w:after="120"/>
    </w:pPr>
  </w:style>
  <w:style w:type="paragraph" w:customStyle="1" w:styleId="DashLastSpace">
    <w:name w:val="DashLast+Space"/>
    <w:basedOn w:val="DashLast"/>
    <w:rsid w:val="002443DC"/>
    <w:pPr>
      <w:spacing w:after="240"/>
    </w:pPr>
  </w:style>
  <w:style w:type="paragraph" w:customStyle="1" w:styleId="NormalBeforeBullet">
    <w:name w:val="NormalBeforeBullet"/>
    <w:basedOn w:val="Normal"/>
    <w:qFormat/>
    <w:rsid w:val="00020AE5"/>
    <w:pPr>
      <w:keepNext/>
      <w:spacing w:before="0" w:after="80"/>
    </w:pPr>
  </w:style>
  <w:style w:type="paragraph" w:customStyle="1" w:styleId="BoxName">
    <w:name w:val="BoxName"/>
    <w:basedOn w:val="BoxText"/>
    <w:rsid w:val="007B6A59"/>
    <w:pPr>
      <w:keepNext/>
      <w:numPr>
        <w:numId w:val="30"/>
      </w:numPr>
      <w:shd w:val="clear" w:color="auto" w:fill="007FAD"/>
      <w:tabs>
        <w:tab w:val="left" w:pos="993"/>
      </w:tabs>
      <w:spacing w:before="180"/>
      <w:ind w:left="714" w:hanging="714"/>
    </w:pPr>
    <w:rPr>
      <w:rFonts w:ascii="Arial" w:hAnsi="Arial"/>
      <w:b/>
      <w:bCs/>
      <w:color w:val="FFFFFF"/>
      <w:sz w:val="24"/>
    </w:rPr>
  </w:style>
  <w:style w:type="paragraph" w:customStyle="1" w:styleId="BoxHeading">
    <w:name w:val="BoxHeading"/>
    <w:basedOn w:val="BoxText"/>
    <w:link w:val="BoxHeadingChar"/>
    <w:rsid w:val="00AB0CE3"/>
    <w:pPr>
      <w:keepNext/>
      <w:spacing w:before="360" w:after="60"/>
    </w:pPr>
    <w:rPr>
      <w:b/>
      <w:sz w:val="22"/>
      <w:lang w:val="x-none" w:eastAsia="x-none"/>
    </w:rPr>
  </w:style>
  <w:style w:type="paragraph" w:customStyle="1" w:styleId="BoxBullet">
    <w:name w:val="BoxBullet"/>
    <w:basedOn w:val="BoxText"/>
    <w:link w:val="BoxBulletChar"/>
    <w:rsid w:val="002443DC"/>
    <w:pPr>
      <w:numPr>
        <w:numId w:val="3"/>
      </w:numPr>
    </w:pPr>
  </w:style>
  <w:style w:type="character" w:customStyle="1" w:styleId="BoxBulletChar">
    <w:name w:val="BoxBullet Char"/>
    <w:link w:val="BoxBullet"/>
    <w:locked/>
    <w:rsid w:val="002443DC"/>
    <w:rPr>
      <w:rFonts w:ascii="Franklin Gothic Book" w:hAnsi="Franklin Gothic Book"/>
      <w:sz w:val="21"/>
      <w:shd w:val="clear" w:color="auto" w:fill="ECF1F7"/>
    </w:rPr>
  </w:style>
  <w:style w:type="paragraph" w:customStyle="1" w:styleId="BoxHeading2">
    <w:name w:val="BoxHeading2"/>
    <w:basedOn w:val="BoxHeading"/>
    <w:link w:val="BoxHeading2Char"/>
    <w:qFormat/>
    <w:rsid w:val="00AB0CE3"/>
    <w:pPr>
      <w:spacing w:before="240"/>
    </w:pPr>
    <w:rPr>
      <w:bCs/>
      <w:i/>
      <w:sz w:val="21"/>
    </w:rPr>
  </w:style>
  <w:style w:type="paragraph" w:customStyle="1" w:styleId="FigureName">
    <w:name w:val="FigureName"/>
    <w:basedOn w:val="Normal"/>
    <w:next w:val="Normal"/>
    <w:rsid w:val="009555B7"/>
    <w:pPr>
      <w:keepNext/>
      <w:keepLines/>
      <w:tabs>
        <w:tab w:val="left" w:pos="1080"/>
      </w:tabs>
      <w:spacing w:before="80" w:after="80"/>
      <w:ind w:left="1077" w:hanging="1077"/>
    </w:pPr>
    <w:rPr>
      <w:b/>
      <w:bCs/>
      <w:sz w:val="22"/>
    </w:rPr>
  </w:style>
  <w:style w:type="paragraph" w:styleId="Index1">
    <w:name w:val="index 1"/>
    <w:basedOn w:val="Normal"/>
    <w:next w:val="Normal"/>
    <w:uiPriority w:val="99"/>
    <w:rsid w:val="005F1827"/>
    <w:pPr>
      <w:ind w:left="518" w:hanging="518"/>
    </w:pPr>
    <w:rPr>
      <w:noProof/>
      <w:sz w:val="22"/>
    </w:rPr>
  </w:style>
  <w:style w:type="paragraph" w:styleId="Index2">
    <w:name w:val="index 2"/>
    <w:basedOn w:val="Index1"/>
    <w:next w:val="Normal"/>
    <w:uiPriority w:val="99"/>
    <w:rsid w:val="005F1827"/>
    <w:pPr>
      <w:ind w:left="816" w:hanging="476"/>
    </w:pPr>
  </w:style>
  <w:style w:type="paragraph" w:styleId="TOC4">
    <w:name w:val="toc 4"/>
    <w:basedOn w:val="Normal"/>
    <w:next w:val="Normal"/>
    <w:autoRedefine/>
    <w:uiPriority w:val="39"/>
    <w:semiHidden/>
    <w:rsid w:val="00D20FD9"/>
    <w:pPr>
      <w:tabs>
        <w:tab w:val="right" w:leader="dot" w:pos="9016"/>
      </w:tabs>
      <w:ind w:left="2160" w:right="720"/>
    </w:pPr>
    <w:rPr>
      <w:noProof/>
    </w:rPr>
  </w:style>
  <w:style w:type="paragraph" w:customStyle="1" w:styleId="NumberList">
    <w:name w:val="NumberList"/>
    <w:basedOn w:val="Normal"/>
    <w:rsid w:val="00D20FD9"/>
    <w:pPr>
      <w:tabs>
        <w:tab w:val="left" w:pos="360"/>
      </w:tabs>
      <w:ind w:left="360" w:hanging="360"/>
    </w:pPr>
  </w:style>
  <w:style w:type="paragraph" w:customStyle="1" w:styleId="TFNoteSourceSpace">
    <w:name w:val="TFNoteSource+Space"/>
    <w:basedOn w:val="TFListNotesSpace"/>
    <w:next w:val="Normal"/>
    <w:rsid w:val="00026DD6"/>
    <w:pPr>
      <w:ind w:left="624" w:hanging="624"/>
    </w:pPr>
  </w:style>
  <w:style w:type="paragraph" w:customStyle="1" w:styleId="TFNoteSource">
    <w:name w:val="TFNoteSource"/>
    <w:basedOn w:val="TFNoteSourceSpace"/>
    <w:rsid w:val="00026DD6"/>
    <w:pPr>
      <w:spacing w:after="0"/>
    </w:pPr>
  </w:style>
  <w:style w:type="paragraph" w:customStyle="1" w:styleId="TFAbbrevsSpace">
    <w:name w:val="TFAbbrevs+Space"/>
    <w:basedOn w:val="TFAbbrevs"/>
    <w:next w:val="Normal"/>
    <w:rsid w:val="00EE7B06"/>
    <w:pPr>
      <w:spacing w:after="360"/>
    </w:pPr>
  </w:style>
  <w:style w:type="character" w:styleId="Strong">
    <w:name w:val="Strong"/>
    <w:uiPriority w:val="22"/>
    <w:qFormat/>
    <w:rsid w:val="00692B58"/>
    <w:rPr>
      <w:b/>
    </w:rPr>
  </w:style>
  <w:style w:type="character" w:styleId="Emphasis">
    <w:name w:val="Emphasis"/>
    <w:uiPriority w:val="20"/>
    <w:qFormat/>
    <w:rsid w:val="00692B58"/>
    <w:rPr>
      <w:i/>
    </w:rPr>
  </w:style>
  <w:style w:type="character" w:customStyle="1" w:styleId="Roman">
    <w:name w:val="Roman"/>
    <w:uiPriority w:val="1"/>
    <w:rsid w:val="00114BAC"/>
    <w:rPr>
      <w:i/>
    </w:rPr>
  </w:style>
  <w:style w:type="character" w:customStyle="1" w:styleId="TableDashChar">
    <w:name w:val="TableDash Char"/>
    <w:link w:val="TableDash"/>
    <w:locked/>
    <w:rsid w:val="002443DC"/>
    <w:rPr>
      <w:rFonts w:ascii="Calibri" w:hAnsi="Calibri"/>
      <w:sz w:val="17"/>
      <w:szCs w:val="17"/>
      <w:lang w:val="x-none" w:eastAsia="en-US"/>
    </w:rPr>
  </w:style>
  <w:style w:type="table" w:styleId="TableGrid">
    <w:name w:val="Table Grid"/>
    <w:basedOn w:val="TableNormal"/>
    <w:uiPriority w:val="39"/>
    <w:rsid w:val="0093435D"/>
    <w:rPr>
      <w:rFonts w:ascii="Calibri" w:hAnsi="Calibri"/>
    </w:rPr>
    <w:tblPr>
      <w:jc w:val="center"/>
      <w:tblBorders>
        <w:top w:val="single" w:sz="4" w:space="0" w:color="007FAD"/>
        <w:bottom w:val="single" w:sz="4" w:space="0" w:color="007FAD"/>
        <w:insideH w:val="single" w:sz="4" w:space="0" w:color="007FAD"/>
      </w:tblBorders>
      <w:tblCellMar>
        <w:top w:w="85" w:type="dxa"/>
        <w:bottom w:w="85" w:type="dxa"/>
      </w:tblCellMar>
    </w:tblPr>
    <w:trPr>
      <w:jc w:val="center"/>
    </w:trPr>
    <w:tcPr>
      <w:shd w:val="clear" w:color="auto" w:fill="FFFFFF"/>
    </w:tcPr>
    <w:tblStylePr w:type="firstRow">
      <w:pPr>
        <w:wordWrap/>
        <w:spacing w:beforeLines="0" w:before="100" w:beforeAutospacing="1" w:afterLines="0" w:after="100" w:afterAutospacing="1" w:line="240" w:lineRule="auto"/>
      </w:pPr>
      <w:rPr>
        <w:rFonts w:cs="Times New Roman"/>
      </w:rPr>
      <w:tblPr/>
      <w:trPr>
        <w:cantSplit/>
        <w:tblHeader/>
      </w:trPr>
      <w:tcPr>
        <w:shd w:val="clear" w:color="auto" w:fill="007FAD"/>
      </w:tcPr>
    </w:tblStylePr>
    <w:tblStylePr w:type="lastRow">
      <w:pPr>
        <w:wordWrap/>
        <w:spacing w:beforeLines="0" w:before="100" w:beforeAutospacing="1" w:afterLines="0" w:after="100" w:afterAutospacing="1" w:line="240" w:lineRule="auto"/>
      </w:pPr>
    </w:tblStylePr>
  </w:style>
  <w:style w:type="paragraph" w:customStyle="1" w:styleId="TableNumberList">
    <w:name w:val="TableNumberList"/>
    <w:basedOn w:val="Normal"/>
    <w:rsid w:val="002443DC"/>
    <w:pPr>
      <w:numPr>
        <w:numId w:val="11"/>
      </w:numPr>
      <w:spacing w:after="40"/>
    </w:pPr>
    <w:rPr>
      <w:sz w:val="17"/>
      <w:szCs w:val="17"/>
      <w:lang w:eastAsia="en-US"/>
    </w:rPr>
  </w:style>
  <w:style w:type="character" w:customStyle="1" w:styleId="BoxTextChar">
    <w:name w:val="BoxText Char"/>
    <w:link w:val="BoxText"/>
    <w:locked/>
    <w:rsid w:val="006C7942"/>
    <w:rPr>
      <w:rFonts w:ascii="Franklin Gothic Book" w:hAnsi="Franklin Gothic Book"/>
      <w:sz w:val="21"/>
      <w:lang w:val="en-AU" w:eastAsia="en-AU"/>
    </w:rPr>
  </w:style>
  <w:style w:type="character" w:customStyle="1" w:styleId="Subscript">
    <w:name w:val="Subscript"/>
    <w:uiPriority w:val="1"/>
    <w:rsid w:val="00C92341"/>
    <w:rPr>
      <w:noProof/>
      <w:vertAlign w:val="subscript"/>
    </w:rPr>
  </w:style>
  <w:style w:type="character" w:customStyle="1" w:styleId="Superscript">
    <w:name w:val="Superscript"/>
    <w:uiPriority w:val="1"/>
    <w:rsid w:val="00C92341"/>
    <w:rPr>
      <w:noProof/>
      <w:vertAlign w:val="superscript"/>
    </w:rPr>
  </w:style>
  <w:style w:type="character" w:customStyle="1" w:styleId="Symbol">
    <w:name w:val="Symbol"/>
    <w:uiPriority w:val="1"/>
    <w:rsid w:val="00C92341"/>
    <w:rPr>
      <w:noProof/>
    </w:rPr>
  </w:style>
  <w:style w:type="character" w:customStyle="1" w:styleId="BoxHeadingChar">
    <w:name w:val="BoxHeading Char"/>
    <w:link w:val="BoxHeading"/>
    <w:locked/>
    <w:rsid w:val="00AB0CE3"/>
    <w:rPr>
      <w:rFonts w:ascii="Franklin Gothic Book" w:hAnsi="Franklin Gothic Book"/>
      <w:b/>
      <w:sz w:val="22"/>
      <w:shd w:val="clear" w:color="auto" w:fill="ECF1F7"/>
    </w:rPr>
  </w:style>
  <w:style w:type="character" w:customStyle="1" w:styleId="BoxHeading2Char">
    <w:name w:val="BoxHeading2 Char"/>
    <w:link w:val="BoxHeading2"/>
    <w:locked/>
    <w:rsid w:val="00AB0CE3"/>
    <w:rPr>
      <w:rFonts w:ascii="Franklin Gothic Book" w:hAnsi="Franklin Gothic Book"/>
      <w:b/>
      <w:i/>
      <w:sz w:val="21"/>
      <w:shd w:val="clear" w:color="auto" w:fill="ECF1F7"/>
    </w:rPr>
  </w:style>
  <w:style w:type="paragraph" w:customStyle="1" w:styleId="TableNumberList2">
    <w:name w:val="TableNumberList2"/>
    <w:basedOn w:val="TableNumberList"/>
    <w:rsid w:val="002443DC"/>
    <w:pPr>
      <w:numPr>
        <w:numId w:val="12"/>
      </w:numPr>
    </w:pPr>
  </w:style>
  <w:style w:type="paragraph" w:customStyle="1" w:styleId="ImprintText">
    <w:name w:val="ImprintText"/>
    <w:basedOn w:val="Normal"/>
    <w:rsid w:val="00C16AE9"/>
  </w:style>
  <w:style w:type="paragraph" w:styleId="Subtitle">
    <w:name w:val="Subtitle"/>
    <w:basedOn w:val="Title"/>
    <w:next w:val="Date"/>
    <w:link w:val="SubtitleChar"/>
    <w:uiPriority w:val="11"/>
    <w:qFormat/>
    <w:rsid w:val="00887FA3"/>
    <w:pPr>
      <w:pageBreakBefore w:val="0"/>
      <w:spacing w:before="200" w:after="0" w:line="380" w:lineRule="atLeast"/>
    </w:pPr>
    <w:rPr>
      <w:sz w:val="32"/>
    </w:rPr>
  </w:style>
  <w:style w:type="character" w:customStyle="1" w:styleId="SubtitleChar">
    <w:name w:val="Subtitle Char"/>
    <w:link w:val="Subtitle"/>
    <w:uiPriority w:val="11"/>
    <w:locked/>
    <w:rsid w:val="00887FA3"/>
    <w:rPr>
      <w:rFonts w:ascii="Helvetica" w:hAnsi="Helvetica"/>
      <w:noProof/>
      <w:color w:val="FFFFFF"/>
      <w:kern w:val="28"/>
      <w:sz w:val="32"/>
      <w:lang w:val="en-US" w:eastAsia="en-US"/>
    </w:rPr>
  </w:style>
  <w:style w:type="paragraph" w:styleId="Caption">
    <w:name w:val="caption"/>
    <w:basedOn w:val="Normal"/>
    <w:next w:val="Credit"/>
    <w:uiPriority w:val="35"/>
    <w:qFormat/>
    <w:rsid w:val="00D06080"/>
    <w:pPr>
      <w:keepNext/>
      <w:spacing w:before="120" w:after="200"/>
      <w:ind w:left="992" w:hanging="992"/>
    </w:pPr>
    <w:rPr>
      <w:b/>
      <w:bCs/>
      <w:sz w:val="20"/>
      <w:szCs w:val="18"/>
    </w:rPr>
  </w:style>
  <w:style w:type="paragraph" w:customStyle="1" w:styleId="Credit">
    <w:name w:val="Credit"/>
    <w:basedOn w:val="Caption"/>
    <w:next w:val="Normal"/>
    <w:rsid w:val="003E5CD5"/>
    <w:pPr>
      <w:spacing w:after="240"/>
    </w:pPr>
    <w:rPr>
      <w:b w:val="0"/>
      <w:noProof/>
    </w:rPr>
  </w:style>
  <w:style w:type="paragraph" w:customStyle="1" w:styleId="TableHeadingCA">
    <w:name w:val="TableHeadingCA"/>
    <w:basedOn w:val="TableHeading"/>
    <w:rsid w:val="00C45C28"/>
  </w:style>
  <w:style w:type="paragraph" w:customStyle="1" w:styleId="TableTextCA">
    <w:name w:val="TableTextCA"/>
    <w:basedOn w:val="TableText"/>
    <w:rsid w:val="000F733D"/>
  </w:style>
  <w:style w:type="paragraph" w:customStyle="1" w:styleId="TableTextDecimalAlign">
    <w:name w:val="TableTextDecimalAlign"/>
    <w:basedOn w:val="TableText"/>
    <w:rsid w:val="009C7BA5"/>
    <w:pPr>
      <w:tabs>
        <w:tab w:val="decimal" w:pos="1119"/>
      </w:tabs>
    </w:pPr>
  </w:style>
  <w:style w:type="paragraph" w:customStyle="1" w:styleId="NormalIndent">
    <w:name w:val="NormalIndent"/>
    <w:basedOn w:val="Normal"/>
    <w:rsid w:val="008D32BA"/>
    <w:pPr>
      <w:ind w:left="357"/>
    </w:pPr>
  </w:style>
  <w:style w:type="paragraph" w:styleId="BalloonText">
    <w:name w:val="Balloon Text"/>
    <w:basedOn w:val="Normal"/>
    <w:link w:val="BalloonTextChar"/>
    <w:uiPriority w:val="99"/>
    <w:semiHidden/>
    <w:unhideWhenUsed/>
    <w:rsid w:val="00704FE3"/>
    <w:rPr>
      <w:rFonts w:ascii="Tahoma" w:hAnsi="Tahoma"/>
      <w:color w:val="000000"/>
      <w:sz w:val="16"/>
      <w:szCs w:val="16"/>
    </w:rPr>
  </w:style>
  <w:style w:type="character" w:customStyle="1" w:styleId="BalloonTextChar">
    <w:name w:val="Balloon Text Char"/>
    <w:link w:val="BalloonText"/>
    <w:uiPriority w:val="99"/>
    <w:semiHidden/>
    <w:locked/>
    <w:rsid w:val="00704FE3"/>
    <w:rPr>
      <w:rFonts w:ascii="Tahoma" w:hAnsi="Tahoma"/>
      <w:color w:val="000000"/>
      <w:sz w:val="16"/>
    </w:rPr>
  </w:style>
  <w:style w:type="paragraph" w:customStyle="1" w:styleId="RecommendationText">
    <w:name w:val="RecommendationText"/>
    <w:basedOn w:val="BoxText"/>
    <w:link w:val="RecommendationTextChar"/>
    <w:qFormat/>
    <w:rsid w:val="001812CC"/>
    <w:pPr>
      <w:pBdr>
        <w:top w:val="none" w:sz="0" w:space="0" w:color="auto"/>
        <w:left w:val="none" w:sz="0" w:space="0" w:color="auto"/>
        <w:bottom w:val="none" w:sz="0" w:space="0" w:color="auto"/>
        <w:right w:val="none" w:sz="0" w:space="0" w:color="auto"/>
      </w:pBdr>
      <w:shd w:val="clear" w:color="auto" w:fill="auto"/>
    </w:pPr>
  </w:style>
  <w:style w:type="paragraph" w:styleId="Title">
    <w:name w:val="Title"/>
    <w:basedOn w:val="Normal"/>
    <w:next w:val="Subtitle"/>
    <w:link w:val="TitleChar"/>
    <w:uiPriority w:val="10"/>
    <w:qFormat/>
    <w:rsid w:val="004164C0"/>
    <w:pPr>
      <w:pageBreakBefore/>
      <w:spacing w:before="8700" w:after="1080" w:line="640" w:lineRule="atLeast"/>
      <w:ind w:left="2410" w:right="-198"/>
    </w:pPr>
    <w:rPr>
      <w:rFonts w:ascii="Helvetica" w:hAnsi="Helvetica"/>
      <w:noProof/>
      <w:color w:val="FFFFFF"/>
      <w:kern w:val="28"/>
      <w:sz w:val="50"/>
      <w:lang w:val="en-US" w:eastAsia="en-US"/>
    </w:rPr>
  </w:style>
  <w:style w:type="character" w:customStyle="1" w:styleId="TitleChar">
    <w:name w:val="Title Char"/>
    <w:link w:val="Title"/>
    <w:uiPriority w:val="10"/>
    <w:locked/>
    <w:rsid w:val="004164C0"/>
    <w:rPr>
      <w:rFonts w:ascii="Helvetica" w:hAnsi="Helvetica"/>
      <w:noProof/>
      <w:color w:val="FFFFFF"/>
      <w:kern w:val="28"/>
      <w:sz w:val="50"/>
      <w:lang w:val="en-US" w:eastAsia="en-US"/>
    </w:rPr>
  </w:style>
  <w:style w:type="paragraph" w:customStyle="1" w:styleId="SectionTitle">
    <w:name w:val="SectionTitle"/>
    <w:basedOn w:val="Normal"/>
    <w:next w:val="Normal"/>
    <w:rsid w:val="00A41469"/>
    <w:pPr>
      <w:pageBreakBefore/>
      <w:outlineLvl w:val="0"/>
    </w:pPr>
    <w:rPr>
      <w:rFonts w:ascii="Arial" w:hAnsi="Arial"/>
      <w:b/>
      <w:color w:val="124486"/>
      <w:sz w:val="50"/>
    </w:rPr>
  </w:style>
  <w:style w:type="paragraph" w:customStyle="1" w:styleId="SectionSubtitle">
    <w:name w:val="SectionSubtitle"/>
    <w:basedOn w:val="Normal"/>
    <w:rsid w:val="00E718A6"/>
    <w:rPr>
      <w:color w:val="007FAD"/>
      <w:sz w:val="32"/>
    </w:rPr>
  </w:style>
  <w:style w:type="paragraph" w:customStyle="1" w:styleId="QuoteNumberList">
    <w:name w:val="QuoteNumberList"/>
    <w:basedOn w:val="Quote"/>
    <w:rsid w:val="00BD346C"/>
    <w:pPr>
      <w:ind w:left="1117" w:hanging="397"/>
    </w:pPr>
    <w:rPr>
      <w:noProof/>
    </w:rPr>
  </w:style>
  <w:style w:type="paragraph" w:customStyle="1" w:styleId="QuoteBullet">
    <w:name w:val="QuoteBullet"/>
    <w:basedOn w:val="Quote"/>
    <w:rsid w:val="002443DC"/>
    <w:pPr>
      <w:numPr>
        <w:numId w:val="2"/>
      </w:numPr>
      <w:tabs>
        <w:tab w:val="left" w:pos="851"/>
      </w:tabs>
      <w:ind w:left="851" w:hanging="284"/>
    </w:pPr>
    <w:rPr>
      <w:noProof/>
    </w:rPr>
  </w:style>
  <w:style w:type="paragraph" w:customStyle="1" w:styleId="TableNumberedList">
    <w:name w:val="TableNumberedList"/>
    <w:basedOn w:val="TableText"/>
    <w:autoRedefine/>
    <w:qFormat/>
    <w:rsid w:val="002443DC"/>
    <w:pPr>
      <w:numPr>
        <w:numId w:val="4"/>
      </w:numPr>
      <w:ind w:left="357" w:hanging="357"/>
    </w:pPr>
  </w:style>
  <w:style w:type="paragraph" w:customStyle="1" w:styleId="TableListNumber">
    <w:name w:val="TableListNumber"/>
    <w:basedOn w:val="Normal"/>
    <w:qFormat/>
    <w:rsid w:val="002443DC"/>
    <w:pPr>
      <w:keepNext/>
      <w:numPr>
        <w:numId w:val="5"/>
      </w:numPr>
      <w:tabs>
        <w:tab w:val="left" w:pos="216"/>
      </w:tabs>
      <w:spacing w:after="40" w:line="200" w:lineRule="atLeast"/>
      <w:ind w:left="284" w:hanging="284"/>
    </w:pPr>
    <w:rPr>
      <w:color w:val="000000"/>
      <w:sz w:val="17"/>
      <w:szCs w:val="21"/>
    </w:rPr>
  </w:style>
  <w:style w:type="paragraph" w:customStyle="1" w:styleId="TableListNumber2">
    <w:name w:val="TableListNumber 2"/>
    <w:basedOn w:val="TableListNumber"/>
    <w:qFormat/>
    <w:rsid w:val="002443DC"/>
    <w:pPr>
      <w:numPr>
        <w:numId w:val="6"/>
      </w:numPr>
      <w:tabs>
        <w:tab w:val="clear" w:pos="216"/>
        <w:tab w:val="left" w:pos="284"/>
      </w:tabs>
      <w:ind w:left="430" w:hanging="215"/>
    </w:pPr>
  </w:style>
  <w:style w:type="paragraph" w:customStyle="1" w:styleId="TableHeading2">
    <w:name w:val="TableHeading2"/>
    <w:basedOn w:val="TableHeading"/>
    <w:qFormat/>
    <w:rsid w:val="00BE10F8"/>
    <w:rPr>
      <w:i/>
    </w:rPr>
  </w:style>
  <w:style w:type="paragraph" w:customStyle="1" w:styleId="Draftingnote">
    <w:name w:val="Drafting note"/>
    <w:basedOn w:val="Normal"/>
    <w:link w:val="DraftingnoteChar"/>
    <w:qFormat/>
    <w:rsid w:val="00BA5205"/>
    <w:rPr>
      <w:rFonts w:ascii="Cambria" w:hAnsi="Cambria"/>
      <w:b/>
      <w:color w:val="FF0000"/>
      <w:sz w:val="20"/>
      <w:u w:val="dotted"/>
      <w:lang w:val="x-none" w:eastAsia="x-none"/>
    </w:rPr>
  </w:style>
  <w:style w:type="character" w:customStyle="1" w:styleId="DraftingnoteChar">
    <w:name w:val="Drafting note Char"/>
    <w:link w:val="Draftingnote"/>
    <w:locked/>
    <w:rsid w:val="00BA5205"/>
    <w:rPr>
      <w:rFonts w:ascii="Cambria" w:hAnsi="Cambria"/>
      <w:b/>
      <w:color w:val="FF0000"/>
      <w:u w:val="dotted"/>
    </w:rPr>
  </w:style>
  <w:style w:type="character" w:styleId="Hyperlink">
    <w:name w:val="Hyperlink"/>
    <w:uiPriority w:val="99"/>
    <w:unhideWhenUsed/>
    <w:rsid w:val="001B454D"/>
    <w:rPr>
      <w:color w:val="007FAD"/>
      <w:u w:val="single"/>
    </w:rPr>
  </w:style>
  <w:style w:type="character" w:styleId="CommentReference">
    <w:name w:val="annotation reference"/>
    <w:uiPriority w:val="99"/>
    <w:semiHidden/>
    <w:unhideWhenUsed/>
    <w:rsid w:val="00DF1B3A"/>
    <w:rPr>
      <w:sz w:val="16"/>
    </w:rPr>
  </w:style>
  <w:style w:type="paragraph" w:styleId="CommentText">
    <w:name w:val="annotation text"/>
    <w:basedOn w:val="Normal"/>
    <w:link w:val="CommentTextChar"/>
    <w:uiPriority w:val="99"/>
    <w:unhideWhenUsed/>
    <w:rsid w:val="00DF1B3A"/>
    <w:rPr>
      <w:rFonts w:ascii="Cambria" w:hAnsi="Cambria"/>
      <w:color w:val="000000"/>
      <w:sz w:val="20"/>
    </w:rPr>
  </w:style>
  <w:style w:type="character" w:customStyle="1" w:styleId="CommentTextChar">
    <w:name w:val="Comment Text Char"/>
    <w:link w:val="CommentText"/>
    <w:uiPriority w:val="99"/>
    <w:locked/>
    <w:rsid w:val="00DF1B3A"/>
    <w:rPr>
      <w:rFonts w:ascii="Cambria" w:hAnsi="Cambria"/>
      <w:color w:val="000000"/>
    </w:rPr>
  </w:style>
  <w:style w:type="paragraph" w:styleId="CommentSubject">
    <w:name w:val="annotation subject"/>
    <w:basedOn w:val="CommentText"/>
    <w:next w:val="CommentText"/>
    <w:link w:val="CommentSubjectChar"/>
    <w:uiPriority w:val="99"/>
    <w:semiHidden/>
    <w:unhideWhenUsed/>
    <w:rsid w:val="00DF1B3A"/>
    <w:rPr>
      <w:b/>
      <w:bCs/>
    </w:rPr>
  </w:style>
  <w:style w:type="character" w:customStyle="1" w:styleId="CommentSubjectChar">
    <w:name w:val="Comment Subject Char"/>
    <w:link w:val="CommentSubject"/>
    <w:uiPriority w:val="99"/>
    <w:semiHidden/>
    <w:locked/>
    <w:rsid w:val="00DF1B3A"/>
    <w:rPr>
      <w:rFonts w:ascii="Cambria" w:hAnsi="Cambria"/>
      <w:b/>
      <w:color w:val="000000"/>
    </w:rPr>
  </w:style>
  <w:style w:type="table" w:styleId="LightShading">
    <w:name w:val="Light Shading"/>
    <w:basedOn w:val="TableNormal"/>
    <w:uiPriority w:val="60"/>
    <w:rsid w:val="00FB4E1F"/>
    <w:rPr>
      <w:color w:val="00000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EEFEE"/>
    </w:tcPr>
    <w:tblStylePr w:type="firstRow">
      <w:pPr>
        <w:spacing w:before="0" w:after="0"/>
      </w:pPr>
      <w:rPr>
        <w:rFonts w:cs="Times New Roman"/>
        <w:b/>
        <w:bCs/>
      </w:rPr>
      <w:tblPr/>
      <w:tcPr>
        <w:tcBorders>
          <w:top w:val="nil"/>
          <w:left w:val="nil"/>
          <w:bottom w:val="nil"/>
          <w:right w:val="nil"/>
          <w:insideH w:val="nil"/>
          <w:insideV w:val="nil"/>
          <w:tl2br w:val="nil"/>
          <w:tr2bl w:val="nil"/>
        </w:tcBorders>
        <w:shd w:val="clear" w:color="auto" w:fill="92C3CA"/>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List">
    <w:name w:val="Light List"/>
    <w:basedOn w:val="TableNormal"/>
    <w:uiPriority w:val="61"/>
    <w:rsid w:val="00FB4E1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Numberlist2">
    <w:name w:val="Numberlist2"/>
    <w:basedOn w:val="Normal"/>
    <w:rsid w:val="002443DC"/>
    <w:pPr>
      <w:numPr>
        <w:numId w:val="1"/>
      </w:numPr>
      <w:tabs>
        <w:tab w:val="clear" w:pos="360"/>
        <w:tab w:val="num" w:pos="567"/>
      </w:tabs>
      <w:spacing w:before="0" w:line="280" w:lineRule="exact"/>
      <w:ind w:left="568" w:hanging="284"/>
    </w:pPr>
  </w:style>
  <w:style w:type="paragraph" w:customStyle="1" w:styleId="NumberList3">
    <w:name w:val="NumberList3"/>
    <w:basedOn w:val="Normal"/>
    <w:rsid w:val="002443DC"/>
    <w:pPr>
      <w:tabs>
        <w:tab w:val="num" w:pos="643"/>
      </w:tabs>
      <w:spacing w:before="0" w:line="280" w:lineRule="exact"/>
      <w:ind w:left="851" w:hanging="284"/>
      <w:contextualSpacing/>
    </w:pPr>
  </w:style>
  <w:style w:type="paragraph" w:customStyle="1" w:styleId="BoxDash">
    <w:name w:val="BoxDash"/>
    <w:basedOn w:val="BoxText"/>
    <w:rsid w:val="00BE3345"/>
    <w:pPr>
      <w:tabs>
        <w:tab w:val="left" w:pos="360"/>
        <w:tab w:val="left" w:pos="720"/>
      </w:tabs>
      <w:ind w:left="720" w:hanging="720"/>
    </w:pPr>
  </w:style>
  <w:style w:type="paragraph" w:styleId="EndnoteText">
    <w:name w:val="endnote text"/>
    <w:basedOn w:val="Normal"/>
    <w:link w:val="EndnoteTextChar"/>
    <w:uiPriority w:val="99"/>
    <w:unhideWhenUsed/>
    <w:rsid w:val="003E5CD5"/>
    <w:pPr>
      <w:spacing w:before="0"/>
    </w:pPr>
    <w:rPr>
      <w:color w:val="000000"/>
      <w:sz w:val="20"/>
    </w:rPr>
  </w:style>
  <w:style w:type="character" w:customStyle="1" w:styleId="EndnoteTextChar">
    <w:name w:val="Endnote Text Char"/>
    <w:link w:val="EndnoteText"/>
    <w:uiPriority w:val="99"/>
    <w:locked/>
    <w:rsid w:val="003E5CD5"/>
    <w:rPr>
      <w:rFonts w:ascii="Franklin Gothic Book" w:hAnsi="Franklin Gothic Book"/>
      <w:color w:val="000000"/>
    </w:rPr>
  </w:style>
  <w:style w:type="character" w:styleId="EndnoteReference">
    <w:name w:val="endnote reference"/>
    <w:uiPriority w:val="99"/>
    <w:semiHidden/>
    <w:unhideWhenUsed/>
    <w:rsid w:val="003E5CD5"/>
    <w:rPr>
      <w:vertAlign w:val="superscript"/>
    </w:rPr>
  </w:style>
  <w:style w:type="paragraph" w:customStyle="1" w:styleId="BoxQuote">
    <w:name w:val="BoxQuote"/>
    <w:basedOn w:val="BoxText"/>
    <w:next w:val="BoxQuoteSource"/>
    <w:link w:val="BoxQuoteChar"/>
    <w:qFormat/>
    <w:rsid w:val="007E31F4"/>
    <w:pPr>
      <w:ind w:left="357" w:hanging="357"/>
    </w:pPr>
    <w:rPr>
      <w:i/>
      <w:lang w:val="x-none" w:eastAsia="x-none"/>
    </w:rPr>
  </w:style>
  <w:style w:type="paragraph" w:customStyle="1" w:styleId="BoxQuoteSource">
    <w:name w:val="BoxQuoteSource"/>
    <w:basedOn w:val="BoxText"/>
    <w:link w:val="BoxQuoteSourceChar"/>
    <w:qFormat/>
    <w:rsid w:val="008777B4"/>
    <w:pPr>
      <w:jc w:val="right"/>
    </w:pPr>
    <w:rPr>
      <w:noProof/>
      <w:lang w:val="x-none" w:eastAsia="x-none"/>
    </w:rPr>
  </w:style>
  <w:style w:type="paragraph" w:customStyle="1" w:styleId="QuoteSource">
    <w:name w:val="QuoteSource"/>
    <w:basedOn w:val="Quote"/>
    <w:link w:val="QuoteSourceChar"/>
    <w:qFormat/>
    <w:rsid w:val="00AF6247"/>
    <w:pPr>
      <w:spacing w:after="240"/>
      <w:jc w:val="right"/>
    </w:pPr>
    <w:rPr>
      <w:i w:val="0"/>
    </w:rPr>
  </w:style>
  <w:style w:type="character" w:customStyle="1" w:styleId="BoxQuoteChar">
    <w:name w:val="BoxQuote Char"/>
    <w:link w:val="BoxQuote"/>
    <w:locked/>
    <w:rsid w:val="007E31F4"/>
    <w:rPr>
      <w:rFonts w:ascii="Franklin Gothic Book" w:hAnsi="Franklin Gothic Book"/>
      <w:i/>
      <w:sz w:val="21"/>
      <w:shd w:val="clear" w:color="auto" w:fill="ECF1F7"/>
    </w:rPr>
  </w:style>
  <w:style w:type="character" w:customStyle="1" w:styleId="BoxQuoteSourceChar">
    <w:name w:val="BoxQuoteSource Char"/>
    <w:link w:val="BoxQuoteSource"/>
    <w:locked/>
    <w:rsid w:val="008777B4"/>
    <w:rPr>
      <w:rFonts w:ascii="Franklin Gothic Book" w:hAnsi="Franklin Gothic Book"/>
      <w:noProof/>
      <w:sz w:val="21"/>
      <w:shd w:val="clear" w:color="auto" w:fill="ECF1F7"/>
    </w:rPr>
  </w:style>
  <w:style w:type="character" w:customStyle="1" w:styleId="QuoteSourceChar">
    <w:name w:val="QuoteSource Char"/>
    <w:link w:val="QuoteSource"/>
    <w:locked/>
    <w:rsid w:val="00AF6247"/>
    <w:rPr>
      <w:rFonts w:ascii="Franklin Gothic Book" w:hAnsi="Franklin Gothic Book" w:cs="Times New Roman"/>
      <w:i/>
      <w:color w:val="000000"/>
      <w:sz w:val="21"/>
    </w:rPr>
  </w:style>
  <w:style w:type="paragraph" w:customStyle="1" w:styleId="RecommendationEnd">
    <w:name w:val="Recommendation End"/>
    <w:basedOn w:val="RecommendationText"/>
    <w:link w:val="RecommendationEndCharChar"/>
    <w:qFormat/>
    <w:rsid w:val="008C4FDE"/>
    <w:pPr>
      <w:pBdr>
        <w:bottom w:val="single" w:sz="4" w:space="1" w:color="124486"/>
      </w:pBdr>
    </w:pPr>
  </w:style>
  <w:style w:type="character" w:customStyle="1" w:styleId="RecommendationTextChar">
    <w:name w:val="RecommendationText Char"/>
    <w:link w:val="RecommendationText"/>
    <w:locked/>
    <w:rsid w:val="001812CC"/>
    <w:rPr>
      <w:rFonts w:ascii="Calibri" w:hAnsi="Calibri" w:cs="Times New Roman"/>
      <w:sz w:val="24"/>
      <w:szCs w:val="24"/>
      <w:lang w:val="en-US" w:eastAsia="ja-JP" w:bidi="ar-SA"/>
    </w:rPr>
  </w:style>
  <w:style w:type="paragraph" w:customStyle="1" w:styleId="RecommendationName">
    <w:name w:val="RecommendationName"/>
    <w:basedOn w:val="RecommendationText"/>
    <w:link w:val="RecommendationNameChar"/>
    <w:qFormat/>
    <w:rsid w:val="001812CC"/>
    <w:pPr>
      <w:pBdr>
        <w:top w:val="single" w:sz="4" w:space="1" w:color="124486"/>
      </w:pBdr>
      <w:spacing w:before="120"/>
    </w:pPr>
    <w:rPr>
      <w:rFonts w:ascii="Arial Bold" w:hAnsi="Arial Bold"/>
      <w:b/>
      <w:color w:val="EB0029"/>
      <w:sz w:val="24"/>
      <w:lang w:val="en-US" w:eastAsia="ja-JP"/>
    </w:rPr>
  </w:style>
  <w:style w:type="character" w:customStyle="1" w:styleId="RecommendationEndCharChar">
    <w:name w:val="Recommendation End Char Char"/>
    <w:link w:val="RecommendationEnd"/>
    <w:locked/>
    <w:rsid w:val="008C4FDE"/>
    <w:rPr>
      <w:rFonts w:ascii="Franklin Gothic Book" w:hAnsi="Franklin Gothic Book" w:cs="Times New Roman"/>
      <w:sz w:val="21"/>
      <w:szCs w:val="24"/>
      <w:lang w:val="en-US" w:eastAsia="ja-JP" w:bidi="ar-SA"/>
    </w:rPr>
  </w:style>
  <w:style w:type="character" w:customStyle="1" w:styleId="RecommendationNameChar">
    <w:name w:val="RecommendationName Char"/>
    <w:link w:val="RecommendationName"/>
    <w:locked/>
    <w:rsid w:val="001812CC"/>
    <w:rPr>
      <w:rFonts w:ascii="Arial Bold" w:hAnsi="Arial Bold"/>
      <w:b/>
      <w:color w:val="EB0029"/>
      <w:sz w:val="24"/>
      <w:lang w:val="en-US" w:eastAsia="ja-JP"/>
    </w:rPr>
  </w:style>
  <w:style w:type="paragraph" w:styleId="BodyText">
    <w:name w:val="Body Text"/>
    <w:basedOn w:val="Normal"/>
    <w:link w:val="BodyTextChar"/>
    <w:uiPriority w:val="99"/>
    <w:unhideWhenUsed/>
    <w:qFormat/>
    <w:rsid w:val="008779F3"/>
    <w:rPr>
      <w:lang w:val="en-US"/>
    </w:rPr>
  </w:style>
  <w:style w:type="character" w:customStyle="1" w:styleId="BodyTextChar">
    <w:name w:val="Body Text Char"/>
    <w:link w:val="BodyText"/>
    <w:uiPriority w:val="99"/>
    <w:locked/>
    <w:rsid w:val="008779F3"/>
    <w:rPr>
      <w:rFonts w:ascii="Calibri" w:hAnsi="Calibri"/>
      <w:sz w:val="24"/>
      <w:lang w:val="en-US" w:eastAsia="ja-JP"/>
    </w:rPr>
  </w:style>
  <w:style w:type="paragraph" w:customStyle="1" w:styleId="Heading">
    <w:name w:val="Heading"/>
    <w:qFormat/>
    <w:rsid w:val="008779F3"/>
    <w:pPr>
      <w:pBdr>
        <w:bottom w:val="single" w:sz="4" w:space="1" w:color="auto"/>
      </w:pBdr>
      <w:spacing w:before="200" w:after="100"/>
    </w:pPr>
    <w:rPr>
      <w:rFonts w:ascii="Arial" w:eastAsia="MS ????" w:hAnsi="Arial"/>
      <w:b/>
      <w:bCs/>
      <w:kern w:val="32"/>
      <w:sz w:val="24"/>
      <w:szCs w:val="32"/>
      <w:lang w:val="en-US" w:eastAsia="en-US"/>
    </w:rPr>
  </w:style>
  <w:style w:type="paragraph" w:customStyle="1" w:styleId="Bullets">
    <w:name w:val="Bullets"/>
    <w:basedOn w:val="BodyText"/>
    <w:qFormat/>
    <w:rsid w:val="002443DC"/>
    <w:pPr>
      <w:numPr>
        <w:numId w:val="13"/>
      </w:numPr>
      <w:spacing w:before="100"/>
    </w:pPr>
  </w:style>
  <w:style w:type="paragraph" w:styleId="ListNumber">
    <w:name w:val="List Number"/>
    <w:basedOn w:val="Normal"/>
    <w:uiPriority w:val="99"/>
    <w:unhideWhenUsed/>
    <w:rsid w:val="002443DC"/>
    <w:pPr>
      <w:ind w:left="360" w:hanging="360"/>
      <w:contextualSpacing/>
    </w:pPr>
  </w:style>
  <w:style w:type="paragraph" w:styleId="ListParagraph">
    <w:name w:val="List Paragraph"/>
    <w:basedOn w:val="Normal"/>
    <w:link w:val="ListParagraphChar"/>
    <w:uiPriority w:val="34"/>
    <w:qFormat/>
    <w:rsid w:val="003005C3"/>
    <w:pPr>
      <w:ind w:left="720"/>
      <w:contextualSpacing/>
    </w:pPr>
  </w:style>
  <w:style w:type="paragraph" w:customStyle="1" w:styleId="Tabletext0">
    <w:name w:val="Table text"/>
    <w:basedOn w:val="BodyText"/>
    <w:qFormat/>
    <w:rsid w:val="00370A0E"/>
    <w:pPr>
      <w:spacing w:before="100"/>
    </w:pPr>
    <w:rPr>
      <w:sz w:val="18"/>
    </w:rPr>
  </w:style>
  <w:style w:type="paragraph" w:customStyle="1" w:styleId="Recommendationheading">
    <w:name w:val="Recommendation heading"/>
    <w:basedOn w:val="Normal"/>
    <w:qFormat/>
    <w:rsid w:val="007542FF"/>
    <w:pPr>
      <w:widowControl w:val="0"/>
      <w:pBdr>
        <w:top w:val="single" w:sz="4" w:space="15" w:color="auto"/>
      </w:pBdr>
      <w:spacing w:before="0"/>
      <w:ind w:left="120" w:right="-20"/>
    </w:pPr>
    <w:rPr>
      <w:rFonts w:ascii="Arial" w:hAnsi="Arial" w:cs="Arial"/>
      <w:b/>
      <w:bCs/>
      <w:color w:val="EB0029"/>
      <w:lang w:val="en-US" w:eastAsia="en-US"/>
    </w:rPr>
  </w:style>
  <w:style w:type="paragraph" w:styleId="ListBullet">
    <w:name w:val="List Bullet"/>
    <w:basedOn w:val="Normal"/>
    <w:uiPriority w:val="99"/>
    <w:unhideWhenUsed/>
    <w:rsid w:val="007542FF"/>
    <w:pPr>
      <w:widowControl w:val="0"/>
      <w:spacing w:before="100"/>
      <w:ind w:left="709" w:hanging="283"/>
    </w:pPr>
    <w:rPr>
      <w:position w:val="3"/>
      <w:szCs w:val="21"/>
      <w:lang w:val="en-GB" w:eastAsia="en-US"/>
    </w:rPr>
  </w:style>
  <w:style w:type="paragraph" w:customStyle="1" w:styleId="BulletBeforeDash">
    <w:name w:val="BulletBeforeDash"/>
    <w:basedOn w:val="Normal"/>
    <w:rsid w:val="002443DC"/>
    <w:pPr>
      <w:numPr>
        <w:numId w:val="14"/>
      </w:numPr>
    </w:pPr>
    <w:rPr>
      <w:rFonts w:ascii="Cambria" w:hAnsi="Cambria"/>
      <w:color w:val="000000"/>
    </w:rPr>
  </w:style>
  <w:style w:type="paragraph" w:styleId="NormalWeb">
    <w:name w:val="Normal (Web)"/>
    <w:basedOn w:val="Normal"/>
    <w:uiPriority w:val="99"/>
    <w:unhideWhenUsed/>
    <w:rsid w:val="007542FF"/>
    <w:pPr>
      <w:spacing w:before="100" w:beforeAutospacing="1" w:after="100" w:afterAutospacing="1"/>
    </w:pPr>
    <w:rPr>
      <w:rFonts w:ascii="Times" w:hAnsi="Times"/>
      <w:sz w:val="20"/>
      <w:lang w:eastAsia="en-US"/>
    </w:rPr>
  </w:style>
  <w:style w:type="paragraph" w:customStyle="1" w:styleId="CharChar">
    <w:name w:val="Char Char"/>
    <w:basedOn w:val="Normal"/>
    <w:semiHidden/>
    <w:rsid w:val="007542FF"/>
    <w:pPr>
      <w:spacing w:before="180" w:line="280" w:lineRule="atLeast"/>
    </w:pPr>
    <w:rPr>
      <w:rFonts w:ascii="Arial" w:hAnsi="Arial"/>
      <w:sz w:val="22"/>
      <w:lang w:eastAsia="en-US"/>
    </w:rPr>
  </w:style>
  <w:style w:type="paragraph" w:styleId="Bibliography">
    <w:name w:val="Bibliography"/>
    <w:basedOn w:val="Normal"/>
    <w:next w:val="Normal"/>
    <w:uiPriority w:val="37"/>
    <w:unhideWhenUsed/>
    <w:rsid w:val="007542FF"/>
  </w:style>
  <w:style w:type="paragraph" w:styleId="ListNumber3">
    <w:name w:val="List Number 3"/>
    <w:basedOn w:val="Normal"/>
    <w:uiPriority w:val="99"/>
    <w:unhideWhenUsed/>
    <w:rsid w:val="007542FF"/>
    <w:pPr>
      <w:ind w:left="926" w:hanging="360"/>
      <w:contextualSpacing/>
    </w:pPr>
  </w:style>
  <w:style w:type="paragraph" w:styleId="ListNumber2">
    <w:name w:val="List Number 2"/>
    <w:basedOn w:val="Normal"/>
    <w:uiPriority w:val="99"/>
    <w:unhideWhenUsed/>
    <w:rsid w:val="007542FF"/>
    <w:pPr>
      <w:tabs>
        <w:tab w:val="num" w:pos="643"/>
      </w:tabs>
      <w:ind w:left="643" w:hanging="360"/>
      <w:contextualSpacing/>
    </w:pPr>
  </w:style>
  <w:style w:type="paragraph" w:customStyle="1" w:styleId="NoSpacing1">
    <w:name w:val="No Spacing1"/>
    <w:aliases w:val="bullet"/>
    <w:uiPriority w:val="1"/>
    <w:qFormat/>
    <w:rsid w:val="007542FF"/>
    <w:pPr>
      <w:spacing w:before="120" w:after="120"/>
    </w:pPr>
    <w:rPr>
      <w:rFonts w:ascii="Arial" w:hAnsi="Arial"/>
      <w:sz w:val="22"/>
      <w:szCs w:val="22"/>
      <w:lang w:eastAsia="en-US"/>
    </w:rPr>
  </w:style>
  <w:style w:type="paragraph" w:customStyle="1" w:styleId="BulletList">
    <w:name w:val="Bullet List"/>
    <w:basedOn w:val="BulletLast"/>
    <w:autoRedefine/>
    <w:rsid w:val="007542FF"/>
    <w:pPr>
      <w:numPr>
        <w:numId w:val="0"/>
      </w:numPr>
      <w:tabs>
        <w:tab w:val="num" w:pos="567"/>
      </w:tabs>
      <w:ind w:left="567" w:hanging="283"/>
    </w:pPr>
  </w:style>
  <w:style w:type="paragraph" w:customStyle="1" w:styleId="TableText10pt">
    <w:name w:val="Table Text 10 pt"/>
    <w:qFormat/>
    <w:rsid w:val="007542FF"/>
    <w:pPr>
      <w:spacing w:before="60" w:after="20"/>
      <w:jc w:val="both"/>
    </w:pPr>
    <w:rPr>
      <w:rFonts w:ascii="Calibri" w:hAnsi="Calibri" w:cs="Angsana New"/>
      <w:color w:val="000000"/>
      <w:sz w:val="24"/>
      <w:szCs w:val="24"/>
      <w:lang w:eastAsia="en-GB" w:bidi="th-TH"/>
    </w:rPr>
  </w:style>
  <w:style w:type="paragraph" w:customStyle="1" w:styleId="BodyCopy">
    <w:name w:val="Body Copy"/>
    <w:qFormat/>
    <w:rsid w:val="007542FF"/>
    <w:pPr>
      <w:spacing w:before="57" w:after="113" w:line="240" w:lineRule="atLeast"/>
    </w:pPr>
    <w:rPr>
      <w:rFonts w:ascii="Calibri" w:hAnsi="Calibri"/>
      <w:spacing w:val="-2"/>
      <w:sz w:val="24"/>
      <w:szCs w:val="24"/>
      <w:lang w:eastAsia="en-US"/>
    </w:rPr>
  </w:style>
  <w:style w:type="paragraph" w:styleId="TOC3">
    <w:name w:val="toc 3"/>
    <w:basedOn w:val="Normal"/>
    <w:next w:val="Normal"/>
    <w:autoRedefine/>
    <w:uiPriority w:val="39"/>
    <w:unhideWhenUsed/>
    <w:rsid w:val="007542FF"/>
    <w:pPr>
      <w:ind w:left="420"/>
    </w:pPr>
  </w:style>
  <w:style w:type="paragraph" w:styleId="TOC5">
    <w:name w:val="toc 5"/>
    <w:basedOn w:val="Normal"/>
    <w:next w:val="Normal"/>
    <w:autoRedefine/>
    <w:uiPriority w:val="39"/>
    <w:unhideWhenUsed/>
    <w:rsid w:val="007542FF"/>
    <w:pPr>
      <w:ind w:left="840"/>
    </w:pPr>
  </w:style>
  <w:style w:type="paragraph" w:styleId="TOC6">
    <w:name w:val="toc 6"/>
    <w:basedOn w:val="Normal"/>
    <w:next w:val="Normal"/>
    <w:autoRedefine/>
    <w:uiPriority w:val="39"/>
    <w:unhideWhenUsed/>
    <w:rsid w:val="007542FF"/>
    <w:pPr>
      <w:ind w:left="1050"/>
    </w:pPr>
  </w:style>
  <w:style w:type="paragraph" w:styleId="TOC7">
    <w:name w:val="toc 7"/>
    <w:basedOn w:val="Normal"/>
    <w:next w:val="Normal"/>
    <w:autoRedefine/>
    <w:uiPriority w:val="39"/>
    <w:unhideWhenUsed/>
    <w:rsid w:val="007542FF"/>
    <w:pPr>
      <w:ind w:left="1260"/>
    </w:pPr>
  </w:style>
  <w:style w:type="paragraph" w:styleId="TOC8">
    <w:name w:val="toc 8"/>
    <w:basedOn w:val="Normal"/>
    <w:next w:val="Normal"/>
    <w:autoRedefine/>
    <w:uiPriority w:val="39"/>
    <w:unhideWhenUsed/>
    <w:rsid w:val="007542FF"/>
    <w:pPr>
      <w:ind w:left="1470"/>
    </w:pPr>
  </w:style>
  <w:style w:type="paragraph" w:styleId="TOC9">
    <w:name w:val="toc 9"/>
    <w:basedOn w:val="Normal"/>
    <w:next w:val="Normal"/>
    <w:autoRedefine/>
    <w:uiPriority w:val="39"/>
    <w:unhideWhenUsed/>
    <w:rsid w:val="007542FF"/>
    <w:pPr>
      <w:ind w:left="1680"/>
    </w:pPr>
  </w:style>
  <w:style w:type="paragraph" w:customStyle="1" w:styleId="AttachmentHeading10">
    <w:name w:val="Attachment Heading 1"/>
    <w:basedOn w:val="BodyText"/>
    <w:rsid w:val="007542FF"/>
    <w:rPr>
      <w:rFonts w:ascii="Arial" w:hAnsi="Arial" w:cs="Arial"/>
      <w:bCs/>
      <w:noProof/>
      <w:color w:val="FFFFFF"/>
      <w:sz w:val="44"/>
      <w:szCs w:val="32"/>
      <w:lang w:eastAsia="en-US"/>
    </w:rPr>
  </w:style>
  <w:style w:type="paragraph" w:styleId="DocumentMap">
    <w:name w:val="Document Map"/>
    <w:basedOn w:val="Normal"/>
    <w:link w:val="DocumentMapChar"/>
    <w:uiPriority w:val="99"/>
    <w:semiHidden/>
    <w:unhideWhenUsed/>
    <w:rsid w:val="007542FF"/>
    <w:pPr>
      <w:spacing w:before="0"/>
    </w:pPr>
    <w:rPr>
      <w:rFonts w:ascii="Lucida Grande" w:hAnsi="Lucida Grande"/>
    </w:rPr>
  </w:style>
  <w:style w:type="character" w:customStyle="1" w:styleId="DocumentMapChar">
    <w:name w:val="Document Map Char"/>
    <w:link w:val="DocumentMap"/>
    <w:uiPriority w:val="99"/>
    <w:semiHidden/>
    <w:locked/>
    <w:rsid w:val="007542FF"/>
    <w:rPr>
      <w:rFonts w:ascii="Lucida Grande" w:hAnsi="Lucida Grande"/>
      <w:sz w:val="24"/>
    </w:rPr>
  </w:style>
  <w:style w:type="paragraph" w:customStyle="1" w:styleId="BodyTextindentitalic">
    <w:name w:val="Body Text indent italic"/>
    <w:basedOn w:val="BodyText"/>
    <w:qFormat/>
    <w:rsid w:val="002443DC"/>
    <w:pPr>
      <w:numPr>
        <w:numId w:val="15"/>
      </w:numPr>
    </w:pPr>
    <w:rPr>
      <w:i/>
    </w:rPr>
  </w:style>
  <w:style w:type="paragraph" w:customStyle="1" w:styleId="BodyTextitalics">
    <w:name w:val="Body Text italics"/>
    <w:basedOn w:val="BodyText"/>
    <w:qFormat/>
    <w:rsid w:val="00B21D59"/>
    <w:pPr>
      <w:spacing w:before="160"/>
    </w:pPr>
    <w:rPr>
      <w:i/>
    </w:rPr>
  </w:style>
  <w:style w:type="paragraph" w:customStyle="1" w:styleId="TextBox9pt">
    <w:name w:val="Text Box 9pt"/>
    <w:basedOn w:val="Normal"/>
    <w:qFormat/>
    <w:rsid w:val="00B21D59"/>
    <w:pPr>
      <w:spacing w:before="20" w:after="20"/>
      <w:jc w:val="center"/>
    </w:pPr>
    <w:rPr>
      <w:sz w:val="18"/>
      <w:szCs w:val="22"/>
      <w:lang w:val="en-US" w:eastAsia="en-US"/>
    </w:rPr>
  </w:style>
  <w:style w:type="paragraph" w:customStyle="1" w:styleId="Textboxbullets">
    <w:name w:val="Text box bullets"/>
    <w:basedOn w:val="TextBox9pt"/>
    <w:qFormat/>
    <w:rsid w:val="00B21D59"/>
    <w:pPr>
      <w:keepNext/>
      <w:spacing w:before="40" w:after="0"/>
      <w:jc w:val="left"/>
    </w:pPr>
    <w:rPr>
      <w:rFonts w:cs="Angsana New"/>
      <w:sz w:val="14"/>
      <w:lang w:val="en-GB" w:eastAsia="en-GB" w:bidi="th-TH"/>
    </w:rPr>
  </w:style>
  <w:style w:type="paragraph" w:customStyle="1" w:styleId="TextBox11pt">
    <w:name w:val="Text Box 11pt"/>
    <w:basedOn w:val="Normal"/>
    <w:qFormat/>
    <w:rsid w:val="00B21D59"/>
    <w:pPr>
      <w:spacing w:before="20" w:after="20"/>
      <w:jc w:val="center"/>
    </w:pPr>
    <w:rPr>
      <w:sz w:val="20"/>
      <w:szCs w:val="22"/>
      <w:lang w:val="en-US" w:eastAsia="en-US"/>
    </w:rPr>
  </w:style>
  <w:style w:type="paragraph" w:customStyle="1" w:styleId="Bulletslevel2">
    <w:name w:val="Bullets level 2"/>
    <w:basedOn w:val="Bullets"/>
    <w:qFormat/>
    <w:rsid w:val="008C0043"/>
    <w:pPr>
      <w:numPr>
        <w:numId w:val="16"/>
      </w:numPr>
      <w:spacing w:before="40"/>
      <w:ind w:left="709" w:hanging="284"/>
    </w:pPr>
  </w:style>
  <w:style w:type="paragraph" w:customStyle="1" w:styleId="Textboxitalics">
    <w:name w:val="Text box italics"/>
    <w:basedOn w:val="BodyText"/>
    <w:rsid w:val="00B21D59"/>
    <w:pPr>
      <w:spacing w:before="40"/>
    </w:pPr>
    <w:rPr>
      <w:i/>
      <w:sz w:val="18"/>
    </w:rPr>
  </w:style>
  <w:style w:type="paragraph" w:customStyle="1" w:styleId="BodyTextbold">
    <w:name w:val="Body Text bold"/>
    <w:basedOn w:val="BodyText"/>
    <w:qFormat/>
    <w:rsid w:val="00B21D59"/>
    <w:rPr>
      <w:rFonts w:eastAsia="Batang"/>
      <w:b/>
      <w:lang w:eastAsia="ko-KR"/>
    </w:rPr>
  </w:style>
  <w:style w:type="paragraph" w:customStyle="1" w:styleId="Default">
    <w:name w:val="Default"/>
    <w:rsid w:val="00B21D59"/>
    <w:pPr>
      <w:autoSpaceDE w:val="0"/>
      <w:autoSpaceDN w:val="0"/>
      <w:adjustRightInd w:val="0"/>
    </w:pPr>
    <w:rPr>
      <w:rFonts w:ascii="Arial" w:eastAsia="MS ??" w:hAnsi="Arial" w:cs="Arial Narrow"/>
      <w:color w:val="000000"/>
      <w:szCs w:val="24"/>
    </w:rPr>
  </w:style>
  <w:style w:type="paragraph" w:customStyle="1" w:styleId="Attachmentheading1">
    <w:name w:val="Attachment heading 1"/>
    <w:basedOn w:val="Heading1"/>
    <w:qFormat/>
    <w:rsid w:val="002443DC"/>
    <w:pPr>
      <w:keepNext w:val="0"/>
      <w:numPr>
        <w:numId w:val="17"/>
      </w:numPr>
      <w:autoSpaceDE w:val="0"/>
      <w:autoSpaceDN w:val="0"/>
      <w:adjustRightInd w:val="0"/>
      <w:spacing w:before="100" w:after="100" w:line="240" w:lineRule="auto"/>
    </w:pPr>
    <w:rPr>
      <w:b/>
      <w:bCs w:val="0"/>
      <w:smallCaps/>
      <w:noProof w:val="0"/>
      <w:color w:val="auto"/>
      <w:sz w:val="22"/>
      <w:szCs w:val="24"/>
      <w:lang w:eastAsia="en-AU"/>
    </w:rPr>
  </w:style>
  <w:style w:type="paragraph" w:customStyle="1" w:styleId="Tabletext9pt">
    <w:name w:val="Table text 9 pt"/>
    <w:qFormat/>
    <w:rsid w:val="00B21D59"/>
    <w:pPr>
      <w:spacing w:before="40"/>
    </w:pPr>
    <w:rPr>
      <w:rFonts w:ascii="Calibri" w:eastAsia="MS ??" w:hAnsi="Calibri"/>
      <w:sz w:val="18"/>
      <w:szCs w:val="24"/>
      <w:lang w:val="en-GB" w:eastAsia="en-US"/>
    </w:rPr>
  </w:style>
  <w:style w:type="paragraph" w:customStyle="1" w:styleId="Firstsectionheading1">
    <w:name w:val="First section heading 1"/>
    <w:basedOn w:val="Heading1"/>
    <w:qFormat/>
    <w:rsid w:val="002443DC"/>
    <w:pPr>
      <w:pageBreakBefore w:val="0"/>
      <w:spacing w:before="200" w:after="240" w:line="240" w:lineRule="auto"/>
    </w:pPr>
    <w:rPr>
      <w:rFonts w:ascii="Avenir Roman" w:hAnsi="Avenir Roman" w:cs="Times New Roman"/>
      <w:noProof w:val="0"/>
      <w:color w:val="4F81BD"/>
      <w:kern w:val="32"/>
      <w:sz w:val="20"/>
    </w:rPr>
  </w:style>
  <w:style w:type="paragraph" w:customStyle="1" w:styleId="Recommendations">
    <w:name w:val="Recommendations"/>
    <w:basedOn w:val="BodyTextbold"/>
    <w:qFormat/>
    <w:rsid w:val="00B21D59"/>
    <w:pPr>
      <w:shd w:val="clear" w:color="auto" w:fill="B8CCE4"/>
      <w:spacing w:before="180"/>
    </w:pPr>
  </w:style>
  <w:style w:type="paragraph" w:customStyle="1" w:styleId="Attachmentheading2">
    <w:name w:val="Attachment heading 2"/>
    <w:basedOn w:val="Attachmentheading1"/>
    <w:qFormat/>
    <w:rsid w:val="002443DC"/>
  </w:style>
  <w:style w:type="paragraph" w:styleId="BodyTextIndent">
    <w:name w:val="Body Text Indent"/>
    <w:basedOn w:val="Normal"/>
    <w:link w:val="BodyTextIndentChar"/>
    <w:uiPriority w:val="99"/>
    <w:rsid w:val="00B21D59"/>
    <w:pPr>
      <w:spacing w:before="120"/>
      <w:ind w:left="720"/>
      <w:jc w:val="both"/>
    </w:pPr>
    <w:rPr>
      <w:sz w:val="22"/>
      <w:szCs w:val="22"/>
      <w:lang w:val="en-US" w:eastAsia="en-US"/>
    </w:rPr>
  </w:style>
  <w:style w:type="character" w:customStyle="1" w:styleId="BodyTextIndentChar">
    <w:name w:val="Body Text Indent Char"/>
    <w:link w:val="BodyTextIndent"/>
    <w:uiPriority w:val="99"/>
    <w:locked/>
    <w:rsid w:val="00B21D59"/>
    <w:rPr>
      <w:rFonts w:ascii="Calibri" w:hAnsi="Calibri"/>
      <w:sz w:val="22"/>
      <w:lang w:val="en-US" w:eastAsia="en-US"/>
    </w:rPr>
  </w:style>
  <w:style w:type="paragraph" w:customStyle="1" w:styleId="Attachmentheading3">
    <w:name w:val="Attachment heading 3"/>
    <w:basedOn w:val="BodyText"/>
    <w:qFormat/>
    <w:rsid w:val="00B21D59"/>
    <w:rPr>
      <w:b/>
      <w:i/>
      <w:lang w:eastAsia="en-AU"/>
    </w:rPr>
  </w:style>
  <w:style w:type="paragraph" w:customStyle="1" w:styleId="Tablebullets">
    <w:name w:val="Table bullets"/>
    <w:basedOn w:val="Bullets"/>
    <w:qFormat/>
    <w:rsid w:val="002443DC"/>
    <w:pPr>
      <w:numPr>
        <w:numId w:val="19"/>
      </w:numPr>
      <w:tabs>
        <w:tab w:val="num" w:pos="284"/>
      </w:tabs>
      <w:spacing w:before="20"/>
      <w:jc w:val="both"/>
    </w:pPr>
    <w:rPr>
      <w:rFonts w:cs="Angsana New"/>
      <w:color w:val="000000"/>
      <w:szCs w:val="20"/>
      <w:lang w:val="en-AU" w:eastAsia="en-GB" w:bidi="th-TH"/>
    </w:rPr>
  </w:style>
  <w:style w:type="paragraph" w:customStyle="1" w:styleId="TableText10ptitalics">
    <w:name w:val="Table Text 10 pt italics"/>
    <w:basedOn w:val="TableText10pt"/>
    <w:qFormat/>
    <w:rsid w:val="00B21D59"/>
    <w:rPr>
      <w:i/>
      <w:sz w:val="20"/>
      <w:szCs w:val="20"/>
      <w:lang w:eastAsia="en-AU"/>
    </w:rPr>
  </w:style>
  <w:style w:type="paragraph" w:customStyle="1" w:styleId="BodyTextnumbered">
    <w:name w:val="Body Text numbered"/>
    <w:basedOn w:val="BodyText"/>
    <w:qFormat/>
    <w:rsid w:val="00B21D59"/>
    <w:pPr>
      <w:spacing w:before="60"/>
    </w:pPr>
    <w:rPr>
      <w:rFonts w:eastAsia="Batang"/>
      <w:lang w:eastAsia="ko-KR"/>
    </w:rPr>
  </w:style>
  <w:style w:type="paragraph" w:customStyle="1" w:styleId="Subheading">
    <w:name w:val="Sub heading"/>
    <w:basedOn w:val="Heading3"/>
    <w:qFormat/>
    <w:rsid w:val="002443DC"/>
    <w:pPr>
      <w:spacing w:before="240" w:after="60"/>
      <w:ind w:left="0" w:firstLine="0"/>
    </w:pPr>
    <w:rPr>
      <w:rFonts w:eastAsia="MS ????" w:cs="Times New Roman"/>
      <w:b/>
      <w:i/>
      <w:color w:val="auto"/>
      <w:sz w:val="20"/>
      <w:lang w:val="en-GB" w:eastAsia="en-US"/>
    </w:rPr>
  </w:style>
  <w:style w:type="paragraph" w:customStyle="1" w:styleId="Tabletext9ptindent">
    <w:name w:val="Table text 9 pt indent"/>
    <w:basedOn w:val="BodyText"/>
    <w:qFormat/>
    <w:rsid w:val="00B21D59"/>
    <w:pPr>
      <w:keepNext/>
      <w:spacing w:before="40"/>
    </w:pPr>
    <w:rPr>
      <w:sz w:val="18"/>
    </w:rPr>
  </w:style>
  <w:style w:type="paragraph" w:customStyle="1" w:styleId="Textbox9ptindentitalics">
    <w:name w:val="Text box 9pt indent italics"/>
    <w:basedOn w:val="TextBox9pt"/>
    <w:qFormat/>
    <w:rsid w:val="00B21D59"/>
    <w:pPr>
      <w:keepNext/>
      <w:spacing w:before="60" w:after="0"/>
      <w:jc w:val="both"/>
    </w:pPr>
    <w:rPr>
      <w:rFonts w:cs="Angsana New"/>
      <w:i/>
      <w:lang w:val="en-GB" w:eastAsia="en-GB" w:bidi="th-TH"/>
    </w:rPr>
  </w:style>
  <w:style w:type="paragraph" w:customStyle="1" w:styleId="Textbox9pt0">
    <w:name w:val="Text box 9pt"/>
    <w:basedOn w:val="BodyText"/>
    <w:qFormat/>
    <w:rsid w:val="00B21D59"/>
    <w:pPr>
      <w:spacing w:before="60"/>
    </w:pPr>
    <w:rPr>
      <w:sz w:val="18"/>
    </w:rPr>
  </w:style>
  <w:style w:type="paragraph" w:customStyle="1" w:styleId="TableText1">
    <w:name w:val="Table Text"/>
    <w:basedOn w:val="TableText10pt"/>
    <w:qFormat/>
    <w:rsid w:val="00B21D59"/>
    <w:pPr>
      <w:spacing w:before="40"/>
    </w:pPr>
    <w:rPr>
      <w:rFonts w:ascii="Cambria" w:hAnsi="Cambria" w:cs="Times New Roman"/>
      <w:szCs w:val="20"/>
    </w:rPr>
  </w:style>
  <w:style w:type="paragraph" w:customStyle="1" w:styleId="Textbox10ptcentered">
    <w:name w:val="Text box 10 pt centered"/>
    <w:basedOn w:val="TextBox9pt"/>
    <w:qFormat/>
    <w:rsid w:val="00B21D59"/>
    <w:rPr>
      <w:sz w:val="20"/>
      <w:szCs w:val="20"/>
      <w:lang w:val="en-NZ" w:eastAsia="ko-KR"/>
    </w:rPr>
  </w:style>
  <w:style w:type="paragraph" w:customStyle="1" w:styleId="Heading1notnumbered">
    <w:name w:val="Heading 1 not numbered"/>
    <w:basedOn w:val="Heading1"/>
    <w:qFormat/>
    <w:rsid w:val="002443DC"/>
    <w:pPr>
      <w:numPr>
        <w:numId w:val="0"/>
      </w:numPr>
    </w:pPr>
  </w:style>
  <w:style w:type="paragraph" w:customStyle="1" w:styleId="Tabletext8pt">
    <w:name w:val="Table text 8 pt"/>
    <w:basedOn w:val="Tabletext9pt"/>
    <w:qFormat/>
    <w:rsid w:val="00B21D59"/>
    <w:rPr>
      <w:b/>
      <w:bCs/>
      <w:color w:val="365F91"/>
      <w:sz w:val="16"/>
      <w:szCs w:val="22"/>
    </w:rPr>
  </w:style>
  <w:style w:type="paragraph" w:customStyle="1" w:styleId="Textbox7pt">
    <w:name w:val="Text box 7 pt"/>
    <w:basedOn w:val="Normal"/>
    <w:qFormat/>
    <w:rsid w:val="00B21D59"/>
    <w:pPr>
      <w:spacing w:before="20"/>
    </w:pPr>
    <w:rPr>
      <w:rFonts w:ascii="Arial" w:hAnsi="Arial"/>
      <w:sz w:val="14"/>
      <w:szCs w:val="22"/>
      <w:lang w:val="en-US"/>
    </w:rPr>
  </w:style>
  <w:style w:type="paragraph" w:customStyle="1" w:styleId="Tablebullets2">
    <w:name w:val="Table bullets 2"/>
    <w:qFormat/>
    <w:rsid w:val="002443DC"/>
    <w:pPr>
      <w:numPr>
        <w:ilvl w:val="1"/>
        <w:numId w:val="18"/>
      </w:numPr>
    </w:pPr>
    <w:rPr>
      <w:rFonts w:ascii="Calibri" w:eastAsia="MS ??" w:hAnsi="Calibri" w:cs="Angsana New"/>
      <w:color w:val="000000"/>
      <w:lang w:eastAsia="en-GB" w:bidi="th-TH"/>
    </w:rPr>
  </w:style>
  <w:style w:type="paragraph" w:customStyle="1" w:styleId="Textbox8ptcentred">
    <w:name w:val="Text box 8 pt centred"/>
    <w:qFormat/>
    <w:rsid w:val="00B21D59"/>
    <w:pPr>
      <w:spacing w:after="200"/>
      <w:jc w:val="center"/>
    </w:pPr>
    <w:rPr>
      <w:rFonts w:ascii="Arial" w:eastAsia="MS ??" w:hAnsi="Arial"/>
      <w:sz w:val="16"/>
      <w:szCs w:val="22"/>
      <w:lang w:val="en-US" w:eastAsia="ja-JP"/>
    </w:rPr>
  </w:style>
  <w:style w:type="paragraph" w:customStyle="1" w:styleId="Textbox8ptbullts">
    <w:name w:val="Text box 8 pt bullts"/>
    <w:basedOn w:val="Textboxbullets"/>
    <w:qFormat/>
    <w:rsid w:val="002443DC"/>
    <w:pPr>
      <w:numPr>
        <w:numId w:val="20"/>
      </w:numPr>
      <w:spacing w:before="20"/>
    </w:pPr>
    <w:rPr>
      <w:rFonts w:ascii="Arial" w:hAnsi="Arial"/>
      <w:color w:val="000000"/>
      <w:sz w:val="16"/>
    </w:rPr>
  </w:style>
  <w:style w:type="paragraph" w:customStyle="1" w:styleId="Textbox8pt">
    <w:name w:val="Text box 8pt"/>
    <w:basedOn w:val="Normal"/>
    <w:qFormat/>
    <w:rsid w:val="00B21D59"/>
    <w:rPr>
      <w:rFonts w:ascii="Arial" w:hAnsi="Arial"/>
      <w:sz w:val="16"/>
      <w:szCs w:val="22"/>
      <w:lang w:val="en-US" w:eastAsia="en-US"/>
    </w:rPr>
  </w:style>
  <w:style w:type="paragraph" w:customStyle="1" w:styleId="Leveli">
    <w:name w:val="Level (i)"/>
    <w:basedOn w:val="Normal"/>
    <w:rsid w:val="002443DC"/>
    <w:pPr>
      <w:numPr>
        <w:numId w:val="21"/>
      </w:numPr>
      <w:spacing w:before="120"/>
      <w:jc w:val="both"/>
    </w:pPr>
    <w:rPr>
      <w:rFonts w:ascii="Arial" w:hAnsi="Arial" w:cs="Arial"/>
      <w:sz w:val="20"/>
      <w:szCs w:val="22"/>
    </w:rPr>
  </w:style>
  <w:style w:type="paragraph" w:customStyle="1" w:styleId="Textbox">
    <w:name w:val="Text box"/>
    <w:basedOn w:val="NormalWeb"/>
    <w:qFormat/>
    <w:rsid w:val="004748DD"/>
    <w:pPr>
      <w:spacing w:before="0" w:beforeAutospacing="0" w:after="0" w:afterAutospacing="0"/>
      <w:jc w:val="center"/>
    </w:pPr>
    <w:rPr>
      <w:rFonts w:ascii="Arial" w:hAnsi="Arial" w:cs="Arial"/>
      <w:color w:val="000000"/>
      <w:kern w:val="24"/>
      <w:sz w:val="18"/>
      <w:szCs w:val="18"/>
    </w:rPr>
  </w:style>
  <w:style w:type="character" w:customStyle="1" w:styleId="Hyperlink0">
    <w:name w:val="Hyperlink.0"/>
    <w:rsid w:val="00B21D59"/>
    <w:rPr>
      <w:sz w:val="18"/>
      <w:u w:val="single"/>
    </w:rPr>
  </w:style>
  <w:style w:type="paragraph" w:customStyle="1" w:styleId="Footnote">
    <w:name w:val="Footnote"/>
    <w:basedOn w:val="FootnoteText"/>
    <w:rsid w:val="000A277E"/>
  </w:style>
  <w:style w:type="paragraph" w:customStyle="1" w:styleId="Figuresource">
    <w:name w:val="Figure source"/>
    <w:basedOn w:val="QuoteSource"/>
    <w:qFormat/>
    <w:rsid w:val="00AF1D82"/>
    <w:pPr>
      <w:spacing w:before="0" w:after="200"/>
      <w:ind w:left="0"/>
      <w:jc w:val="left"/>
    </w:pPr>
    <w:rPr>
      <w:sz w:val="16"/>
      <w:szCs w:val="16"/>
    </w:rPr>
  </w:style>
  <w:style w:type="paragraph" w:customStyle="1" w:styleId="PullQuotesource">
    <w:name w:val="PullQuote source"/>
    <w:basedOn w:val="PullQuote"/>
    <w:qFormat/>
    <w:rsid w:val="00BE3E92"/>
    <w:pPr>
      <w:spacing w:before="0"/>
      <w:jc w:val="right"/>
    </w:pPr>
    <w:rPr>
      <w:i w:val="0"/>
      <w:sz w:val="18"/>
      <w:szCs w:val="18"/>
      <w:lang w:val="en-GB"/>
    </w:rPr>
  </w:style>
  <w:style w:type="paragraph" w:customStyle="1" w:styleId="Profiletext">
    <w:name w:val="Profile text"/>
    <w:qFormat/>
    <w:rsid w:val="00FE6C9E"/>
    <w:pPr>
      <w:spacing w:after="120"/>
    </w:pPr>
    <w:rPr>
      <w:rFonts w:ascii="Franklin Gothic Book" w:hAnsi="Franklin Gothic Book"/>
      <w:noProof/>
      <w:sz w:val="21"/>
      <w:lang w:val="en-US" w:eastAsia="en-US"/>
    </w:rPr>
  </w:style>
  <w:style w:type="paragraph" w:customStyle="1" w:styleId="Profilequote">
    <w:name w:val="Profile quote"/>
    <w:basedOn w:val="Profiletext"/>
    <w:qFormat/>
    <w:rsid w:val="00EB09AE"/>
    <w:pPr>
      <w:ind w:left="284"/>
    </w:pPr>
    <w:rPr>
      <w:i/>
    </w:rPr>
  </w:style>
  <w:style w:type="paragraph" w:customStyle="1" w:styleId="AppendixHeading1">
    <w:name w:val="Appendix Heading 1"/>
    <w:basedOn w:val="SectionTitle"/>
    <w:qFormat/>
    <w:rsid w:val="002443DC"/>
    <w:pPr>
      <w:numPr>
        <w:numId w:val="28"/>
      </w:numPr>
    </w:pPr>
    <w:rPr>
      <w:noProof/>
    </w:rPr>
  </w:style>
  <w:style w:type="paragraph" w:customStyle="1" w:styleId="BodyText1">
    <w:name w:val="Body Text1"/>
    <w:basedOn w:val="BodyText"/>
    <w:link w:val="BodyText1Char"/>
    <w:rsid w:val="003A4301"/>
  </w:style>
  <w:style w:type="paragraph" w:customStyle="1" w:styleId="Bullet-numbered">
    <w:name w:val="Bullet - numbered"/>
    <w:basedOn w:val="BodyText1"/>
    <w:rsid w:val="003A4301"/>
    <w:pPr>
      <w:numPr>
        <w:numId w:val="33"/>
      </w:numPr>
    </w:pPr>
  </w:style>
  <w:style w:type="paragraph" w:customStyle="1" w:styleId="Bulletnumbered">
    <w:name w:val="Bullet numbered"/>
    <w:basedOn w:val="BodyText1"/>
    <w:rsid w:val="003A4301"/>
    <w:pPr>
      <w:numPr>
        <w:numId w:val="31"/>
      </w:numPr>
    </w:pPr>
  </w:style>
  <w:style w:type="paragraph" w:customStyle="1" w:styleId="Bulletnumberedindented">
    <w:name w:val="Bullet numbered indented"/>
    <w:basedOn w:val="Bulletnumbered"/>
    <w:rsid w:val="00662DA0"/>
    <w:pPr>
      <w:numPr>
        <w:ilvl w:val="2"/>
      </w:numPr>
      <w:tabs>
        <w:tab w:val="clear" w:pos="2160"/>
        <w:tab w:val="num" w:pos="1134"/>
      </w:tabs>
      <w:ind w:left="1134" w:hanging="425"/>
    </w:pPr>
    <w:rPr>
      <w:rFonts w:ascii="Franklin Gothic Book" w:hAnsi="Franklin Gothic Book"/>
      <w:sz w:val="21"/>
      <w:szCs w:val="20"/>
      <w:lang w:val="en-AU" w:eastAsia="en-AU"/>
    </w:rPr>
  </w:style>
  <w:style w:type="paragraph" w:customStyle="1" w:styleId="Tablerowheading">
    <w:name w:val="Table row heading"/>
    <w:basedOn w:val="TableText"/>
    <w:rsid w:val="007B6A59"/>
  </w:style>
  <w:style w:type="paragraph" w:customStyle="1" w:styleId="BulletItalic">
    <w:name w:val="Bullet + Italic"/>
    <w:basedOn w:val="Bullet"/>
    <w:rsid w:val="006C7942"/>
    <w:rPr>
      <w:i/>
      <w:iCs/>
    </w:rPr>
  </w:style>
  <w:style w:type="paragraph" w:customStyle="1" w:styleId="Recommendationtextnumbered0">
    <w:name w:val="Recommendation text numbered"/>
    <w:basedOn w:val="RecommendationText"/>
    <w:rsid w:val="001812CC"/>
    <w:pPr>
      <w:tabs>
        <w:tab w:val="num" w:pos="360"/>
      </w:tabs>
      <w:ind w:left="360" w:hanging="360"/>
    </w:pPr>
  </w:style>
  <w:style w:type="paragraph" w:customStyle="1" w:styleId="RecommendationTextnumbered">
    <w:name w:val="RecommendationTextnumbered"/>
    <w:basedOn w:val="RecommendationText"/>
    <w:rsid w:val="001812CC"/>
    <w:pPr>
      <w:numPr>
        <w:numId w:val="32"/>
      </w:numPr>
    </w:pPr>
  </w:style>
  <w:style w:type="paragraph" w:styleId="BlockText">
    <w:name w:val="Block Text"/>
    <w:basedOn w:val="Normal"/>
    <w:uiPriority w:val="99"/>
    <w:rsid w:val="00C17F60"/>
    <w:pPr>
      <w:spacing w:after="120"/>
      <w:ind w:left="1440" w:right="1440"/>
    </w:pPr>
  </w:style>
  <w:style w:type="numbering" w:customStyle="1" w:styleId="List6">
    <w:name w:val="List 6"/>
    <w:rsid w:val="00335ED4"/>
    <w:pPr>
      <w:numPr>
        <w:numId w:val="26"/>
      </w:numPr>
    </w:pPr>
  </w:style>
  <w:style w:type="numbering" w:customStyle="1" w:styleId="List31">
    <w:name w:val="List 31"/>
    <w:rsid w:val="00335ED4"/>
    <w:pPr>
      <w:numPr>
        <w:numId w:val="23"/>
      </w:numPr>
    </w:pPr>
  </w:style>
  <w:style w:type="numbering" w:customStyle="1" w:styleId="List51">
    <w:name w:val="List 51"/>
    <w:rsid w:val="00335ED4"/>
    <w:pPr>
      <w:numPr>
        <w:numId w:val="25"/>
      </w:numPr>
    </w:pPr>
  </w:style>
  <w:style w:type="numbering" w:customStyle="1" w:styleId="List21">
    <w:name w:val="List 21"/>
    <w:rsid w:val="00335ED4"/>
    <w:pPr>
      <w:numPr>
        <w:numId w:val="22"/>
      </w:numPr>
    </w:pPr>
  </w:style>
  <w:style w:type="numbering" w:customStyle="1" w:styleId="List7">
    <w:name w:val="List 7"/>
    <w:rsid w:val="00335ED4"/>
    <w:pPr>
      <w:numPr>
        <w:numId w:val="27"/>
      </w:numPr>
    </w:pPr>
  </w:style>
  <w:style w:type="numbering" w:customStyle="1" w:styleId="List41">
    <w:name w:val="List 41"/>
    <w:rsid w:val="00335ED4"/>
    <w:pPr>
      <w:numPr>
        <w:numId w:val="24"/>
      </w:numPr>
    </w:pPr>
  </w:style>
  <w:style w:type="character" w:customStyle="1" w:styleId="BodyText1Char">
    <w:name w:val="Body Text1 Char"/>
    <w:link w:val="BodyText1"/>
    <w:rsid w:val="0053516B"/>
    <w:rPr>
      <w:rFonts w:ascii="Calibri" w:hAnsi="Calibri"/>
      <w:sz w:val="24"/>
      <w:szCs w:val="24"/>
      <w:lang w:val="en-US" w:eastAsia="ja-JP" w:bidi="ar-SA"/>
    </w:rPr>
  </w:style>
  <w:style w:type="character" w:customStyle="1" w:styleId="BulletChar">
    <w:name w:val="Bullet Char"/>
    <w:link w:val="Bullet"/>
    <w:rsid w:val="0043784F"/>
    <w:rPr>
      <w:rFonts w:ascii="Calibri" w:hAnsi="Calibri"/>
      <w:sz w:val="24"/>
    </w:rPr>
  </w:style>
  <w:style w:type="paragraph" w:customStyle="1" w:styleId="Body">
    <w:name w:val="Body"/>
    <w:basedOn w:val="Normal"/>
    <w:qFormat/>
    <w:rsid w:val="00C30306"/>
    <w:pPr>
      <w:widowControl w:val="0"/>
      <w:spacing w:before="0" w:line="250" w:lineRule="atLeast"/>
    </w:pPr>
    <w:rPr>
      <w:rFonts w:ascii="Cambria" w:hAnsi="Cambria"/>
      <w:color w:val="000000"/>
      <w:sz w:val="22"/>
      <w:lang w:val="en-US" w:eastAsia="en-US"/>
    </w:rPr>
  </w:style>
  <w:style w:type="paragraph" w:customStyle="1" w:styleId="Bodybullet">
    <w:name w:val="Body : bullet"/>
    <w:basedOn w:val="Normal"/>
    <w:rsid w:val="00C30306"/>
    <w:pPr>
      <w:widowControl w:val="0"/>
      <w:suppressAutoHyphens/>
      <w:autoSpaceDE w:val="0"/>
      <w:autoSpaceDN w:val="0"/>
      <w:adjustRightInd w:val="0"/>
      <w:spacing w:before="0" w:after="57" w:line="260" w:lineRule="atLeast"/>
      <w:ind w:left="283" w:hanging="283"/>
      <w:textAlignment w:val="center"/>
    </w:pPr>
    <w:rPr>
      <w:rFonts w:ascii="MetaSerif-Book" w:hAnsi="MetaSerif-Book" w:cs="MetaSerif-Book"/>
      <w:color w:val="000000"/>
      <w:sz w:val="20"/>
      <w:lang w:val="en-GB" w:eastAsia="en-US"/>
    </w:rPr>
  </w:style>
  <w:style w:type="paragraph" w:customStyle="1" w:styleId="Footnotetext0">
    <w:name w:val="Footnote : text"/>
    <w:basedOn w:val="Normal"/>
    <w:rsid w:val="00C30306"/>
    <w:pPr>
      <w:widowControl w:val="0"/>
      <w:suppressAutoHyphens/>
      <w:autoSpaceDE w:val="0"/>
      <w:autoSpaceDN w:val="0"/>
      <w:adjustRightInd w:val="0"/>
      <w:spacing w:before="0" w:line="200" w:lineRule="atLeast"/>
      <w:ind w:left="312" w:hanging="312"/>
      <w:textAlignment w:val="center"/>
    </w:pPr>
    <w:rPr>
      <w:rFonts w:ascii="Cambria" w:hAnsi="Cambria" w:cs="MetaSerif-Book"/>
      <w:color w:val="000000"/>
      <w:sz w:val="16"/>
      <w:szCs w:val="16"/>
      <w:lang w:val="en-GB" w:eastAsia="en-US"/>
    </w:rPr>
  </w:style>
  <w:style w:type="paragraph" w:customStyle="1" w:styleId="Bodynumberedindent">
    <w:name w:val="Body numbered indent"/>
    <w:basedOn w:val="Body"/>
    <w:qFormat/>
    <w:rsid w:val="00C30306"/>
    <w:pPr>
      <w:numPr>
        <w:numId w:val="37"/>
      </w:numPr>
    </w:pPr>
  </w:style>
  <w:style w:type="paragraph" w:customStyle="1" w:styleId="Implicaion">
    <w:name w:val="Implicaion"/>
    <w:basedOn w:val="ListParagraph"/>
    <w:link w:val="ImplicaionChar"/>
    <w:qFormat/>
    <w:rsid w:val="00872247"/>
    <w:pPr>
      <w:numPr>
        <w:numId w:val="38"/>
      </w:numPr>
      <w:spacing w:before="0" w:line="259" w:lineRule="auto"/>
    </w:pPr>
    <w:rPr>
      <w:sz w:val="22"/>
      <w:szCs w:val="22"/>
      <w:lang w:eastAsia="en-US"/>
    </w:rPr>
  </w:style>
  <w:style w:type="paragraph" w:customStyle="1" w:styleId="Bulletindent">
    <w:name w:val="Bullet indent"/>
    <w:basedOn w:val="Bullet"/>
    <w:link w:val="BulletindentChar"/>
    <w:qFormat/>
    <w:rsid w:val="00FB3947"/>
    <w:pPr>
      <w:numPr>
        <w:ilvl w:val="1"/>
      </w:numPr>
      <w:tabs>
        <w:tab w:val="clear" w:pos="1440"/>
        <w:tab w:val="num" w:pos="851"/>
      </w:tabs>
      <w:ind w:left="851" w:hanging="425"/>
    </w:pPr>
  </w:style>
  <w:style w:type="character" w:customStyle="1" w:styleId="ImplicaionChar">
    <w:name w:val="Implicaion Char"/>
    <w:link w:val="Implicaion"/>
    <w:rsid w:val="00872247"/>
    <w:rPr>
      <w:rFonts w:ascii="Calibri" w:hAnsi="Calibri"/>
      <w:sz w:val="22"/>
      <w:szCs w:val="22"/>
      <w:lang w:eastAsia="en-US"/>
    </w:rPr>
  </w:style>
  <w:style w:type="character" w:customStyle="1" w:styleId="BulletindentChar">
    <w:name w:val="Bullet indent Char"/>
    <w:link w:val="Bulletindent"/>
    <w:rsid w:val="00FB3947"/>
    <w:rPr>
      <w:rFonts w:ascii="Calibri" w:hAnsi="Calibri"/>
      <w:sz w:val="24"/>
    </w:rPr>
  </w:style>
  <w:style w:type="character" w:customStyle="1" w:styleId="ListParagraphChar">
    <w:name w:val="List Paragraph Char"/>
    <w:link w:val="ListParagraph"/>
    <w:uiPriority w:val="34"/>
    <w:rsid w:val="0093435D"/>
    <w:rPr>
      <w:rFonts w:ascii="Calibri" w:hAnsi="Calibri"/>
      <w:sz w:val="24"/>
      <w:szCs w:val="24"/>
      <w:lang w:eastAsia="ja-JP"/>
    </w:rPr>
  </w:style>
  <w:style w:type="paragraph" w:styleId="TOCHeading">
    <w:name w:val="TOC Heading"/>
    <w:basedOn w:val="Heading1"/>
    <w:next w:val="Normal"/>
    <w:uiPriority w:val="39"/>
    <w:unhideWhenUsed/>
    <w:qFormat/>
    <w:rsid w:val="000510B7"/>
    <w:pPr>
      <w:keepLines/>
      <w:pageBreakBefore w:val="0"/>
      <w:numPr>
        <w:numId w:val="0"/>
      </w:numPr>
      <w:spacing w:before="240" w:after="0" w:line="259" w:lineRule="auto"/>
      <w:outlineLvl w:val="9"/>
    </w:pPr>
    <w:rPr>
      <w:rFonts w:ascii="Calibri Light" w:hAnsi="Calibri Light" w:cs="Times New Roman"/>
      <w:bCs w:val="0"/>
      <w:noProof w:val="0"/>
      <w:color w:val="2E74B5"/>
      <w:sz w:val="32"/>
    </w:rPr>
  </w:style>
  <w:style w:type="paragraph" w:customStyle="1" w:styleId="Recommendation">
    <w:name w:val="Recommendation"/>
    <w:basedOn w:val="Normal"/>
    <w:link w:val="RecommendationChar"/>
    <w:qFormat/>
    <w:rsid w:val="00521F23"/>
    <w:rPr>
      <w:i/>
    </w:rPr>
  </w:style>
  <w:style w:type="table" w:customStyle="1" w:styleId="GridTable1Light-Accent51">
    <w:name w:val="Grid Table 1 Light - Accent 51"/>
    <w:basedOn w:val="TableNormal"/>
    <w:uiPriority w:val="46"/>
    <w:rsid w:val="006932EE"/>
    <w:rPr>
      <w:rFonts w:ascii="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RecommendationChar">
    <w:name w:val="Recommendation Char"/>
    <w:link w:val="Recommendation"/>
    <w:rsid w:val="00521F23"/>
    <w:rPr>
      <w:rFonts w:ascii="Calibri" w:hAnsi="Calibri"/>
      <w:i/>
      <w:sz w:val="24"/>
      <w:szCs w:val="24"/>
      <w:lang w:eastAsia="ja-JP"/>
    </w:rPr>
  </w:style>
  <w:style w:type="paragraph" w:customStyle="1" w:styleId="ClauseLevel1">
    <w:name w:val="Clause Level 1"/>
    <w:next w:val="ClauseLevel2"/>
    <w:link w:val="ClauseLevel1Char"/>
    <w:rsid w:val="00715C23"/>
    <w:pPr>
      <w:keepNext/>
      <w:numPr>
        <w:numId w:val="44"/>
      </w:numPr>
      <w:pBdr>
        <w:bottom w:val="single" w:sz="2" w:space="0" w:color="auto"/>
      </w:pBdr>
      <w:spacing w:before="200" w:line="280" w:lineRule="atLeast"/>
      <w:outlineLvl w:val="0"/>
    </w:pPr>
    <w:rPr>
      <w:rFonts w:ascii="Arial" w:hAnsi="Arial"/>
      <w:b/>
      <w:sz w:val="22"/>
    </w:rPr>
  </w:style>
  <w:style w:type="paragraph" w:customStyle="1" w:styleId="ClauseLevel2">
    <w:name w:val="Clause Level 2"/>
    <w:next w:val="ClauseLevel3"/>
    <w:link w:val="ClauseLevel2Char"/>
    <w:rsid w:val="00715C23"/>
    <w:pPr>
      <w:keepNext/>
      <w:numPr>
        <w:ilvl w:val="1"/>
        <w:numId w:val="44"/>
      </w:numPr>
      <w:spacing w:before="200" w:line="280" w:lineRule="atLeast"/>
      <w:outlineLvl w:val="1"/>
    </w:pPr>
    <w:rPr>
      <w:rFonts w:ascii="Arial" w:hAnsi="Arial"/>
      <w:b/>
      <w:sz w:val="22"/>
    </w:rPr>
  </w:style>
  <w:style w:type="paragraph" w:customStyle="1" w:styleId="ClauseLevel3">
    <w:name w:val="Clause Level 3"/>
    <w:rsid w:val="00715C23"/>
    <w:pPr>
      <w:numPr>
        <w:ilvl w:val="2"/>
        <w:numId w:val="44"/>
      </w:numPr>
      <w:spacing w:before="140" w:after="140" w:line="280" w:lineRule="atLeast"/>
      <w:outlineLvl w:val="2"/>
    </w:pPr>
    <w:rPr>
      <w:rFonts w:ascii="Arial" w:hAnsi="Arial"/>
      <w:sz w:val="22"/>
    </w:rPr>
  </w:style>
  <w:style w:type="paragraph" w:customStyle="1" w:styleId="ClauseLevel4">
    <w:name w:val="Clause Level 4"/>
    <w:link w:val="ClauseLevel4Char"/>
    <w:rsid w:val="00715C23"/>
    <w:pPr>
      <w:numPr>
        <w:ilvl w:val="3"/>
        <w:numId w:val="44"/>
      </w:numPr>
      <w:spacing w:after="140" w:line="280" w:lineRule="atLeast"/>
      <w:outlineLvl w:val="3"/>
    </w:pPr>
    <w:rPr>
      <w:rFonts w:ascii="Arial" w:hAnsi="Arial"/>
      <w:sz w:val="22"/>
    </w:rPr>
  </w:style>
  <w:style w:type="paragraph" w:customStyle="1" w:styleId="ClauseLevel5">
    <w:name w:val="Clause Level 5"/>
    <w:link w:val="ClauseLevel5Char"/>
    <w:rsid w:val="00715C23"/>
    <w:pPr>
      <w:numPr>
        <w:ilvl w:val="4"/>
        <w:numId w:val="44"/>
      </w:numPr>
      <w:spacing w:after="140" w:line="280" w:lineRule="atLeast"/>
      <w:outlineLvl w:val="4"/>
    </w:pPr>
    <w:rPr>
      <w:rFonts w:ascii="Arial" w:hAnsi="Arial"/>
      <w:sz w:val="22"/>
    </w:rPr>
  </w:style>
  <w:style w:type="paragraph" w:customStyle="1" w:styleId="ClauseLevel6">
    <w:name w:val="Clause Level 6"/>
    <w:rsid w:val="00715C23"/>
    <w:pPr>
      <w:numPr>
        <w:ilvl w:val="5"/>
        <w:numId w:val="44"/>
      </w:numPr>
      <w:spacing w:after="140" w:line="280" w:lineRule="atLeast"/>
    </w:pPr>
    <w:rPr>
      <w:rFonts w:ascii="Arial" w:hAnsi="Arial" w:cs="Arial"/>
      <w:sz w:val="22"/>
      <w:szCs w:val="22"/>
    </w:rPr>
  </w:style>
  <w:style w:type="paragraph" w:customStyle="1" w:styleId="ClauseLevel7">
    <w:name w:val="Clause Level 7"/>
    <w:basedOn w:val="ClauseLevel4"/>
    <w:next w:val="ClauseLevel5"/>
    <w:semiHidden/>
    <w:rsid w:val="00715C23"/>
    <w:pPr>
      <w:numPr>
        <w:ilvl w:val="6"/>
      </w:numPr>
      <w:tabs>
        <w:tab w:val="clear" w:pos="1985"/>
        <w:tab w:val="num" w:pos="360"/>
      </w:tabs>
      <w:ind w:left="360" w:hanging="360"/>
    </w:pPr>
  </w:style>
  <w:style w:type="paragraph" w:customStyle="1" w:styleId="ClauseLevel8">
    <w:name w:val="Clause Level 8"/>
    <w:basedOn w:val="ClauseLevel4"/>
    <w:next w:val="ClauseLevel5"/>
    <w:semiHidden/>
    <w:rsid w:val="00715C23"/>
    <w:pPr>
      <w:numPr>
        <w:ilvl w:val="7"/>
      </w:numPr>
      <w:tabs>
        <w:tab w:val="clear" w:pos="1985"/>
        <w:tab w:val="num" w:pos="360"/>
      </w:tabs>
      <w:ind w:left="360" w:hanging="360"/>
    </w:pPr>
  </w:style>
  <w:style w:type="paragraph" w:customStyle="1" w:styleId="ClauseLevel9">
    <w:name w:val="Clause Level 9"/>
    <w:basedOn w:val="ClauseLevel4"/>
    <w:next w:val="ClauseLevel5"/>
    <w:semiHidden/>
    <w:rsid w:val="00715C23"/>
    <w:pPr>
      <w:numPr>
        <w:ilvl w:val="8"/>
      </w:numPr>
      <w:tabs>
        <w:tab w:val="clear" w:pos="1985"/>
        <w:tab w:val="num" w:pos="360"/>
      </w:tabs>
      <w:ind w:left="360" w:hanging="360"/>
    </w:pPr>
  </w:style>
  <w:style w:type="character" w:customStyle="1" w:styleId="ClauseLevel1Char">
    <w:name w:val="Clause Level 1 Char"/>
    <w:link w:val="ClauseLevel1"/>
    <w:locked/>
    <w:rsid w:val="00715C23"/>
    <w:rPr>
      <w:rFonts w:ascii="Arial" w:hAnsi="Arial"/>
      <w:b/>
      <w:sz w:val="22"/>
    </w:rPr>
  </w:style>
  <w:style w:type="character" w:customStyle="1" w:styleId="ClauseLevel2Char">
    <w:name w:val="Clause Level 2 Char"/>
    <w:link w:val="ClauseLevel2"/>
    <w:locked/>
    <w:rsid w:val="00715C23"/>
    <w:rPr>
      <w:rFonts w:ascii="Arial" w:hAnsi="Arial"/>
      <w:b/>
      <w:sz w:val="22"/>
    </w:rPr>
  </w:style>
  <w:style w:type="character" w:customStyle="1" w:styleId="ClauseLevel4Char">
    <w:name w:val="Clause Level 4 Char"/>
    <w:link w:val="ClauseLevel4"/>
    <w:locked/>
    <w:rsid w:val="00715C23"/>
    <w:rPr>
      <w:rFonts w:ascii="Arial" w:hAnsi="Arial"/>
      <w:sz w:val="22"/>
    </w:rPr>
  </w:style>
  <w:style w:type="character" w:customStyle="1" w:styleId="ClauseLevel5Char">
    <w:name w:val="Clause Level 5 Char"/>
    <w:link w:val="ClauseLevel5"/>
    <w:locked/>
    <w:rsid w:val="00715C23"/>
    <w:rPr>
      <w:rFonts w:ascii="Arial" w:hAnsi="Arial"/>
      <w:sz w:val="22"/>
    </w:rPr>
  </w:style>
  <w:style w:type="paragraph" w:styleId="Revision">
    <w:name w:val="Revision"/>
    <w:hidden/>
    <w:uiPriority w:val="99"/>
    <w:semiHidden/>
    <w:rsid w:val="00C054A6"/>
    <w:rPr>
      <w:rFonts w:ascii="Calibri" w:hAnsi="Calibr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53602">
      <w:bodyDiv w:val="1"/>
      <w:marLeft w:val="0"/>
      <w:marRight w:val="0"/>
      <w:marTop w:val="0"/>
      <w:marBottom w:val="0"/>
      <w:divBdr>
        <w:top w:val="none" w:sz="0" w:space="0" w:color="auto"/>
        <w:left w:val="none" w:sz="0" w:space="0" w:color="auto"/>
        <w:bottom w:val="none" w:sz="0" w:space="0" w:color="auto"/>
        <w:right w:val="none" w:sz="0" w:space="0" w:color="auto"/>
      </w:divBdr>
    </w:div>
    <w:div w:id="1099720964">
      <w:marLeft w:val="0"/>
      <w:marRight w:val="0"/>
      <w:marTop w:val="0"/>
      <w:marBottom w:val="0"/>
      <w:divBdr>
        <w:top w:val="none" w:sz="0" w:space="0" w:color="auto"/>
        <w:left w:val="none" w:sz="0" w:space="0" w:color="auto"/>
        <w:bottom w:val="none" w:sz="0" w:space="0" w:color="auto"/>
        <w:right w:val="none" w:sz="0" w:space="0" w:color="auto"/>
      </w:divBdr>
    </w:div>
    <w:div w:id="1099720965">
      <w:marLeft w:val="0"/>
      <w:marRight w:val="0"/>
      <w:marTop w:val="0"/>
      <w:marBottom w:val="0"/>
      <w:divBdr>
        <w:top w:val="none" w:sz="0" w:space="0" w:color="auto"/>
        <w:left w:val="none" w:sz="0" w:space="0" w:color="auto"/>
        <w:bottom w:val="none" w:sz="0" w:space="0" w:color="auto"/>
        <w:right w:val="none" w:sz="0" w:space="0" w:color="auto"/>
      </w:divBdr>
    </w:div>
    <w:div w:id="1099720966">
      <w:marLeft w:val="0"/>
      <w:marRight w:val="0"/>
      <w:marTop w:val="0"/>
      <w:marBottom w:val="0"/>
      <w:divBdr>
        <w:top w:val="none" w:sz="0" w:space="0" w:color="auto"/>
        <w:left w:val="none" w:sz="0" w:space="0" w:color="auto"/>
        <w:bottom w:val="none" w:sz="0" w:space="0" w:color="auto"/>
        <w:right w:val="none" w:sz="0" w:space="0" w:color="auto"/>
      </w:divBdr>
    </w:div>
    <w:div w:id="1099720967">
      <w:marLeft w:val="0"/>
      <w:marRight w:val="0"/>
      <w:marTop w:val="0"/>
      <w:marBottom w:val="0"/>
      <w:divBdr>
        <w:top w:val="none" w:sz="0" w:space="0" w:color="auto"/>
        <w:left w:val="none" w:sz="0" w:space="0" w:color="auto"/>
        <w:bottom w:val="none" w:sz="0" w:space="0" w:color="auto"/>
        <w:right w:val="none" w:sz="0" w:space="0" w:color="auto"/>
      </w:divBdr>
    </w:div>
    <w:div w:id="1099720968">
      <w:marLeft w:val="0"/>
      <w:marRight w:val="0"/>
      <w:marTop w:val="0"/>
      <w:marBottom w:val="0"/>
      <w:divBdr>
        <w:top w:val="none" w:sz="0" w:space="0" w:color="auto"/>
        <w:left w:val="none" w:sz="0" w:space="0" w:color="auto"/>
        <w:bottom w:val="none" w:sz="0" w:space="0" w:color="auto"/>
        <w:right w:val="none" w:sz="0" w:space="0" w:color="auto"/>
      </w:divBdr>
    </w:div>
    <w:div w:id="1099720969">
      <w:marLeft w:val="0"/>
      <w:marRight w:val="0"/>
      <w:marTop w:val="0"/>
      <w:marBottom w:val="0"/>
      <w:divBdr>
        <w:top w:val="none" w:sz="0" w:space="0" w:color="auto"/>
        <w:left w:val="none" w:sz="0" w:space="0" w:color="auto"/>
        <w:bottom w:val="none" w:sz="0" w:space="0" w:color="auto"/>
        <w:right w:val="none" w:sz="0" w:space="0" w:color="auto"/>
      </w:divBdr>
    </w:div>
    <w:div w:id="1099720970">
      <w:marLeft w:val="0"/>
      <w:marRight w:val="0"/>
      <w:marTop w:val="0"/>
      <w:marBottom w:val="0"/>
      <w:divBdr>
        <w:top w:val="none" w:sz="0" w:space="0" w:color="auto"/>
        <w:left w:val="none" w:sz="0" w:space="0" w:color="auto"/>
        <w:bottom w:val="none" w:sz="0" w:space="0" w:color="auto"/>
        <w:right w:val="none" w:sz="0" w:space="0" w:color="auto"/>
      </w:divBdr>
    </w:div>
    <w:div w:id="1099720971">
      <w:marLeft w:val="0"/>
      <w:marRight w:val="0"/>
      <w:marTop w:val="0"/>
      <w:marBottom w:val="0"/>
      <w:divBdr>
        <w:top w:val="none" w:sz="0" w:space="0" w:color="auto"/>
        <w:left w:val="none" w:sz="0" w:space="0" w:color="auto"/>
        <w:bottom w:val="none" w:sz="0" w:space="0" w:color="auto"/>
        <w:right w:val="none" w:sz="0" w:space="0" w:color="auto"/>
      </w:divBdr>
    </w:div>
    <w:div w:id="1099720972">
      <w:marLeft w:val="0"/>
      <w:marRight w:val="0"/>
      <w:marTop w:val="0"/>
      <w:marBottom w:val="0"/>
      <w:divBdr>
        <w:top w:val="none" w:sz="0" w:space="0" w:color="auto"/>
        <w:left w:val="none" w:sz="0" w:space="0" w:color="auto"/>
        <w:bottom w:val="none" w:sz="0" w:space="0" w:color="auto"/>
        <w:right w:val="none" w:sz="0" w:space="0" w:color="auto"/>
      </w:divBdr>
    </w:div>
    <w:div w:id="1099720973">
      <w:marLeft w:val="0"/>
      <w:marRight w:val="0"/>
      <w:marTop w:val="0"/>
      <w:marBottom w:val="0"/>
      <w:divBdr>
        <w:top w:val="none" w:sz="0" w:space="0" w:color="auto"/>
        <w:left w:val="none" w:sz="0" w:space="0" w:color="auto"/>
        <w:bottom w:val="none" w:sz="0" w:space="0" w:color="auto"/>
        <w:right w:val="none" w:sz="0" w:space="0" w:color="auto"/>
      </w:divBdr>
    </w:div>
    <w:div w:id="2081361476">
      <w:bodyDiv w:val="1"/>
      <w:marLeft w:val="0"/>
      <w:marRight w:val="0"/>
      <w:marTop w:val="0"/>
      <w:marBottom w:val="0"/>
      <w:divBdr>
        <w:top w:val="none" w:sz="0" w:space="0" w:color="auto"/>
        <w:left w:val="none" w:sz="0" w:space="0" w:color="auto"/>
        <w:bottom w:val="none" w:sz="0" w:space="0" w:color="auto"/>
        <w:right w:val="none" w:sz="0" w:space="0" w:color="auto"/>
      </w:divBdr>
    </w:div>
    <w:div w:id="209211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chart" Target="charts/chart2.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info.worldbank.org/governance/wgi/index.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1.xml"/><Relationship Id="rId32" Type="http://schemas.openxmlformats.org/officeDocument/2006/relationships/image" Target="media/image6.png"/><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png"/><Relationship Id="rId28" Type="http://schemas.openxmlformats.org/officeDocument/2006/relationships/image" Target="media/image2.png"/><Relationship Id="rId36"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yperlink" Target="http://info.worldbank.org/governance/wgi/index.aspx" TargetMode="External"/><Relationship Id="rId30" Type="http://schemas.openxmlformats.org/officeDocument/2006/relationships/image" Target="media/image4.png"/><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Fiona\Documents\006%20Samoa%20moved%20from%20old%20comp\Meetings\Attendance%20at%20Steering%20Committee%20Meeting%202009-2014%20final.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Fiona\Documents\Samoa\Data\Partnership%20indicators.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Sheet1!$CE$5:$CE$6</c:f>
              <c:strCache>
                <c:ptCount val="2"/>
              </c:strCache>
            </c:strRef>
          </c:tx>
          <c:spPr>
            <a:solidFill>
              <a:schemeClr val="accent1"/>
            </a:solidFill>
            <a:ln>
              <a:noFill/>
            </a:ln>
            <a:effectLst/>
          </c:spPr>
          <c:invertIfNegative val="0"/>
          <c:dPt>
            <c:idx val="14"/>
            <c:invertIfNegative val="0"/>
            <c:bubble3D val="0"/>
            <c:spPr>
              <a:solidFill>
                <a:schemeClr val="accent6"/>
              </a:solidFill>
              <a:ln>
                <a:noFill/>
              </a:ln>
              <a:effectLst/>
            </c:spPr>
          </c:dPt>
          <c:dPt>
            <c:idx val="15"/>
            <c:invertIfNegative val="0"/>
            <c:bubble3D val="0"/>
            <c:spPr>
              <a:solidFill>
                <a:schemeClr val="accent6"/>
              </a:solidFill>
              <a:ln>
                <a:noFill/>
              </a:ln>
              <a:effectLst/>
            </c:spPr>
          </c:dPt>
          <c:dPt>
            <c:idx val="16"/>
            <c:invertIfNegative val="0"/>
            <c:bubble3D val="0"/>
            <c:spPr>
              <a:solidFill>
                <a:schemeClr val="accent6"/>
              </a:solidFill>
              <a:ln>
                <a:noFill/>
              </a:ln>
              <a:effectLst/>
            </c:spPr>
          </c:dPt>
          <c:cat>
            <c:strRef>
              <c:f>Sheet1!$CD$7:$CD$24</c:f>
              <c:strCache>
                <c:ptCount val="17"/>
                <c:pt idx="0">
                  <c:v>AGO</c:v>
                </c:pt>
                <c:pt idx="1">
                  <c:v>MoP</c:v>
                </c:pt>
                <c:pt idx="2">
                  <c:v>SLRC</c:v>
                </c:pt>
                <c:pt idx="3">
                  <c:v>MJCA</c:v>
                </c:pt>
                <c:pt idx="4">
                  <c:v>Sui o Nuu</c:v>
                </c:pt>
                <c:pt idx="5">
                  <c:v>OoO</c:v>
                </c:pt>
                <c:pt idx="6">
                  <c:v>MWCSD</c:v>
                </c:pt>
                <c:pt idx="7">
                  <c:v>PSC</c:v>
                </c:pt>
                <c:pt idx="8">
                  <c:v>SUNGO</c:v>
                </c:pt>
                <c:pt idx="9">
                  <c:v>Sui o Tamaitai</c:v>
                </c:pt>
                <c:pt idx="10">
                  <c:v>MoF</c:v>
                </c:pt>
                <c:pt idx="11">
                  <c:v>SNCC</c:v>
                </c:pt>
                <c:pt idx="12">
                  <c:v>Matai</c:v>
                </c:pt>
                <c:pt idx="13">
                  <c:v>SLS</c:v>
                </c:pt>
                <c:pt idx="14">
                  <c:v>SPCS</c:v>
                </c:pt>
                <c:pt idx="15">
                  <c:v>DFAT</c:v>
                </c:pt>
                <c:pt idx="16">
                  <c:v>AFP</c:v>
                </c:pt>
              </c:strCache>
            </c:strRef>
          </c:cat>
          <c:val>
            <c:numRef>
              <c:f>Sheet1!$CE$7:$CE$24</c:f>
              <c:numCache>
                <c:formatCode>0%</c:formatCode>
                <c:ptCount val="17"/>
                <c:pt idx="0">
                  <c:v>0.97826086956521741</c:v>
                </c:pt>
                <c:pt idx="1">
                  <c:v>0.97826086956521741</c:v>
                </c:pt>
                <c:pt idx="2">
                  <c:v>0.97826086956521741</c:v>
                </c:pt>
                <c:pt idx="3">
                  <c:v>0.95652173913043481</c:v>
                </c:pt>
                <c:pt idx="4">
                  <c:v>0.88235294117647056</c:v>
                </c:pt>
                <c:pt idx="5">
                  <c:v>0.82608695652173914</c:v>
                </c:pt>
                <c:pt idx="6">
                  <c:v>0.82608695652173914</c:v>
                </c:pt>
                <c:pt idx="7">
                  <c:v>0.80434782608695654</c:v>
                </c:pt>
                <c:pt idx="8">
                  <c:v>0.78260869565217395</c:v>
                </c:pt>
                <c:pt idx="9">
                  <c:v>0.76470588235294112</c:v>
                </c:pt>
                <c:pt idx="10">
                  <c:v>0.58695652173913049</c:v>
                </c:pt>
                <c:pt idx="11">
                  <c:v>0.58695652173913049</c:v>
                </c:pt>
                <c:pt idx="12">
                  <c:v>0.39130434782608697</c:v>
                </c:pt>
                <c:pt idx="13">
                  <c:v>0.30434782608695654</c:v>
                </c:pt>
                <c:pt idx="14">
                  <c:v>1</c:v>
                </c:pt>
                <c:pt idx="15">
                  <c:v>0.56521739130434778</c:v>
                </c:pt>
                <c:pt idx="16">
                  <c:v>0.5</c:v>
                </c:pt>
              </c:numCache>
            </c:numRef>
          </c:val>
        </c:ser>
        <c:dLbls>
          <c:showLegendKey val="0"/>
          <c:showVal val="0"/>
          <c:showCatName val="0"/>
          <c:showSerName val="0"/>
          <c:showPercent val="0"/>
          <c:showBubbleSize val="0"/>
        </c:dLbls>
        <c:gapWidth val="219"/>
        <c:overlap val="-27"/>
        <c:axId val="212586880"/>
        <c:axId val="212588800"/>
      </c:barChart>
      <c:catAx>
        <c:axId val="212586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Steering Committee member</a:t>
                </a:r>
              </a:p>
            </c:rich>
          </c:tx>
          <c:layout>
            <c:manualLayout>
              <c:xMode val="edge"/>
              <c:yMode val="edge"/>
              <c:x val="0.13446412948381456"/>
              <c:y val="0.8340349252009133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588800"/>
        <c:crosses val="autoZero"/>
        <c:auto val="1"/>
        <c:lblAlgn val="ctr"/>
        <c:lblOffset val="100"/>
        <c:noMultiLvlLbl val="0"/>
      </c:catAx>
      <c:valAx>
        <c:axId val="212588800"/>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Attendance</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586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strRef>
              <c:f>Sheet1!$D$3</c:f>
              <c:strCache>
                <c:ptCount val="1"/>
                <c:pt idx="0">
                  <c:v>Government effectiveness</c:v>
                </c:pt>
              </c:strCache>
            </c:strRef>
          </c:tx>
          <c:spPr>
            <a:ln w="19050" cap="rnd">
              <a:solidFill>
                <a:schemeClr val="accent1"/>
              </a:solidFill>
              <a:round/>
            </a:ln>
            <a:effectLst/>
          </c:spPr>
          <c:marker>
            <c:symbol val="none"/>
          </c:marker>
          <c:xVal>
            <c:numRef>
              <c:f>Sheet1!$A$4:$A$14</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xVal>
          <c:yVal>
            <c:numRef>
              <c:f>Sheet1!$D$4:$D$14</c:f>
              <c:numCache>
                <c:formatCode>General</c:formatCode>
                <c:ptCount val="11"/>
                <c:pt idx="0">
                  <c:v>65.366</c:v>
                </c:pt>
                <c:pt idx="1">
                  <c:v>54.634</c:v>
                </c:pt>
                <c:pt idx="2">
                  <c:v>67.805000000000007</c:v>
                </c:pt>
                <c:pt idx="3">
                  <c:v>63.902000000000001</c:v>
                </c:pt>
                <c:pt idx="4">
                  <c:v>58.738</c:v>
                </c:pt>
                <c:pt idx="5">
                  <c:v>58.783000000000001</c:v>
                </c:pt>
                <c:pt idx="6">
                  <c:v>56.938000000000002</c:v>
                </c:pt>
                <c:pt idx="7">
                  <c:v>52.631999999999998</c:v>
                </c:pt>
                <c:pt idx="8">
                  <c:v>54.502000000000002</c:v>
                </c:pt>
                <c:pt idx="9">
                  <c:v>58.372999999999998</c:v>
                </c:pt>
                <c:pt idx="10">
                  <c:v>58.851999999999997</c:v>
                </c:pt>
              </c:numCache>
            </c:numRef>
          </c:yVal>
          <c:smooth val="1"/>
        </c:ser>
        <c:ser>
          <c:idx val="1"/>
          <c:order val="1"/>
          <c:tx>
            <c:strRef>
              <c:f>Sheet1!$G$3</c:f>
              <c:strCache>
                <c:ptCount val="1"/>
                <c:pt idx="0">
                  <c:v>Rule of law</c:v>
                </c:pt>
              </c:strCache>
            </c:strRef>
          </c:tx>
          <c:spPr>
            <a:ln w="19050" cap="rnd">
              <a:solidFill>
                <a:schemeClr val="accent2"/>
              </a:solidFill>
              <a:round/>
            </a:ln>
            <a:effectLst/>
          </c:spPr>
          <c:marker>
            <c:symbol val="none"/>
          </c:marker>
          <c:xVal>
            <c:numRef>
              <c:f>Sheet1!$A$4:$A$14</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xVal>
          <c:yVal>
            <c:numRef>
              <c:f>Sheet1!$G$4:$G$14</c:f>
              <c:numCache>
                <c:formatCode>General</c:formatCode>
                <c:ptCount val="11"/>
                <c:pt idx="0">
                  <c:v>81.34</c:v>
                </c:pt>
                <c:pt idx="1">
                  <c:v>75.597999999999999</c:v>
                </c:pt>
                <c:pt idx="2">
                  <c:v>83.731999999999999</c:v>
                </c:pt>
                <c:pt idx="3">
                  <c:v>78.947000000000003</c:v>
                </c:pt>
                <c:pt idx="4">
                  <c:v>80.861000000000004</c:v>
                </c:pt>
                <c:pt idx="5">
                  <c:v>74.519000000000005</c:v>
                </c:pt>
                <c:pt idx="6">
                  <c:v>67.772999999999996</c:v>
                </c:pt>
                <c:pt idx="7">
                  <c:v>67.772999999999996</c:v>
                </c:pt>
                <c:pt idx="8">
                  <c:v>69.483999999999995</c:v>
                </c:pt>
                <c:pt idx="9">
                  <c:v>71.09</c:v>
                </c:pt>
                <c:pt idx="10">
                  <c:v>71.563999999999993</c:v>
                </c:pt>
              </c:numCache>
            </c:numRef>
          </c:yVal>
          <c:smooth val="1"/>
        </c:ser>
        <c:dLbls>
          <c:showLegendKey val="0"/>
          <c:showVal val="0"/>
          <c:showCatName val="0"/>
          <c:showSerName val="0"/>
          <c:showPercent val="0"/>
          <c:showBubbleSize val="0"/>
        </c:dLbls>
        <c:axId val="254527744"/>
        <c:axId val="254529536"/>
      </c:scatterChart>
      <c:valAx>
        <c:axId val="2545277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4529536"/>
        <c:crosses val="autoZero"/>
        <c:crossBetween val="midCat"/>
      </c:valAx>
      <c:valAx>
        <c:axId val="254529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452774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0.44271</cdr:x>
      <cdr:y>0.17028</cdr:y>
    </cdr:from>
    <cdr:to>
      <cdr:x>0.67604</cdr:x>
      <cdr:y>0.24768</cdr:y>
    </cdr:to>
    <cdr:sp macro="" textlink="">
      <cdr:nvSpPr>
        <cdr:cNvPr id="2" name="TextBox 1"/>
        <cdr:cNvSpPr txBox="1"/>
      </cdr:nvSpPr>
      <cdr:spPr>
        <a:xfrm xmlns:a="http://schemas.openxmlformats.org/drawingml/2006/main">
          <a:off x="2024063" y="523876"/>
          <a:ext cx="106680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0.42604</cdr:x>
      <cdr:y>0.18266</cdr:y>
    </cdr:from>
    <cdr:to>
      <cdr:x>0.58438</cdr:x>
      <cdr:y>0.28483</cdr:y>
    </cdr:to>
    <cdr:sp macro="" textlink="">
      <cdr:nvSpPr>
        <cdr:cNvPr id="3" name="TextBox 2"/>
        <cdr:cNvSpPr txBox="1"/>
      </cdr:nvSpPr>
      <cdr:spPr>
        <a:xfrm xmlns:a="http://schemas.openxmlformats.org/drawingml/2006/main">
          <a:off x="1947864" y="561976"/>
          <a:ext cx="723900"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a:t>Member</a:t>
          </a:r>
        </a:p>
      </cdr:txBody>
    </cdr:sp>
  </cdr:relSizeAnchor>
  <cdr:relSizeAnchor xmlns:cdr="http://schemas.openxmlformats.org/drawingml/2006/chartDrawing">
    <cdr:from>
      <cdr:x>0.83819</cdr:x>
      <cdr:y>0.27348</cdr:y>
    </cdr:from>
    <cdr:to>
      <cdr:x>0.99653</cdr:x>
      <cdr:y>0.37564</cdr:y>
    </cdr:to>
    <cdr:sp macro="" textlink="">
      <cdr:nvSpPr>
        <cdr:cNvPr id="4" name="TextBox 1"/>
        <cdr:cNvSpPr txBox="1"/>
      </cdr:nvSpPr>
      <cdr:spPr>
        <a:xfrm xmlns:a="http://schemas.openxmlformats.org/drawingml/2006/main">
          <a:off x="3832225" y="841375"/>
          <a:ext cx="723900" cy="3143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t>Observer</a:t>
          </a:r>
        </a:p>
      </cdr:txBody>
    </cdr:sp>
  </cdr:relSizeAnchor>
</c:userShapes>
</file>

<file path=word/drawings/drawing2.xml><?xml version="1.0" encoding="utf-8"?>
<c:userShapes xmlns:c="http://schemas.openxmlformats.org/drawingml/2006/chart">
  <cdr:relSizeAnchor xmlns:cdr="http://schemas.openxmlformats.org/drawingml/2006/chartDrawing">
    <cdr:from>
      <cdr:x>0.57083</cdr:x>
      <cdr:y>0.15799</cdr:y>
    </cdr:from>
    <cdr:to>
      <cdr:x>0.57083</cdr:x>
      <cdr:y>0.78646</cdr:y>
    </cdr:to>
    <cdr:cxnSp macro="">
      <cdr:nvCxnSpPr>
        <cdr:cNvPr id="3" name="Straight Connector 2"/>
        <cdr:cNvCxnSpPr/>
      </cdr:nvCxnSpPr>
      <cdr:spPr>
        <a:xfrm xmlns:a="http://schemas.openxmlformats.org/drawingml/2006/main" flipV="1">
          <a:off x="2609849" y="433388"/>
          <a:ext cx="0" cy="1724025"/>
        </a:xfrm>
        <a:prstGeom xmlns:a="http://schemas.openxmlformats.org/drawingml/2006/main" prst="line">
          <a:avLst/>
        </a:prstGeom>
      </cdr:spPr>
      <cdr:style>
        <a:lnRef xmlns:a="http://schemas.openxmlformats.org/drawingml/2006/main" idx="3">
          <a:schemeClr val="accent5"/>
        </a:lnRef>
        <a:fillRef xmlns:a="http://schemas.openxmlformats.org/drawingml/2006/main" idx="0">
          <a:schemeClr val="accent5"/>
        </a:fillRef>
        <a:effectRef xmlns:a="http://schemas.openxmlformats.org/drawingml/2006/main" idx="2">
          <a:schemeClr val="accent5"/>
        </a:effectRef>
        <a:fontRef xmlns:a="http://schemas.openxmlformats.org/drawingml/2006/main" idx="minor">
          <a:schemeClr val="tx1"/>
        </a:fontRef>
      </cdr:style>
    </cdr:cxnSp>
  </cdr:relSizeAnchor>
  <cdr:relSizeAnchor xmlns:cdr="http://schemas.openxmlformats.org/drawingml/2006/chartDrawing">
    <cdr:from>
      <cdr:x>0.49375</cdr:x>
      <cdr:y>0.52604</cdr:y>
    </cdr:from>
    <cdr:to>
      <cdr:x>0.78333</cdr:x>
      <cdr:y>0.63715</cdr:y>
    </cdr:to>
    <cdr:sp macro="" textlink="">
      <cdr:nvSpPr>
        <cdr:cNvPr id="2" name="TextBox 1"/>
        <cdr:cNvSpPr txBox="1"/>
      </cdr:nvSpPr>
      <cdr:spPr>
        <a:xfrm xmlns:a="http://schemas.openxmlformats.org/drawingml/2006/main">
          <a:off x="2257425" y="1443038"/>
          <a:ext cx="1323975"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a:t>SLJS commences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820736-E139-4AAF-AAA0-96424313991B}"/>
</file>

<file path=customXml/itemProps2.xml><?xml version="1.0" encoding="utf-8"?>
<ds:datastoreItem xmlns:ds="http://schemas.openxmlformats.org/officeDocument/2006/customXml" ds:itemID="{992269E2-08C6-45C0-812E-32AC644EEE35}"/>
</file>

<file path=customXml/itemProps3.xml><?xml version="1.0" encoding="utf-8"?>
<ds:datastoreItem xmlns:ds="http://schemas.openxmlformats.org/officeDocument/2006/customXml" ds:itemID="{76AEE173-E952-4E69-A871-4CD37262615D}"/>
</file>

<file path=customXml/itemProps4.xml><?xml version="1.0" encoding="utf-8"?>
<ds:datastoreItem xmlns:ds="http://schemas.openxmlformats.org/officeDocument/2006/customXml" ds:itemID="{90AB0987-D1CB-432B-AB56-464FA15F7EEB}"/>
</file>

<file path=docProps/app.xml><?xml version="1.0" encoding="utf-8"?>
<Properties xmlns="http://schemas.openxmlformats.org/officeDocument/2006/extended-properties" xmlns:vt="http://schemas.openxmlformats.org/officeDocument/2006/docPropsVTypes">
  <Template>F1C71AF4</Template>
  <TotalTime>0</TotalTime>
  <Pages>94</Pages>
  <Words>30679</Words>
  <Characters>171774</Characters>
  <Application>Microsoft Office Word</Application>
  <DocSecurity>4</DocSecurity>
  <Lines>4984</Lines>
  <Paragraphs>1661</Paragraphs>
  <ScaleCrop>false</ScaleCrop>
  <LinksUpToDate>false</LinksUpToDate>
  <CharactersWithSpaces>206471</CharactersWithSpaces>
  <SharedDoc>false</SharedDoc>
  <HLinks>
    <vt:vector size="288" baseType="variant">
      <vt:variant>
        <vt:i4>786527</vt:i4>
      </vt:variant>
      <vt:variant>
        <vt:i4>297</vt:i4>
      </vt:variant>
      <vt:variant>
        <vt:i4>0</vt:i4>
      </vt:variant>
      <vt:variant>
        <vt:i4>5</vt:i4>
      </vt:variant>
      <vt:variant>
        <vt:lpwstr>http://info.worldbank.org/governance/wgi/index.aspx</vt:lpwstr>
      </vt:variant>
      <vt:variant>
        <vt:lpwstr>doc</vt:lpwstr>
      </vt:variant>
      <vt:variant>
        <vt:i4>786527</vt:i4>
      </vt:variant>
      <vt:variant>
        <vt:i4>294</vt:i4>
      </vt:variant>
      <vt:variant>
        <vt:i4>0</vt:i4>
      </vt:variant>
      <vt:variant>
        <vt:i4>5</vt:i4>
      </vt:variant>
      <vt:variant>
        <vt:lpwstr>http://info.worldbank.org/governance/wgi/index.aspx</vt:lpwstr>
      </vt:variant>
      <vt:variant>
        <vt:lpwstr>doc</vt:lpwstr>
      </vt:variant>
      <vt:variant>
        <vt:i4>1703993</vt:i4>
      </vt:variant>
      <vt:variant>
        <vt:i4>272</vt:i4>
      </vt:variant>
      <vt:variant>
        <vt:i4>0</vt:i4>
      </vt:variant>
      <vt:variant>
        <vt:i4>5</vt:i4>
      </vt:variant>
      <vt:variant>
        <vt:lpwstr/>
      </vt:variant>
      <vt:variant>
        <vt:lpwstr>_Toc427238953</vt:lpwstr>
      </vt:variant>
      <vt:variant>
        <vt:i4>1703993</vt:i4>
      </vt:variant>
      <vt:variant>
        <vt:i4>266</vt:i4>
      </vt:variant>
      <vt:variant>
        <vt:i4>0</vt:i4>
      </vt:variant>
      <vt:variant>
        <vt:i4>5</vt:i4>
      </vt:variant>
      <vt:variant>
        <vt:lpwstr/>
      </vt:variant>
      <vt:variant>
        <vt:lpwstr>_Toc427238952</vt:lpwstr>
      </vt:variant>
      <vt:variant>
        <vt:i4>1769529</vt:i4>
      </vt:variant>
      <vt:variant>
        <vt:i4>260</vt:i4>
      </vt:variant>
      <vt:variant>
        <vt:i4>0</vt:i4>
      </vt:variant>
      <vt:variant>
        <vt:i4>5</vt:i4>
      </vt:variant>
      <vt:variant>
        <vt:lpwstr/>
      </vt:variant>
      <vt:variant>
        <vt:lpwstr>_Toc427238948</vt:lpwstr>
      </vt:variant>
      <vt:variant>
        <vt:i4>1769529</vt:i4>
      </vt:variant>
      <vt:variant>
        <vt:i4>254</vt:i4>
      </vt:variant>
      <vt:variant>
        <vt:i4>0</vt:i4>
      </vt:variant>
      <vt:variant>
        <vt:i4>5</vt:i4>
      </vt:variant>
      <vt:variant>
        <vt:lpwstr/>
      </vt:variant>
      <vt:variant>
        <vt:lpwstr>_Toc427238947</vt:lpwstr>
      </vt:variant>
      <vt:variant>
        <vt:i4>1769529</vt:i4>
      </vt:variant>
      <vt:variant>
        <vt:i4>248</vt:i4>
      </vt:variant>
      <vt:variant>
        <vt:i4>0</vt:i4>
      </vt:variant>
      <vt:variant>
        <vt:i4>5</vt:i4>
      </vt:variant>
      <vt:variant>
        <vt:lpwstr/>
      </vt:variant>
      <vt:variant>
        <vt:lpwstr>_Toc427238946</vt:lpwstr>
      </vt:variant>
      <vt:variant>
        <vt:i4>1769529</vt:i4>
      </vt:variant>
      <vt:variant>
        <vt:i4>242</vt:i4>
      </vt:variant>
      <vt:variant>
        <vt:i4>0</vt:i4>
      </vt:variant>
      <vt:variant>
        <vt:i4>5</vt:i4>
      </vt:variant>
      <vt:variant>
        <vt:lpwstr/>
      </vt:variant>
      <vt:variant>
        <vt:lpwstr>_Toc427238945</vt:lpwstr>
      </vt:variant>
      <vt:variant>
        <vt:i4>1769529</vt:i4>
      </vt:variant>
      <vt:variant>
        <vt:i4>236</vt:i4>
      </vt:variant>
      <vt:variant>
        <vt:i4>0</vt:i4>
      </vt:variant>
      <vt:variant>
        <vt:i4>5</vt:i4>
      </vt:variant>
      <vt:variant>
        <vt:lpwstr/>
      </vt:variant>
      <vt:variant>
        <vt:lpwstr>_Toc427238944</vt:lpwstr>
      </vt:variant>
      <vt:variant>
        <vt:i4>1835065</vt:i4>
      </vt:variant>
      <vt:variant>
        <vt:i4>230</vt:i4>
      </vt:variant>
      <vt:variant>
        <vt:i4>0</vt:i4>
      </vt:variant>
      <vt:variant>
        <vt:i4>5</vt:i4>
      </vt:variant>
      <vt:variant>
        <vt:lpwstr/>
      </vt:variant>
      <vt:variant>
        <vt:lpwstr>_Toc427238938</vt:lpwstr>
      </vt:variant>
      <vt:variant>
        <vt:i4>1835065</vt:i4>
      </vt:variant>
      <vt:variant>
        <vt:i4>224</vt:i4>
      </vt:variant>
      <vt:variant>
        <vt:i4>0</vt:i4>
      </vt:variant>
      <vt:variant>
        <vt:i4>5</vt:i4>
      </vt:variant>
      <vt:variant>
        <vt:lpwstr/>
      </vt:variant>
      <vt:variant>
        <vt:lpwstr>_Toc427238937</vt:lpwstr>
      </vt:variant>
      <vt:variant>
        <vt:i4>1835065</vt:i4>
      </vt:variant>
      <vt:variant>
        <vt:i4>218</vt:i4>
      </vt:variant>
      <vt:variant>
        <vt:i4>0</vt:i4>
      </vt:variant>
      <vt:variant>
        <vt:i4>5</vt:i4>
      </vt:variant>
      <vt:variant>
        <vt:lpwstr/>
      </vt:variant>
      <vt:variant>
        <vt:lpwstr>_Toc427238936</vt:lpwstr>
      </vt:variant>
      <vt:variant>
        <vt:i4>1835065</vt:i4>
      </vt:variant>
      <vt:variant>
        <vt:i4>212</vt:i4>
      </vt:variant>
      <vt:variant>
        <vt:i4>0</vt:i4>
      </vt:variant>
      <vt:variant>
        <vt:i4>5</vt:i4>
      </vt:variant>
      <vt:variant>
        <vt:lpwstr/>
      </vt:variant>
      <vt:variant>
        <vt:lpwstr>_Toc427238935</vt:lpwstr>
      </vt:variant>
      <vt:variant>
        <vt:i4>1835065</vt:i4>
      </vt:variant>
      <vt:variant>
        <vt:i4>206</vt:i4>
      </vt:variant>
      <vt:variant>
        <vt:i4>0</vt:i4>
      </vt:variant>
      <vt:variant>
        <vt:i4>5</vt:i4>
      </vt:variant>
      <vt:variant>
        <vt:lpwstr/>
      </vt:variant>
      <vt:variant>
        <vt:lpwstr>_Toc427238934</vt:lpwstr>
      </vt:variant>
      <vt:variant>
        <vt:i4>1835065</vt:i4>
      </vt:variant>
      <vt:variant>
        <vt:i4>200</vt:i4>
      </vt:variant>
      <vt:variant>
        <vt:i4>0</vt:i4>
      </vt:variant>
      <vt:variant>
        <vt:i4>5</vt:i4>
      </vt:variant>
      <vt:variant>
        <vt:lpwstr/>
      </vt:variant>
      <vt:variant>
        <vt:lpwstr>_Toc427238933</vt:lpwstr>
      </vt:variant>
      <vt:variant>
        <vt:i4>1835065</vt:i4>
      </vt:variant>
      <vt:variant>
        <vt:i4>194</vt:i4>
      </vt:variant>
      <vt:variant>
        <vt:i4>0</vt:i4>
      </vt:variant>
      <vt:variant>
        <vt:i4>5</vt:i4>
      </vt:variant>
      <vt:variant>
        <vt:lpwstr/>
      </vt:variant>
      <vt:variant>
        <vt:lpwstr>_Toc427238932</vt:lpwstr>
      </vt:variant>
      <vt:variant>
        <vt:i4>1835065</vt:i4>
      </vt:variant>
      <vt:variant>
        <vt:i4>188</vt:i4>
      </vt:variant>
      <vt:variant>
        <vt:i4>0</vt:i4>
      </vt:variant>
      <vt:variant>
        <vt:i4>5</vt:i4>
      </vt:variant>
      <vt:variant>
        <vt:lpwstr/>
      </vt:variant>
      <vt:variant>
        <vt:lpwstr>_Toc427238931</vt:lpwstr>
      </vt:variant>
      <vt:variant>
        <vt:i4>1835065</vt:i4>
      </vt:variant>
      <vt:variant>
        <vt:i4>182</vt:i4>
      </vt:variant>
      <vt:variant>
        <vt:i4>0</vt:i4>
      </vt:variant>
      <vt:variant>
        <vt:i4>5</vt:i4>
      </vt:variant>
      <vt:variant>
        <vt:lpwstr/>
      </vt:variant>
      <vt:variant>
        <vt:lpwstr>_Toc427238930</vt:lpwstr>
      </vt:variant>
      <vt:variant>
        <vt:i4>1900601</vt:i4>
      </vt:variant>
      <vt:variant>
        <vt:i4>176</vt:i4>
      </vt:variant>
      <vt:variant>
        <vt:i4>0</vt:i4>
      </vt:variant>
      <vt:variant>
        <vt:i4>5</vt:i4>
      </vt:variant>
      <vt:variant>
        <vt:lpwstr/>
      </vt:variant>
      <vt:variant>
        <vt:lpwstr>_Toc427238929</vt:lpwstr>
      </vt:variant>
      <vt:variant>
        <vt:i4>1900601</vt:i4>
      </vt:variant>
      <vt:variant>
        <vt:i4>170</vt:i4>
      </vt:variant>
      <vt:variant>
        <vt:i4>0</vt:i4>
      </vt:variant>
      <vt:variant>
        <vt:i4>5</vt:i4>
      </vt:variant>
      <vt:variant>
        <vt:lpwstr/>
      </vt:variant>
      <vt:variant>
        <vt:lpwstr>_Toc427238928</vt:lpwstr>
      </vt:variant>
      <vt:variant>
        <vt:i4>1900601</vt:i4>
      </vt:variant>
      <vt:variant>
        <vt:i4>164</vt:i4>
      </vt:variant>
      <vt:variant>
        <vt:i4>0</vt:i4>
      </vt:variant>
      <vt:variant>
        <vt:i4>5</vt:i4>
      </vt:variant>
      <vt:variant>
        <vt:lpwstr/>
      </vt:variant>
      <vt:variant>
        <vt:lpwstr>_Toc427238927</vt:lpwstr>
      </vt:variant>
      <vt:variant>
        <vt:i4>1900601</vt:i4>
      </vt:variant>
      <vt:variant>
        <vt:i4>158</vt:i4>
      </vt:variant>
      <vt:variant>
        <vt:i4>0</vt:i4>
      </vt:variant>
      <vt:variant>
        <vt:i4>5</vt:i4>
      </vt:variant>
      <vt:variant>
        <vt:lpwstr/>
      </vt:variant>
      <vt:variant>
        <vt:lpwstr>_Toc427238926</vt:lpwstr>
      </vt:variant>
      <vt:variant>
        <vt:i4>1900601</vt:i4>
      </vt:variant>
      <vt:variant>
        <vt:i4>152</vt:i4>
      </vt:variant>
      <vt:variant>
        <vt:i4>0</vt:i4>
      </vt:variant>
      <vt:variant>
        <vt:i4>5</vt:i4>
      </vt:variant>
      <vt:variant>
        <vt:lpwstr/>
      </vt:variant>
      <vt:variant>
        <vt:lpwstr>_Toc427238925</vt:lpwstr>
      </vt:variant>
      <vt:variant>
        <vt:i4>1900601</vt:i4>
      </vt:variant>
      <vt:variant>
        <vt:i4>146</vt:i4>
      </vt:variant>
      <vt:variant>
        <vt:i4>0</vt:i4>
      </vt:variant>
      <vt:variant>
        <vt:i4>5</vt:i4>
      </vt:variant>
      <vt:variant>
        <vt:lpwstr/>
      </vt:variant>
      <vt:variant>
        <vt:lpwstr>_Toc427238924</vt:lpwstr>
      </vt:variant>
      <vt:variant>
        <vt:i4>1900601</vt:i4>
      </vt:variant>
      <vt:variant>
        <vt:i4>140</vt:i4>
      </vt:variant>
      <vt:variant>
        <vt:i4>0</vt:i4>
      </vt:variant>
      <vt:variant>
        <vt:i4>5</vt:i4>
      </vt:variant>
      <vt:variant>
        <vt:lpwstr/>
      </vt:variant>
      <vt:variant>
        <vt:lpwstr>_Toc427238923</vt:lpwstr>
      </vt:variant>
      <vt:variant>
        <vt:i4>1900601</vt:i4>
      </vt:variant>
      <vt:variant>
        <vt:i4>134</vt:i4>
      </vt:variant>
      <vt:variant>
        <vt:i4>0</vt:i4>
      </vt:variant>
      <vt:variant>
        <vt:i4>5</vt:i4>
      </vt:variant>
      <vt:variant>
        <vt:lpwstr/>
      </vt:variant>
      <vt:variant>
        <vt:lpwstr>_Toc427238922</vt:lpwstr>
      </vt:variant>
      <vt:variant>
        <vt:i4>1900601</vt:i4>
      </vt:variant>
      <vt:variant>
        <vt:i4>128</vt:i4>
      </vt:variant>
      <vt:variant>
        <vt:i4>0</vt:i4>
      </vt:variant>
      <vt:variant>
        <vt:i4>5</vt:i4>
      </vt:variant>
      <vt:variant>
        <vt:lpwstr/>
      </vt:variant>
      <vt:variant>
        <vt:lpwstr>_Toc427238921</vt:lpwstr>
      </vt:variant>
      <vt:variant>
        <vt:i4>1900601</vt:i4>
      </vt:variant>
      <vt:variant>
        <vt:i4>122</vt:i4>
      </vt:variant>
      <vt:variant>
        <vt:i4>0</vt:i4>
      </vt:variant>
      <vt:variant>
        <vt:i4>5</vt:i4>
      </vt:variant>
      <vt:variant>
        <vt:lpwstr/>
      </vt:variant>
      <vt:variant>
        <vt:lpwstr>_Toc427238920</vt:lpwstr>
      </vt:variant>
      <vt:variant>
        <vt:i4>1966137</vt:i4>
      </vt:variant>
      <vt:variant>
        <vt:i4>116</vt:i4>
      </vt:variant>
      <vt:variant>
        <vt:i4>0</vt:i4>
      </vt:variant>
      <vt:variant>
        <vt:i4>5</vt:i4>
      </vt:variant>
      <vt:variant>
        <vt:lpwstr/>
      </vt:variant>
      <vt:variant>
        <vt:lpwstr>_Toc427238919</vt:lpwstr>
      </vt:variant>
      <vt:variant>
        <vt:i4>1966137</vt:i4>
      </vt:variant>
      <vt:variant>
        <vt:i4>110</vt:i4>
      </vt:variant>
      <vt:variant>
        <vt:i4>0</vt:i4>
      </vt:variant>
      <vt:variant>
        <vt:i4>5</vt:i4>
      </vt:variant>
      <vt:variant>
        <vt:lpwstr/>
      </vt:variant>
      <vt:variant>
        <vt:lpwstr>_Toc427238918</vt:lpwstr>
      </vt:variant>
      <vt:variant>
        <vt:i4>1966137</vt:i4>
      </vt:variant>
      <vt:variant>
        <vt:i4>104</vt:i4>
      </vt:variant>
      <vt:variant>
        <vt:i4>0</vt:i4>
      </vt:variant>
      <vt:variant>
        <vt:i4>5</vt:i4>
      </vt:variant>
      <vt:variant>
        <vt:lpwstr/>
      </vt:variant>
      <vt:variant>
        <vt:lpwstr>_Toc427238917</vt:lpwstr>
      </vt:variant>
      <vt:variant>
        <vt:i4>1966137</vt:i4>
      </vt:variant>
      <vt:variant>
        <vt:i4>98</vt:i4>
      </vt:variant>
      <vt:variant>
        <vt:i4>0</vt:i4>
      </vt:variant>
      <vt:variant>
        <vt:i4>5</vt:i4>
      </vt:variant>
      <vt:variant>
        <vt:lpwstr/>
      </vt:variant>
      <vt:variant>
        <vt:lpwstr>_Toc427238916</vt:lpwstr>
      </vt:variant>
      <vt:variant>
        <vt:i4>1966137</vt:i4>
      </vt:variant>
      <vt:variant>
        <vt:i4>92</vt:i4>
      </vt:variant>
      <vt:variant>
        <vt:i4>0</vt:i4>
      </vt:variant>
      <vt:variant>
        <vt:i4>5</vt:i4>
      </vt:variant>
      <vt:variant>
        <vt:lpwstr/>
      </vt:variant>
      <vt:variant>
        <vt:lpwstr>_Toc427238915</vt:lpwstr>
      </vt:variant>
      <vt:variant>
        <vt:i4>1966137</vt:i4>
      </vt:variant>
      <vt:variant>
        <vt:i4>86</vt:i4>
      </vt:variant>
      <vt:variant>
        <vt:i4>0</vt:i4>
      </vt:variant>
      <vt:variant>
        <vt:i4>5</vt:i4>
      </vt:variant>
      <vt:variant>
        <vt:lpwstr/>
      </vt:variant>
      <vt:variant>
        <vt:lpwstr>_Toc427238914</vt:lpwstr>
      </vt:variant>
      <vt:variant>
        <vt:i4>1966137</vt:i4>
      </vt:variant>
      <vt:variant>
        <vt:i4>80</vt:i4>
      </vt:variant>
      <vt:variant>
        <vt:i4>0</vt:i4>
      </vt:variant>
      <vt:variant>
        <vt:i4>5</vt:i4>
      </vt:variant>
      <vt:variant>
        <vt:lpwstr/>
      </vt:variant>
      <vt:variant>
        <vt:lpwstr>_Toc427238913</vt:lpwstr>
      </vt:variant>
      <vt:variant>
        <vt:i4>1966137</vt:i4>
      </vt:variant>
      <vt:variant>
        <vt:i4>74</vt:i4>
      </vt:variant>
      <vt:variant>
        <vt:i4>0</vt:i4>
      </vt:variant>
      <vt:variant>
        <vt:i4>5</vt:i4>
      </vt:variant>
      <vt:variant>
        <vt:lpwstr/>
      </vt:variant>
      <vt:variant>
        <vt:lpwstr>_Toc427238912</vt:lpwstr>
      </vt:variant>
      <vt:variant>
        <vt:i4>1966137</vt:i4>
      </vt:variant>
      <vt:variant>
        <vt:i4>68</vt:i4>
      </vt:variant>
      <vt:variant>
        <vt:i4>0</vt:i4>
      </vt:variant>
      <vt:variant>
        <vt:i4>5</vt:i4>
      </vt:variant>
      <vt:variant>
        <vt:lpwstr/>
      </vt:variant>
      <vt:variant>
        <vt:lpwstr>_Toc427238911</vt:lpwstr>
      </vt:variant>
      <vt:variant>
        <vt:i4>1966137</vt:i4>
      </vt:variant>
      <vt:variant>
        <vt:i4>62</vt:i4>
      </vt:variant>
      <vt:variant>
        <vt:i4>0</vt:i4>
      </vt:variant>
      <vt:variant>
        <vt:i4>5</vt:i4>
      </vt:variant>
      <vt:variant>
        <vt:lpwstr/>
      </vt:variant>
      <vt:variant>
        <vt:lpwstr>_Toc427238910</vt:lpwstr>
      </vt:variant>
      <vt:variant>
        <vt:i4>2031673</vt:i4>
      </vt:variant>
      <vt:variant>
        <vt:i4>56</vt:i4>
      </vt:variant>
      <vt:variant>
        <vt:i4>0</vt:i4>
      </vt:variant>
      <vt:variant>
        <vt:i4>5</vt:i4>
      </vt:variant>
      <vt:variant>
        <vt:lpwstr/>
      </vt:variant>
      <vt:variant>
        <vt:lpwstr>_Toc427238909</vt:lpwstr>
      </vt:variant>
      <vt:variant>
        <vt:i4>2031673</vt:i4>
      </vt:variant>
      <vt:variant>
        <vt:i4>50</vt:i4>
      </vt:variant>
      <vt:variant>
        <vt:i4>0</vt:i4>
      </vt:variant>
      <vt:variant>
        <vt:i4>5</vt:i4>
      </vt:variant>
      <vt:variant>
        <vt:lpwstr/>
      </vt:variant>
      <vt:variant>
        <vt:lpwstr>_Toc427238908</vt:lpwstr>
      </vt:variant>
      <vt:variant>
        <vt:i4>2031673</vt:i4>
      </vt:variant>
      <vt:variant>
        <vt:i4>44</vt:i4>
      </vt:variant>
      <vt:variant>
        <vt:i4>0</vt:i4>
      </vt:variant>
      <vt:variant>
        <vt:i4>5</vt:i4>
      </vt:variant>
      <vt:variant>
        <vt:lpwstr/>
      </vt:variant>
      <vt:variant>
        <vt:lpwstr>_Toc427238907</vt:lpwstr>
      </vt:variant>
      <vt:variant>
        <vt:i4>2031673</vt:i4>
      </vt:variant>
      <vt:variant>
        <vt:i4>38</vt:i4>
      </vt:variant>
      <vt:variant>
        <vt:i4>0</vt:i4>
      </vt:variant>
      <vt:variant>
        <vt:i4>5</vt:i4>
      </vt:variant>
      <vt:variant>
        <vt:lpwstr/>
      </vt:variant>
      <vt:variant>
        <vt:lpwstr>_Toc427238906</vt:lpwstr>
      </vt:variant>
      <vt:variant>
        <vt:i4>2031673</vt:i4>
      </vt:variant>
      <vt:variant>
        <vt:i4>32</vt:i4>
      </vt:variant>
      <vt:variant>
        <vt:i4>0</vt:i4>
      </vt:variant>
      <vt:variant>
        <vt:i4>5</vt:i4>
      </vt:variant>
      <vt:variant>
        <vt:lpwstr/>
      </vt:variant>
      <vt:variant>
        <vt:lpwstr>_Toc427238905</vt:lpwstr>
      </vt:variant>
      <vt:variant>
        <vt:i4>2031673</vt:i4>
      </vt:variant>
      <vt:variant>
        <vt:i4>26</vt:i4>
      </vt:variant>
      <vt:variant>
        <vt:i4>0</vt:i4>
      </vt:variant>
      <vt:variant>
        <vt:i4>5</vt:i4>
      </vt:variant>
      <vt:variant>
        <vt:lpwstr/>
      </vt:variant>
      <vt:variant>
        <vt:lpwstr>_Toc427238904</vt:lpwstr>
      </vt:variant>
      <vt:variant>
        <vt:i4>2031673</vt:i4>
      </vt:variant>
      <vt:variant>
        <vt:i4>20</vt:i4>
      </vt:variant>
      <vt:variant>
        <vt:i4>0</vt:i4>
      </vt:variant>
      <vt:variant>
        <vt:i4>5</vt:i4>
      </vt:variant>
      <vt:variant>
        <vt:lpwstr/>
      </vt:variant>
      <vt:variant>
        <vt:lpwstr>_Toc427238903</vt:lpwstr>
      </vt:variant>
      <vt:variant>
        <vt:i4>2031673</vt:i4>
      </vt:variant>
      <vt:variant>
        <vt:i4>14</vt:i4>
      </vt:variant>
      <vt:variant>
        <vt:i4>0</vt:i4>
      </vt:variant>
      <vt:variant>
        <vt:i4>5</vt:i4>
      </vt:variant>
      <vt:variant>
        <vt:lpwstr/>
      </vt:variant>
      <vt:variant>
        <vt:lpwstr>_Toc427238902</vt:lpwstr>
      </vt:variant>
      <vt:variant>
        <vt:i4>2031673</vt:i4>
      </vt:variant>
      <vt:variant>
        <vt:i4>8</vt:i4>
      </vt:variant>
      <vt:variant>
        <vt:i4>0</vt:i4>
      </vt:variant>
      <vt:variant>
        <vt:i4>5</vt:i4>
      </vt:variant>
      <vt:variant>
        <vt:lpwstr/>
      </vt:variant>
      <vt:variant>
        <vt:lpwstr>_Toc427238901</vt:lpwstr>
      </vt:variant>
      <vt:variant>
        <vt:i4>2031673</vt:i4>
      </vt:variant>
      <vt:variant>
        <vt:i4>2</vt:i4>
      </vt:variant>
      <vt:variant>
        <vt:i4>0</vt:i4>
      </vt:variant>
      <vt:variant>
        <vt:i4>5</vt:i4>
      </vt:variant>
      <vt:variant>
        <vt:lpwstr/>
      </vt:variant>
      <vt:variant>
        <vt:lpwstr>_Toc427238900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2016-08-01T05:36:00Z</dcterms:created>
  <dcterms:modified xsi:type="dcterms:W3CDTF">2016-08-01T05:36:00Z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7db8f781-e574-4bc9-a9d6-d06792192df6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1047700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