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5B704D" w:rsidRDefault="00BD4549" w:rsidP="00852237">
      <w:pPr>
        <w:spacing w:before="40" w:after="40" w:line="240" w:lineRule="auto"/>
        <w:jc w:val="center"/>
        <w:rPr>
          <w:rFonts w:ascii="Arial" w:hAnsi="Arial" w:cs="Arial"/>
          <w:b/>
          <w:sz w:val="24"/>
          <w:szCs w:val="24"/>
        </w:rPr>
      </w:pPr>
      <w:bookmarkStart w:id="0" w:name="_GoBack"/>
      <w:bookmarkEnd w:id="0"/>
      <w:r>
        <w:rPr>
          <w:rFonts w:ascii="Arial" w:hAnsi="Arial" w:cs="Arial"/>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rFonts w:ascii="Arial" w:hAnsi="Arial" w:cs="Arial"/>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5B704D">
        <w:rPr>
          <w:rFonts w:ascii="Arial" w:hAnsi="Arial" w:cs="Arial"/>
          <w:b/>
          <w:sz w:val="24"/>
          <w:szCs w:val="24"/>
        </w:rPr>
        <w:t>Samoa – Australia Partnership for Development</w:t>
      </w:r>
    </w:p>
    <w:p w:rsidR="00E1504C" w:rsidRPr="005B704D" w:rsidRDefault="001E055B" w:rsidP="00852237">
      <w:pPr>
        <w:spacing w:before="40" w:after="40" w:line="240" w:lineRule="auto"/>
        <w:jc w:val="center"/>
        <w:rPr>
          <w:rFonts w:ascii="Arial" w:hAnsi="Arial" w:cs="Arial"/>
          <w:b/>
          <w:sz w:val="18"/>
          <w:szCs w:val="16"/>
        </w:rPr>
      </w:pPr>
      <w:r w:rsidRPr="005B704D">
        <w:rPr>
          <w:rFonts w:ascii="Arial" w:hAnsi="Arial" w:cs="Arial"/>
          <w:b/>
          <w:sz w:val="24"/>
          <w:szCs w:val="16"/>
        </w:rPr>
        <w:t>2012-13</w:t>
      </w:r>
      <w:r w:rsidR="00E1504C" w:rsidRPr="005B704D">
        <w:rPr>
          <w:rFonts w:ascii="Arial" w:hAnsi="Arial" w:cs="Arial"/>
          <w:b/>
          <w:sz w:val="24"/>
          <w:szCs w:val="16"/>
        </w:rPr>
        <w:t xml:space="preserve"> Implementation Schedule</w:t>
      </w:r>
    </w:p>
    <w:p w:rsidR="005B704D" w:rsidRPr="005B704D" w:rsidRDefault="005B704D" w:rsidP="00852237">
      <w:pPr>
        <w:spacing w:before="40" w:after="40" w:line="240" w:lineRule="auto"/>
        <w:jc w:val="center"/>
        <w:rPr>
          <w:rFonts w:ascii="Arial" w:hAnsi="Arial" w:cs="Arial"/>
          <w:b/>
          <w:sz w:val="24"/>
          <w:szCs w:val="16"/>
        </w:rPr>
      </w:pPr>
      <w:r w:rsidRPr="005B704D">
        <w:rPr>
          <w:rFonts w:ascii="Arial" w:hAnsi="Arial" w:cs="Arial"/>
          <w:b/>
          <w:sz w:val="24"/>
          <w:szCs w:val="16"/>
        </w:rPr>
        <w:t>Priority Outcome</w:t>
      </w:r>
      <w:r w:rsidR="00E1504C" w:rsidRPr="005B704D">
        <w:rPr>
          <w:rFonts w:ascii="Arial" w:hAnsi="Arial" w:cs="Arial"/>
          <w:b/>
          <w:sz w:val="24"/>
          <w:szCs w:val="16"/>
        </w:rPr>
        <w:t>:</w:t>
      </w:r>
      <w:r w:rsidRPr="005B704D">
        <w:rPr>
          <w:rFonts w:ascii="Arial" w:hAnsi="Arial" w:cs="Arial"/>
          <w:b/>
          <w:sz w:val="24"/>
          <w:szCs w:val="16"/>
        </w:rPr>
        <w:t xml:space="preserve"> Governance and Economic Stability</w:t>
      </w:r>
    </w:p>
    <w:p w:rsidR="005B704D" w:rsidRPr="005B704D" w:rsidRDefault="005B704D" w:rsidP="00852237">
      <w:pPr>
        <w:spacing w:before="40" w:after="40" w:line="240" w:lineRule="auto"/>
        <w:jc w:val="center"/>
        <w:rPr>
          <w:rFonts w:ascii="Arial" w:hAnsi="Arial" w:cs="Arial"/>
          <w:b/>
          <w:sz w:val="24"/>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9716"/>
        <w:gridCol w:w="2802"/>
        <w:gridCol w:w="1276"/>
      </w:tblGrid>
      <w:tr w:rsidR="005B704D" w:rsidRPr="005B704D" w:rsidTr="005B704D">
        <w:trPr>
          <w:trHeight w:val="397"/>
        </w:trPr>
        <w:tc>
          <w:tcPr>
            <w:tcW w:w="1482" w:type="dxa"/>
            <w:shd w:val="clear" w:color="auto" w:fill="B8CCE4"/>
            <w:vAlign w:val="center"/>
          </w:tcPr>
          <w:p w:rsidR="005B704D" w:rsidRPr="005B704D" w:rsidRDefault="005B704D" w:rsidP="005B704D">
            <w:pPr>
              <w:spacing w:after="0" w:line="240" w:lineRule="auto"/>
              <w:rPr>
                <w:rFonts w:ascii="Arial" w:hAnsi="Arial" w:cs="Arial"/>
                <w:sz w:val="24"/>
                <w:szCs w:val="24"/>
              </w:rPr>
            </w:pPr>
            <w:r w:rsidRPr="005B704D">
              <w:rPr>
                <w:rFonts w:ascii="Arial" w:hAnsi="Arial" w:cs="Arial"/>
                <w:sz w:val="24"/>
                <w:szCs w:val="24"/>
              </w:rPr>
              <w:t>Aim:</w:t>
            </w:r>
          </w:p>
        </w:tc>
        <w:tc>
          <w:tcPr>
            <w:tcW w:w="9716" w:type="dxa"/>
            <w:vAlign w:val="center"/>
          </w:tcPr>
          <w:p w:rsidR="005B704D" w:rsidRPr="005B704D" w:rsidRDefault="005B704D" w:rsidP="005B704D">
            <w:pPr>
              <w:spacing w:after="0" w:line="240" w:lineRule="auto"/>
              <w:rPr>
                <w:rFonts w:ascii="Arial" w:hAnsi="Arial" w:cs="Arial"/>
              </w:rPr>
            </w:pPr>
            <w:r w:rsidRPr="005B704D">
              <w:rPr>
                <w:rFonts w:ascii="Arial" w:hAnsi="Arial" w:cs="Arial"/>
              </w:rPr>
              <w:t>The Partnership will enable Samoa to achieve its goals of sustained macroeconomic stability and improved governance.</w:t>
            </w:r>
          </w:p>
        </w:tc>
        <w:tc>
          <w:tcPr>
            <w:tcW w:w="2802" w:type="dxa"/>
            <w:shd w:val="clear" w:color="auto" w:fill="B8CCE4"/>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sz w:val="24"/>
              </w:rPr>
              <w:t>Baseline</w:t>
            </w:r>
          </w:p>
        </w:tc>
        <w:tc>
          <w:tcPr>
            <w:tcW w:w="1276" w:type="dxa"/>
            <w:shd w:val="clear" w:color="auto" w:fill="B8CCE4"/>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rPr>
              <w:t>Progress</w:t>
            </w:r>
            <w:r w:rsidRPr="005B704D">
              <w:rPr>
                <w:rStyle w:val="FootnoteReference"/>
                <w:rFonts w:ascii="Arial" w:hAnsi="Arial" w:cs="Arial"/>
              </w:rPr>
              <w:footnoteReference w:id="1"/>
            </w:r>
          </w:p>
        </w:tc>
      </w:tr>
      <w:tr w:rsidR="005B704D" w:rsidRPr="005B704D" w:rsidTr="005B704D">
        <w:trPr>
          <w:trHeight w:val="397"/>
        </w:trPr>
        <w:tc>
          <w:tcPr>
            <w:tcW w:w="1482" w:type="dxa"/>
            <w:vMerge w:val="restart"/>
            <w:tcBorders>
              <w:right w:val="single" w:sz="4" w:space="0" w:color="auto"/>
            </w:tcBorders>
            <w:shd w:val="clear" w:color="auto" w:fill="B8CCE4"/>
            <w:vAlign w:val="center"/>
          </w:tcPr>
          <w:p w:rsidR="005B704D" w:rsidRPr="005B704D" w:rsidRDefault="005B704D" w:rsidP="005B704D">
            <w:pPr>
              <w:spacing w:after="0" w:line="240" w:lineRule="auto"/>
              <w:rPr>
                <w:rFonts w:ascii="Arial" w:hAnsi="Arial" w:cs="Arial"/>
                <w:sz w:val="24"/>
                <w:szCs w:val="24"/>
              </w:rPr>
            </w:pPr>
            <w:r w:rsidRPr="005B704D">
              <w:rPr>
                <w:rFonts w:ascii="Arial" w:hAnsi="Arial" w:cs="Arial"/>
                <w:sz w:val="24"/>
                <w:szCs w:val="24"/>
              </w:rPr>
              <w:t>Targets for 2015:</w:t>
            </w:r>
          </w:p>
        </w:tc>
        <w:tc>
          <w:tcPr>
            <w:tcW w:w="9716" w:type="dxa"/>
            <w:tcBorders>
              <w:top w:val="single" w:sz="4" w:space="0" w:color="auto"/>
              <w:left w:val="single" w:sz="4" w:space="0" w:color="auto"/>
              <w:bottom w:val="nil"/>
              <w:right w:val="single" w:sz="4" w:space="0" w:color="auto"/>
            </w:tcBorders>
            <w:vAlign w:val="center"/>
          </w:tcPr>
          <w:p w:rsidR="005B704D" w:rsidRPr="005B704D" w:rsidRDefault="005B704D" w:rsidP="005B704D">
            <w:pPr>
              <w:spacing w:after="0" w:line="240" w:lineRule="auto"/>
              <w:rPr>
                <w:rFonts w:ascii="Arial" w:hAnsi="Arial" w:cs="Arial"/>
              </w:rPr>
            </w:pPr>
            <w:r w:rsidRPr="005B704D">
              <w:rPr>
                <w:rFonts w:ascii="Arial" w:hAnsi="Arial" w:cs="Arial"/>
                <w:lang w:val="en-US"/>
              </w:rPr>
              <w:t>1. Improved Government Effectiveness Score in World Bank Governance Indicators</w:t>
            </w:r>
          </w:p>
        </w:tc>
        <w:tc>
          <w:tcPr>
            <w:tcW w:w="2802" w:type="dxa"/>
            <w:tcBorders>
              <w:top w:val="single" w:sz="4" w:space="0" w:color="auto"/>
              <w:left w:val="single" w:sz="4" w:space="0" w:color="auto"/>
              <w:bottom w:val="nil"/>
              <w:right w:val="single" w:sz="4" w:space="0" w:color="auto"/>
            </w:tcBorders>
            <w:vAlign w:val="center"/>
          </w:tcPr>
          <w:p w:rsidR="005B704D" w:rsidRPr="005B704D" w:rsidRDefault="005B704D" w:rsidP="005B704D">
            <w:pPr>
              <w:spacing w:after="0" w:line="240" w:lineRule="auto"/>
              <w:rPr>
                <w:rFonts w:ascii="Arial" w:hAnsi="Arial" w:cs="Arial"/>
              </w:rPr>
            </w:pPr>
            <w:r w:rsidRPr="005B704D">
              <w:rPr>
                <w:rFonts w:ascii="Arial" w:hAnsi="Arial" w:cs="Arial"/>
                <w:lang w:val="en-US"/>
              </w:rPr>
              <w:t>1. 60th percentile (2008)</w:t>
            </w:r>
          </w:p>
        </w:tc>
        <w:tc>
          <w:tcPr>
            <w:tcW w:w="1276" w:type="dxa"/>
            <w:tcBorders>
              <w:top w:val="single" w:sz="4" w:space="0" w:color="auto"/>
              <w:left w:val="single" w:sz="4" w:space="0" w:color="auto"/>
              <w:bottom w:val="nil"/>
              <w:right w:val="single" w:sz="4" w:space="0" w:color="auto"/>
            </w:tcBorders>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rPr>
              <w:t>Partly on track</w:t>
            </w:r>
          </w:p>
        </w:tc>
      </w:tr>
      <w:tr w:rsidR="005B704D" w:rsidRPr="005B704D" w:rsidTr="005B704D">
        <w:trPr>
          <w:trHeight w:val="397"/>
        </w:trPr>
        <w:tc>
          <w:tcPr>
            <w:tcW w:w="1482" w:type="dxa"/>
            <w:vMerge/>
            <w:tcBorders>
              <w:right w:val="single" w:sz="4" w:space="0" w:color="auto"/>
            </w:tcBorders>
            <w:shd w:val="clear" w:color="auto" w:fill="B8CCE4"/>
          </w:tcPr>
          <w:p w:rsidR="005B704D" w:rsidRPr="005B704D" w:rsidRDefault="005B704D" w:rsidP="005B704D">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shd w:val="clear" w:color="auto" w:fill="D9D9D9"/>
            <w:vAlign w:val="center"/>
          </w:tcPr>
          <w:p w:rsidR="005B704D" w:rsidRPr="005B704D" w:rsidRDefault="005B704D" w:rsidP="005B704D">
            <w:pPr>
              <w:spacing w:after="0" w:line="240" w:lineRule="auto"/>
              <w:rPr>
                <w:rFonts w:ascii="Arial" w:hAnsi="Arial" w:cs="Arial"/>
              </w:rPr>
            </w:pPr>
            <w:r w:rsidRPr="005B704D">
              <w:rPr>
                <w:rFonts w:ascii="Arial" w:hAnsi="Arial" w:cs="Arial"/>
                <w:lang w:val="en-US"/>
              </w:rPr>
              <w:t>2. Improved Voice &amp; Accountability Score in World Bank Governance Indicators</w:t>
            </w:r>
          </w:p>
        </w:tc>
        <w:tc>
          <w:tcPr>
            <w:tcW w:w="2802" w:type="dxa"/>
            <w:tcBorders>
              <w:top w:val="nil"/>
              <w:left w:val="single" w:sz="4" w:space="0" w:color="auto"/>
              <w:bottom w:val="nil"/>
              <w:right w:val="single" w:sz="4" w:space="0" w:color="auto"/>
            </w:tcBorders>
            <w:shd w:val="clear" w:color="auto" w:fill="D9D9D9"/>
            <w:vAlign w:val="center"/>
          </w:tcPr>
          <w:p w:rsidR="005B704D" w:rsidRPr="005B704D" w:rsidRDefault="005B704D" w:rsidP="005B704D">
            <w:pPr>
              <w:spacing w:after="0" w:line="240" w:lineRule="auto"/>
              <w:rPr>
                <w:rFonts w:ascii="Arial" w:hAnsi="Arial" w:cs="Arial"/>
              </w:rPr>
            </w:pPr>
            <w:r w:rsidRPr="005B704D">
              <w:rPr>
                <w:rFonts w:ascii="Arial" w:hAnsi="Arial" w:cs="Arial"/>
                <w:lang w:val="en-US"/>
              </w:rPr>
              <w:t>2. 70th percentile (2008)</w:t>
            </w:r>
          </w:p>
        </w:tc>
        <w:tc>
          <w:tcPr>
            <w:tcW w:w="1276" w:type="dxa"/>
            <w:tcBorders>
              <w:top w:val="nil"/>
              <w:left w:val="single" w:sz="4" w:space="0" w:color="auto"/>
              <w:bottom w:val="nil"/>
              <w:right w:val="single" w:sz="4" w:space="0" w:color="auto"/>
            </w:tcBorders>
            <w:shd w:val="clear" w:color="auto" w:fill="D9D9D9"/>
            <w:vAlign w:val="center"/>
          </w:tcPr>
          <w:p w:rsidR="005B704D" w:rsidRPr="005B704D" w:rsidRDefault="005B704D" w:rsidP="005B704D">
            <w:pPr>
              <w:spacing w:after="0" w:line="240" w:lineRule="auto"/>
              <w:ind w:left="34"/>
              <w:jc w:val="center"/>
              <w:rPr>
                <w:rFonts w:ascii="Arial" w:hAnsi="Arial" w:cs="Arial"/>
              </w:rPr>
            </w:pPr>
            <w:r w:rsidRPr="005B704D">
              <w:rPr>
                <w:rFonts w:ascii="Arial" w:hAnsi="Arial" w:cs="Arial"/>
              </w:rPr>
              <w:t>Partly on track</w:t>
            </w:r>
          </w:p>
        </w:tc>
      </w:tr>
      <w:tr w:rsidR="005B704D" w:rsidRPr="005B704D" w:rsidTr="005B704D">
        <w:trPr>
          <w:trHeight w:val="397"/>
        </w:trPr>
        <w:tc>
          <w:tcPr>
            <w:tcW w:w="1482" w:type="dxa"/>
            <w:vMerge/>
            <w:tcBorders>
              <w:right w:val="single" w:sz="4" w:space="0" w:color="auto"/>
            </w:tcBorders>
            <w:shd w:val="clear" w:color="auto" w:fill="B8CCE4"/>
          </w:tcPr>
          <w:p w:rsidR="005B704D" w:rsidRPr="005B704D" w:rsidRDefault="005B704D" w:rsidP="005B704D">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vAlign w:val="center"/>
          </w:tcPr>
          <w:p w:rsidR="005B704D" w:rsidRPr="005B704D" w:rsidRDefault="005B704D" w:rsidP="005B704D">
            <w:pPr>
              <w:spacing w:after="0" w:line="240" w:lineRule="auto"/>
              <w:rPr>
                <w:rFonts w:ascii="Arial" w:hAnsi="Arial" w:cs="Arial"/>
              </w:rPr>
            </w:pPr>
            <w:r w:rsidRPr="005B704D">
              <w:rPr>
                <w:rFonts w:ascii="Arial" w:hAnsi="Arial" w:cs="Arial"/>
                <w:lang w:val="en-US"/>
              </w:rPr>
              <w:t xml:space="preserve">3. Sustained macroeconomic stability </w:t>
            </w:r>
            <w:r w:rsidRPr="005B704D">
              <w:rPr>
                <w:rFonts w:ascii="Arial" w:hAnsi="Arial" w:cs="Arial"/>
                <w:i/>
                <w:lang w:val="en-US"/>
              </w:rPr>
              <w:t>[positive IMF Article IV Assessments]</w:t>
            </w:r>
          </w:p>
        </w:tc>
        <w:tc>
          <w:tcPr>
            <w:tcW w:w="2802" w:type="dxa"/>
            <w:tcBorders>
              <w:top w:val="nil"/>
              <w:left w:val="single" w:sz="4" w:space="0" w:color="auto"/>
              <w:bottom w:val="nil"/>
              <w:right w:val="single" w:sz="4" w:space="0" w:color="auto"/>
            </w:tcBorders>
            <w:vAlign w:val="center"/>
          </w:tcPr>
          <w:p w:rsidR="005B704D" w:rsidRPr="005B704D" w:rsidRDefault="005B704D" w:rsidP="005B704D">
            <w:pPr>
              <w:spacing w:after="0" w:line="240" w:lineRule="auto"/>
              <w:rPr>
                <w:rFonts w:ascii="Arial" w:hAnsi="Arial" w:cs="Arial"/>
              </w:rPr>
            </w:pPr>
            <w:r w:rsidRPr="005B704D">
              <w:rPr>
                <w:rFonts w:ascii="Arial" w:hAnsi="Arial" w:cs="Arial"/>
                <w:lang w:val="en-AU"/>
              </w:rPr>
              <w:t>3. Positive assessment (2010)</w:t>
            </w:r>
          </w:p>
        </w:tc>
        <w:tc>
          <w:tcPr>
            <w:tcW w:w="1276" w:type="dxa"/>
            <w:tcBorders>
              <w:top w:val="nil"/>
              <w:left w:val="single" w:sz="4" w:space="0" w:color="auto"/>
              <w:bottom w:val="nil"/>
              <w:right w:val="single" w:sz="4" w:space="0" w:color="auto"/>
            </w:tcBorders>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rPr>
              <w:t>On track</w:t>
            </w:r>
          </w:p>
        </w:tc>
      </w:tr>
      <w:tr w:rsidR="005B704D" w:rsidRPr="005B704D" w:rsidTr="005B704D">
        <w:trPr>
          <w:trHeight w:val="397"/>
        </w:trPr>
        <w:tc>
          <w:tcPr>
            <w:tcW w:w="1482" w:type="dxa"/>
            <w:vMerge/>
            <w:tcBorders>
              <w:right w:val="single" w:sz="4" w:space="0" w:color="auto"/>
            </w:tcBorders>
            <w:shd w:val="clear" w:color="auto" w:fill="B8CCE4"/>
          </w:tcPr>
          <w:p w:rsidR="005B704D" w:rsidRPr="005B704D" w:rsidRDefault="005B704D" w:rsidP="005B704D">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shd w:val="clear" w:color="auto" w:fill="D9D9D9"/>
            <w:vAlign w:val="center"/>
          </w:tcPr>
          <w:p w:rsidR="005B704D" w:rsidRPr="005B704D" w:rsidRDefault="005B704D" w:rsidP="005B704D">
            <w:pPr>
              <w:spacing w:after="0" w:line="240" w:lineRule="auto"/>
              <w:rPr>
                <w:rFonts w:ascii="Arial" w:hAnsi="Arial" w:cs="Arial"/>
              </w:rPr>
            </w:pPr>
            <w:r w:rsidRPr="005B704D">
              <w:rPr>
                <w:rFonts w:ascii="Arial" w:hAnsi="Arial" w:cs="Arial"/>
                <w:sz w:val="20"/>
                <w:szCs w:val="20"/>
                <w:lang w:val="en-AU"/>
              </w:rPr>
              <w:t xml:space="preserve">4. </w:t>
            </w:r>
            <w:r w:rsidRPr="005B704D">
              <w:rPr>
                <w:rFonts w:ascii="Arial" w:hAnsi="Arial" w:cs="Arial"/>
                <w:lang w:val="en-US"/>
              </w:rPr>
              <w:t>Reduced levels of poverty (MDG 1)</w:t>
            </w:r>
          </w:p>
        </w:tc>
        <w:tc>
          <w:tcPr>
            <w:tcW w:w="2802" w:type="dxa"/>
            <w:tcBorders>
              <w:top w:val="nil"/>
              <w:left w:val="single" w:sz="4" w:space="0" w:color="auto"/>
              <w:bottom w:val="nil"/>
              <w:right w:val="single" w:sz="4" w:space="0" w:color="auto"/>
            </w:tcBorders>
            <w:shd w:val="clear" w:color="auto" w:fill="D9D9D9"/>
            <w:vAlign w:val="center"/>
          </w:tcPr>
          <w:p w:rsidR="00EB091F" w:rsidRDefault="005B704D" w:rsidP="005B704D">
            <w:pPr>
              <w:spacing w:after="0" w:line="240" w:lineRule="auto"/>
              <w:rPr>
                <w:rFonts w:ascii="Arial" w:hAnsi="Arial" w:cs="Arial"/>
                <w:lang w:val="en-AU"/>
              </w:rPr>
            </w:pPr>
            <w:r w:rsidRPr="005B704D">
              <w:rPr>
                <w:rFonts w:ascii="Arial" w:hAnsi="Arial" w:cs="Arial"/>
                <w:lang w:val="en-AU"/>
              </w:rPr>
              <w:t xml:space="preserve">4. 5 % below food poverty    line (2008), </w:t>
            </w:r>
          </w:p>
          <w:p w:rsidR="005B704D" w:rsidRPr="005B704D" w:rsidRDefault="005B704D" w:rsidP="005B704D">
            <w:pPr>
              <w:spacing w:after="0" w:line="240" w:lineRule="auto"/>
              <w:rPr>
                <w:rFonts w:ascii="Arial" w:hAnsi="Arial" w:cs="Arial"/>
              </w:rPr>
            </w:pPr>
            <w:r w:rsidRPr="005B704D">
              <w:rPr>
                <w:rFonts w:ascii="Arial" w:hAnsi="Arial" w:cs="Arial"/>
                <w:lang w:val="en-AU"/>
              </w:rPr>
              <w:t>26% below basic needs poverty line (2008).</w:t>
            </w:r>
          </w:p>
        </w:tc>
        <w:tc>
          <w:tcPr>
            <w:tcW w:w="1276" w:type="dxa"/>
            <w:tcBorders>
              <w:top w:val="nil"/>
              <w:left w:val="single" w:sz="4" w:space="0" w:color="auto"/>
              <w:bottom w:val="nil"/>
              <w:right w:val="single" w:sz="4" w:space="0" w:color="auto"/>
            </w:tcBorders>
            <w:shd w:val="clear" w:color="auto" w:fill="D9D9D9"/>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rPr>
              <w:t>Partly on track</w:t>
            </w:r>
          </w:p>
        </w:tc>
      </w:tr>
      <w:tr w:rsidR="005B704D" w:rsidRPr="005B704D" w:rsidTr="005B704D">
        <w:trPr>
          <w:trHeight w:val="397"/>
        </w:trPr>
        <w:tc>
          <w:tcPr>
            <w:tcW w:w="1482" w:type="dxa"/>
            <w:vMerge/>
            <w:tcBorders>
              <w:right w:val="single" w:sz="4" w:space="0" w:color="auto"/>
            </w:tcBorders>
            <w:shd w:val="clear" w:color="auto" w:fill="B8CCE4"/>
          </w:tcPr>
          <w:p w:rsidR="005B704D" w:rsidRPr="005B704D" w:rsidRDefault="005B704D" w:rsidP="005B704D">
            <w:pPr>
              <w:spacing w:after="0" w:line="240" w:lineRule="auto"/>
              <w:rPr>
                <w:rFonts w:ascii="Arial" w:hAnsi="Arial" w:cs="Arial"/>
                <w:sz w:val="24"/>
                <w:szCs w:val="24"/>
              </w:rPr>
            </w:pPr>
          </w:p>
        </w:tc>
        <w:tc>
          <w:tcPr>
            <w:tcW w:w="9716" w:type="dxa"/>
            <w:tcBorders>
              <w:top w:val="nil"/>
              <w:left w:val="single" w:sz="4" w:space="0" w:color="auto"/>
              <w:bottom w:val="single" w:sz="4" w:space="0" w:color="auto"/>
              <w:right w:val="single" w:sz="4" w:space="0" w:color="auto"/>
            </w:tcBorders>
            <w:vAlign w:val="center"/>
          </w:tcPr>
          <w:p w:rsidR="005B704D" w:rsidRPr="005B704D" w:rsidRDefault="005B704D" w:rsidP="005B704D">
            <w:pPr>
              <w:spacing w:after="0" w:line="240" w:lineRule="auto"/>
              <w:rPr>
                <w:rFonts w:ascii="Arial" w:hAnsi="Arial" w:cs="Arial"/>
              </w:rPr>
            </w:pPr>
            <w:r w:rsidRPr="005B704D">
              <w:rPr>
                <w:rFonts w:ascii="Arial" w:hAnsi="Arial" w:cs="Arial"/>
              </w:rPr>
              <w:t>5. Improved resilience to climate and disaster risks</w:t>
            </w:r>
          </w:p>
        </w:tc>
        <w:tc>
          <w:tcPr>
            <w:tcW w:w="2802" w:type="dxa"/>
            <w:tcBorders>
              <w:top w:val="nil"/>
              <w:left w:val="single" w:sz="4" w:space="0" w:color="auto"/>
              <w:bottom w:val="single" w:sz="4" w:space="0" w:color="auto"/>
              <w:right w:val="single" w:sz="4" w:space="0" w:color="auto"/>
            </w:tcBorders>
            <w:vAlign w:val="center"/>
          </w:tcPr>
          <w:p w:rsidR="005B704D" w:rsidRPr="005B704D" w:rsidRDefault="005B704D" w:rsidP="005B704D">
            <w:pPr>
              <w:spacing w:after="0" w:line="240" w:lineRule="auto"/>
              <w:rPr>
                <w:rFonts w:ascii="Arial" w:hAnsi="Arial" w:cs="Arial"/>
                <w:color w:val="FF0000"/>
              </w:rPr>
            </w:pPr>
            <w:r w:rsidRPr="005B704D">
              <w:rPr>
                <w:rFonts w:ascii="Arial" w:hAnsi="Arial" w:cs="Arial"/>
              </w:rPr>
              <w:t>5. % of population that is highly vulnerable decreases</w:t>
            </w:r>
          </w:p>
        </w:tc>
        <w:tc>
          <w:tcPr>
            <w:tcW w:w="1276" w:type="dxa"/>
            <w:tcBorders>
              <w:top w:val="nil"/>
              <w:left w:val="single" w:sz="4" w:space="0" w:color="auto"/>
              <w:bottom w:val="single" w:sz="4" w:space="0" w:color="auto"/>
              <w:right w:val="single" w:sz="4" w:space="0" w:color="auto"/>
            </w:tcBorders>
            <w:vAlign w:val="center"/>
          </w:tcPr>
          <w:p w:rsidR="005B704D" w:rsidRPr="005B704D" w:rsidRDefault="005B704D" w:rsidP="005B704D">
            <w:pPr>
              <w:spacing w:after="0" w:line="240" w:lineRule="auto"/>
              <w:jc w:val="center"/>
              <w:rPr>
                <w:rFonts w:ascii="Arial" w:hAnsi="Arial" w:cs="Arial"/>
              </w:rPr>
            </w:pPr>
            <w:r w:rsidRPr="005B704D">
              <w:rPr>
                <w:rFonts w:ascii="Arial" w:hAnsi="Arial" w:cs="Arial"/>
              </w:rPr>
              <w:t>Partly on track</w:t>
            </w:r>
          </w:p>
        </w:tc>
      </w:tr>
    </w:tbl>
    <w:p w:rsidR="00E1504C" w:rsidRPr="005B704D" w:rsidRDefault="00E1504C" w:rsidP="00852237">
      <w:pPr>
        <w:spacing w:before="40" w:after="40" w:line="240" w:lineRule="auto"/>
        <w:jc w:val="center"/>
        <w:rPr>
          <w:rFonts w:ascii="Arial" w:hAnsi="Arial" w:cs="Arial"/>
          <w:b/>
          <w:sz w:val="24"/>
          <w:szCs w:val="16"/>
        </w:rPr>
      </w:pPr>
      <w:r w:rsidRPr="005B704D">
        <w:rPr>
          <w:rFonts w:ascii="Arial" w:hAnsi="Arial" w:cs="Arial"/>
          <w:b/>
          <w:sz w:val="24"/>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5B704D" w:rsidTr="005B704D">
        <w:trPr>
          <w:trHeight w:val="340"/>
        </w:trPr>
        <w:tc>
          <w:tcPr>
            <w:tcW w:w="3936" w:type="dxa"/>
            <w:tcBorders>
              <w:bottom w:val="single" w:sz="4" w:space="0" w:color="auto"/>
              <w:right w:val="single" w:sz="4" w:space="0" w:color="auto"/>
            </w:tcBorders>
            <w:shd w:val="clear" w:color="auto" w:fill="DBE5F1"/>
            <w:vAlign w:val="center"/>
          </w:tcPr>
          <w:p w:rsidR="00E1504C" w:rsidRPr="005B704D" w:rsidRDefault="00E1504C" w:rsidP="00C519A7">
            <w:pPr>
              <w:spacing w:after="0" w:line="240" w:lineRule="auto"/>
              <w:rPr>
                <w:rFonts w:ascii="Arial" w:hAnsi="Arial" w:cs="Arial"/>
              </w:rPr>
            </w:pPr>
            <w:r w:rsidRPr="005B704D">
              <w:rPr>
                <w:rFonts w:ascii="Arial" w:hAnsi="Arial" w:cs="Arial"/>
                <w:sz w:val="18"/>
                <w:szCs w:val="18"/>
              </w:rPr>
              <w:t xml:space="preserve">Partnership </w:t>
            </w:r>
            <w:r w:rsidRPr="005B704D">
              <w:rPr>
                <w:rFonts w:ascii="Arial" w:hAnsi="Arial" w:cs="Arial"/>
                <w:b/>
                <w:sz w:val="18"/>
                <w:szCs w:val="18"/>
              </w:rPr>
              <w:t>outputs</w:t>
            </w:r>
            <w:r w:rsidRPr="005B704D">
              <w:rPr>
                <w:rFonts w:ascii="Arial" w:hAnsi="Arial" w:cs="Arial"/>
                <w:sz w:val="18"/>
                <w:szCs w:val="18"/>
              </w:rPr>
              <w:t xml:space="preserve"> for 201</w:t>
            </w:r>
            <w:r w:rsidR="001E055B" w:rsidRPr="005B704D">
              <w:rPr>
                <w:rFonts w:ascii="Arial" w:hAnsi="Arial" w:cs="Arial"/>
                <w:sz w:val="18"/>
                <w:szCs w:val="18"/>
              </w:rPr>
              <w:t>2-13</w:t>
            </w:r>
          </w:p>
        </w:tc>
        <w:tc>
          <w:tcPr>
            <w:tcW w:w="850" w:type="dxa"/>
            <w:vMerge w:val="restart"/>
            <w:tcBorders>
              <w:top w:val="nil"/>
              <w:left w:val="single" w:sz="4" w:space="0" w:color="auto"/>
              <w:bottom w:val="nil"/>
              <w:right w:val="single" w:sz="4" w:space="0" w:color="auto"/>
            </w:tcBorders>
            <w:vAlign w:val="center"/>
          </w:tcPr>
          <w:p w:rsidR="00E1504C" w:rsidRPr="005B704D" w:rsidRDefault="00BD4549" w:rsidP="00C519A7">
            <w:pPr>
              <w:spacing w:after="0" w:line="240" w:lineRule="auto"/>
              <w:rPr>
                <w:rFonts w:ascii="Arial" w:hAnsi="Arial" w:cs="Arial"/>
              </w:rPr>
            </w:pPr>
            <w:r>
              <w:rPr>
                <w:rFonts w:ascii="Arial" w:hAnsi="Arial" w:cs="Arial"/>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left w:val="single" w:sz="4" w:space="0" w:color="auto"/>
              <w:bottom w:val="single" w:sz="4" w:space="0" w:color="auto"/>
              <w:right w:val="single" w:sz="4" w:space="0" w:color="auto"/>
            </w:tcBorders>
            <w:shd w:val="clear" w:color="auto" w:fill="DBE5F1"/>
            <w:vAlign w:val="center"/>
          </w:tcPr>
          <w:p w:rsidR="00E1504C" w:rsidRPr="005B704D" w:rsidRDefault="00E1504C" w:rsidP="00C519A7">
            <w:pPr>
              <w:spacing w:after="0" w:line="240" w:lineRule="auto"/>
              <w:rPr>
                <w:rFonts w:ascii="Arial" w:hAnsi="Arial" w:cs="Arial"/>
              </w:rPr>
            </w:pPr>
            <w:r w:rsidRPr="005B704D">
              <w:rPr>
                <w:rFonts w:ascii="Arial" w:hAnsi="Arial" w:cs="Arial"/>
                <w:b/>
                <w:sz w:val="18"/>
                <w:szCs w:val="18"/>
              </w:rPr>
              <w:t>Assumptions</w:t>
            </w:r>
          </w:p>
        </w:tc>
        <w:tc>
          <w:tcPr>
            <w:tcW w:w="851" w:type="dxa"/>
            <w:vMerge w:val="restart"/>
            <w:tcBorders>
              <w:top w:val="nil"/>
              <w:left w:val="single" w:sz="4" w:space="0" w:color="auto"/>
              <w:bottom w:val="nil"/>
              <w:right w:val="single" w:sz="4" w:space="0" w:color="auto"/>
            </w:tcBorders>
            <w:vAlign w:val="center"/>
          </w:tcPr>
          <w:p w:rsidR="00E1504C" w:rsidRPr="005B704D" w:rsidRDefault="00BD4549" w:rsidP="00C519A7">
            <w:pPr>
              <w:spacing w:after="0" w:line="240" w:lineRule="auto"/>
              <w:rPr>
                <w:rFonts w:ascii="Arial" w:hAnsi="Arial" w:cs="Arial"/>
              </w:rPr>
            </w:pPr>
            <w:r>
              <w:rPr>
                <w:rFonts w:ascii="Arial" w:hAnsi="Arial" w:cs="Arial"/>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left w:val="single" w:sz="4" w:space="0" w:color="auto"/>
              <w:bottom w:val="single" w:sz="4" w:space="0" w:color="auto"/>
            </w:tcBorders>
            <w:shd w:val="clear" w:color="auto" w:fill="DBE5F1"/>
            <w:vAlign w:val="center"/>
          </w:tcPr>
          <w:p w:rsidR="00E1504C" w:rsidRPr="005B704D" w:rsidRDefault="00E1504C" w:rsidP="00C519A7">
            <w:pPr>
              <w:keepNext/>
              <w:spacing w:before="40" w:after="40" w:line="240" w:lineRule="auto"/>
              <w:rPr>
                <w:rFonts w:ascii="Arial" w:hAnsi="Arial" w:cs="Arial"/>
                <w:sz w:val="18"/>
                <w:szCs w:val="18"/>
              </w:rPr>
            </w:pPr>
            <w:r w:rsidRPr="005B704D">
              <w:rPr>
                <w:rFonts w:ascii="Arial" w:hAnsi="Arial" w:cs="Arial"/>
                <w:sz w:val="18"/>
                <w:szCs w:val="18"/>
              </w:rPr>
              <w:t xml:space="preserve">Planned </w:t>
            </w:r>
            <w:r w:rsidRPr="005B704D">
              <w:rPr>
                <w:rFonts w:ascii="Arial" w:hAnsi="Arial" w:cs="Arial"/>
                <w:b/>
                <w:sz w:val="18"/>
                <w:szCs w:val="18"/>
              </w:rPr>
              <w:t xml:space="preserve">Outcomes </w:t>
            </w:r>
            <w:r w:rsidR="00390D5A" w:rsidRPr="005B704D">
              <w:rPr>
                <w:rFonts w:ascii="Arial" w:hAnsi="Arial" w:cs="Arial"/>
                <w:sz w:val="18"/>
                <w:szCs w:val="18"/>
              </w:rPr>
              <w:t>for 2012-13</w:t>
            </w:r>
          </w:p>
        </w:tc>
        <w:tc>
          <w:tcPr>
            <w:tcW w:w="2552" w:type="dxa"/>
            <w:tcBorders>
              <w:bottom w:val="single" w:sz="4" w:space="0" w:color="auto"/>
            </w:tcBorders>
            <w:shd w:val="clear" w:color="auto" w:fill="DBE5F1"/>
            <w:vAlign w:val="center"/>
          </w:tcPr>
          <w:p w:rsidR="00E1504C" w:rsidRPr="005B704D" w:rsidRDefault="00E1504C" w:rsidP="00C519A7">
            <w:pPr>
              <w:keepNext/>
              <w:spacing w:before="40" w:after="40" w:line="240" w:lineRule="auto"/>
              <w:rPr>
                <w:rFonts w:ascii="Arial" w:hAnsi="Arial" w:cs="Arial"/>
                <w:b/>
                <w:sz w:val="18"/>
                <w:szCs w:val="18"/>
              </w:rPr>
            </w:pPr>
            <w:r w:rsidRPr="005B704D">
              <w:rPr>
                <w:rFonts w:ascii="Arial" w:hAnsi="Arial" w:cs="Arial"/>
                <w:sz w:val="18"/>
                <w:szCs w:val="18"/>
              </w:rPr>
              <w:t xml:space="preserve">Source of </w:t>
            </w:r>
            <w:r w:rsidRPr="005B704D">
              <w:rPr>
                <w:rFonts w:ascii="Arial" w:hAnsi="Arial" w:cs="Arial"/>
                <w:b/>
                <w:sz w:val="18"/>
                <w:szCs w:val="18"/>
              </w:rPr>
              <w:t>Verification</w:t>
            </w:r>
          </w:p>
        </w:tc>
      </w:tr>
      <w:tr w:rsidR="005B704D" w:rsidRPr="005B704D" w:rsidTr="005B704D">
        <w:trPr>
          <w:trHeight w:val="340"/>
        </w:trPr>
        <w:tc>
          <w:tcPr>
            <w:tcW w:w="3936" w:type="dxa"/>
            <w:tcBorders>
              <w:top w:val="single" w:sz="4" w:space="0" w:color="auto"/>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Achievement of agreed PFM reforms as outlined in Policy Action Matrix</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5B704D" w:rsidRDefault="005B704D" w:rsidP="005B704D">
            <w:pPr>
              <w:spacing w:after="0" w:line="240" w:lineRule="auto"/>
              <w:rPr>
                <w:rFonts w:ascii="Arial" w:hAnsi="Arial" w:cs="Arial"/>
                <w:sz w:val="18"/>
                <w:szCs w:val="18"/>
              </w:rPr>
            </w:pPr>
            <w:r w:rsidRPr="00C66734">
              <w:rPr>
                <w:rFonts w:ascii="Arial" w:hAnsi="Arial" w:cs="Arial"/>
                <w:sz w:val="18"/>
                <w:szCs w:val="18"/>
              </w:rPr>
              <w:t xml:space="preserve">Agreement of new Policy Action Matrix. </w:t>
            </w:r>
          </w:p>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Sufficient support for PFM reform agenda within GoS.</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On-going public financial management and economic reform </w:t>
            </w:r>
          </w:p>
        </w:tc>
        <w:tc>
          <w:tcPr>
            <w:tcW w:w="2552" w:type="dxa"/>
            <w:tcBorders>
              <w:top w:val="single" w:sz="4" w:space="0" w:color="auto"/>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Annual PFM Reform Plan Progress Report.</w:t>
            </w:r>
          </w:p>
        </w:tc>
      </w:tr>
      <w:tr w:rsidR="005B704D" w:rsidRPr="005B704D" w:rsidTr="005B704D">
        <w:trPr>
          <w:cantSplit/>
          <w:trHeight w:val="340"/>
        </w:trPr>
        <w:tc>
          <w:tcPr>
            <w:tcW w:w="3936"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Implementation of the Office of the Regulator 12 -13 Work plan program</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GoS provides budget for recurrent posts (</w:t>
            </w:r>
            <w:proofErr w:type="spellStart"/>
            <w:r w:rsidRPr="00C66734">
              <w:rPr>
                <w:rFonts w:ascii="Arial" w:hAnsi="Arial" w:cs="Arial"/>
                <w:sz w:val="18"/>
                <w:szCs w:val="18"/>
              </w:rPr>
              <w:t>inc.</w:t>
            </w:r>
            <w:proofErr w:type="spellEnd"/>
            <w:r>
              <w:rPr>
                <w:rFonts w:ascii="Arial" w:hAnsi="Arial" w:cs="Arial"/>
                <w:sz w:val="18"/>
                <w:szCs w:val="18"/>
              </w:rPr>
              <w:t xml:space="preserve"> s</w:t>
            </w:r>
            <w:r w:rsidRPr="00C66734">
              <w:rPr>
                <w:rFonts w:ascii="Arial" w:hAnsi="Arial" w:cs="Arial"/>
                <w:sz w:val="18"/>
                <w:szCs w:val="18"/>
              </w:rPr>
              <w:t>alaries) and qualified regulator hired.</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Stronger regulator capable of monitoring and enforcing the compliance of the 2011 Electricity Act</w:t>
            </w:r>
          </w:p>
        </w:tc>
        <w:tc>
          <w:tcPr>
            <w:tcW w:w="2552"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Annual report of EPC Regulator.</w:t>
            </w:r>
          </w:p>
        </w:tc>
      </w:tr>
      <w:tr w:rsidR="005B704D" w:rsidRPr="005B704D" w:rsidTr="005B704D">
        <w:trPr>
          <w:trHeight w:val="340"/>
        </w:trPr>
        <w:tc>
          <w:tcPr>
            <w:tcW w:w="3936"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Implementation of Public Sector Improvement Facility (PSIF) work plan for 2012-2013 </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Go</w:t>
            </w:r>
            <w:r>
              <w:rPr>
                <w:rFonts w:ascii="Arial" w:hAnsi="Arial" w:cs="Arial"/>
                <w:sz w:val="18"/>
                <w:szCs w:val="18"/>
              </w:rPr>
              <w:t>S</w:t>
            </w:r>
            <w:r w:rsidRPr="00C66734">
              <w:rPr>
                <w:rFonts w:ascii="Arial" w:hAnsi="Arial" w:cs="Arial"/>
                <w:sz w:val="18"/>
                <w:szCs w:val="18"/>
              </w:rPr>
              <w:t xml:space="preserve"> and </w:t>
            </w:r>
            <w:proofErr w:type="spellStart"/>
            <w:r w:rsidRPr="00C66734">
              <w:rPr>
                <w:rFonts w:ascii="Arial" w:hAnsi="Arial" w:cs="Arial"/>
                <w:sz w:val="18"/>
                <w:szCs w:val="18"/>
              </w:rPr>
              <w:t>GoA</w:t>
            </w:r>
            <w:proofErr w:type="spellEnd"/>
            <w:r w:rsidRPr="00C66734">
              <w:rPr>
                <w:rFonts w:ascii="Arial" w:hAnsi="Arial" w:cs="Arial"/>
                <w:sz w:val="18"/>
                <w:szCs w:val="18"/>
              </w:rPr>
              <w:t xml:space="preserve"> support the on- going use of PSIF as a facility to improve public sector capacity</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Improved Public Sector management </w:t>
            </w:r>
          </w:p>
        </w:tc>
        <w:tc>
          <w:tcPr>
            <w:tcW w:w="2552"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Facility Coordinating Committee progress reports.</w:t>
            </w:r>
          </w:p>
        </w:tc>
      </w:tr>
      <w:tr w:rsidR="005B704D" w:rsidRPr="005B704D" w:rsidTr="005B704D">
        <w:trPr>
          <w:cantSplit/>
          <w:trHeight w:val="340"/>
        </w:trPr>
        <w:tc>
          <w:tcPr>
            <w:tcW w:w="393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lastRenderedPageBreak/>
              <w:t>Provide between 60 and 100 grants to community organisations to improve the livelihoods of vulnerable households.</w:t>
            </w:r>
          </w:p>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Increase the number of households with access to clean safe water through the provision of 1000 water tanks.</w:t>
            </w:r>
          </w:p>
        </w:tc>
        <w:tc>
          <w:tcPr>
            <w:tcW w:w="850" w:type="dxa"/>
            <w:vMerge/>
            <w:tcBorders>
              <w:top w:val="nil"/>
              <w:left w:val="single" w:sz="4" w:space="0" w:color="auto"/>
              <w:bottom w:val="nil"/>
              <w:right w:val="single" w:sz="4" w:space="0" w:color="auto"/>
            </w:tcBorders>
            <w:shd w:val="clear" w:color="auto" w:fill="D9D9D9" w:themeFill="background1" w:themeFillShade="D9"/>
            <w:vAlign w:val="center"/>
          </w:tcPr>
          <w:p w:rsidR="005B704D" w:rsidRPr="005B704D" w:rsidRDefault="005B704D"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p>
          <w:p w:rsidR="005B704D" w:rsidRDefault="005B704D" w:rsidP="005B704D">
            <w:pPr>
              <w:spacing w:after="0" w:line="240" w:lineRule="auto"/>
              <w:rPr>
                <w:rFonts w:ascii="Arial" w:hAnsi="Arial" w:cs="Arial"/>
                <w:sz w:val="18"/>
                <w:szCs w:val="18"/>
              </w:rPr>
            </w:pPr>
            <w:r w:rsidRPr="00C66734">
              <w:rPr>
                <w:rFonts w:ascii="Arial" w:hAnsi="Arial" w:cs="Arial"/>
                <w:sz w:val="18"/>
                <w:szCs w:val="18"/>
              </w:rPr>
              <w:t>A high number of eligible applications for funding.</w:t>
            </w:r>
          </w:p>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Harmonised approach with the European Union</w:t>
            </w:r>
          </w:p>
        </w:tc>
        <w:tc>
          <w:tcPr>
            <w:tcW w:w="851" w:type="dxa"/>
            <w:vMerge/>
            <w:tcBorders>
              <w:top w:val="nil"/>
              <w:left w:val="single" w:sz="4" w:space="0" w:color="auto"/>
              <w:bottom w:val="nil"/>
              <w:right w:val="single" w:sz="4" w:space="0" w:color="auto"/>
            </w:tcBorders>
            <w:shd w:val="clear" w:color="auto" w:fill="D9D9D9" w:themeFill="background1" w:themeFillShade="D9"/>
            <w:vAlign w:val="center"/>
          </w:tcPr>
          <w:p w:rsidR="005B704D" w:rsidRPr="005B704D" w:rsidRDefault="005B704D"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Increased access by key civil society organizations and community based groups to funding for high priority development projects. </w:t>
            </w:r>
          </w:p>
        </w:tc>
        <w:tc>
          <w:tcPr>
            <w:tcW w:w="2552"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Monitoring and Evaluation performance indicators.</w:t>
            </w:r>
          </w:p>
        </w:tc>
      </w:tr>
      <w:tr w:rsidR="005B704D" w:rsidRPr="005B704D" w:rsidTr="005B704D">
        <w:trPr>
          <w:trHeight w:val="340"/>
        </w:trPr>
        <w:tc>
          <w:tcPr>
            <w:tcW w:w="3936" w:type="dxa"/>
            <w:tcBorders>
              <w:top w:val="nil"/>
              <w:left w:val="single" w:sz="4" w:space="0" w:color="auto"/>
              <w:bottom w:val="nil"/>
              <w:right w:val="single" w:sz="4" w:space="0" w:color="auto"/>
            </w:tcBorders>
            <w:vAlign w:val="center"/>
          </w:tcPr>
          <w:p w:rsidR="005B704D" w:rsidRDefault="005B704D" w:rsidP="005B704D">
            <w:pPr>
              <w:spacing w:after="0" w:line="240" w:lineRule="auto"/>
              <w:rPr>
                <w:rFonts w:ascii="Arial" w:hAnsi="Arial" w:cs="Arial"/>
                <w:sz w:val="18"/>
                <w:szCs w:val="18"/>
              </w:rPr>
            </w:pPr>
            <w:r w:rsidRPr="00C66734">
              <w:rPr>
                <w:rFonts w:ascii="Arial" w:hAnsi="Arial" w:cs="Arial"/>
                <w:sz w:val="18"/>
                <w:szCs w:val="18"/>
              </w:rPr>
              <w:t>4 PACE scholarships completed.</w:t>
            </w:r>
          </w:p>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Pr>
                <w:rFonts w:ascii="Arial" w:hAnsi="Arial" w:cs="Arial"/>
                <w:sz w:val="18"/>
                <w:szCs w:val="18"/>
              </w:rPr>
              <w:t>22</w:t>
            </w:r>
            <w:r w:rsidRPr="00C66734">
              <w:rPr>
                <w:rFonts w:ascii="Arial" w:hAnsi="Arial" w:cs="Arial"/>
                <w:sz w:val="18"/>
                <w:szCs w:val="18"/>
              </w:rPr>
              <w:t xml:space="preserve"> leaders trained (Samoa Leadership Program)</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Young leaders use their skills to improve workplace governance</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Pr>
                <w:rFonts w:ascii="Arial" w:hAnsi="Arial" w:cs="Arial"/>
                <w:sz w:val="18"/>
                <w:szCs w:val="18"/>
              </w:rPr>
              <w:t>26</w:t>
            </w:r>
            <w:r w:rsidRPr="00C66734">
              <w:rPr>
                <w:rFonts w:ascii="Arial" w:hAnsi="Arial" w:cs="Arial"/>
                <w:sz w:val="18"/>
                <w:szCs w:val="18"/>
              </w:rPr>
              <w:t xml:space="preserve"> emerging leaders contributing to the achievement of Samoa development priorities</w:t>
            </w:r>
          </w:p>
        </w:tc>
        <w:tc>
          <w:tcPr>
            <w:tcW w:w="2552"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Quarterly Progress reports End of assignment reports for PACE and SLP</w:t>
            </w:r>
          </w:p>
        </w:tc>
      </w:tr>
      <w:tr w:rsidR="005B704D" w:rsidRPr="005B704D" w:rsidTr="005B704D">
        <w:trPr>
          <w:trHeight w:val="340"/>
        </w:trPr>
        <w:tc>
          <w:tcPr>
            <w:tcW w:w="3936" w:type="dxa"/>
            <w:tcBorders>
              <w:top w:val="nil"/>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Implementation of the National Adaptation Program of Action 4 (NAPA4) Work plan for 2012-2013</w:t>
            </w:r>
          </w:p>
        </w:tc>
        <w:tc>
          <w:tcPr>
            <w:tcW w:w="850" w:type="dxa"/>
            <w:vMerge/>
            <w:tcBorders>
              <w:top w:val="nil"/>
              <w:left w:val="single" w:sz="4" w:space="0" w:color="auto"/>
              <w:bottom w:val="nil"/>
              <w:right w:val="single" w:sz="4" w:space="0" w:color="auto"/>
            </w:tcBorders>
            <w:shd w:val="clear" w:color="auto" w:fill="D9D9D9" w:themeFill="background1" w:themeFillShade="D9"/>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GoS has adequate capacity and resources to implement programs</w:t>
            </w:r>
          </w:p>
          <w:p w:rsidR="005B704D" w:rsidRPr="00C66734" w:rsidRDefault="005B704D" w:rsidP="005B704D">
            <w:pPr>
              <w:spacing w:after="0" w:line="240" w:lineRule="auto"/>
              <w:rPr>
                <w:rFonts w:ascii="Arial" w:hAnsi="Arial" w:cs="Arial"/>
                <w:sz w:val="18"/>
                <w:szCs w:val="18"/>
              </w:rPr>
            </w:pPr>
          </w:p>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Active participation and understanding of </w:t>
            </w:r>
            <w:r>
              <w:rPr>
                <w:rFonts w:ascii="Arial" w:hAnsi="Arial" w:cs="Arial"/>
                <w:sz w:val="18"/>
                <w:szCs w:val="18"/>
              </w:rPr>
              <w:t>relevant</w:t>
            </w:r>
            <w:r w:rsidRPr="00C66734">
              <w:rPr>
                <w:rFonts w:ascii="Arial" w:hAnsi="Arial" w:cs="Arial"/>
                <w:sz w:val="18"/>
                <w:szCs w:val="18"/>
              </w:rPr>
              <w:t xml:space="preserve"> sectors on adaptation solutions to systematically fine tune adaptive measures to impacts of climate change</w:t>
            </w:r>
          </w:p>
        </w:tc>
        <w:tc>
          <w:tcPr>
            <w:tcW w:w="851" w:type="dxa"/>
            <w:vMerge/>
            <w:tcBorders>
              <w:top w:val="nil"/>
              <w:left w:val="single" w:sz="4" w:space="0" w:color="auto"/>
              <w:bottom w:val="nil"/>
              <w:right w:val="single" w:sz="4" w:space="0" w:color="auto"/>
            </w:tcBorders>
            <w:shd w:val="clear" w:color="auto" w:fill="D9D9D9" w:themeFill="background1" w:themeFillShade="D9"/>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pStyle w:val="ListParagraph"/>
              <w:spacing w:after="0" w:line="240" w:lineRule="auto"/>
              <w:ind w:left="34"/>
              <w:rPr>
                <w:rFonts w:ascii="Arial" w:hAnsi="Arial" w:cs="Arial"/>
                <w:sz w:val="18"/>
                <w:szCs w:val="18"/>
              </w:rPr>
            </w:pPr>
          </w:p>
          <w:p w:rsidR="005B704D" w:rsidRPr="00C66734" w:rsidRDefault="005B704D" w:rsidP="005B704D">
            <w:pPr>
              <w:pStyle w:val="ListParagraph"/>
              <w:spacing w:after="0" w:line="240" w:lineRule="auto"/>
              <w:ind w:left="34"/>
              <w:rPr>
                <w:rFonts w:ascii="Arial" w:hAnsi="Arial" w:cs="Arial"/>
                <w:sz w:val="18"/>
                <w:szCs w:val="18"/>
              </w:rPr>
            </w:pPr>
          </w:p>
          <w:p w:rsidR="005B704D" w:rsidRPr="00C66734" w:rsidRDefault="005B704D" w:rsidP="005B704D">
            <w:pPr>
              <w:pStyle w:val="ListParagraph"/>
              <w:spacing w:after="0" w:line="240" w:lineRule="auto"/>
              <w:ind w:left="34"/>
              <w:rPr>
                <w:rFonts w:ascii="Arial" w:hAnsi="Arial" w:cs="Arial"/>
                <w:sz w:val="18"/>
                <w:szCs w:val="18"/>
              </w:rPr>
            </w:pPr>
            <w:r w:rsidRPr="00C66734">
              <w:rPr>
                <w:rFonts w:ascii="Arial" w:hAnsi="Arial" w:cs="Arial"/>
                <w:sz w:val="18"/>
                <w:szCs w:val="18"/>
              </w:rPr>
              <w:t>Increased resilience and adaptive capacity of Samoa’s meteorological, planning, water, fire and tourism sectors to adverse climate change impacts</w:t>
            </w:r>
          </w:p>
          <w:p w:rsidR="005B704D" w:rsidRPr="00C66734" w:rsidRDefault="005B704D" w:rsidP="005B704D">
            <w:pPr>
              <w:pStyle w:val="ListParagraph"/>
              <w:spacing w:after="0" w:line="240" w:lineRule="auto"/>
              <w:ind w:left="34"/>
              <w:rPr>
                <w:rFonts w:ascii="Arial" w:hAnsi="Arial" w:cs="Arial"/>
                <w:sz w:val="18"/>
                <w:szCs w:val="18"/>
              </w:rPr>
            </w:pPr>
          </w:p>
          <w:p w:rsidR="005B704D" w:rsidRPr="00C66734" w:rsidRDefault="005B704D" w:rsidP="005B704D">
            <w:pPr>
              <w:pStyle w:val="ListParagraph"/>
              <w:spacing w:after="0" w:line="240" w:lineRule="auto"/>
              <w:ind w:left="34"/>
              <w:rPr>
                <w:rFonts w:ascii="Arial" w:hAnsi="Arial" w:cs="Arial"/>
                <w:sz w:val="18"/>
                <w:szCs w:val="18"/>
              </w:rPr>
            </w:pPr>
          </w:p>
        </w:tc>
        <w:tc>
          <w:tcPr>
            <w:tcW w:w="2552" w:type="dxa"/>
            <w:tcBorders>
              <w:top w:val="nil"/>
              <w:left w:val="single" w:sz="4" w:space="0" w:color="auto"/>
              <w:bottom w:val="nil"/>
              <w:right w:val="single" w:sz="4" w:space="0" w:color="auto"/>
            </w:tcBorders>
            <w:shd w:val="clear" w:color="auto" w:fill="D9D9D9" w:themeFill="background1" w:themeFillShade="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Mid-term and annual progress reports (as a proxy)</w:t>
            </w:r>
          </w:p>
        </w:tc>
      </w:tr>
      <w:tr w:rsidR="005B704D" w:rsidRPr="005B704D" w:rsidTr="005B704D">
        <w:trPr>
          <w:trHeight w:val="340"/>
        </w:trPr>
        <w:tc>
          <w:tcPr>
            <w:tcW w:w="3936"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Assist Farmers adapt to climate change through training 300 farmers tree farming techniques, with 50,000 trees to be planted by end of 2013.</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Farmers will use their techniques to develop diversified agroforestry systems to increase their resilience to climate change impact</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Improve Samoan farmer’s resilience to climate change impacts through better use of agricultural and forestry resources</w:t>
            </w:r>
          </w:p>
        </w:tc>
        <w:tc>
          <w:tcPr>
            <w:tcW w:w="2552" w:type="dxa"/>
            <w:tcBorders>
              <w:top w:val="nil"/>
              <w:left w:val="single" w:sz="4" w:space="0" w:color="auto"/>
              <w:bottom w:val="nil"/>
              <w:right w:val="single" w:sz="4" w:space="0" w:color="auto"/>
            </w:tcBorders>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Sixth Monthly Reporting</w:t>
            </w:r>
          </w:p>
        </w:tc>
      </w:tr>
      <w:tr w:rsidR="005B704D" w:rsidRPr="005B704D" w:rsidTr="005B704D">
        <w:trPr>
          <w:trHeight w:val="340"/>
        </w:trPr>
        <w:tc>
          <w:tcPr>
            <w:tcW w:w="3936"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 xml:space="preserve">Implementation of the </w:t>
            </w:r>
            <w:r>
              <w:rPr>
                <w:rFonts w:ascii="Arial" w:hAnsi="Arial" w:cs="Arial"/>
                <w:sz w:val="18"/>
                <w:szCs w:val="18"/>
              </w:rPr>
              <w:t xml:space="preserve">Power Sector Expansion </w:t>
            </w:r>
            <w:proofErr w:type="gramStart"/>
            <w:r>
              <w:rPr>
                <w:rFonts w:ascii="Arial" w:hAnsi="Arial" w:cs="Arial"/>
                <w:sz w:val="18"/>
                <w:szCs w:val="18"/>
              </w:rPr>
              <w:t xml:space="preserve">Program </w:t>
            </w:r>
            <w:r w:rsidRPr="00C66734">
              <w:rPr>
                <w:rFonts w:ascii="Arial" w:hAnsi="Arial" w:cs="Arial"/>
                <w:sz w:val="18"/>
                <w:szCs w:val="18"/>
              </w:rPr>
              <w:t xml:space="preserve"> work</w:t>
            </w:r>
            <w:proofErr w:type="gramEnd"/>
            <w:r>
              <w:rPr>
                <w:rFonts w:ascii="Arial" w:hAnsi="Arial" w:cs="Arial"/>
                <w:sz w:val="18"/>
                <w:szCs w:val="18"/>
              </w:rPr>
              <w:t xml:space="preserve"> p</w:t>
            </w:r>
            <w:r w:rsidRPr="00C66734">
              <w:rPr>
                <w:rFonts w:ascii="Arial" w:hAnsi="Arial" w:cs="Arial"/>
                <w:sz w:val="18"/>
                <w:szCs w:val="18"/>
              </w:rPr>
              <w:t>lan for 2012-2013.</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pStyle w:val="ListParagraph"/>
              <w:spacing w:after="0" w:line="240" w:lineRule="auto"/>
              <w:ind w:left="34"/>
              <w:rPr>
                <w:rFonts w:ascii="Arial" w:hAnsi="Arial" w:cs="Arial"/>
                <w:sz w:val="18"/>
                <w:szCs w:val="18"/>
              </w:rPr>
            </w:pPr>
            <w:r>
              <w:rPr>
                <w:rFonts w:ascii="Arial" w:hAnsi="Arial" w:cs="Arial"/>
                <w:sz w:val="18"/>
                <w:szCs w:val="18"/>
              </w:rPr>
              <w:t>Implementation of program is currently on schedule.</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5B704D" w:rsidRPr="00C66734" w:rsidRDefault="005B704D" w:rsidP="005B704D">
            <w:pPr>
              <w:spacing w:after="0" w:line="240" w:lineRule="auto"/>
              <w:rPr>
                <w:rFonts w:ascii="Arial" w:hAnsi="Arial" w:cs="Arial"/>
                <w:sz w:val="18"/>
                <w:szCs w:val="18"/>
              </w:rPr>
            </w:pPr>
            <w:r w:rsidRPr="00C66734">
              <w:rPr>
                <w:rFonts w:ascii="Arial" w:hAnsi="Arial" w:cs="Arial"/>
                <w:sz w:val="18"/>
                <w:szCs w:val="18"/>
              </w:rPr>
              <w:t>Increase the reliability of electricity to households through the provision of new diesel electric generators and a substation.</w:t>
            </w:r>
          </w:p>
        </w:tc>
        <w:tc>
          <w:tcPr>
            <w:tcW w:w="2552" w:type="dxa"/>
            <w:tcBorders>
              <w:top w:val="nil"/>
              <w:left w:val="single" w:sz="4" w:space="0" w:color="auto"/>
              <w:bottom w:val="nil"/>
              <w:right w:val="single" w:sz="4" w:space="0" w:color="auto"/>
            </w:tcBorders>
            <w:shd w:val="clear" w:color="auto" w:fill="D9D9D9"/>
            <w:vAlign w:val="center"/>
          </w:tcPr>
          <w:p w:rsidR="005B704D" w:rsidRDefault="005B704D" w:rsidP="005B704D">
            <w:pPr>
              <w:spacing w:after="0" w:line="240" w:lineRule="auto"/>
              <w:rPr>
                <w:rFonts w:ascii="Arial" w:hAnsi="Arial" w:cs="Arial"/>
                <w:sz w:val="18"/>
                <w:szCs w:val="18"/>
              </w:rPr>
            </w:pPr>
            <w:r>
              <w:rPr>
                <w:rFonts w:ascii="Arial" w:hAnsi="Arial" w:cs="Arial"/>
                <w:sz w:val="18"/>
                <w:szCs w:val="18"/>
              </w:rPr>
              <w:t xml:space="preserve">ADB In country supervision Missions and reports. </w:t>
            </w:r>
          </w:p>
          <w:p w:rsidR="005B704D" w:rsidRPr="00C66734" w:rsidRDefault="005B704D" w:rsidP="005B704D">
            <w:pPr>
              <w:spacing w:after="0" w:line="240" w:lineRule="auto"/>
              <w:rPr>
                <w:rFonts w:ascii="Arial" w:hAnsi="Arial" w:cs="Arial"/>
                <w:sz w:val="18"/>
                <w:szCs w:val="18"/>
              </w:rPr>
            </w:pPr>
            <w:r>
              <w:rPr>
                <w:rFonts w:ascii="Arial" w:hAnsi="Arial" w:cs="Arial"/>
                <w:sz w:val="18"/>
                <w:szCs w:val="18"/>
              </w:rPr>
              <w:t>AusAID Independent Assessments.</w:t>
            </w:r>
          </w:p>
        </w:tc>
      </w:tr>
      <w:tr w:rsidR="005B704D" w:rsidRPr="005B704D" w:rsidTr="005B704D">
        <w:trPr>
          <w:trHeight w:val="340"/>
        </w:trPr>
        <w:tc>
          <w:tcPr>
            <w:tcW w:w="3936"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100" w:lineRule="atLeast"/>
              <w:rPr>
                <w:rFonts w:ascii="Arial" w:hAnsi="Arial" w:cs="Arial"/>
                <w:sz w:val="18"/>
                <w:szCs w:val="18"/>
              </w:rPr>
            </w:pPr>
          </w:p>
          <w:p w:rsidR="005B704D" w:rsidRPr="00C66734" w:rsidRDefault="005B704D" w:rsidP="005B704D">
            <w:pPr>
              <w:spacing w:after="0" w:line="100" w:lineRule="atLeast"/>
              <w:rPr>
                <w:rFonts w:ascii="Arial" w:hAnsi="Arial" w:cs="Arial"/>
                <w:sz w:val="18"/>
                <w:szCs w:val="18"/>
              </w:rPr>
            </w:pPr>
            <w:r w:rsidRPr="00C66734">
              <w:rPr>
                <w:rFonts w:ascii="Arial" w:hAnsi="Arial" w:cs="Arial"/>
                <w:sz w:val="18"/>
                <w:szCs w:val="18"/>
              </w:rPr>
              <w:t xml:space="preserve">Implementation of the Samoa </w:t>
            </w:r>
            <w:r>
              <w:rPr>
                <w:rFonts w:ascii="Arial" w:hAnsi="Arial" w:cs="Arial"/>
                <w:sz w:val="18"/>
                <w:szCs w:val="18"/>
              </w:rPr>
              <w:t xml:space="preserve">Parliamentary Support Project including </w:t>
            </w:r>
            <w:r w:rsidRPr="00C66734">
              <w:rPr>
                <w:rFonts w:ascii="Arial" w:hAnsi="Arial" w:cs="Arial"/>
                <w:sz w:val="18"/>
                <w:szCs w:val="18"/>
              </w:rPr>
              <w:t>training for parliamentary staff and MPs, HR and organisational restructuring, reviews of parliamentary and committee procedures and increased focus on community engagement targeted towards women</w:t>
            </w:r>
          </w:p>
        </w:tc>
        <w:tc>
          <w:tcPr>
            <w:tcW w:w="850"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100" w:lineRule="atLeast"/>
              <w:rPr>
                <w:rFonts w:ascii="Arial" w:hAnsi="Arial" w:cs="Arial"/>
                <w:sz w:val="18"/>
                <w:szCs w:val="18"/>
              </w:rPr>
            </w:pPr>
          </w:p>
          <w:p w:rsidR="005B704D" w:rsidRPr="00C66734" w:rsidRDefault="005B704D" w:rsidP="005B704D">
            <w:pPr>
              <w:spacing w:after="0" w:line="100" w:lineRule="atLeast"/>
              <w:rPr>
                <w:rFonts w:ascii="Arial" w:hAnsi="Arial" w:cs="Arial"/>
                <w:sz w:val="18"/>
                <w:szCs w:val="18"/>
              </w:rPr>
            </w:pPr>
            <w:r w:rsidRPr="00C66734">
              <w:rPr>
                <w:rFonts w:ascii="Arial" w:hAnsi="Arial" w:cs="Arial"/>
                <w:sz w:val="18"/>
                <w:szCs w:val="18"/>
              </w:rPr>
              <w:t>Project management methodology is finalised and full funding for all planned activities is sourced</w:t>
            </w:r>
          </w:p>
        </w:tc>
        <w:tc>
          <w:tcPr>
            <w:tcW w:w="851" w:type="dxa"/>
            <w:vMerge/>
            <w:tcBorders>
              <w:top w:val="nil"/>
              <w:left w:val="single" w:sz="4" w:space="0" w:color="auto"/>
              <w:bottom w:val="nil"/>
              <w:right w:val="single" w:sz="4" w:space="0" w:color="auto"/>
            </w:tcBorders>
            <w:vAlign w:val="center"/>
          </w:tcPr>
          <w:p w:rsidR="005B704D" w:rsidRPr="005B704D" w:rsidRDefault="005B704D"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100" w:lineRule="atLeast"/>
              <w:rPr>
                <w:rFonts w:ascii="Arial" w:hAnsi="Arial" w:cs="Arial"/>
                <w:sz w:val="18"/>
                <w:szCs w:val="18"/>
              </w:rPr>
            </w:pPr>
            <w:r>
              <w:rPr>
                <w:rFonts w:ascii="Arial" w:hAnsi="Arial" w:cs="Arial"/>
                <w:sz w:val="18"/>
                <w:szCs w:val="18"/>
              </w:rPr>
              <w:t>Strengthening of</w:t>
            </w:r>
            <w:r w:rsidRPr="00C66734">
              <w:rPr>
                <w:rFonts w:ascii="Arial" w:hAnsi="Arial" w:cs="Arial"/>
                <w:sz w:val="18"/>
                <w:szCs w:val="18"/>
              </w:rPr>
              <w:t xml:space="preserve"> the Samoan Parliament through.</w:t>
            </w:r>
          </w:p>
        </w:tc>
        <w:tc>
          <w:tcPr>
            <w:tcW w:w="2552" w:type="dxa"/>
            <w:tcBorders>
              <w:top w:val="nil"/>
              <w:left w:val="single" w:sz="4" w:space="0" w:color="auto"/>
              <w:bottom w:val="single" w:sz="4" w:space="0" w:color="auto"/>
              <w:right w:val="single" w:sz="4" w:space="0" w:color="auto"/>
            </w:tcBorders>
            <w:vAlign w:val="center"/>
          </w:tcPr>
          <w:p w:rsidR="005B704D" w:rsidRPr="00C66734" w:rsidRDefault="005B704D" w:rsidP="005B704D">
            <w:pPr>
              <w:spacing w:after="0" w:line="100" w:lineRule="atLeast"/>
              <w:rPr>
                <w:rFonts w:ascii="Arial" w:hAnsi="Arial" w:cs="Arial"/>
                <w:sz w:val="18"/>
                <w:szCs w:val="18"/>
              </w:rPr>
            </w:pPr>
            <w:r w:rsidRPr="00C66734">
              <w:rPr>
                <w:rFonts w:ascii="Arial" w:hAnsi="Arial" w:cs="Arial"/>
                <w:sz w:val="18"/>
                <w:szCs w:val="18"/>
              </w:rPr>
              <w:t>Annual Work Plan, Operational Progress Reports and Annual Review Report</w:t>
            </w:r>
          </w:p>
        </w:tc>
      </w:tr>
    </w:tbl>
    <w:p w:rsidR="00E1504C" w:rsidRPr="005B704D" w:rsidRDefault="00E1504C">
      <w:pPr>
        <w:rPr>
          <w:rFonts w:ascii="Arial" w:hAnsi="Arial" w:cs="Arial"/>
        </w:rPr>
      </w:pP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3"/>
        <w:gridCol w:w="1720"/>
        <w:gridCol w:w="4112"/>
        <w:gridCol w:w="3293"/>
        <w:gridCol w:w="3119"/>
      </w:tblGrid>
      <w:tr w:rsidR="005B704D" w:rsidRPr="005B704D" w:rsidTr="0001448A">
        <w:tc>
          <w:tcPr>
            <w:tcW w:w="14317" w:type="dxa"/>
            <w:gridSpan w:val="5"/>
            <w:shd w:val="clear" w:color="auto" w:fill="B8CCE4"/>
            <w:vAlign w:val="center"/>
          </w:tcPr>
          <w:p w:rsidR="005B704D" w:rsidRPr="005B704D" w:rsidRDefault="005B704D" w:rsidP="00353A73">
            <w:pPr>
              <w:keepNext/>
              <w:spacing w:before="40" w:after="40" w:line="240" w:lineRule="auto"/>
              <w:rPr>
                <w:rFonts w:ascii="Arial" w:hAnsi="Arial" w:cs="Arial"/>
                <w:sz w:val="24"/>
                <w:szCs w:val="16"/>
              </w:rPr>
            </w:pPr>
            <w:r w:rsidRPr="005B704D">
              <w:rPr>
                <w:rFonts w:ascii="Arial" w:hAnsi="Arial" w:cs="Arial"/>
                <w:sz w:val="24"/>
                <w:szCs w:val="16"/>
              </w:rPr>
              <w:t>Commitments:</w:t>
            </w:r>
          </w:p>
        </w:tc>
      </w:tr>
      <w:tr w:rsidR="005B704D" w:rsidRPr="005B704D" w:rsidTr="0001448A">
        <w:trPr>
          <w:trHeight w:val="460"/>
        </w:trPr>
        <w:tc>
          <w:tcPr>
            <w:tcW w:w="3793" w:type="dxa"/>
            <w:gridSpan w:val="2"/>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Year:</w:t>
            </w:r>
          </w:p>
        </w:tc>
        <w:tc>
          <w:tcPr>
            <w:tcW w:w="4112" w:type="dxa"/>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FY 2012-13</w:t>
            </w:r>
          </w:p>
        </w:tc>
        <w:tc>
          <w:tcPr>
            <w:tcW w:w="3293" w:type="dxa"/>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FY 2013-14</w:t>
            </w:r>
          </w:p>
        </w:tc>
        <w:tc>
          <w:tcPr>
            <w:tcW w:w="3119" w:type="dxa"/>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FY 2014-15</w:t>
            </w:r>
          </w:p>
        </w:tc>
      </w:tr>
      <w:tr w:rsidR="005B704D" w:rsidRPr="005B704D" w:rsidTr="0001448A">
        <w:trPr>
          <w:trHeight w:val="320"/>
        </w:trPr>
        <w:tc>
          <w:tcPr>
            <w:tcW w:w="2073" w:type="dxa"/>
            <w:vMerge w:val="restart"/>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Government of Australia Commitments:</w:t>
            </w:r>
          </w:p>
        </w:tc>
        <w:tc>
          <w:tcPr>
            <w:tcW w:w="1720" w:type="dxa"/>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Grant</w:t>
            </w:r>
          </w:p>
        </w:tc>
        <w:tc>
          <w:tcPr>
            <w:tcW w:w="4112" w:type="dxa"/>
            <w:shd w:val="clear" w:color="auto" w:fill="FFFFFF"/>
            <w:vAlign w:val="center"/>
          </w:tcPr>
          <w:p w:rsidR="005B704D" w:rsidRDefault="005B704D" w:rsidP="005B704D">
            <w:pPr>
              <w:spacing w:before="40" w:after="40"/>
              <w:rPr>
                <w:rFonts w:ascii="Arial" w:hAnsi="Arial" w:cs="Arial"/>
                <w:sz w:val="16"/>
                <w:szCs w:val="16"/>
              </w:rPr>
            </w:pPr>
            <w:r>
              <w:rPr>
                <w:rFonts w:ascii="Arial" w:hAnsi="Arial" w:cs="Arial"/>
                <w:sz w:val="16"/>
                <w:szCs w:val="16"/>
              </w:rPr>
              <w:t xml:space="preserve">A$6.7 million Performance Linked Aid </w:t>
            </w:r>
          </w:p>
          <w:p w:rsidR="005B704D" w:rsidRDefault="005B704D" w:rsidP="005B704D">
            <w:pPr>
              <w:spacing w:before="40" w:after="40"/>
              <w:rPr>
                <w:rFonts w:ascii="Arial" w:hAnsi="Arial" w:cs="Arial"/>
                <w:sz w:val="16"/>
                <w:szCs w:val="16"/>
              </w:rPr>
            </w:pPr>
            <w:r>
              <w:rPr>
                <w:rFonts w:ascii="Arial" w:hAnsi="Arial" w:cs="Arial"/>
                <w:sz w:val="16"/>
                <w:szCs w:val="16"/>
              </w:rPr>
              <w:t>A$3 million CSSP</w:t>
            </w:r>
          </w:p>
          <w:p w:rsidR="005B704D" w:rsidRDefault="005B704D" w:rsidP="005B704D">
            <w:pPr>
              <w:spacing w:before="40" w:after="40"/>
              <w:rPr>
                <w:rFonts w:ascii="Arial" w:hAnsi="Arial" w:cs="Arial"/>
                <w:sz w:val="16"/>
                <w:szCs w:val="16"/>
              </w:rPr>
            </w:pPr>
            <w:r>
              <w:rPr>
                <w:rFonts w:ascii="Arial" w:hAnsi="Arial" w:cs="Arial"/>
                <w:sz w:val="16"/>
                <w:szCs w:val="16"/>
              </w:rPr>
              <w:t>A$451,000 Agroforestry</w:t>
            </w:r>
          </w:p>
          <w:p w:rsidR="005B704D" w:rsidRDefault="005B704D" w:rsidP="005B704D">
            <w:pPr>
              <w:spacing w:before="40" w:after="40"/>
              <w:rPr>
                <w:rFonts w:ascii="Arial" w:hAnsi="Arial" w:cs="Arial"/>
                <w:sz w:val="16"/>
                <w:szCs w:val="16"/>
              </w:rPr>
            </w:pPr>
            <w:r>
              <w:rPr>
                <w:rFonts w:ascii="Arial" w:hAnsi="Arial" w:cs="Arial"/>
                <w:sz w:val="16"/>
                <w:szCs w:val="16"/>
              </w:rPr>
              <w:t>A$1.2 million PSIF</w:t>
            </w:r>
          </w:p>
          <w:p w:rsidR="005B704D" w:rsidRPr="005B704D" w:rsidRDefault="005B704D" w:rsidP="005B704D">
            <w:pPr>
              <w:spacing w:before="40" w:after="40"/>
              <w:rPr>
                <w:rFonts w:ascii="Arial" w:hAnsi="Arial" w:cs="Arial"/>
                <w:sz w:val="16"/>
                <w:szCs w:val="16"/>
              </w:rPr>
            </w:pPr>
            <w:r>
              <w:rPr>
                <w:rFonts w:ascii="Arial" w:hAnsi="Arial" w:cs="Arial"/>
                <w:sz w:val="16"/>
                <w:szCs w:val="16"/>
              </w:rPr>
              <w:t>A$500,000 Office of the Regulator</w:t>
            </w:r>
          </w:p>
        </w:tc>
        <w:tc>
          <w:tcPr>
            <w:tcW w:w="3293" w:type="dxa"/>
            <w:shd w:val="clear" w:color="auto" w:fill="FFFFFF"/>
            <w:vAlign w:val="center"/>
          </w:tcPr>
          <w:p w:rsidR="005B704D" w:rsidRPr="005B704D" w:rsidRDefault="005B704D" w:rsidP="00353A73">
            <w:pPr>
              <w:spacing w:before="40" w:after="40"/>
              <w:rPr>
                <w:rFonts w:ascii="Arial" w:hAnsi="Arial" w:cs="Arial"/>
                <w:sz w:val="16"/>
                <w:szCs w:val="16"/>
              </w:rPr>
            </w:pPr>
          </w:p>
        </w:tc>
        <w:tc>
          <w:tcPr>
            <w:tcW w:w="3119" w:type="dxa"/>
            <w:shd w:val="clear" w:color="auto" w:fill="FFFFFF"/>
            <w:vAlign w:val="center"/>
          </w:tcPr>
          <w:p w:rsidR="005B704D" w:rsidRPr="005B704D" w:rsidRDefault="005B704D" w:rsidP="00353A73">
            <w:pPr>
              <w:spacing w:before="40" w:after="40"/>
              <w:rPr>
                <w:rFonts w:ascii="Arial" w:hAnsi="Arial" w:cs="Arial"/>
                <w:sz w:val="16"/>
                <w:szCs w:val="16"/>
              </w:rPr>
            </w:pPr>
          </w:p>
        </w:tc>
      </w:tr>
      <w:tr w:rsidR="005B704D" w:rsidRPr="005B704D" w:rsidTr="0001448A">
        <w:trPr>
          <w:trHeight w:val="320"/>
        </w:trPr>
        <w:tc>
          <w:tcPr>
            <w:tcW w:w="2073" w:type="dxa"/>
            <w:vMerge/>
            <w:shd w:val="clear" w:color="auto" w:fill="DBE5F1"/>
            <w:vAlign w:val="center"/>
          </w:tcPr>
          <w:p w:rsidR="005B704D" w:rsidRPr="005B704D" w:rsidRDefault="005B704D" w:rsidP="00353A73">
            <w:pPr>
              <w:spacing w:before="40" w:after="40"/>
              <w:rPr>
                <w:rFonts w:ascii="Arial" w:hAnsi="Arial" w:cs="Arial"/>
                <w:sz w:val="18"/>
                <w:szCs w:val="18"/>
              </w:rPr>
            </w:pPr>
          </w:p>
        </w:tc>
        <w:tc>
          <w:tcPr>
            <w:tcW w:w="1720" w:type="dxa"/>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In-kind</w:t>
            </w:r>
          </w:p>
        </w:tc>
        <w:tc>
          <w:tcPr>
            <w:tcW w:w="4112" w:type="dxa"/>
            <w:shd w:val="clear" w:color="auto" w:fill="FFFFFF"/>
            <w:vAlign w:val="center"/>
          </w:tcPr>
          <w:p w:rsidR="005B704D" w:rsidRDefault="005B704D" w:rsidP="005B704D">
            <w:pPr>
              <w:spacing w:before="40" w:after="40"/>
              <w:rPr>
                <w:rFonts w:ascii="Arial" w:hAnsi="Arial" w:cs="Arial"/>
                <w:sz w:val="16"/>
                <w:szCs w:val="16"/>
              </w:rPr>
            </w:pPr>
            <w:r>
              <w:rPr>
                <w:rFonts w:ascii="Arial" w:hAnsi="Arial" w:cs="Arial"/>
                <w:sz w:val="16"/>
                <w:szCs w:val="16"/>
              </w:rPr>
              <w:t>Leadership scholarships</w:t>
            </w:r>
          </w:p>
          <w:p w:rsidR="005B704D" w:rsidRDefault="005B704D" w:rsidP="005B704D">
            <w:pPr>
              <w:spacing w:before="40" w:after="40"/>
              <w:rPr>
                <w:rFonts w:ascii="Arial" w:hAnsi="Arial" w:cs="Arial"/>
                <w:sz w:val="16"/>
                <w:szCs w:val="16"/>
              </w:rPr>
            </w:pPr>
            <w:r>
              <w:rPr>
                <w:rFonts w:ascii="Arial" w:hAnsi="Arial" w:cs="Arial"/>
                <w:sz w:val="16"/>
                <w:szCs w:val="16"/>
              </w:rPr>
              <w:t>PHAMA Assistance</w:t>
            </w:r>
          </w:p>
          <w:p w:rsidR="005B704D" w:rsidRPr="005B704D" w:rsidRDefault="005B704D" w:rsidP="0001448A">
            <w:pPr>
              <w:spacing w:before="40" w:after="40"/>
              <w:rPr>
                <w:rFonts w:ascii="Arial" w:hAnsi="Arial" w:cs="Arial"/>
                <w:color w:val="1F497D"/>
                <w:sz w:val="16"/>
                <w:szCs w:val="16"/>
              </w:rPr>
            </w:pPr>
            <w:r w:rsidRPr="005B704D">
              <w:rPr>
                <w:rFonts w:ascii="Arial" w:hAnsi="Arial" w:cs="Arial"/>
                <w:sz w:val="16"/>
                <w:szCs w:val="16"/>
              </w:rPr>
              <w:t>PACTAM (</w:t>
            </w:r>
            <w:r w:rsidR="0001448A">
              <w:rPr>
                <w:rFonts w:ascii="Arial" w:hAnsi="Arial" w:cs="Arial"/>
                <w:sz w:val="16"/>
                <w:szCs w:val="16"/>
              </w:rPr>
              <w:t xml:space="preserve">NPF </w:t>
            </w:r>
            <w:r w:rsidRPr="005B704D">
              <w:rPr>
                <w:rFonts w:ascii="Arial" w:hAnsi="Arial" w:cs="Arial"/>
                <w:sz w:val="16"/>
                <w:szCs w:val="16"/>
              </w:rPr>
              <w:t xml:space="preserve">Investments Adviser). </w:t>
            </w:r>
          </w:p>
        </w:tc>
        <w:tc>
          <w:tcPr>
            <w:tcW w:w="3293" w:type="dxa"/>
            <w:shd w:val="clear" w:color="auto" w:fill="FFFFFF"/>
            <w:vAlign w:val="center"/>
          </w:tcPr>
          <w:p w:rsidR="005B704D" w:rsidRPr="005B704D" w:rsidRDefault="005B704D" w:rsidP="00353A73">
            <w:pPr>
              <w:spacing w:before="40" w:after="40"/>
              <w:rPr>
                <w:rFonts w:ascii="Arial" w:hAnsi="Arial" w:cs="Arial"/>
                <w:sz w:val="16"/>
                <w:szCs w:val="16"/>
              </w:rPr>
            </w:pPr>
          </w:p>
        </w:tc>
        <w:tc>
          <w:tcPr>
            <w:tcW w:w="3119" w:type="dxa"/>
            <w:shd w:val="clear" w:color="auto" w:fill="FFFFFF"/>
            <w:vAlign w:val="center"/>
          </w:tcPr>
          <w:p w:rsidR="005B704D" w:rsidRPr="005B704D" w:rsidRDefault="005B704D" w:rsidP="00353A73">
            <w:pPr>
              <w:spacing w:before="40" w:after="40"/>
              <w:rPr>
                <w:rFonts w:ascii="Arial" w:hAnsi="Arial" w:cs="Arial"/>
                <w:sz w:val="16"/>
                <w:szCs w:val="16"/>
              </w:rPr>
            </w:pPr>
          </w:p>
        </w:tc>
      </w:tr>
      <w:tr w:rsidR="005B704D" w:rsidRPr="005B704D" w:rsidTr="0001448A">
        <w:trPr>
          <w:trHeight w:val="460"/>
        </w:trPr>
        <w:tc>
          <w:tcPr>
            <w:tcW w:w="3793" w:type="dxa"/>
            <w:gridSpan w:val="2"/>
            <w:shd w:val="clear" w:color="auto" w:fill="DBE5F1"/>
            <w:vAlign w:val="center"/>
          </w:tcPr>
          <w:p w:rsidR="005B704D" w:rsidRPr="005B704D" w:rsidRDefault="005B704D" w:rsidP="00353A73">
            <w:pPr>
              <w:spacing w:before="40" w:after="40"/>
              <w:rPr>
                <w:rFonts w:ascii="Arial" w:hAnsi="Arial" w:cs="Arial"/>
                <w:sz w:val="18"/>
                <w:szCs w:val="18"/>
              </w:rPr>
            </w:pPr>
            <w:r w:rsidRPr="005B704D">
              <w:rPr>
                <w:rFonts w:ascii="Arial" w:hAnsi="Arial" w:cs="Arial"/>
                <w:sz w:val="18"/>
                <w:szCs w:val="18"/>
              </w:rPr>
              <w:t>Government of Samoa Commitments:</w:t>
            </w:r>
          </w:p>
        </w:tc>
        <w:tc>
          <w:tcPr>
            <w:tcW w:w="4112" w:type="dxa"/>
            <w:shd w:val="clear" w:color="auto" w:fill="FFFFFF"/>
            <w:vAlign w:val="center"/>
          </w:tcPr>
          <w:p w:rsidR="005B704D" w:rsidRPr="005B704D" w:rsidRDefault="005B704D" w:rsidP="00353A73">
            <w:pPr>
              <w:spacing w:before="40" w:after="40"/>
              <w:rPr>
                <w:rFonts w:ascii="Arial" w:hAnsi="Arial" w:cs="Arial"/>
                <w:sz w:val="16"/>
                <w:szCs w:val="16"/>
              </w:rPr>
            </w:pPr>
          </w:p>
        </w:tc>
        <w:tc>
          <w:tcPr>
            <w:tcW w:w="3293" w:type="dxa"/>
            <w:shd w:val="clear" w:color="auto" w:fill="FFFFFF"/>
            <w:vAlign w:val="center"/>
          </w:tcPr>
          <w:p w:rsidR="005B704D" w:rsidRPr="005B704D" w:rsidRDefault="005B704D" w:rsidP="00353A73">
            <w:pPr>
              <w:spacing w:before="40" w:after="40"/>
              <w:rPr>
                <w:rFonts w:ascii="Arial" w:hAnsi="Arial" w:cs="Arial"/>
                <w:sz w:val="16"/>
                <w:szCs w:val="16"/>
              </w:rPr>
            </w:pPr>
          </w:p>
        </w:tc>
        <w:tc>
          <w:tcPr>
            <w:tcW w:w="3119" w:type="dxa"/>
            <w:shd w:val="clear" w:color="auto" w:fill="FFFFFF"/>
            <w:vAlign w:val="center"/>
          </w:tcPr>
          <w:p w:rsidR="005B704D" w:rsidRPr="005B704D" w:rsidRDefault="005B704D" w:rsidP="00353A73">
            <w:pPr>
              <w:spacing w:before="40" w:after="40"/>
              <w:rPr>
                <w:rFonts w:ascii="Arial" w:hAnsi="Arial" w:cs="Arial"/>
                <w:sz w:val="16"/>
                <w:szCs w:val="16"/>
              </w:rPr>
            </w:pPr>
          </w:p>
        </w:tc>
      </w:tr>
    </w:tbl>
    <w:p w:rsidR="00E1504C" w:rsidRPr="005B704D" w:rsidRDefault="00E150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229"/>
      </w:tblGrid>
      <w:tr w:rsidR="00213339" w:rsidRPr="005B704D" w:rsidTr="0001448A">
        <w:tc>
          <w:tcPr>
            <w:tcW w:w="7621" w:type="dxa"/>
            <w:tcBorders>
              <w:bottom w:val="single" w:sz="4" w:space="0" w:color="auto"/>
            </w:tcBorders>
            <w:shd w:val="clear" w:color="auto" w:fill="BCC9E6"/>
            <w:vAlign w:val="center"/>
          </w:tcPr>
          <w:p w:rsidR="00213339" w:rsidRPr="005B704D" w:rsidRDefault="00213339" w:rsidP="001E055B">
            <w:pPr>
              <w:spacing w:before="40" w:after="40" w:line="240" w:lineRule="auto"/>
              <w:rPr>
                <w:rFonts w:ascii="Arial" w:hAnsi="Arial" w:cs="Arial"/>
              </w:rPr>
            </w:pPr>
            <w:r w:rsidRPr="005B704D">
              <w:rPr>
                <w:rFonts w:ascii="Arial" w:hAnsi="Arial" w:cs="Arial"/>
                <w:sz w:val="24"/>
                <w:szCs w:val="24"/>
              </w:rPr>
              <w:t>Key Risks</w:t>
            </w:r>
          </w:p>
        </w:tc>
        <w:tc>
          <w:tcPr>
            <w:tcW w:w="7229" w:type="dxa"/>
            <w:tcBorders>
              <w:bottom w:val="single" w:sz="4" w:space="0" w:color="auto"/>
            </w:tcBorders>
            <w:shd w:val="clear" w:color="auto" w:fill="BCC9E6"/>
            <w:vAlign w:val="center"/>
          </w:tcPr>
          <w:p w:rsidR="00213339" w:rsidRPr="005B704D" w:rsidRDefault="00213339" w:rsidP="001E055B">
            <w:pPr>
              <w:spacing w:before="40" w:after="40" w:line="240" w:lineRule="auto"/>
              <w:rPr>
                <w:rFonts w:ascii="Arial" w:hAnsi="Arial" w:cs="Arial"/>
              </w:rPr>
            </w:pPr>
            <w:r w:rsidRPr="005B704D">
              <w:rPr>
                <w:rFonts w:ascii="Arial" w:hAnsi="Arial" w:cs="Arial"/>
                <w:sz w:val="24"/>
                <w:szCs w:val="24"/>
              </w:rPr>
              <w:t>Management Plan</w:t>
            </w:r>
          </w:p>
        </w:tc>
      </w:tr>
      <w:tr w:rsidR="00213339" w:rsidRPr="005B704D" w:rsidTr="0001448A">
        <w:tc>
          <w:tcPr>
            <w:tcW w:w="7621" w:type="dxa"/>
            <w:tcBorders>
              <w:top w:val="single" w:sz="4" w:space="0" w:color="auto"/>
              <w:left w:val="single" w:sz="4" w:space="0" w:color="auto"/>
              <w:bottom w:val="nil"/>
              <w:right w:val="single" w:sz="4" w:space="0" w:color="auto"/>
            </w:tcBorders>
            <w:vAlign w:val="center"/>
          </w:tcPr>
          <w:p w:rsidR="00213339" w:rsidRPr="0001448A" w:rsidRDefault="005B704D" w:rsidP="001E055B">
            <w:pPr>
              <w:spacing w:before="40" w:after="40" w:line="240" w:lineRule="auto"/>
              <w:rPr>
                <w:rFonts w:ascii="Arial" w:hAnsi="Arial" w:cs="Arial"/>
                <w:sz w:val="18"/>
                <w:szCs w:val="18"/>
              </w:rPr>
            </w:pPr>
            <w:r w:rsidRPr="0001448A">
              <w:rPr>
                <w:rFonts w:ascii="Arial" w:hAnsi="Arial" w:cs="Arial"/>
                <w:sz w:val="18"/>
                <w:szCs w:val="18"/>
              </w:rPr>
              <w:t>The CEO for MPMC provides good oversight of the PSIF. However due to her high work load and big portfolio there is a risk that she may not always be able to provide the current level of in depth engagement.</w:t>
            </w:r>
          </w:p>
        </w:tc>
        <w:tc>
          <w:tcPr>
            <w:tcW w:w="7229" w:type="dxa"/>
            <w:tcBorders>
              <w:top w:val="single" w:sz="4" w:space="0" w:color="auto"/>
              <w:left w:val="single" w:sz="4" w:space="0" w:color="auto"/>
              <w:bottom w:val="nil"/>
              <w:right w:val="single" w:sz="4" w:space="0" w:color="auto"/>
            </w:tcBorders>
            <w:vAlign w:val="center"/>
          </w:tcPr>
          <w:p w:rsidR="005B704D" w:rsidRPr="0001448A" w:rsidRDefault="005B704D" w:rsidP="005B704D">
            <w:pPr>
              <w:spacing w:before="40" w:after="40"/>
              <w:rPr>
                <w:rFonts w:ascii="Arial" w:hAnsi="Arial" w:cs="Arial"/>
                <w:sz w:val="18"/>
                <w:szCs w:val="18"/>
              </w:rPr>
            </w:pPr>
            <w:r w:rsidRPr="0001448A">
              <w:rPr>
                <w:rFonts w:ascii="Arial" w:hAnsi="Arial" w:cs="Arial"/>
                <w:sz w:val="18"/>
                <w:szCs w:val="18"/>
              </w:rPr>
              <w:t>Facility Management Unit Program Manager to provide the CEO with update on PSIF progress on an ad hoc basis.</w:t>
            </w:r>
          </w:p>
          <w:p w:rsidR="00213339" w:rsidRPr="0001448A" w:rsidRDefault="005B704D" w:rsidP="005B704D">
            <w:pPr>
              <w:spacing w:before="40" w:after="40" w:line="240" w:lineRule="auto"/>
              <w:rPr>
                <w:rFonts w:ascii="Arial" w:hAnsi="Arial" w:cs="Arial"/>
                <w:sz w:val="18"/>
                <w:szCs w:val="18"/>
              </w:rPr>
            </w:pPr>
            <w:r w:rsidRPr="0001448A">
              <w:rPr>
                <w:rFonts w:ascii="Arial" w:hAnsi="Arial" w:cs="Arial"/>
                <w:sz w:val="18"/>
                <w:szCs w:val="18"/>
              </w:rPr>
              <w:t>The CEO MPMC to attend the Facility Coordination Committee meeting when the opportunity presents itself so that she is aware of the program across the board.</w:t>
            </w:r>
          </w:p>
        </w:tc>
      </w:tr>
      <w:tr w:rsidR="00213339" w:rsidRPr="005B704D" w:rsidTr="0001448A">
        <w:tc>
          <w:tcPr>
            <w:tcW w:w="7621" w:type="dxa"/>
            <w:tcBorders>
              <w:top w:val="nil"/>
              <w:left w:val="single" w:sz="4" w:space="0" w:color="auto"/>
              <w:bottom w:val="nil"/>
              <w:right w:val="single" w:sz="4" w:space="0" w:color="auto"/>
            </w:tcBorders>
            <w:shd w:val="clear" w:color="auto" w:fill="D9D9D9" w:themeFill="background1" w:themeFillShade="D9"/>
            <w:vAlign w:val="center"/>
          </w:tcPr>
          <w:p w:rsidR="00213339" w:rsidRPr="0001448A" w:rsidRDefault="005B704D" w:rsidP="001E055B">
            <w:pPr>
              <w:spacing w:before="40" w:after="40" w:line="240" w:lineRule="auto"/>
              <w:rPr>
                <w:rFonts w:ascii="Arial" w:hAnsi="Arial" w:cs="Arial"/>
                <w:sz w:val="18"/>
                <w:szCs w:val="18"/>
              </w:rPr>
            </w:pPr>
            <w:r w:rsidRPr="0001448A">
              <w:rPr>
                <w:rFonts w:ascii="Arial" w:hAnsi="Arial" w:cs="Arial"/>
                <w:sz w:val="18"/>
                <w:szCs w:val="18"/>
              </w:rPr>
              <w:t>With increased competitiveness on CSSP applications, vulnerability will play a more important part in the assessment and scoring of applications. CSSP Steering Committee will need to have clarity and agreement on what constitutes vulnerability and work in close collaboration with sector partners in this regards.</w:t>
            </w:r>
          </w:p>
        </w:tc>
        <w:tc>
          <w:tcPr>
            <w:tcW w:w="7229" w:type="dxa"/>
            <w:tcBorders>
              <w:top w:val="nil"/>
              <w:left w:val="single" w:sz="4" w:space="0" w:color="auto"/>
              <w:bottom w:val="nil"/>
              <w:right w:val="single" w:sz="4" w:space="0" w:color="auto"/>
            </w:tcBorders>
            <w:shd w:val="clear" w:color="auto" w:fill="D9D9D9" w:themeFill="background1" w:themeFillShade="D9"/>
            <w:vAlign w:val="center"/>
          </w:tcPr>
          <w:p w:rsidR="00213339" w:rsidRPr="0001448A" w:rsidRDefault="0001448A" w:rsidP="0001448A">
            <w:pPr>
              <w:spacing w:before="40" w:after="40" w:line="240" w:lineRule="auto"/>
              <w:rPr>
                <w:rFonts w:ascii="Arial" w:hAnsi="Arial" w:cs="Arial"/>
                <w:sz w:val="18"/>
                <w:szCs w:val="18"/>
              </w:rPr>
            </w:pPr>
            <w:r w:rsidRPr="0001448A">
              <w:rPr>
                <w:rFonts w:ascii="Arial" w:hAnsi="Arial" w:cs="Arial"/>
                <w:sz w:val="18"/>
                <w:szCs w:val="18"/>
              </w:rPr>
              <w:t>CSSP Steering Committee to come to an agreement on the defined definition of what vulnerability is with regards to the CSSP program.</w:t>
            </w:r>
          </w:p>
        </w:tc>
      </w:tr>
      <w:tr w:rsidR="00213339" w:rsidRPr="005B704D" w:rsidTr="0001448A">
        <w:tc>
          <w:tcPr>
            <w:tcW w:w="7621" w:type="dxa"/>
            <w:tcBorders>
              <w:top w:val="nil"/>
              <w:left w:val="single" w:sz="4" w:space="0" w:color="auto"/>
              <w:bottom w:val="single" w:sz="4" w:space="0" w:color="auto"/>
              <w:right w:val="single" w:sz="4" w:space="0" w:color="auto"/>
            </w:tcBorders>
            <w:vAlign w:val="center"/>
          </w:tcPr>
          <w:p w:rsidR="00213339" w:rsidRPr="0001448A" w:rsidRDefault="0001448A" w:rsidP="0001448A">
            <w:pPr>
              <w:spacing w:before="40" w:after="40"/>
              <w:rPr>
                <w:rFonts w:ascii="Arial" w:hAnsi="Arial" w:cs="Arial"/>
                <w:sz w:val="18"/>
                <w:szCs w:val="18"/>
                <w:lang w:val="en-AU"/>
              </w:rPr>
            </w:pPr>
            <w:r w:rsidRPr="0001448A">
              <w:rPr>
                <w:rFonts w:ascii="Arial" w:hAnsi="Arial" w:cs="Arial"/>
                <w:sz w:val="18"/>
                <w:szCs w:val="18"/>
                <w:lang w:val="en-AU"/>
              </w:rPr>
              <w:t xml:space="preserve">MNREM does not have the capacity to absorb any more activities and creating line positions for each project, this is a risk to the overall sustainability of climate change activities.  </w:t>
            </w:r>
          </w:p>
        </w:tc>
        <w:tc>
          <w:tcPr>
            <w:tcW w:w="7229" w:type="dxa"/>
            <w:tcBorders>
              <w:top w:val="nil"/>
              <w:left w:val="single" w:sz="4" w:space="0" w:color="auto"/>
              <w:bottom w:val="single" w:sz="4" w:space="0" w:color="auto"/>
              <w:right w:val="single" w:sz="4" w:space="0" w:color="auto"/>
            </w:tcBorders>
            <w:vAlign w:val="center"/>
          </w:tcPr>
          <w:p w:rsidR="00213339" w:rsidRPr="0001448A" w:rsidRDefault="0001448A" w:rsidP="0001448A">
            <w:pPr>
              <w:spacing w:before="40" w:after="40" w:line="240" w:lineRule="auto"/>
              <w:rPr>
                <w:rFonts w:ascii="Arial" w:hAnsi="Arial" w:cs="Arial"/>
                <w:sz w:val="18"/>
                <w:szCs w:val="18"/>
              </w:rPr>
            </w:pPr>
            <w:r w:rsidRPr="0001448A">
              <w:rPr>
                <w:rFonts w:ascii="Arial" w:hAnsi="Arial" w:cs="Arial"/>
                <w:sz w:val="18"/>
                <w:szCs w:val="18"/>
              </w:rPr>
              <w:t>Steering Committee to keep tract of sustainability issues and to ensure its being included in the sixth monthly reporting discussions.</w:t>
            </w:r>
          </w:p>
        </w:tc>
      </w:tr>
    </w:tbl>
    <w:p w:rsidR="001E055B" w:rsidRPr="005B704D" w:rsidRDefault="001E05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gridCol w:w="5358"/>
      </w:tblGrid>
      <w:tr w:rsidR="00390D5A" w:rsidRPr="005B704D" w:rsidTr="00213339">
        <w:tc>
          <w:tcPr>
            <w:tcW w:w="4959" w:type="dxa"/>
            <w:shd w:val="clear" w:color="auto" w:fill="BCC9E6"/>
            <w:vAlign w:val="center"/>
          </w:tcPr>
          <w:p w:rsidR="00390D5A" w:rsidRPr="005B704D" w:rsidRDefault="00390D5A" w:rsidP="00213339">
            <w:pPr>
              <w:spacing w:before="40" w:after="40" w:line="240" w:lineRule="auto"/>
              <w:rPr>
                <w:rFonts w:ascii="Arial" w:hAnsi="Arial" w:cs="Arial"/>
              </w:rPr>
            </w:pPr>
            <w:r w:rsidRPr="005B704D">
              <w:rPr>
                <w:rFonts w:ascii="Arial" w:hAnsi="Arial" w:cs="Arial"/>
                <w:sz w:val="24"/>
                <w:szCs w:val="24"/>
              </w:rPr>
              <w:t>Supporting information</w:t>
            </w:r>
          </w:p>
        </w:tc>
        <w:tc>
          <w:tcPr>
            <w:tcW w:w="4959" w:type="dxa"/>
            <w:shd w:val="clear" w:color="auto" w:fill="BCC9E6"/>
            <w:vAlign w:val="center"/>
          </w:tcPr>
          <w:p w:rsidR="00390D5A" w:rsidRPr="005B704D" w:rsidRDefault="00DE0AFA" w:rsidP="00213339">
            <w:pPr>
              <w:spacing w:before="40" w:after="40" w:line="240" w:lineRule="auto"/>
              <w:rPr>
                <w:rFonts w:ascii="Arial" w:hAnsi="Arial" w:cs="Arial"/>
              </w:rPr>
            </w:pPr>
            <w:r w:rsidRPr="005B704D">
              <w:rPr>
                <w:rFonts w:ascii="Arial" w:hAnsi="Arial" w:cs="Arial"/>
                <w:sz w:val="24"/>
                <w:szCs w:val="24"/>
              </w:rPr>
              <w:t>Sector</w:t>
            </w:r>
            <w:r w:rsidR="00390D5A" w:rsidRPr="005B704D">
              <w:rPr>
                <w:rFonts w:ascii="Arial" w:hAnsi="Arial" w:cs="Arial"/>
                <w:sz w:val="24"/>
                <w:szCs w:val="24"/>
              </w:rPr>
              <w:t xml:space="preserve"> Issues</w:t>
            </w:r>
          </w:p>
        </w:tc>
        <w:tc>
          <w:tcPr>
            <w:tcW w:w="5358" w:type="dxa"/>
            <w:shd w:val="clear" w:color="auto" w:fill="BCC9E6"/>
            <w:vAlign w:val="center"/>
          </w:tcPr>
          <w:p w:rsidR="00390D5A" w:rsidRPr="005B704D" w:rsidRDefault="00390D5A" w:rsidP="00213339">
            <w:pPr>
              <w:spacing w:before="40" w:after="40" w:line="240" w:lineRule="auto"/>
              <w:rPr>
                <w:rFonts w:ascii="Arial" w:hAnsi="Arial" w:cs="Arial"/>
                <w:sz w:val="24"/>
                <w:szCs w:val="24"/>
              </w:rPr>
            </w:pPr>
            <w:r w:rsidRPr="005B704D">
              <w:rPr>
                <w:rFonts w:ascii="Arial" w:hAnsi="Arial" w:cs="Arial"/>
                <w:sz w:val="24"/>
                <w:szCs w:val="24"/>
              </w:rPr>
              <w:t>Programs</w:t>
            </w:r>
          </w:p>
        </w:tc>
      </w:tr>
      <w:tr w:rsidR="00390D5A" w:rsidRPr="005B704D" w:rsidTr="00213339">
        <w:tc>
          <w:tcPr>
            <w:tcW w:w="4959" w:type="dxa"/>
            <w:vAlign w:val="center"/>
          </w:tcPr>
          <w:p w:rsidR="0001448A"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Key sector coordinating mechanisms: Ministry of Finance, PSIF Facility Coordinating Committee,  Development Partners Policy Action Matrix working group, Civil Society Support Program Steering Committee</w:t>
            </w:r>
          </w:p>
          <w:p w:rsidR="00390D5A" w:rsidRPr="0001448A" w:rsidRDefault="0001448A" w:rsidP="00213339">
            <w:pPr>
              <w:numPr>
                <w:ilvl w:val="0"/>
                <w:numId w:val="1"/>
              </w:numPr>
              <w:spacing w:before="40" w:after="40" w:line="240" w:lineRule="auto"/>
              <w:ind w:left="357" w:hanging="357"/>
              <w:rPr>
                <w:rFonts w:ascii="Arial" w:hAnsi="Arial" w:cs="Arial"/>
              </w:rPr>
            </w:pPr>
            <w:r>
              <w:rPr>
                <w:rFonts w:ascii="Arial" w:hAnsi="Arial" w:cs="Arial"/>
                <w:sz w:val="16"/>
                <w:szCs w:val="16"/>
              </w:rPr>
              <w:t>Joint development partners: New Zealand, ADB, World Bank and European Union</w:t>
            </w:r>
          </w:p>
          <w:p w:rsidR="00390D5A" w:rsidRPr="005B704D" w:rsidRDefault="00390D5A" w:rsidP="00213339">
            <w:pPr>
              <w:spacing w:before="40" w:after="40" w:line="240" w:lineRule="auto"/>
              <w:rPr>
                <w:rFonts w:ascii="Arial" w:hAnsi="Arial" w:cs="Arial"/>
              </w:rPr>
            </w:pPr>
          </w:p>
        </w:tc>
        <w:tc>
          <w:tcPr>
            <w:tcW w:w="4959" w:type="dxa"/>
            <w:vAlign w:val="center"/>
          </w:tcPr>
          <w:p w:rsidR="00390D5A" w:rsidRPr="0001448A" w:rsidRDefault="0001448A" w:rsidP="00213339">
            <w:pPr>
              <w:numPr>
                <w:ilvl w:val="0"/>
                <w:numId w:val="2"/>
              </w:numPr>
              <w:spacing w:before="40" w:after="40" w:line="240" w:lineRule="auto"/>
              <w:rPr>
                <w:rFonts w:ascii="Arial" w:hAnsi="Arial" w:cs="Arial"/>
              </w:rPr>
            </w:pPr>
            <w:r w:rsidRPr="00C66734">
              <w:rPr>
                <w:rFonts w:ascii="Arial" w:hAnsi="Arial" w:cs="Arial"/>
                <w:sz w:val="16"/>
                <w:szCs w:val="16"/>
              </w:rPr>
              <w:t>Design of new phase of PSIF. The upcoming PSIF Evaluation review will provide recommendations of a possible new phase for PSIF</w:t>
            </w:r>
          </w:p>
          <w:p w:rsidR="0001448A" w:rsidRPr="005B704D" w:rsidRDefault="0001448A" w:rsidP="00213339">
            <w:pPr>
              <w:numPr>
                <w:ilvl w:val="0"/>
                <w:numId w:val="2"/>
              </w:numPr>
              <w:spacing w:before="40" w:after="40" w:line="240" w:lineRule="auto"/>
              <w:rPr>
                <w:rFonts w:ascii="Arial" w:hAnsi="Arial" w:cs="Arial"/>
              </w:rPr>
            </w:pPr>
            <w:r>
              <w:rPr>
                <w:rFonts w:ascii="Arial" w:hAnsi="Arial" w:cs="Arial"/>
                <w:sz w:val="16"/>
                <w:szCs w:val="16"/>
              </w:rPr>
              <w:t xml:space="preserve">Design of a new phase of the Policy Action Matrix will require high level support from Australia, Samoa and other development partners. </w:t>
            </w:r>
          </w:p>
        </w:tc>
        <w:tc>
          <w:tcPr>
            <w:tcW w:w="5358" w:type="dxa"/>
            <w:vAlign w:val="center"/>
          </w:tcPr>
          <w:p w:rsidR="0001448A" w:rsidRDefault="0001448A" w:rsidP="0001448A">
            <w:pPr>
              <w:numPr>
                <w:ilvl w:val="0"/>
                <w:numId w:val="2"/>
              </w:numPr>
              <w:spacing w:before="40" w:after="40" w:line="240" w:lineRule="auto"/>
              <w:rPr>
                <w:rFonts w:ascii="Arial" w:hAnsi="Arial" w:cs="Arial"/>
                <w:sz w:val="16"/>
                <w:szCs w:val="16"/>
              </w:rPr>
            </w:pPr>
            <w:r>
              <w:rPr>
                <w:rFonts w:ascii="Arial" w:hAnsi="Arial" w:cs="Arial"/>
                <w:sz w:val="16"/>
                <w:szCs w:val="16"/>
              </w:rPr>
              <w:t>Incentivising PFM Reform in Samoa</w:t>
            </w:r>
          </w:p>
          <w:p w:rsidR="0001448A" w:rsidRDefault="0001448A" w:rsidP="0001448A">
            <w:pPr>
              <w:numPr>
                <w:ilvl w:val="0"/>
                <w:numId w:val="2"/>
              </w:numPr>
              <w:spacing w:before="40" w:after="40" w:line="240" w:lineRule="auto"/>
              <w:rPr>
                <w:rFonts w:ascii="Arial" w:hAnsi="Arial" w:cs="Arial"/>
                <w:sz w:val="16"/>
                <w:szCs w:val="16"/>
              </w:rPr>
            </w:pPr>
            <w:r>
              <w:rPr>
                <w:rFonts w:ascii="Arial" w:hAnsi="Arial" w:cs="Arial"/>
                <w:sz w:val="16"/>
                <w:szCs w:val="16"/>
              </w:rPr>
              <w:t>Public Sector Improvement Facility</w:t>
            </w:r>
          </w:p>
          <w:p w:rsidR="0001448A" w:rsidRDefault="0001448A" w:rsidP="0001448A">
            <w:pPr>
              <w:numPr>
                <w:ilvl w:val="0"/>
                <w:numId w:val="2"/>
              </w:numPr>
              <w:spacing w:before="40" w:after="40" w:line="240" w:lineRule="auto"/>
              <w:rPr>
                <w:rFonts w:ascii="Arial" w:hAnsi="Arial" w:cs="Arial"/>
                <w:sz w:val="16"/>
                <w:szCs w:val="16"/>
              </w:rPr>
            </w:pPr>
            <w:r>
              <w:rPr>
                <w:rFonts w:ascii="Arial" w:hAnsi="Arial" w:cs="Arial"/>
                <w:sz w:val="16"/>
                <w:szCs w:val="16"/>
              </w:rPr>
              <w:t>Support for Census</w:t>
            </w:r>
          </w:p>
          <w:p w:rsidR="0001448A"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Civil Society Support Program</w:t>
            </w:r>
          </w:p>
          <w:p w:rsidR="0001448A"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PHAMA</w:t>
            </w:r>
          </w:p>
          <w:p w:rsidR="0001448A"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Pacific Leadership Program</w:t>
            </w:r>
          </w:p>
          <w:p w:rsidR="0001448A"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lang w:val="en-AU"/>
              </w:rPr>
              <w:t>Pacific Executive program  (PACE)</w:t>
            </w:r>
          </w:p>
          <w:p w:rsidR="0001448A" w:rsidRPr="00484CC2"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Pacific Parliamentary Partnerships</w:t>
            </w:r>
          </w:p>
          <w:p w:rsidR="0001448A" w:rsidRPr="001B6ED0"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lang w:val="en-AU"/>
              </w:rPr>
              <w:t>Pacific Media Assistance Scheme</w:t>
            </w:r>
          </w:p>
          <w:p w:rsidR="0001448A" w:rsidRPr="00484CC2" w:rsidRDefault="0001448A" w:rsidP="0001448A">
            <w:pPr>
              <w:numPr>
                <w:ilvl w:val="0"/>
                <w:numId w:val="1"/>
              </w:numPr>
              <w:spacing w:before="40" w:after="40" w:line="240" w:lineRule="auto"/>
              <w:ind w:left="357" w:hanging="357"/>
              <w:rPr>
                <w:rFonts w:ascii="Arial" w:hAnsi="Arial" w:cs="Arial"/>
                <w:sz w:val="16"/>
                <w:szCs w:val="16"/>
              </w:rPr>
            </w:pPr>
            <w:r w:rsidRPr="001B6ED0">
              <w:rPr>
                <w:rFonts w:ascii="Arial" w:hAnsi="Arial" w:cs="Arial"/>
                <w:sz w:val="16"/>
                <w:szCs w:val="16"/>
                <w:lang w:val="en-AU"/>
              </w:rPr>
              <w:t>IFC Foreign Investment Advisory Service</w:t>
            </w:r>
          </w:p>
          <w:p w:rsidR="0001448A" w:rsidRPr="001B6ED0" w:rsidRDefault="0001448A" w:rsidP="0001448A">
            <w:pPr>
              <w:numPr>
                <w:ilvl w:val="0"/>
                <w:numId w:val="1"/>
              </w:numPr>
              <w:spacing w:before="40" w:after="40" w:line="240" w:lineRule="auto"/>
              <w:ind w:left="357" w:hanging="357"/>
              <w:rPr>
                <w:rFonts w:ascii="Arial" w:hAnsi="Arial" w:cs="Arial"/>
                <w:sz w:val="16"/>
                <w:szCs w:val="16"/>
              </w:rPr>
            </w:pPr>
            <w:r>
              <w:rPr>
                <w:rFonts w:ascii="Arial" w:hAnsi="Arial" w:cs="Arial"/>
                <w:sz w:val="16"/>
                <w:szCs w:val="16"/>
              </w:rPr>
              <w:t xml:space="preserve">UNDP </w:t>
            </w:r>
            <w:r w:rsidRPr="001B6ED0">
              <w:rPr>
                <w:rFonts w:ascii="Arial" w:hAnsi="Arial" w:cs="Arial"/>
                <w:sz w:val="16"/>
                <w:szCs w:val="16"/>
                <w:lang w:val="en-AU"/>
              </w:rPr>
              <w:t>Pacific Financial Inclusion Program</w:t>
            </w:r>
          </w:p>
          <w:p w:rsidR="0001448A" w:rsidRPr="00D32D77" w:rsidRDefault="0001448A" w:rsidP="0001448A">
            <w:pPr>
              <w:numPr>
                <w:ilvl w:val="0"/>
                <w:numId w:val="1"/>
              </w:numPr>
              <w:spacing w:before="40" w:after="40" w:line="240" w:lineRule="auto"/>
              <w:ind w:left="357" w:hanging="357"/>
              <w:rPr>
                <w:rFonts w:ascii="Arial" w:hAnsi="Arial" w:cs="Arial"/>
                <w:sz w:val="16"/>
                <w:szCs w:val="16"/>
              </w:rPr>
            </w:pPr>
            <w:r w:rsidRPr="001B6ED0">
              <w:rPr>
                <w:rFonts w:ascii="Arial" w:hAnsi="Arial" w:cs="Arial"/>
                <w:sz w:val="16"/>
                <w:szCs w:val="16"/>
                <w:lang w:val="en-AU"/>
              </w:rPr>
              <w:t>Public Sector Linkages Program</w:t>
            </w:r>
          </w:p>
          <w:p w:rsidR="0001448A" w:rsidRPr="001B6ED0" w:rsidRDefault="0001448A" w:rsidP="0001448A">
            <w:pPr>
              <w:numPr>
                <w:ilvl w:val="0"/>
                <w:numId w:val="1"/>
              </w:numPr>
              <w:spacing w:before="40" w:after="40" w:line="240" w:lineRule="auto"/>
              <w:ind w:left="357" w:hanging="357"/>
              <w:rPr>
                <w:rFonts w:ascii="Arial" w:hAnsi="Arial" w:cs="Arial"/>
                <w:sz w:val="16"/>
                <w:szCs w:val="16"/>
              </w:rPr>
            </w:pPr>
            <w:r w:rsidRPr="001B6ED0">
              <w:rPr>
                <w:rFonts w:ascii="Arial" w:hAnsi="Arial" w:cs="Arial"/>
                <w:sz w:val="16"/>
                <w:szCs w:val="16"/>
                <w:lang w:val="en-AU"/>
              </w:rPr>
              <w:t>Pilot Program for Climate Resilience</w:t>
            </w:r>
          </w:p>
          <w:p w:rsidR="0001448A" w:rsidRPr="001B6ED0" w:rsidRDefault="0001448A" w:rsidP="0001448A">
            <w:pPr>
              <w:numPr>
                <w:ilvl w:val="0"/>
                <w:numId w:val="1"/>
              </w:numPr>
              <w:spacing w:before="40" w:after="40" w:line="240" w:lineRule="auto"/>
              <w:ind w:left="357" w:hanging="357"/>
              <w:rPr>
                <w:rFonts w:ascii="Arial" w:hAnsi="Arial" w:cs="Arial"/>
                <w:sz w:val="16"/>
                <w:szCs w:val="16"/>
              </w:rPr>
            </w:pPr>
            <w:r w:rsidRPr="001B6ED0">
              <w:rPr>
                <w:rFonts w:ascii="Arial" w:hAnsi="Arial" w:cs="Arial"/>
                <w:sz w:val="16"/>
                <w:szCs w:val="16"/>
                <w:lang w:val="en-AU"/>
              </w:rPr>
              <w:t xml:space="preserve">Pacific </w:t>
            </w:r>
            <w:r>
              <w:rPr>
                <w:rFonts w:ascii="Arial" w:hAnsi="Arial" w:cs="Arial"/>
                <w:sz w:val="16"/>
                <w:szCs w:val="16"/>
                <w:lang w:val="en-AU"/>
              </w:rPr>
              <w:t xml:space="preserve">Adaptation to </w:t>
            </w:r>
            <w:r w:rsidRPr="001B6ED0">
              <w:rPr>
                <w:rFonts w:ascii="Arial" w:hAnsi="Arial" w:cs="Arial"/>
                <w:sz w:val="16"/>
                <w:szCs w:val="16"/>
                <w:lang w:val="en-AU"/>
              </w:rPr>
              <w:t>Climate Change Program</w:t>
            </w:r>
          </w:p>
          <w:p w:rsidR="0001448A" w:rsidRPr="001B6ED0" w:rsidRDefault="0001448A" w:rsidP="0001448A">
            <w:pPr>
              <w:numPr>
                <w:ilvl w:val="0"/>
                <w:numId w:val="1"/>
              </w:numPr>
              <w:spacing w:before="40" w:after="40" w:line="240" w:lineRule="auto"/>
              <w:ind w:left="357" w:hanging="357"/>
              <w:rPr>
                <w:rFonts w:ascii="Arial" w:hAnsi="Arial" w:cs="Arial"/>
                <w:sz w:val="16"/>
                <w:szCs w:val="16"/>
              </w:rPr>
            </w:pPr>
            <w:r w:rsidRPr="001B6ED0">
              <w:rPr>
                <w:rFonts w:ascii="Arial" w:hAnsi="Arial" w:cs="Arial"/>
                <w:sz w:val="16"/>
                <w:szCs w:val="16"/>
                <w:lang w:val="en-AU"/>
              </w:rPr>
              <w:t>South Pacific Sea Level and Climate Monitoring Project</w:t>
            </w:r>
          </w:p>
          <w:p w:rsidR="0001448A" w:rsidRPr="00E86F8E" w:rsidRDefault="0001448A" w:rsidP="0001448A">
            <w:pPr>
              <w:numPr>
                <w:ilvl w:val="0"/>
                <w:numId w:val="1"/>
              </w:numPr>
              <w:spacing w:before="40" w:after="40" w:line="240" w:lineRule="auto"/>
              <w:ind w:left="357" w:hanging="357"/>
              <w:rPr>
                <w:rFonts w:ascii="Arial" w:hAnsi="Arial" w:cs="Arial"/>
                <w:sz w:val="16"/>
                <w:szCs w:val="16"/>
              </w:rPr>
            </w:pPr>
            <w:r w:rsidRPr="00E86F8E">
              <w:rPr>
                <w:rFonts w:ascii="Arial" w:hAnsi="Arial" w:cs="Arial"/>
                <w:sz w:val="16"/>
                <w:szCs w:val="16"/>
              </w:rPr>
              <w:t>Pacific Region Infrastructure Facility</w:t>
            </w:r>
          </w:p>
          <w:p w:rsidR="0001448A" w:rsidRDefault="0001448A" w:rsidP="0001448A">
            <w:pPr>
              <w:numPr>
                <w:ilvl w:val="0"/>
                <w:numId w:val="1"/>
              </w:numPr>
              <w:spacing w:before="40" w:after="40" w:line="240" w:lineRule="auto"/>
              <w:ind w:left="357" w:hanging="357"/>
              <w:rPr>
                <w:rFonts w:ascii="Arial" w:hAnsi="Arial" w:cs="Arial"/>
                <w:sz w:val="16"/>
                <w:szCs w:val="16"/>
              </w:rPr>
            </w:pPr>
            <w:r w:rsidRPr="00E86F8E">
              <w:rPr>
                <w:rFonts w:ascii="Arial" w:hAnsi="Arial" w:cs="Arial"/>
                <w:sz w:val="16"/>
                <w:szCs w:val="16"/>
              </w:rPr>
              <w:t>NAPA 4</w:t>
            </w:r>
          </w:p>
          <w:p w:rsidR="00390D5A" w:rsidRPr="005B704D" w:rsidRDefault="0001448A" w:rsidP="0001448A">
            <w:pPr>
              <w:numPr>
                <w:ilvl w:val="0"/>
                <w:numId w:val="1"/>
              </w:numPr>
              <w:spacing w:before="40" w:after="40" w:line="240" w:lineRule="auto"/>
              <w:ind w:left="357" w:hanging="357"/>
              <w:rPr>
                <w:rFonts w:ascii="Arial" w:hAnsi="Arial" w:cs="Arial"/>
              </w:rPr>
            </w:pPr>
            <w:r w:rsidRPr="00E86F8E">
              <w:rPr>
                <w:rFonts w:ascii="Arial" w:hAnsi="Arial" w:cs="Arial"/>
                <w:sz w:val="16"/>
                <w:szCs w:val="16"/>
              </w:rPr>
              <w:t>Agro forestry and Tree Planting Program</w:t>
            </w:r>
          </w:p>
        </w:tc>
      </w:tr>
    </w:tbl>
    <w:p w:rsidR="001E055B" w:rsidRPr="005B704D" w:rsidRDefault="001E055B">
      <w:pPr>
        <w:rPr>
          <w:rFonts w:ascii="Arial" w:hAnsi="Arial" w:cs="Arial"/>
        </w:rPr>
      </w:pPr>
    </w:p>
    <w:p w:rsidR="00E1504C" w:rsidRPr="005B704D"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RPr="005B704D" w:rsidTr="001E055B">
        <w:trPr>
          <w:trHeight w:val="1355"/>
        </w:trPr>
        <w:tc>
          <w:tcPr>
            <w:tcW w:w="7220" w:type="dxa"/>
            <w:shd w:val="clear" w:color="auto" w:fill="F2F2F2"/>
          </w:tcPr>
          <w:p w:rsidR="00E1504C" w:rsidRPr="005B704D" w:rsidRDefault="00E1504C" w:rsidP="00D24D80">
            <w:pPr>
              <w:keepNext/>
              <w:keepLines/>
              <w:spacing w:before="40" w:after="40" w:line="240" w:lineRule="auto"/>
              <w:rPr>
                <w:rFonts w:ascii="Arial" w:hAnsi="Arial" w:cs="Arial"/>
                <w:b/>
                <w:sz w:val="24"/>
                <w:szCs w:val="16"/>
              </w:rPr>
            </w:pPr>
            <w:r w:rsidRPr="005B704D">
              <w:rPr>
                <w:rFonts w:ascii="Arial" w:hAnsi="Arial" w:cs="Arial"/>
                <w:b/>
                <w:sz w:val="24"/>
                <w:szCs w:val="16"/>
              </w:rPr>
              <w:t>Signed</w:t>
            </w:r>
          </w:p>
          <w:p w:rsidR="00E1504C" w:rsidRPr="005B704D" w:rsidRDefault="00E1504C" w:rsidP="00D24D80">
            <w:pPr>
              <w:spacing w:after="0" w:line="240" w:lineRule="auto"/>
              <w:rPr>
                <w:rFonts w:ascii="Arial" w:hAnsi="Arial" w:cs="Arial"/>
                <w:b/>
                <w:sz w:val="16"/>
                <w:szCs w:val="16"/>
              </w:rPr>
            </w:pPr>
            <w:r w:rsidRPr="005B704D">
              <w:rPr>
                <w:rFonts w:ascii="Arial" w:hAnsi="Arial" w:cs="Arial"/>
                <w:b/>
                <w:sz w:val="16"/>
                <w:szCs w:val="16"/>
              </w:rPr>
              <w:t>for the Government of Samoa</w:t>
            </w:r>
          </w:p>
          <w:p w:rsidR="00E1504C" w:rsidRPr="005B704D" w:rsidRDefault="00E1504C" w:rsidP="00D24D80">
            <w:pPr>
              <w:spacing w:after="0" w:line="240" w:lineRule="auto"/>
              <w:rPr>
                <w:rFonts w:ascii="Arial" w:hAnsi="Arial" w:cs="Arial"/>
                <w:b/>
                <w:sz w:val="16"/>
                <w:szCs w:val="16"/>
              </w:rPr>
            </w:pPr>
          </w:p>
          <w:p w:rsidR="00E1504C" w:rsidRPr="005B704D" w:rsidRDefault="00E1504C" w:rsidP="00D24D80">
            <w:pPr>
              <w:spacing w:after="0" w:line="240" w:lineRule="auto"/>
              <w:rPr>
                <w:rFonts w:ascii="Arial" w:hAnsi="Arial" w:cs="Arial"/>
                <w:b/>
                <w:sz w:val="16"/>
                <w:szCs w:val="16"/>
              </w:rPr>
            </w:pPr>
          </w:p>
          <w:p w:rsidR="00E1504C" w:rsidRPr="005B704D" w:rsidRDefault="00E1504C" w:rsidP="00D24D80">
            <w:pPr>
              <w:spacing w:after="0" w:line="240" w:lineRule="auto"/>
              <w:rPr>
                <w:rFonts w:ascii="Arial" w:hAnsi="Arial" w:cs="Arial"/>
                <w:b/>
                <w:sz w:val="16"/>
                <w:szCs w:val="16"/>
              </w:rPr>
            </w:pPr>
          </w:p>
          <w:p w:rsidR="00E1504C" w:rsidRPr="005B704D" w:rsidRDefault="00E1504C" w:rsidP="00D24D80">
            <w:pPr>
              <w:spacing w:after="0" w:line="240" w:lineRule="auto"/>
              <w:rPr>
                <w:rFonts w:ascii="Arial" w:hAnsi="Arial" w:cs="Arial"/>
                <w:b/>
                <w:sz w:val="16"/>
                <w:szCs w:val="16"/>
              </w:rPr>
            </w:pPr>
          </w:p>
          <w:p w:rsidR="00E1504C" w:rsidRPr="005B704D" w:rsidRDefault="00E1504C" w:rsidP="00D24D80">
            <w:pPr>
              <w:spacing w:after="0" w:line="240" w:lineRule="auto"/>
              <w:rPr>
                <w:rFonts w:ascii="Arial" w:hAnsi="Arial" w:cs="Arial"/>
              </w:rPr>
            </w:pPr>
          </w:p>
        </w:tc>
        <w:tc>
          <w:tcPr>
            <w:tcW w:w="711" w:type="dxa"/>
            <w:vMerge w:val="restart"/>
          </w:tcPr>
          <w:p w:rsidR="00E1504C" w:rsidRPr="005B704D" w:rsidRDefault="00E1504C" w:rsidP="00D24D80">
            <w:pPr>
              <w:spacing w:after="0" w:line="240" w:lineRule="auto"/>
              <w:rPr>
                <w:rFonts w:ascii="Arial" w:hAnsi="Arial" w:cs="Arial"/>
              </w:rPr>
            </w:pPr>
          </w:p>
        </w:tc>
        <w:tc>
          <w:tcPr>
            <w:tcW w:w="7395" w:type="dxa"/>
            <w:shd w:val="clear" w:color="auto" w:fill="F2F2F2"/>
          </w:tcPr>
          <w:p w:rsidR="00E1504C" w:rsidRPr="005B704D" w:rsidRDefault="00E1504C" w:rsidP="00D24D80">
            <w:pPr>
              <w:keepNext/>
              <w:keepLines/>
              <w:spacing w:before="40" w:after="40" w:line="240" w:lineRule="auto"/>
              <w:rPr>
                <w:rFonts w:ascii="Arial" w:hAnsi="Arial" w:cs="Arial"/>
                <w:b/>
                <w:sz w:val="24"/>
                <w:szCs w:val="16"/>
              </w:rPr>
            </w:pPr>
            <w:r w:rsidRPr="005B704D">
              <w:rPr>
                <w:rFonts w:ascii="Arial" w:hAnsi="Arial" w:cs="Arial"/>
                <w:b/>
                <w:sz w:val="24"/>
                <w:szCs w:val="16"/>
              </w:rPr>
              <w:t>Signed</w:t>
            </w:r>
          </w:p>
          <w:p w:rsidR="00E1504C" w:rsidRPr="005B704D" w:rsidRDefault="00E1504C" w:rsidP="00D24D80">
            <w:pPr>
              <w:spacing w:after="0" w:line="240" w:lineRule="auto"/>
              <w:rPr>
                <w:rFonts w:ascii="Arial" w:hAnsi="Arial" w:cs="Arial"/>
                <w:b/>
                <w:sz w:val="16"/>
                <w:szCs w:val="16"/>
              </w:rPr>
            </w:pPr>
            <w:r w:rsidRPr="005B704D">
              <w:rPr>
                <w:rFonts w:ascii="Arial" w:hAnsi="Arial" w:cs="Arial"/>
                <w:b/>
                <w:sz w:val="16"/>
                <w:szCs w:val="16"/>
              </w:rPr>
              <w:t>for the Government of Australia</w:t>
            </w:r>
          </w:p>
          <w:p w:rsidR="00E1504C" w:rsidRPr="005B704D" w:rsidRDefault="00E1504C" w:rsidP="00D24D80">
            <w:pPr>
              <w:spacing w:after="0" w:line="240" w:lineRule="auto"/>
              <w:rPr>
                <w:rFonts w:ascii="Arial" w:hAnsi="Arial" w:cs="Arial"/>
              </w:rPr>
            </w:pPr>
          </w:p>
        </w:tc>
      </w:tr>
      <w:tr w:rsidR="00E1504C" w:rsidRPr="005B704D" w:rsidTr="001E055B">
        <w:trPr>
          <w:trHeight w:val="709"/>
        </w:trPr>
        <w:tc>
          <w:tcPr>
            <w:tcW w:w="7220" w:type="dxa"/>
            <w:shd w:val="clear" w:color="auto" w:fill="F2F2F2"/>
          </w:tcPr>
          <w:p w:rsidR="00E1504C" w:rsidRPr="005B704D" w:rsidRDefault="00E1504C" w:rsidP="00D24D80">
            <w:pPr>
              <w:keepNext/>
              <w:keepLines/>
              <w:spacing w:before="40" w:after="40" w:line="240" w:lineRule="auto"/>
              <w:rPr>
                <w:rFonts w:ascii="Arial" w:hAnsi="Arial" w:cs="Arial"/>
                <w:sz w:val="16"/>
                <w:szCs w:val="16"/>
              </w:rPr>
            </w:pPr>
            <w:r w:rsidRPr="005B704D">
              <w:rPr>
                <w:rFonts w:ascii="Arial" w:hAnsi="Arial" w:cs="Arial"/>
                <w:sz w:val="16"/>
                <w:szCs w:val="16"/>
              </w:rPr>
              <w:t>Name:</w:t>
            </w:r>
          </w:p>
          <w:p w:rsidR="00E1504C" w:rsidRPr="005B704D" w:rsidRDefault="00E1504C" w:rsidP="00D24D80">
            <w:pPr>
              <w:keepNext/>
              <w:keepLines/>
              <w:spacing w:before="40" w:after="40" w:line="240" w:lineRule="auto"/>
              <w:rPr>
                <w:rFonts w:ascii="Arial" w:hAnsi="Arial" w:cs="Arial"/>
                <w:sz w:val="16"/>
                <w:szCs w:val="16"/>
              </w:rPr>
            </w:pPr>
          </w:p>
          <w:p w:rsidR="00E1504C" w:rsidRPr="005B704D" w:rsidRDefault="00E1504C" w:rsidP="001E055B">
            <w:pPr>
              <w:keepNext/>
              <w:keepLines/>
              <w:spacing w:before="40" w:after="40" w:line="240" w:lineRule="auto"/>
              <w:rPr>
                <w:rFonts w:ascii="Arial" w:hAnsi="Arial" w:cs="Arial"/>
                <w:sz w:val="16"/>
                <w:szCs w:val="16"/>
              </w:rPr>
            </w:pPr>
            <w:r w:rsidRPr="005B704D">
              <w:rPr>
                <w:rFonts w:ascii="Arial" w:hAnsi="Arial" w:cs="Arial"/>
                <w:sz w:val="16"/>
                <w:szCs w:val="16"/>
              </w:rPr>
              <w:t>Title:</w:t>
            </w:r>
          </w:p>
          <w:p w:rsidR="001E055B" w:rsidRPr="005B704D" w:rsidRDefault="001E055B" w:rsidP="001E055B">
            <w:pPr>
              <w:keepNext/>
              <w:keepLines/>
              <w:spacing w:before="40" w:after="40" w:line="240" w:lineRule="auto"/>
              <w:rPr>
                <w:rFonts w:ascii="Arial" w:hAnsi="Arial" w:cs="Arial"/>
                <w:sz w:val="16"/>
                <w:szCs w:val="16"/>
              </w:rPr>
            </w:pPr>
          </w:p>
          <w:p w:rsidR="001E055B" w:rsidRPr="005B704D" w:rsidRDefault="001E055B" w:rsidP="001E055B">
            <w:pPr>
              <w:keepNext/>
              <w:keepLines/>
              <w:spacing w:before="40" w:after="40" w:line="240" w:lineRule="auto"/>
              <w:rPr>
                <w:rFonts w:ascii="Arial" w:hAnsi="Arial" w:cs="Arial"/>
                <w:sz w:val="16"/>
                <w:szCs w:val="16"/>
              </w:rPr>
            </w:pPr>
            <w:r w:rsidRPr="005B704D">
              <w:rPr>
                <w:rFonts w:ascii="Arial" w:hAnsi="Arial" w:cs="Arial"/>
                <w:sz w:val="16"/>
                <w:szCs w:val="16"/>
              </w:rPr>
              <w:t>Date:</w:t>
            </w:r>
          </w:p>
        </w:tc>
        <w:tc>
          <w:tcPr>
            <w:tcW w:w="711" w:type="dxa"/>
            <w:vMerge/>
          </w:tcPr>
          <w:p w:rsidR="00E1504C" w:rsidRPr="005B704D" w:rsidRDefault="00E1504C" w:rsidP="00D24D80">
            <w:pPr>
              <w:spacing w:after="0" w:line="240" w:lineRule="auto"/>
              <w:rPr>
                <w:rFonts w:ascii="Arial" w:hAnsi="Arial" w:cs="Arial"/>
              </w:rPr>
            </w:pPr>
          </w:p>
        </w:tc>
        <w:tc>
          <w:tcPr>
            <w:tcW w:w="7395" w:type="dxa"/>
            <w:shd w:val="clear" w:color="auto" w:fill="F2F2F2"/>
          </w:tcPr>
          <w:p w:rsidR="00E1504C" w:rsidRPr="005B704D" w:rsidRDefault="00E1504C" w:rsidP="00D24D80">
            <w:pPr>
              <w:keepNext/>
              <w:keepLines/>
              <w:spacing w:before="40" w:after="40" w:line="240" w:lineRule="auto"/>
              <w:rPr>
                <w:rFonts w:ascii="Arial" w:hAnsi="Arial" w:cs="Arial"/>
                <w:sz w:val="16"/>
                <w:szCs w:val="16"/>
              </w:rPr>
            </w:pPr>
            <w:r w:rsidRPr="005B704D">
              <w:rPr>
                <w:rFonts w:ascii="Arial" w:hAnsi="Arial" w:cs="Arial"/>
                <w:sz w:val="16"/>
                <w:szCs w:val="16"/>
              </w:rPr>
              <w:t>Name:</w:t>
            </w:r>
          </w:p>
          <w:p w:rsidR="00E1504C" w:rsidRPr="005B704D" w:rsidRDefault="00E1504C" w:rsidP="00D24D80">
            <w:pPr>
              <w:keepNext/>
              <w:keepLines/>
              <w:spacing w:before="40" w:after="40" w:line="240" w:lineRule="auto"/>
              <w:rPr>
                <w:rFonts w:ascii="Arial" w:hAnsi="Arial" w:cs="Arial"/>
                <w:sz w:val="16"/>
                <w:szCs w:val="16"/>
              </w:rPr>
            </w:pPr>
          </w:p>
          <w:p w:rsidR="00E1504C" w:rsidRPr="005B704D" w:rsidRDefault="00E1504C" w:rsidP="001E055B">
            <w:pPr>
              <w:keepNext/>
              <w:keepLines/>
              <w:spacing w:before="40" w:after="40" w:line="240" w:lineRule="auto"/>
              <w:rPr>
                <w:rFonts w:ascii="Arial" w:hAnsi="Arial" w:cs="Arial"/>
                <w:sz w:val="16"/>
                <w:szCs w:val="16"/>
              </w:rPr>
            </w:pPr>
            <w:r w:rsidRPr="005B704D">
              <w:rPr>
                <w:rFonts w:ascii="Arial" w:hAnsi="Arial" w:cs="Arial"/>
                <w:sz w:val="16"/>
                <w:szCs w:val="16"/>
              </w:rPr>
              <w:t>Title:</w:t>
            </w:r>
          </w:p>
          <w:p w:rsidR="001E055B" w:rsidRPr="005B704D" w:rsidRDefault="001E055B" w:rsidP="001E055B">
            <w:pPr>
              <w:keepNext/>
              <w:keepLines/>
              <w:spacing w:before="40" w:after="40" w:line="240" w:lineRule="auto"/>
              <w:rPr>
                <w:rFonts w:ascii="Arial" w:hAnsi="Arial" w:cs="Arial"/>
                <w:sz w:val="16"/>
                <w:szCs w:val="16"/>
              </w:rPr>
            </w:pPr>
          </w:p>
          <w:p w:rsidR="001E055B" w:rsidRPr="005B704D" w:rsidRDefault="001E055B" w:rsidP="001E055B">
            <w:pPr>
              <w:keepNext/>
              <w:keepLines/>
              <w:spacing w:before="40" w:after="40" w:line="240" w:lineRule="auto"/>
              <w:rPr>
                <w:rFonts w:ascii="Arial" w:hAnsi="Arial" w:cs="Arial"/>
                <w:sz w:val="16"/>
                <w:szCs w:val="16"/>
              </w:rPr>
            </w:pPr>
            <w:r w:rsidRPr="005B704D">
              <w:rPr>
                <w:rFonts w:ascii="Arial" w:hAnsi="Arial" w:cs="Arial"/>
                <w:sz w:val="16"/>
                <w:szCs w:val="16"/>
              </w:rPr>
              <w:t>Date:</w:t>
            </w:r>
          </w:p>
        </w:tc>
      </w:tr>
    </w:tbl>
    <w:p w:rsidR="00E1504C" w:rsidRPr="005B704D" w:rsidRDefault="00E1504C" w:rsidP="005F18A2">
      <w:pPr>
        <w:rPr>
          <w:rFonts w:ascii="Arial" w:hAnsi="Arial" w:cs="Arial"/>
        </w:rPr>
      </w:pPr>
    </w:p>
    <w:sectPr w:rsidR="00E1504C" w:rsidRPr="005B704D"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4D" w:rsidRDefault="005B704D" w:rsidP="006D4AB1">
      <w:pPr>
        <w:spacing w:after="0" w:line="240" w:lineRule="auto"/>
      </w:pPr>
      <w:r>
        <w:separator/>
      </w:r>
    </w:p>
  </w:endnote>
  <w:endnote w:type="continuationSeparator" w:id="0">
    <w:p w:rsidR="005B704D" w:rsidRDefault="005B704D"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4D" w:rsidRDefault="005B704D" w:rsidP="006D4AB1">
      <w:pPr>
        <w:spacing w:after="0" w:line="240" w:lineRule="auto"/>
      </w:pPr>
      <w:r>
        <w:separator/>
      </w:r>
    </w:p>
  </w:footnote>
  <w:footnote w:type="continuationSeparator" w:id="0">
    <w:p w:rsidR="005B704D" w:rsidRDefault="005B704D" w:rsidP="006D4AB1">
      <w:pPr>
        <w:spacing w:after="0" w:line="240" w:lineRule="auto"/>
      </w:pPr>
      <w:r>
        <w:continuationSeparator/>
      </w:r>
    </w:p>
  </w:footnote>
  <w:footnote w:id="1">
    <w:p w:rsidR="005B704D" w:rsidRPr="008C3120" w:rsidRDefault="005B704D" w:rsidP="005B704D">
      <w:pPr>
        <w:pStyle w:val="FootnoteText"/>
        <w:rPr>
          <w:lang w:val="en-AU"/>
        </w:rPr>
      </w:pPr>
      <w:r>
        <w:rPr>
          <w:rStyle w:val="FootnoteReference"/>
        </w:rPr>
        <w:footnoteRef/>
      </w:r>
      <w:r>
        <w:t xml:space="preserve"> </w:t>
      </w:r>
      <w:r>
        <w:rPr>
          <w:lang w:val="en-AU"/>
        </w:rPr>
        <w:t xml:space="preserve">As per the </w:t>
      </w:r>
      <w:hyperlink r:id="rId1" w:history="1">
        <w:r w:rsidRPr="00E60367">
          <w:rPr>
            <w:rStyle w:val="Hyperlink"/>
            <w:lang w:val="en-AU"/>
          </w:rPr>
          <w:t>AusAID Samoa Annual Program Performance Report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4D" w:rsidRDefault="005B7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1448A"/>
    <w:rsid w:val="000E360D"/>
    <w:rsid w:val="001415A7"/>
    <w:rsid w:val="00160BFF"/>
    <w:rsid w:val="001E055B"/>
    <w:rsid w:val="00213339"/>
    <w:rsid w:val="002F799E"/>
    <w:rsid w:val="00353A73"/>
    <w:rsid w:val="00382E24"/>
    <w:rsid w:val="00390D5A"/>
    <w:rsid w:val="00400A38"/>
    <w:rsid w:val="0054331C"/>
    <w:rsid w:val="005B704D"/>
    <w:rsid w:val="005F18A2"/>
    <w:rsid w:val="005F788C"/>
    <w:rsid w:val="0068494A"/>
    <w:rsid w:val="006D4AB1"/>
    <w:rsid w:val="007B69AA"/>
    <w:rsid w:val="007E5B07"/>
    <w:rsid w:val="00812E8D"/>
    <w:rsid w:val="0082137A"/>
    <w:rsid w:val="00852237"/>
    <w:rsid w:val="008A56A7"/>
    <w:rsid w:val="008C48D5"/>
    <w:rsid w:val="00940A8F"/>
    <w:rsid w:val="009650A4"/>
    <w:rsid w:val="009977A3"/>
    <w:rsid w:val="00A31DDC"/>
    <w:rsid w:val="00A5517F"/>
    <w:rsid w:val="00A619B1"/>
    <w:rsid w:val="00A70824"/>
    <w:rsid w:val="00AD3EAF"/>
    <w:rsid w:val="00BD4549"/>
    <w:rsid w:val="00C519A7"/>
    <w:rsid w:val="00C546F2"/>
    <w:rsid w:val="00C5499B"/>
    <w:rsid w:val="00D24D80"/>
    <w:rsid w:val="00D735E2"/>
    <w:rsid w:val="00DD5326"/>
    <w:rsid w:val="00DE0AFA"/>
    <w:rsid w:val="00DF5793"/>
    <w:rsid w:val="00E1504C"/>
    <w:rsid w:val="00E72C5C"/>
    <w:rsid w:val="00EB091F"/>
    <w:rsid w:val="00F2508D"/>
    <w:rsid w:val="00F4088B"/>
    <w:rsid w:val="00F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Hyperlink">
    <w:name w:val="Hyperlink"/>
    <w:uiPriority w:val="99"/>
    <w:unhideWhenUsed/>
    <w:rsid w:val="005B70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aid.gov.au/Publications/Pages/Samoa-Annual-Program-Performance-Report-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F6830E-13AB-4BA7-AF84-5C393D06417C}"/>
</file>

<file path=customXml/itemProps2.xml><?xml version="1.0" encoding="utf-8"?>
<ds:datastoreItem xmlns:ds="http://schemas.openxmlformats.org/officeDocument/2006/customXml" ds:itemID="{6EF72CE3-7D7D-4BEB-99FD-645982880FEE}"/>
</file>

<file path=customXml/itemProps3.xml><?xml version="1.0" encoding="utf-8"?>
<ds:datastoreItem xmlns:ds="http://schemas.openxmlformats.org/officeDocument/2006/customXml" ds:itemID="{434F795D-2766-4641-A913-21B5A90C196C}"/>
</file>

<file path=customXml/itemProps4.xml><?xml version="1.0" encoding="utf-8"?>
<ds:datastoreItem xmlns:ds="http://schemas.openxmlformats.org/officeDocument/2006/customXml" ds:itemID="{B9DA61BE-A2D9-4E8E-A09E-C188C1FE631B}"/>
</file>

<file path=docProps/app.xml><?xml version="1.0" encoding="utf-8"?>
<Properties xmlns="http://schemas.openxmlformats.org/officeDocument/2006/extended-properties" xmlns:vt="http://schemas.openxmlformats.org/officeDocument/2006/docPropsVTypes">
  <Template>Normal.dotm</Template>
  <TotalTime>14</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Samoa – Australia Partnership for Development</vt:lpstr>
    </vt:vector>
  </TitlesOfParts>
  <Company>Toshiba</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 Australia Partnership for Development</dc:title>
  <dc:creator>Owen Martin</dc:creator>
  <cp:lastModifiedBy>Frances Sutherland</cp:lastModifiedBy>
  <cp:revision>6</cp:revision>
  <dcterms:created xsi:type="dcterms:W3CDTF">2012-09-08T17:35:00Z</dcterms:created>
  <dcterms:modified xsi:type="dcterms:W3CDTF">2012-09-08T18:06:00Z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8900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