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C" w:rsidRPr="00E72C5C" w:rsidRDefault="007418B3" w:rsidP="009911D2">
      <w:pPr>
        <w:spacing w:before="40" w:after="40" w:line="240" w:lineRule="auto"/>
        <w:jc w:val="center"/>
        <w:rPr>
          <w:rFonts w:ascii="Arial" w:hAnsi="Arial" w:cs="Arial"/>
          <w:b/>
          <w:sz w:val="24"/>
          <w:szCs w:val="24"/>
        </w:rPr>
      </w:pPr>
      <w:bookmarkStart w:id="0" w:name="_GoBack"/>
      <w:bookmarkEnd w:id="0"/>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le:Coat of Arms Samoa.svg" href="http://upload.wikimedia.org/wikipedia/commons/f/f9/Coat_of_Arms_Samoa" style="position:absolute;left:0;text-align:left;margin-left:621pt;margin-top:-30.55pt;width:63pt;height:63pt;z-index:-251659264;visibility:visible" wrapcoords="10029 257 2829 4371 1800 5400 257 7971 -257 9771 0 12857 1029 15429 2314 16714 257 17486 1029 20829 7457 21343 14143 21343 20571 20829 21343 17486 19286 16714 20314 15429 21343 12857 21600 10286 21343 8229 19800 5400 18771 4371 11829 257 10029 257" o:button="t">
            <v:fill o:detectmouseclick="t"/>
            <v:imagedata r:id="rId9" o:title=""/>
            <w10:wrap type="through"/>
          </v:shape>
        </w:pict>
      </w:r>
      <w:r>
        <w:rPr>
          <w:noProof/>
          <w:lang w:val="en-AU" w:eastAsia="en-AU"/>
        </w:rPr>
        <w:pict>
          <v:shape id="Picture 2" o:spid="_x0000_s1028" type="#_x0000_t75" style="position:absolute;left:0;text-align:left;margin-left:36pt;margin-top:-30.55pt;width:81pt;height:59.2pt;z-index:251656192;visibility:visible" wrapcoords="-200 0 -200 21327 21600 21327 21600 0 -200 0">
            <v:imagedata r:id="rId10" o:title=""/>
            <w10:wrap type="through"/>
          </v:shape>
        </w:pict>
      </w:r>
      <w:r w:rsidR="00E1504C" w:rsidRPr="00E72C5C">
        <w:rPr>
          <w:rFonts w:ascii="Arial" w:hAnsi="Arial" w:cs="Arial"/>
          <w:b/>
          <w:sz w:val="24"/>
          <w:szCs w:val="24"/>
        </w:rPr>
        <w:t>Samoa – Australia Partnership for Development</w:t>
      </w:r>
    </w:p>
    <w:p w:rsidR="00E1504C" w:rsidRPr="00E72C5C" w:rsidRDefault="001E055B" w:rsidP="009911D2">
      <w:pPr>
        <w:spacing w:before="40" w:after="40" w:line="240" w:lineRule="auto"/>
        <w:jc w:val="center"/>
        <w:rPr>
          <w:rFonts w:ascii="Arial" w:hAnsi="Arial" w:cs="Arial"/>
          <w:b/>
          <w:sz w:val="18"/>
          <w:szCs w:val="16"/>
        </w:rPr>
      </w:pPr>
      <w:r>
        <w:rPr>
          <w:rFonts w:ascii="Arial" w:hAnsi="Arial" w:cs="Arial"/>
          <w:b/>
          <w:sz w:val="24"/>
          <w:szCs w:val="16"/>
        </w:rPr>
        <w:t>201</w:t>
      </w:r>
      <w:r w:rsidR="007645B7">
        <w:rPr>
          <w:rFonts w:ascii="Arial" w:hAnsi="Arial" w:cs="Arial"/>
          <w:b/>
          <w:sz w:val="24"/>
          <w:szCs w:val="16"/>
        </w:rPr>
        <w:t>3</w:t>
      </w:r>
      <w:r>
        <w:rPr>
          <w:rFonts w:ascii="Arial" w:hAnsi="Arial" w:cs="Arial"/>
          <w:b/>
          <w:sz w:val="24"/>
          <w:szCs w:val="16"/>
        </w:rPr>
        <w:t>-1</w:t>
      </w:r>
      <w:r w:rsidR="007645B7">
        <w:rPr>
          <w:rFonts w:ascii="Arial" w:hAnsi="Arial" w:cs="Arial"/>
          <w:b/>
          <w:sz w:val="24"/>
          <w:szCs w:val="16"/>
        </w:rPr>
        <w:t>4</w:t>
      </w:r>
      <w:r w:rsidR="00E1504C" w:rsidRPr="00E72C5C">
        <w:rPr>
          <w:rFonts w:ascii="Arial" w:hAnsi="Arial" w:cs="Arial"/>
          <w:b/>
          <w:sz w:val="24"/>
          <w:szCs w:val="16"/>
        </w:rPr>
        <w:t xml:space="preserve"> Implementation Schedule</w:t>
      </w:r>
    </w:p>
    <w:p w:rsidR="00E1504C" w:rsidRPr="00E72C5C" w:rsidRDefault="009911D2" w:rsidP="009911D2">
      <w:pPr>
        <w:spacing w:before="40" w:after="40" w:line="240" w:lineRule="auto"/>
        <w:ind w:left="5040"/>
        <w:rPr>
          <w:rFonts w:ascii="Arial" w:hAnsi="Arial" w:cs="Arial"/>
          <w:b/>
          <w:sz w:val="24"/>
          <w:szCs w:val="16"/>
        </w:rPr>
      </w:pPr>
      <w:r>
        <w:rPr>
          <w:rFonts w:ascii="Arial" w:hAnsi="Arial" w:cs="Arial"/>
          <w:b/>
          <w:sz w:val="24"/>
          <w:szCs w:val="16"/>
        </w:rPr>
        <w:t xml:space="preserve">     </w:t>
      </w:r>
      <w:r w:rsidR="00E1504C" w:rsidRPr="00E72C5C">
        <w:rPr>
          <w:rFonts w:ascii="Arial" w:hAnsi="Arial" w:cs="Arial"/>
          <w:b/>
          <w:sz w:val="24"/>
          <w:szCs w:val="16"/>
        </w:rPr>
        <w:t xml:space="preserve">Priority Outcome: </w:t>
      </w:r>
      <w:r w:rsidR="00C609A1">
        <w:rPr>
          <w:rFonts w:ascii="Arial" w:hAnsi="Arial" w:cs="Arial"/>
          <w:b/>
          <w:sz w:val="24"/>
          <w:szCs w:val="16"/>
        </w:rPr>
        <w:t>Improved health</w:t>
      </w:r>
    </w:p>
    <w:p w:rsidR="00E1504C" w:rsidRPr="00E72C5C" w:rsidRDefault="00E1504C" w:rsidP="00852237">
      <w:pPr>
        <w:spacing w:before="40" w:after="40" w:line="240" w:lineRule="auto"/>
        <w:jc w:val="center"/>
        <w:rPr>
          <w:rFonts w:ascii="Arial" w:hAnsi="Arial" w:cs="Arial"/>
          <w:b/>
          <w:sz w:val="24"/>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8407"/>
        <w:gridCol w:w="1309"/>
        <w:gridCol w:w="2802"/>
        <w:gridCol w:w="1276"/>
      </w:tblGrid>
      <w:tr w:rsidR="00C5499B" w:rsidRPr="00E72C5C" w:rsidTr="0074002E">
        <w:trPr>
          <w:trHeight w:val="397"/>
        </w:trPr>
        <w:tc>
          <w:tcPr>
            <w:tcW w:w="1482" w:type="dxa"/>
            <w:tcBorders>
              <w:top w:val="single" w:sz="4" w:space="0" w:color="auto"/>
              <w:left w:val="single" w:sz="4" w:space="0" w:color="auto"/>
            </w:tcBorders>
            <w:shd w:val="clear" w:color="auto" w:fill="B8CCE4"/>
            <w:vAlign w:val="center"/>
          </w:tcPr>
          <w:p w:rsidR="00C5499B" w:rsidRPr="00D24D80" w:rsidRDefault="00C5499B" w:rsidP="00DF5793">
            <w:pPr>
              <w:spacing w:after="0" w:line="240" w:lineRule="auto"/>
              <w:rPr>
                <w:rFonts w:ascii="Arial" w:hAnsi="Arial" w:cs="Arial"/>
                <w:sz w:val="24"/>
                <w:szCs w:val="24"/>
              </w:rPr>
            </w:pPr>
            <w:r w:rsidRPr="00D24D80">
              <w:rPr>
                <w:rFonts w:ascii="Arial" w:hAnsi="Arial" w:cs="Arial"/>
                <w:sz w:val="24"/>
                <w:szCs w:val="24"/>
              </w:rPr>
              <w:t>Aim:</w:t>
            </w:r>
          </w:p>
        </w:tc>
        <w:tc>
          <w:tcPr>
            <w:tcW w:w="12518" w:type="dxa"/>
            <w:gridSpan w:val="3"/>
            <w:tcBorders>
              <w:top w:val="single" w:sz="4" w:space="0" w:color="auto"/>
            </w:tcBorders>
            <w:vAlign w:val="center"/>
          </w:tcPr>
          <w:p w:rsidR="00C5499B" w:rsidRPr="00D24D80" w:rsidRDefault="0074002E" w:rsidP="00D735E2">
            <w:pPr>
              <w:spacing w:after="0" w:line="240" w:lineRule="auto"/>
              <w:rPr>
                <w:rFonts w:ascii="Arial" w:hAnsi="Arial" w:cs="Arial"/>
              </w:rPr>
            </w:pPr>
            <w:r w:rsidRPr="008D1CED">
              <w:rPr>
                <w:rFonts w:ascii="Arial" w:hAnsi="Arial" w:cs="Arial"/>
              </w:rPr>
              <w:t>The Partnership will enable Samoa to provide better quality and more equitable health services to the people of Samoa</w:t>
            </w:r>
          </w:p>
        </w:tc>
        <w:tc>
          <w:tcPr>
            <w:tcW w:w="1276" w:type="dxa"/>
            <w:tcBorders>
              <w:top w:val="single" w:sz="4" w:space="0" w:color="auto"/>
              <w:right w:val="single" w:sz="4" w:space="0" w:color="auto"/>
            </w:tcBorders>
            <w:shd w:val="clear" w:color="auto" w:fill="B8CCE4" w:themeFill="accent1" w:themeFillTint="66"/>
            <w:vAlign w:val="center"/>
          </w:tcPr>
          <w:p w:rsidR="00C5499B" w:rsidRPr="00D24D80" w:rsidRDefault="009650A4" w:rsidP="009650A4">
            <w:pPr>
              <w:spacing w:after="0" w:line="240" w:lineRule="auto"/>
              <w:jc w:val="center"/>
              <w:rPr>
                <w:rFonts w:ascii="Arial" w:hAnsi="Arial" w:cs="Arial"/>
              </w:rPr>
            </w:pPr>
            <w:r>
              <w:rPr>
                <w:rFonts w:ascii="Arial" w:hAnsi="Arial" w:cs="Arial"/>
              </w:rPr>
              <w:t>Progress</w:t>
            </w:r>
            <w:r w:rsidR="00D735E2">
              <w:rPr>
                <w:rStyle w:val="FootnoteReference"/>
                <w:rFonts w:ascii="Arial" w:hAnsi="Arial" w:cs="Arial"/>
              </w:rPr>
              <w:footnoteReference w:id="1"/>
            </w:r>
          </w:p>
        </w:tc>
      </w:tr>
      <w:tr w:rsidR="0074002E" w:rsidRPr="00E72C5C" w:rsidTr="0074002E">
        <w:trPr>
          <w:trHeight w:val="397"/>
        </w:trPr>
        <w:tc>
          <w:tcPr>
            <w:tcW w:w="1482" w:type="dxa"/>
            <w:vMerge w:val="restart"/>
            <w:tcBorders>
              <w:left w:val="single" w:sz="4" w:space="0" w:color="auto"/>
              <w:right w:val="single" w:sz="4" w:space="0" w:color="auto"/>
            </w:tcBorders>
            <w:shd w:val="clear" w:color="auto" w:fill="B8CCE4"/>
            <w:vAlign w:val="center"/>
          </w:tcPr>
          <w:p w:rsidR="0074002E" w:rsidRPr="00D24D80" w:rsidRDefault="0074002E" w:rsidP="00DF5793">
            <w:pPr>
              <w:spacing w:after="0" w:line="240" w:lineRule="auto"/>
              <w:rPr>
                <w:rFonts w:ascii="Arial" w:hAnsi="Arial" w:cs="Arial"/>
                <w:sz w:val="24"/>
                <w:szCs w:val="24"/>
              </w:rPr>
            </w:pPr>
            <w:r w:rsidRPr="00D24D80">
              <w:rPr>
                <w:rFonts w:ascii="Arial" w:hAnsi="Arial" w:cs="Arial"/>
                <w:sz w:val="24"/>
                <w:szCs w:val="24"/>
              </w:rPr>
              <w:t>Targets for 2015:</w:t>
            </w:r>
          </w:p>
        </w:tc>
        <w:tc>
          <w:tcPr>
            <w:tcW w:w="8407" w:type="dxa"/>
            <w:tcBorders>
              <w:top w:val="single" w:sz="4" w:space="0" w:color="auto"/>
              <w:left w:val="single" w:sz="4" w:space="0" w:color="auto"/>
              <w:bottom w:val="nil"/>
              <w:right w:val="single" w:sz="4" w:space="0" w:color="auto"/>
            </w:tcBorders>
            <w:vAlign w:val="center"/>
          </w:tcPr>
          <w:p w:rsidR="0074002E" w:rsidRPr="00D24D80" w:rsidRDefault="0074002E" w:rsidP="00D735E2">
            <w:pPr>
              <w:spacing w:after="0" w:line="240" w:lineRule="auto"/>
              <w:rPr>
                <w:rFonts w:ascii="Arial" w:hAnsi="Arial" w:cs="Arial"/>
              </w:rPr>
            </w:pPr>
            <w:r w:rsidRPr="008D1CED">
              <w:rPr>
                <w:rFonts w:ascii="Arial" w:hAnsi="Arial" w:cs="Arial"/>
              </w:rPr>
              <w:t>1</w:t>
            </w:r>
            <w:r w:rsidRPr="007E0EC9">
              <w:rPr>
                <w:rFonts w:ascii="Arial" w:hAnsi="Arial" w:cs="Arial"/>
              </w:rPr>
              <w:t xml:space="preserve">. </w:t>
            </w:r>
            <w:r>
              <w:rPr>
                <w:rFonts w:ascii="Arial" w:hAnsi="Arial" w:cs="Arial"/>
                <w:lang w:val="en-US"/>
              </w:rPr>
              <w:t>N</w:t>
            </w:r>
            <w:r w:rsidRPr="007E0EC9">
              <w:rPr>
                <w:rFonts w:ascii="Arial" w:hAnsi="Arial" w:cs="Arial"/>
                <w:lang w:val="en-US"/>
              </w:rPr>
              <w:t>umber of new NCD cases identified on community outreach services and referred for consultation and management</w:t>
            </w:r>
            <w:r>
              <w:rPr>
                <w:rFonts w:ascii="Arial" w:hAnsi="Arial" w:cs="Arial"/>
                <w:lang w:val="en-US"/>
              </w:rPr>
              <w:t>.</w:t>
            </w:r>
          </w:p>
        </w:tc>
        <w:tc>
          <w:tcPr>
            <w:tcW w:w="1309" w:type="dxa"/>
            <w:vMerge w:val="restart"/>
            <w:tcBorders>
              <w:left w:val="single" w:sz="4" w:space="0" w:color="auto"/>
              <w:right w:val="single" w:sz="4" w:space="0" w:color="auto"/>
            </w:tcBorders>
            <w:shd w:val="clear" w:color="auto" w:fill="B8CCE4"/>
            <w:vAlign w:val="center"/>
          </w:tcPr>
          <w:p w:rsidR="0074002E" w:rsidRPr="00D24D80" w:rsidRDefault="0074002E" w:rsidP="00DF5793">
            <w:pPr>
              <w:spacing w:after="0" w:line="240" w:lineRule="auto"/>
              <w:rPr>
                <w:rFonts w:ascii="Arial" w:hAnsi="Arial" w:cs="Arial"/>
              </w:rPr>
            </w:pPr>
            <w:r w:rsidRPr="00D24D80">
              <w:rPr>
                <w:rFonts w:ascii="Arial" w:hAnsi="Arial" w:cs="Arial"/>
                <w:sz w:val="24"/>
              </w:rPr>
              <w:t>Baseline:</w:t>
            </w:r>
          </w:p>
        </w:tc>
        <w:tc>
          <w:tcPr>
            <w:tcW w:w="2802" w:type="dxa"/>
            <w:tcBorders>
              <w:top w:val="single" w:sz="4" w:space="0" w:color="auto"/>
              <w:left w:val="single" w:sz="4" w:space="0" w:color="auto"/>
              <w:bottom w:val="nil"/>
              <w:right w:val="single" w:sz="4" w:space="0" w:color="auto"/>
            </w:tcBorders>
            <w:vAlign w:val="center"/>
          </w:tcPr>
          <w:p w:rsidR="0074002E" w:rsidRPr="00D24D80" w:rsidRDefault="0074002E" w:rsidP="00D735E2">
            <w:pPr>
              <w:spacing w:after="0" w:line="240" w:lineRule="auto"/>
              <w:rPr>
                <w:rFonts w:ascii="Arial" w:hAnsi="Arial" w:cs="Arial"/>
              </w:rPr>
            </w:pPr>
            <w:r>
              <w:rPr>
                <w:rFonts w:ascii="Arial" w:hAnsi="Arial" w:cs="Arial"/>
              </w:rPr>
              <w:t>Not available</w:t>
            </w:r>
          </w:p>
        </w:tc>
        <w:tc>
          <w:tcPr>
            <w:tcW w:w="1276" w:type="dxa"/>
            <w:tcBorders>
              <w:top w:val="single" w:sz="4" w:space="0" w:color="auto"/>
              <w:left w:val="single" w:sz="4" w:space="0" w:color="auto"/>
              <w:bottom w:val="nil"/>
              <w:right w:val="single" w:sz="4" w:space="0" w:color="auto"/>
            </w:tcBorders>
            <w:vAlign w:val="center"/>
          </w:tcPr>
          <w:p w:rsidR="0074002E" w:rsidRPr="008D1CED" w:rsidRDefault="00E47735" w:rsidP="0074002E">
            <w:pPr>
              <w:spacing w:before="120" w:after="0" w:line="240" w:lineRule="auto"/>
              <w:ind w:left="34"/>
              <w:jc w:val="center"/>
              <w:rPr>
                <w:rFonts w:ascii="Arial" w:hAnsi="Arial" w:cs="Arial"/>
              </w:rPr>
            </w:pPr>
            <w:r>
              <w:rPr>
                <w:rFonts w:ascii="Arial" w:hAnsi="Arial" w:cs="Arial"/>
              </w:rPr>
              <w:t>On track</w:t>
            </w:r>
          </w:p>
        </w:tc>
      </w:tr>
      <w:tr w:rsidR="0074002E" w:rsidRPr="00E72C5C" w:rsidTr="0074002E">
        <w:trPr>
          <w:trHeight w:val="397"/>
        </w:trPr>
        <w:tc>
          <w:tcPr>
            <w:tcW w:w="1482" w:type="dxa"/>
            <w:vMerge/>
            <w:tcBorders>
              <w:left w:val="single" w:sz="4" w:space="0" w:color="auto"/>
              <w:right w:val="single" w:sz="4" w:space="0" w:color="auto"/>
            </w:tcBorders>
            <w:shd w:val="clear" w:color="auto" w:fill="B8CCE4"/>
          </w:tcPr>
          <w:p w:rsidR="0074002E" w:rsidRPr="00D24D80" w:rsidRDefault="0074002E" w:rsidP="00D24D80">
            <w:pPr>
              <w:spacing w:after="0" w:line="240" w:lineRule="auto"/>
              <w:rPr>
                <w:rFonts w:ascii="Arial" w:hAnsi="Arial" w:cs="Arial"/>
                <w:sz w:val="24"/>
                <w:szCs w:val="24"/>
              </w:rPr>
            </w:pPr>
          </w:p>
        </w:tc>
        <w:tc>
          <w:tcPr>
            <w:tcW w:w="8407" w:type="dxa"/>
            <w:tcBorders>
              <w:top w:val="nil"/>
              <w:left w:val="single" w:sz="4" w:space="0" w:color="auto"/>
              <w:bottom w:val="nil"/>
              <w:right w:val="single" w:sz="4" w:space="0" w:color="auto"/>
            </w:tcBorders>
            <w:shd w:val="clear" w:color="auto" w:fill="D9D9D9"/>
            <w:vAlign w:val="center"/>
          </w:tcPr>
          <w:p w:rsidR="0074002E" w:rsidRPr="008D1CED" w:rsidRDefault="0074002E" w:rsidP="00DC41D0">
            <w:pPr>
              <w:spacing w:before="120" w:after="0" w:line="240" w:lineRule="auto"/>
              <w:rPr>
                <w:rFonts w:ascii="Arial" w:hAnsi="Arial" w:cs="Arial"/>
              </w:rPr>
            </w:pPr>
            <w:r w:rsidRPr="008D1CED">
              <w:rPr>
                <w:rFonts w:ascii="Arial" w:hAnsi="Arial" w:cs="Arial"/>
              </w:rPr>
              <w:t xml:space="preserve">2. Proportion </w:t>
            </w:r>
            <w:r>
              <w:rPr>
                <w:rFonts w:ascii="Arial" w:hAnsi="Arial" w:cs="Arial"/>
              </w:rPr>
              <w:t>of children vaccinated against m</w:t>
            </w:r>
            <w:r w:rsidRPr="008D1CED">
              <w:rPr>
                <w:rFonts w:ascii="Arial" w:hAnsi="Arial" w:cs="Arial"/>
              </w:rPr>
              <w:t>easles increases to 75%</w:t>
            </w:r>
          </w:p>
        </w:tc>
        <w:tc>
          <w:tcPr>
            <w:tcW w:w="1309" w:type="dxa"/>
            <w:vMerge/>
            <w:tcBorders>
              <w:left w:val="single" w:sz="4" w:space="0" w:color="auto"/>
              <w:right w:val="single" w:sz="4" w:space="0" w:color="auto"/>
            </w:tcBorders>
            <w:shd w:val="clear" w:color="auto" w:fill="B8CCE4"/>
          </w:tcPr>
          <w:p w:rsidR="0074002E" w:rsidRPr="00D24D80" w:rsidRDefault="0074002E" w:rsidP="00D24D80">
            <w:pPr>
              <w:spacing w:after="0" w:line="240" w:lineRule="auto"/>
              <w:rPr>
                <w:rFonts w:ascii="Arial" w:hAnsi="Arial" w:cs="Arial"/>
              </w:rPr>
            </w:pPr>
          </w:p>
        </w:tc>
        <w:tc>
          <w:tcPr>
            <w:tcW w:w="2802" w:type="dxa"/>
            <w:tcBorders>
              <w:top w:val="nil"/>
              <w:left w:val="single" w:sz="4" w:space="0" w:color="auto"/>
              <w:bottom w:val="nil"/>
              <w:right w:val="single" w:sz="4" w:space="0" w:color="auto"/>
            </w:tcBorders>
            <w:shd w:val="clear" w:color="auto" w:fill="D9D9D9"/>
            <w:vAlign w:val="center"/>
          </w:tcPr>
          <w:p w:rsidR="0074002E" w:rsidRPr="00D24D80" w:rsidRDefault="0074002E" w:rsidP="00D735E2">
            <w:pPr>
              <w:spacing w:after="0" w:line="240" w:lineRule="auto"/>
              <w:rPr>
                <w:rFonts w:ascii="Arial" w:hAnsi="Arial" w:cs="Arial"/>
              </w:rPr>
            </w:pPr>
            <w:r w:rsidRPr="008D1CED">
              <w:rPr>
                <w:rFonts w:ascii="Arial" w:hAnsi="Arial" w:cs="Arial"/>
              </w:rPr>
              <w:t>65% in 2011 (</w:t>
            </w:r>
            <w:r>
              <w:rPr>
                <w:rFonts w:ascii="Arial" w:hAnsi="Arial" w:cs="Arial"/>
              </w:rPr>
              <w:t>UNICEF</w:t>
            </w:r>
            <w:r w:rsidRPr="008D1CED">
              <w:rPr>
                <w:rFonts w:ascii="Arial" w:hAnsi="Arial" w:cs="Arial"/>
              </w:rPr>
              <w:t>)</w:t>
            </w:r>
          </w:p>
        </w:tc>
        <w:tc>
          <w:tcPr>
            <w:tcW w:w="1276" w:type="dxa"/>
            <w:tcBorders>
              <w:top w:val="nil"/>
              <w:left w:val="single" w:sz="4" w:space="0" w:color="auto"/>
              <w:bottom w:val="nil"/>
              <w:right w:val="single" w:sz="4" w:space="0" w:color="auto"/>
            </w:tcBorders>
            <w:shd w:val="clear" w:color="auto" w:fill="D9D9D9"/>
            <w:vAlign w:val="center"/>
          </w:tcPr>
          <w:p w:rsidR="0074002E" w:rsidRPr="008D1CED" w:rsidRDefault="0074002E" w:rsidP="0074002E">
            <w:pPr>
              <w:spacing w:before="120" w:after="0" w:line="240" w:lineRule="auto"/>
              <w:jc w:val="center"/>
              <w:rPr>
                <w:rFonts w:ascii="Arial" w:hAnsi="Arial" w:cs="Arial"/>
              </w:rPr>
            </w:pPr>
            <w:r>
              <w:rPr>
                <w:rFonts w:ascii="Arial" w:hAnsi="Arial" w:cs="Arial"/>
              </w:rPr>
              <w:t>On track</w:t>
            </w:r>
          </w:p>
        </w:tc>
      </w:tr>
      <w:tr w:rsidR="0074002E" w:rsidRPr="00E72C5C" w:rsidTr="0074002E">
        <w:trPr>
          <w:trHeight w:val="397"/>
        </w:trPr>
        <w:tc>
          <w:tcPr>
            <w:tcW w:w="1482" w:type="dxa"/>
            <w:vMerge/>
            <w:tcBorders>
              <w:left w:val="single" w:sz="4" w:space="0" w:color="auto"/>
              <w:right w:val="single" w:sz="4" w:space="0" w:color="auto"/>
            </w:tcBorders>
            <w:shd w:val="clear" w:color="auto" w:fill="B8CCE4"/>
          </w:tcPr>
          <w:p w:rsidR="0074002E" w:rsidRPr="00D24D80" w:rsidRDefault="0074002E" w:rsidP="00D24D80">
            <w:pPr>
              <w:spacing w:after="0" w:line="240" w:lineRule="auto"/>
              <w:rPr>
                <w:rFonts w:ascii="Arial" w:hAnsi="Arial" w:cs="Arial"/>
                <w:sz w:val="24"/>
                <w:szCs w:val="24"/>
              </w:rPr>
            </w:pPr>
          </w:p>
        </w:tc>
        <w:tc>
          <w:tcPr>
            <w:tcW w:w="8407" w:type="dxa"/>
            <w:tcBorders>
              <w:top w:val="nil"/>
              <w:left w:val="single" w:sz="4" w:space="0" w:color="auto"/>
              <w:bottom w:val="nil"/>
              <w:right w:val="single" w:sz="4" w:space="0" w:color="auto"/>
            </w:tcBorders>
            <w:vAlign w:val="center"/>
          </w:tcPr>
          <w:p w:rsidR="0074002E" w:rsidRPr="008D1CED" w:rsidRDefault="0074002E" w:rsidP="00DC41D0">
            <w:pPr>
              <w:spacing w:before="120" w:after="0" w:line="240" w:lineRule="auto"/>
              <w:rPr>
                <w:rFonts w:ascii="Arial" w:hAnsi="Arial" w:cs="Arial"/>
              </w:rPr>
            </w:pPr>
            <w:r w:rsidRPr="008D1CED">
              <w:rPr>
                <w:rFonts w:ascii="Arial" w:hAnsi="Arial" w:cs="Arial"/>
              </w:rPr>
              <w:t>3. Proportion of p</w:t>
            </w:r>
            <w:r>
              <w:rPr>
                <w:rFonts w:ascii="Arial" w:hAnsi="Arial" w:cs="Arial"/>
              </w:rPr>
              <w:t>regnant women participating in three</w:t>
            </w:r>
            <w:r w:rsidRPr="008D1CED">
              <w:rPr>
                <w:rFonts w:ascii="Arial" w:hAnsi="Arial" w:cs="Arial"/>
              </w:rPr>
              <w:t xml:space="preserve"> antenatal visits increases to 75%</w:t>
            </w:r>
          </w:p>
        </w:tc>
        <w:tc>
          <w:tcPr>
            <w:tcW w:w="1309" w:type="dxa"/>
            <w:vMerge/>
            <w:tcBorders>
              <w:left w:val="single" w:sz="4" w:space="0" w:color="auto"/>
              <w:right w:val="single" w:sz="4" w:space="0" w:color="auto"/>
            </w:tcBorders>
            <w:shd w:val="clear" w:color="auto" w:fill="B8CCE4"/>
          </w:tcPr>
          <w:p w:rsidR="0074002E" w:rsidRPr="00D24D80" w:rsidRDefault="0074002E" w:rsidP="00D24D80">
            <w:pPr>
              <w:spacing w:after="0" w:line="240" w:lineRule="auto"/>
              <w:rPr>
                <w:rFonts w:ascii="Arial" w:hAnsi="Arial" w:cs="Arial"/>
              </w:rPr>
            </w:pPr>
          </w:p>
        </w:tc>
        <w:tc>
          <w:tcPr>
            <w:tcW w:w="2802" w:type="dxa"/>
            <w:tcBorders>
              <w:top w:val="nil"/>
              <w:left w:val="single" w:sz="4" w:space="0" w:color="auto"/>
              <w:bottom w:val="nil"/>
              <w:right w:val="single" w:sz="4" w:space="0" w:color="auto"/>
            </w:tcBorders>
            <w:vAlign w:val="center"/>
          </w:tcPr>
          <w:p w:rsidR="0074002E" w:rsidRPr="00D24D80" w:rsidRDefault="0074002E" w:rsidP="00D735E2">
            <w:pPr>
              <w:spacing w:after="0" w:line="240" w:lineRule="auto"/>
              <w:rPr>
                <w:rFonts w:ascii="Arial" w:hAnsi="Arial" w:cs="Arial"/>
              </w:rPr>
            </w:pPr>
            <w:r w:rsidRPr="008D1CED">
              <w:rPr>
                <w:rFonts w:ascii="Arial" w:hAnsi="Arial" w:cs="Arial"/>
              </w:rPr>
              <w:t>58% in 2010/11 (PATIS)</w:t>
            </w:r>
          </w:p>
        </w:tc>
        <w:tc>
          <w:tcPr>
            <w:tcW w:w="1276" w:type="dxa"/>
            <w:tcBorders>
              <w:top w:val="nil"/>
              <w:left w:val="single" w:sz="4" w:space="0" w:color="auto"/>
              <w:bottom w:val="nil"/>
              <w:right w:val="single" w:sz="4" w:space="0" w:color="auto"/>
            </w:tcBorders>
            <w:vAlign w:val="center"/>
          </w:tcPr>
          <w:p w:rsidR="0074002E" w:rsidRPr="008D1CED" w:rsidRDefault="0074002E" w:rsidP="0074002E">
            <w:pPr>
              <w:spacing w:before="120" w:after="0" w:line="240" w:lineRule="auto"/>
              <w:jc w:val="center"/>
              <w:rPr>
                <w:rFonts w:ascii="Arial" w:hAnsi="Arial" w:cs="Arial"/>
              </w:rPr>
            </w:pPr>
            <w:r>
              <w:rPr>
                <w:rFonts w:ascii="Arial" w:hAnsi="Arial" w:cs="Arial"/>
              </w:rPr>
              <w:t>On track</w:t>
            </w:r>
          </w:p>
        </w:tc>
      </w:tr>
      <w:tr w:rsidR="0074002E" w:rsidRPr="00E72C5C" w:rsidTr="0074002E">
        <w:trPr>
          <w:trHeight w:val="397"/>
        </w:trPr>
        <w:tc>
          <w:tcPr>
            <w:tcW w:w="1482" w:type="dxa"/>
            <w:vMerge/>
            <w:tcBorders>
              <w:left w:val="single" w:sz="4" w:space="0" w:color="auto"/>
              <w:bottom w:val="single" w:sz="4" w:space="0" w:color="auto"/>
              <w:right w:val="single" w:sz="4" w:space="0" w:color="auto"/>
            </w:tcBorders>
            <w:shd w:val="clear" w:color="auto" w:fill="B8CCE4"/>
          </w:tcPr>
          <w:p w:rsidR="0074002E" w:rsidRPr="00D24D80" w:rsidRDefault="0074002E" w:rsidP="00D24D80">
            <w:pPr>
              <w:spacing w:after="0" w:line="240" w:lineRule="auto"/>
              <w:rPr>
                <w:rFonts w:ascii="Arial" w:hAnsi="Arial" w:cs="Arial"/>
                <w:sz w:val="24"/>
                <w:szCs w:val="24"/>
              </w:rPr>
            </w:pPr>
          </w:p>
        </w:tc>
        <w:tc>
          <w:tcPr>
            <w:tcW w:w="8407" w:type="dxa"/>
            <w:tcBorders>
              <w:top w:val="nil"/>
              <w:left w:val="single" w:sz="4" w:space="0" w:color="auto"/>
              <w:bottom w:val="single" w:sz="4" w:space="0" w:color="auto"/>
              <w:right w:val="single" w:sz="4" w:space="0" w:color="auto"/>
            </w:tcBorders>
            <w:shd w:val="clear" w:color="auto" w:fill="D9D9D9"/>
            <w:vAlign w:val="center"/>
          </w:tcPr>
          <w:p w:rsidR="0074002E" w:rsidRPr="008D1CED" w:rsidRDefault="0074002E" w:rsidP="00DC41D0">
            <w:pPr>
              <w:spacing w:before="120" w:after="0" w:line="240" w:lineRule="auto"/>
              <w:rPr>
                <w:rFonts w:ascii="Arial" w:hAnsi="Arial" w:cs="Arial"/>
              </w:rPr>
            </w:pPr>
            <w:r>
              <w:rPr>
                <w:rFonts w:ascii="Arial" w:hAnsi="Arial" w:cs="Arial"/>
              </w:rPr>
              <w:t>4</w:t>
            </w:r>
            <w:r w:rsidRPr="007E0EC9">
              <w:rPr>
                <w:rFonts w:ascii="Arial" w:hAnsi="Arial" w:cs="Arial"/>
              </w:rPr>
              <w:t>. Finalisation and approval of the Tobacco Regulations and the Food Bill</w:t>
            </w:r>
          </w:p>
        </w:tc>
        <w:tc>
          <w:tcPr>
            <w:tcW w:w="1309" w:type="dxa"/>
            <w:vMerge/>
            <w:tcBorders>
              <w:left w:val="single" w:sz="4" w:space="0" w:color="auto"/>
              <w:bottom w:val="single" w:sz="4" w:space="0" w:color="auto"/>
              <w:right w:val="single" w:sz="4" w:space="0" w:color="auto"/>
            </w:tcBorders>
            <w:shd w:val="clear" w:color="auto" w:fill="B8CCE4"/>
          </w:tcPr>
          <w:p w:rsidR="0074002E" w:rsidRPr="00D24D80" w:rsidRDefault="0074002E" w:rsidP="00D24D80">
            <w:pPr>
              <w:spacing w:after="0" w:line="240" w:lineRule="auto"/>
              <w:rPr>
                <w:rFonts w:ascii="Arial" w:hAnsi="Arial" w:cs="Arial"/>
              </w:rPr>
            </w:pPr>
          </w:p>
        </w:tc>
        <w:tc>
          <w:tcPr>
            <w:tcW w:w="2802" w:type="dxa"/>
            <w:tcBorders>
              <w:top w:val="nil"/>
              <w:left w:val="single" w:sz="4" w:space="0" w:color="auto"/>
              <w:bottom w:val="single" w:sz="4" w:space="0" w:color="auto"/>
              <w:right w:val="single" w:sz="4" w:space="0" w:color="auto"/>
            </w:tcBorders>
            <w:shd w:val="clear" w:color="auto" w:fill="D9D9D9"/>
            <w:vAlign w:val="center"/>
          </w:tcPr>
          <w:p w:rsidR="0074002E" w:rsidRPr="00D24D80" w:rsidRDefault="0074002E" w:rsidP="00D735E2">
            <w:pPr>
              <w:spacing w:after="0" w:line="240" w:lineRule="auto"/>
              <w:rPr>
                <w:rFonts w:ascii="Arial" w:hAnsi="Arial" w:cs="Arial"/>
              </w:rPr>
            </w:pPr>
            <w:r>
              <w:rPr>
                <w:rFonts w:ascii="Arial" w:hAnsi="Arial" w:cs="Arial"/>
              </w:rPr>
              <w:t>Unapproved</w:t>
            </w:r>
          </w:p>
        </w:tc>
        <w:tc>
          <w:tcPr>
            <w:tcW w:w="1276" w:type="dxa"/>
            <w:tcBorders>
              <w:top w:val="nil"/>
              <w:left w:val="single" w:sz="4" w:space="0" w:color="auto"/>
              <w:bottom w:val="single" w:sz="4" w:space="0" w:color="auto"/>
              <w:right w:val="single" w:sz="4" w:space="0" w:color="auto"/>
            </w:tcBorders>
            <w:shd w:val="clear" w:color="auto" w:fill="D9D9D9"/>
            <w:vAlign w:val="center"/>
          </w:tcPr>
          <w:p w:rsidR="0074002E" w:rsidRPr="008D1CED" w:rsidRDefault="0074002E" w:rsidP="0074002E">
            <w:pPr>
              <w:spacing w:before="120" w:after="0" w:line="240" w:lineRule="auto"/>
              <w:jc w:val="center"/>
              <w:rPr>
                <w:rFonts w:ascii="Arial" w:hAnsi="Arial" w:cs="Arial"/>
              </w:rPr>
            </w:pPr>
            <w:r>
              <w:rPr>
                <w:rFonts w:ascii="Arial" w:hAnsi="Arial" w:cs="Arial"/>
              </w:rPr>
              <w:t>On track</w:t>
            </w:r>
          </w:p>
        </w:tc>
      </w:tr>
    </w:tbl>
    <w:p w:rsidR="00E1504C" w:rsidRPr="00E72C5C" w:rsidRDefault="00E150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850"/>
        <w:gridCol w:w="3260"/>
        <w:gridCol w:w="851"/>
        <w:gridCol w:w="3827"/>
        <w:gridCol w:w="2552"/>
      </w:tblGrid>
      <w:tr w:rsidR="00E1504C" w:rsidRPr="00E72C5C" w:rsidTr="00523C62">
        <w:trPr>
          <w:trHeight w:val="359"/>
        </w:trPr>
        <w:tc>
          <w:tcPr>
            <w:tcW w:w="3936" w:type="dxa"/>
            <w:tcBorders>
              <w:bottom w:val="single" w:sz="4" w:space="0" w:color="auto"/>
            </w:tcBorders>
            <w:shd w:val="clear" w:color="auto" w:fill="DBE5F1"/>
            <w:vAlign w:val="center"/>
          </w:tcPr>
          <w:p w:rsidR="00E1504C" w:rsidRPr="00523C62" w:rsidRDefault="00E1504C" w:rsidP="00E47735">
            <w:pPr>
              <w:keepNext/>
              <w:spacing w:before="40" w:after="40" w:line="240" w:lineRule="auto"/>
              <w:rPr>
                <w:rFonts w:ascii="Arial" w:hAnsi="Arial" w:cs="Arial"/>
                <w:b/>
              </w:rPr>
            </w:pPr>
            <w:r w:rsidRPr="00523C62">
              <w:rPr>
                <w:rFonts w:ascii="Arial" w:hAnsi="Arial" w:cs="Arial"/>
                <w:b/>
                <w:sz w:val="18"/>
                <w:szCs w:val="18"/>
              </w:rPr>
              <w:t>Partnership outputs for 201</w:t>
            </w:r>
            <w:r w:rsidR="00E47735" w:rsidRPr="00523C62">
              <w:rPr>
                <w:rFonts w:ascii="Arial" w:hAnsi="Arial" w:cs="Arial"/>
                <w:b/>
                <w:sz w:val="18"/>
                <w:szCs w:val="18"/>
              </w:rPr>
              <w:t>3-14</w:t>
            </w:r>
          </w:p>
        </w:tc>
        <w:tc>
          <w:tcPr>
            <w:tcW w:w="850" w:type="dxa"/>
            <w:vMerge w:val="restart"/>
            <w:tcBorders>
              <w:top w:val="nil"/>
            </w:tcBorders>
            <w:vAlign w:val="center"/>
          </w:tcPr>
          <w:p w:rsidR="00E1504C" w:rsidRPr="00523C62" w:rsidRDefault="007418B3" w:rsidP="00C519A7">
            <w:pPr>
              <w:spacing w:after="0" w:line="240" w:lineRule="auto"/>
              <w:rPr>
                <w:rFonts w:ascii="Arial" w:hAnsi="Arial" w:cs="Arial"/>
                <w:b/>
              </w:rPr>
            </w:pPr>
            <w:r>
              <w:rPr>
                <w:b/>
                <w:noProof/>
                <w:lang w:val="en-AU" w:eastAsia="en-A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9" type="#_x0000_t11" style="position:absolute;margin-left:2.1pt;margin-top:42.55pt;width:27pt;height:27pt;z-index:-251658240;mso-position-horizontal-relative:text;mso-position-vertical-relative:text" wrapcoords="6000 -600 -600 6600 -600 15600 5400 18600 6600 22800 15600 22800 15600 18600 20400 18600 22200 15600 22200 7200 15000 -600 6000 -600" adj="7200" fillcolor="#95b3d7" strokecolor="#4f81bd" strokeweight="1pt">
                  <v:fill color2="#4f81bd" focus="50%" type="gradient"/>
                  <v:stroke endcap="round"/>
                  <v:shadow on="t" type="perspective" color="#243f60" offset="1pt" offset2="-3pt"/>
                  <w10:wrap type="tight"/>
                </v:shape>
              </w:pict>
            </w:r>
          </w:p>
        </w:tc>
        <w:tc>
          <w:tcPr>
            <w:tcW w:w="3260" w:type="dxa"/>
            <w:tcBorders>
              <w:bottom w:val="single" w:sz="4" w:space="0" w:color="auto"/>
            </w:tcBorders>
            <w:shd w:val="clear" w:color="auto" w:fill="DBE5F1"/>
            <w:vAlign w:val="center"/>
          </w:tcPr>
          <w:p w:rsidR="00E1504C" w:rsidRPr="00523C62" w:rsidRDefault="00E1504C" w:rsidP="00C519A7">
            <w:pPr>
              <w:spacing w:after="0" w:line="240" w:lineRule="auto"/>
              <w:rPr>
                <w:rFonts w:ascii="Arial" w:hAnsi="Arial" w:cs="Arial"/>
                <w:b/>
              </w:rPr>
            </w:pPr>
            <w:r w:rsidRPr="00523C62">
              <w:rPr>
                <w:rFonts w:ascii="Arial" w:hAnsi="Arial" w:cs="Arial"/>
                <w:b/>
                <w:sz w:val="18"/>
                <w:szCs w:val="18"/>
              </w:rPr>
              <w:t>Assumptions</w:t>
            </w:r>
          </w:p>
        </w:tc>
        <w:tc>
          <w:tcPr>
            <w:tcW w:w="851" w:type="dxa"/>
            <w:vMerge w:val="restart"/>
            <w:tcBorders>
              <w:top w:val="nil"/>
            </w:tcBorders>
            <w:vAlign w:val="center"/>
          </w:tcPr>
          <w:p w:rsidR="00E1504C" w:rsidRPr="00523C62" w:rsidRDefault="007418B3" w:rsidP="00C519A7">
            <w:pPr>
              <w:spacing w:after="0" w:line="240" w:lineRule="auto"/>
              <w:rPr>
                <w:rFonts w:ascii="Arial" w:hAnsi="Arial" w:cs="Arial"/>
                <w:b/>
              </w:rPr>
            </w:pPr>
            <w:r>
              <w:rPr>
                <w:b/>
                <w:noProof/>
                <w:lang w:val="en-AU"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2.05pt;margin-top:45.65pt;width:27pt;height:23.9pt;z-index:-251657216;mso-position-horizontal-relative:text;mso-position-vertical-relative:text" wrapcoords="14400 0 -600 4050 -600 18225 15600 21600 15600 22275 18000 22275 19200 21600 22200 12150 22200 10800 17400 0 14400 0" fillcolor="#95b3d7" strokecolor="#4f81bd" strokeweight="1pt">
                  <v:fill color2="#4f81bd" focus="50%" type="gradient"/>
                  <v:stroke endcap="round"/>
                  <v:shadow on="t" type="perspective" color="#243f60" offset="1pt" offset2="-3pt"/>
                  <w10:wrap type="tight"/>
                </v:shape>
              </w:pict>
            </w:r>
          </w:p>
        </w:tc>
        <w:tc>
          <w:tcPr>
            <w:tcW w:w="3827" w:type="dxa"/>
            <w:tcBorders>
              <w:bottom w:val="single" w:sz="4" w:space="0" w:color="auto"/>
            </w:tcBorders>
            <w:shd w:val="clear" w:color="auto" w:fill="DBE5F1"/>
            <w:vAlign w:val="center"/>
          </w:tcPr>
          <w:p w:rsidR="00E1504C" w:rsidRPr="00523C62" w:rsidRDefault="00E1504C" w:rsidP="00C519A7">
            <w:pPr>
              <w:keepNext/>
              <w:spacing w:before="40" w:after="40" w:line="240" w:lineRule="auto"/>
              <w:rPr>
                <w:rFonts w:ascii="Arial" w:hAnsi="Arial" w:cs="Arial"/>
                <w:b/>
                <w:sz w:val="18"/>
                <w:szCs w:val="18"/>
              </w:rPr>
            </w:pPr>
            <w:r w:rsidRPr="00523C62">
              <w:rPr>
                <w:rFonts w:ascii="Arial" w:hAnsi="Arial" w:cs="Arial"/>
                <w:b/>
                <w:sz w:val="18"/>
                <w:szCs w:val="18"/>
              </w:rPr>
              <w:t xml:space="preserve">Planned Outcomes </w:t>
            </w:r>
            <w:r w:rsidR="00390D5A" w:rsidRPr="00523C62">
              <w:rPr>
                <w:rFonts w:ascii="Arial" w:hAnsi="Arial" w:cs="Arial"/>
                <w:b/>
                <w:sz w:val="18"/>
                <w:szCs w:val="18"/>
              </w:rPr>
              <w:t xml:space="preserve">for </w:t>
            </w:r>
            <w:r w:rsidR="00E47735" w:rsidRPr="00523C62">
              <w:rPr>
                <w:rFonts w:ascii="Arial" w:hAnsi="Arial" w:cs="Arial"/>
                <w:b/>
                <w:sz w:val="18"/>
                <w:szCs w:val="18"/>
              </w:rPr>
              <w:t>2013-14</w:t>
            </w:r>
          </w:p>
        </w:tc>
        <w:tc>
          <w:tcPr>
            <w:tcW w:w="2552" w:type="dxa"/>
            <w:tcBorders>
              <w:bottom w:val="single" w:sz="4" w:space="0" w:color="auto"/>
            </w:tcBorders>
            <w:shd w:val="clear" w:color="auto" w:fill="DBE5F1"/>
            <w:vAlign w:val="center"/>
          </w:tcPr>
          <w:p w:rsidR="00E1504C" w:rsidRPr="00523C62" w:rsidRDefault="00E1504C" w:rsidP="00C519A7">
            <w:pPr>
              <w:keepNext/>
              <w:spacing w:before="40" w:after="40" w:line="240" w:lineRule="auto"/>
              <w:rPr>
                <w:rFonts w:ascii="Arial" w:hAnsi="Arial" w:cs="Arial"/>
                <w:b/>
                <w:sz w:val="18"/>
                <w:szCs w:val="18"/>
              </w:rPr>
            </w:pPr>
            <w:r w:rsidRPr="00523C62">
              <w:rPr>
                <w:rFonts w:ascii="Arial" w:hAnsi="Arial" w:cs="Arial"/>
                <w:b/>
                <w:sz w:val="18"/>
                <w:szCs w:val="18"/>
              </w:rPr>
              <w:t>Source of Verification</w:t>
            </w:r>
          </w:p>
        </w:tc>
      </w:tr>
      <w:tr w:rsidR="0074002E" w:rsidRPr="00E72C5C" w:rsidTr="00C519A7">
        <w:trPr>
          <w:trHeight w:val="340"/>
        </w:trPr>
        <w:tc>
          <w:tcPr>
            <w:tcW w:w="3936" w:type="dxa"/>
            <w:tcBorders>
              <w:top w:val="single" w:sz="4" w:space="0" w:color="auto"/>
              <w:left w:val="single" w:sz="4" w:space="0" w:color="auto"/>
              <w:bottom w:val="nil"/>
              <w:right w:val="single" w:sz="4" w:space="0" w:color="auto"/>
            </w:tcBorders>
            <w:vAlign w:val="center"/>
          </w:tcPr>
          <w:p w:rsidR="0074002E" w:rsidRPr="004C1FDF" w:rsidRDefault="00E413FB" w:rsidP="00E413FB">
            <w:pPr>
              <w:spacing w:before="120" w:after="0" w:line="240" w:lineRule="auto"/>
              <w:rPr>
                <w:rFonts w:ascii="Arial" w:hAnsi="Arial" w:cs="Arial"/>
                <w:sz w:val="18"/>
                <w:szCs w:val="18"/>
              </w:rPr>
            </w:pPr>
            <w:r>
              <w:rPr>
                <w:rFonts w:ascii="Arial" w:hAnsi="Arial" w:cs="Arial"/>
                <w:sz w:val="18"/>
                <w:szCs w:val="18"/>
              </w:rPr>
              <w:t xml:space="preserve">All activities in </w:t>
            </w:r>
            <w:r w:rsidR="0074002E" w:rsidRPr="004C1FDF">
              <w:rPr>
                <w:rFonts w:ascii="Arial" w:hAnsi="Arial" w:cs="Arial"/>
                <w:sz w:val="18"/>
                <w:szCs w:val="18"/>
              </w:rPr>
              <w:t xml:space="preserve">outlined in </w:t>
            </w:r>
            <w:r w:rsidR="0074002E">
              <w:rPr>
                <w:rFonts w:ascii="Arial" w:hAnsi="Arial" w:cs="Arial"/>
                <w:sz w:val="18"/>
                <w:szCs w:val="18"/>
              </w:rPr>
              <w:t>Program of Work</w:t>
            </w:r>
            <w:r w:rsidR="00E47735">
              <w:rPr>
                <w:rFonts w:ascii="Arial" w:hAnsi="Arial" w:cs="Arial"/>
                <w:sz w:val="18"/>
                <w:szCs w:val="18"/>
              </w:rPr>
              <w:t xml:space="preserve"> for the SWAp</w:t>
            </w:r>
            <w:r>
              <w:rPr>
                <w:rFonts w:ascii="Arial" w:hAnsi="Arial" w:cs="Arial"/>
                <w:sz w:val="18"/>
                <w:szCs w:val="18"/>
              </w:rPr>
              <w:t xml:space="preserve"> will be completed</w:t>
            </w:r>
          </w:p>
        </w:tc>
        <w:tc>
          <w:tcPr>
            <w:tcW w:w="850" w:type="dxa"/>
            <w:vMerge/>
            <w:tcBorders>
              <w:left w:val="single" w:sz="4" w:space="0" w:color="auto"/>
              <w:right w:val="single" w:sz="4" w:space="0" w:color="auto"/>
            </w:tcBorders>
            <w:vAlign w:val="center"/>
          </w:tcPr>
          <w:p w:rsidR="0074002E" w:rsidRPr="00D24D80" w:rsidRDefault="0074002E"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vAlign w:val="center"/>
          </w:tcPr>
          <w:p w:rsidR="0074002E" w:rsidRPr="00153512" w:rsidRDefault="0074002E" w:rsidP="00DC41D0">
            <w:pPr>
              <w:spacing w:before="120" w:after="0" w:line="240" w:lineRule="auto"/>
              <w:rPr>
                <w:rFonts w:ascii="Arial" w:hAnsi="Arial" w:cs="Arial"/>
                <w:sz w:val="18"/>
                <w:szCs w:val="18"/>
              </w:rPr>
            </w:pPr>
            <w:r w:rsidRPr="00153512">
              <w:rPr>
                <w:rFonts w:ascii="Arial" w:hAnsi="Arial" w:cs="Arial"/>
                <w:sz w:val="18"/>
                <w:szCs w:val="18"/>
              </w:rPr>
              <w:t>All parties continue to provide maximum input into the SWAp</w:t>
            </w:r>
            <w:r w:rsidRPr="00153512">
              <w:rPr>
                <w:rFonts w:ascii="Arial" w:hAnsi="Arial" w:cs="Arial"/>
                <w:sz w:val="18"/>
                <w:szCs w:val="18"/>
              </w:rPr>
              <w:br/>
              <w:t xml:space="preserve">coincidence </w:t>
            </w:r>
          </w:p>
        </w:tc>
        <w:tc>
          <w:tcPr>
            <w:tcW w:w="851" w:type="dxa"/>
            <w:vMerge/>
            <w:tcBorders>
              <w:left w:val="single" w:sz="4" w:space="0" w:color="auto"/>
              <w:right w:val="single" w:sz="4" w:space="0" w:color="auto"/>
            </w:tcBorders>
            <w:vAlign w:val="center"/>
          </w:tcPr>
          <w:p w:rsidR="0074002E" w:rsidRPr="00D24D80" w:rsidRDefault="0074002E"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vAlign w:val="center"/>
          </w:tcPr>
          <w:p w:rsidR="0074002E" w:rsidRPr="00015501" w:rsidRDefault="00EC6BCF" w:rsidP="00DC41D0">
            <w:pPr>
              <w:spacing w:before="120" w:after="0" w:line="240" w:lineRule="auto"/>
              <w:rPr>
                <w:rFonts w:ascii="Arial" w:hAnsi="Arial" w:cs="Arial"/>
                <w:sz w:val="18"/>
                <w:szCs w:val="18"/>
              </w:rPr>
            </w:pPr>
            <w:r>
              <w:rPr>
                <w:rFonts w:ascii="Arial" w:hAnsi="Arial" w:cs="Arial"/>
                <w:sz w:val="18"/>
                <w:szCs w:val="18"/>
              </w:rPr>
              <w:t>I</w:t>
            </w:r>
            <w:r w:rsidR="00E47735">
              <w:rPr>
                <w:rFonts w:ascii="Arial" w:hAnsi="Arial" w:cs="Arial"/>
                <w:sz w:val="18"/>
                <w:szCs w:val="18"/>
              </w:rPr>
              <w:t>m</w:t>
            </w:r>
            <w:r w:rsidR="0074002E">
              <w:rPr>
                <w:rFonts w:ascii="Arial" w:hAnsi="Arial" w:cs="Arial"/>
                <w:sz w:val="18"/>
                <w:szCs w:val="18"/>
              </w:rPr>
              <w:t>proved infrastructure and services for the people of Samoa</w:t>
            </w:r>
          </w:p>
        </w:tc>
        <w:tc>
          <w:tcPr>
            <w:tcW w:w="2552" w:type="dxa"/>
            <w:tcBorders>
              <w:top w:val="single" w:sz="4" w:space="0" w:color="auto"/>
              <w:left w:val="single" w:sz="4" w:space="0" w:color="auto"/>
              <w:bottom w:val="nil"/>
              <w:right w:val="single" w:sz="4" w:space="0" w:color="auto"/>
            </w:tcBorders>
            <w:vAlign w:val="center"/>
          </w:tcPr>
          <w:p w:rsidR="0074002E" w:rsidRPr="00015501" w:rsidRDefault="0074002E" w:rsidP="00DC41D0">
            <w:pPr>
              <w:spacing w:before="120" w:after="0" w:line="240" w:lineRule="auto"/>
              <w:rPr>
                <w:rFonts w:ascii="Arial" w:hAnsi="Arial" w:cs="Arial"/>
                <w:sz w:val="18"/>
                <w:szCs w:val="18"/>
              </w:rPr>
            </w:pPr>
            <w:r w:rsidRPr="00015501">
              <w:rPr>
                <w:rFonts w:ascii="Arial" w:hAnsi="Arial" w:cs="Arial"/>
                <w:sz w:val="18"/>
                <w:szCs w:val="18"/>
              </w:rPr>
              <w:t>SWAp progress and procurement reports.</w:t>
            </w:r>
          </w:p>
        </w:tc>
      </w:tr>
      <w:tr w:rsidR="0074002E" w:rsidRPr="00E72C5C" w:rsidTr="00E413FB">
        <w:trPr>
          <w:trHeight w:val="340"/>
        </w:trPr>
        <w:tc>
          <w:tcPr>
            <w:tcW w:w="3936" w:type="dxa"/>
            <w:tcBorders>
              <w:top w:val="nil"/>
              <w:left w:val="single" w:sz="4" w:space="0" w:color="auto"/>
              <w:bottom w:val="nil"/>
              <w:right w:val="single" w:sz="4" w:space="0" w:color="auto"/>
            </w:tcBorders>
            <w:shd w:val="clear" w:color="auto" w:fill="D9D9D9" w:themeFill="background1" w:themeFillShade="D9"/>
            <w:vAlign w:val="center"/>
          </w:tcPr>
          <w:p w:rsidR="0074002E" w:rsidRPr="004C1FDF" w:rsidRDefault="00EC6BCF" w:rsidP="00E47735">
            <w:pPr>
              <w:spacing w:before="120" w:after="0" w:line="240" w:lineRule="auto"/>
              <w:rPr>
                <w:rFonts w:ascii="Arial" w:hAnsi="Arial" w:cs="Arial"/>
                <w:sz w:val="18"/>
                <w:szCs w:val="18"/>
              </w:rPr>
            </w:pPr>
            <w:r>
              <w:rPr>
                <w:rFonts w:ascii="Arial" w:hAnsi="Arial" w:cs="Arial"/>
                <w:sz w:val="18"/>
                <w:szCs w:val="18"/>
              </w:rPr>
              <w:t xml:space="preserve">Major health infrastructure completed including </w:t>
            </w:r>
            <w:r w:rsidR="00E413FB">
              <w:rPr>
                <w:rFonts w:ascii="Arial" w:hAnsi="Arial" w:cs="Arial"/>
                <w:sz w:val="18"/>
                <w:szCs w:val="18"/>
              </w:rPr>
              <w:t xml:space="preserve">a </w:t>
            </w:r>
            <w:r w:rsidR="00E47735">
              <w:rPr>
                <w:rFonts w:ascii="Arial" w:hAnsi="Arial" w:cs="Arial"/>
                <w:sz w:val="18"/>
                <w:szCs w:val="18"/>
              </w:rPr>
              <w:t>primary healthcare f</w:t>
            </w:r>
            <w:r w:rsidR="00E413FB">
              <w:rPr>
                <w:rFonts w:ascii="Arial" w:hAnsi="Arial" w:cs="Arial"/>
                <w:sz w:val="18"/>
                <w:szCs w:val="18"/>
              </w:rPr>
              <w:t>acility</w:t>
            </w:r>
            <w:r w:rsidR="00E413FB" w:rsidRPr="00785C60">
              <w:rPr>
                <w:rFonts w:ascii="Arial" w:hAnsi="Arial" w:cs="Arial"/>
                <w:sz w:val="18"/>
                <w:szCs w:val="18"/>
              </w:rPr>
              <w:t xml:space="preserve">, </w:t>
            </w:r>
            <w:r w:rsidR="00E47735">
              <w:rPr>
                <w:rFonts w:ascii="Arial" w:hAnsi="Arial" w:cs="Arial"/>
                <w:sz w:val="18"/>
                <w:szCs w:val="18"/>
              </w:rPr>
              <w:t>central</w:t>
            </w:r>
            <w:r w:rsidR="00E413FB" w:rsidRPr="00785C60">
              <w:rPr>
                <w:rFonts w:ascii="Arial" w:hAnsi="Arial" w:cs="Arial"/>
                <w:sz w:val="18"/>
                <w:szCs w:val="18"/>
              </w:rPr>
              <w:t xml:space="preserve"> warehouse and </w:t>
            </w:r>
            <w:r w:rsidR="00E47735">
              <w:rPr>
                <w:rFonts w:ascii="Arial" w:hAnsi="Arial" w:cs="Arial"/>
                <w:sz w:val="18"/>
                <w:szCs w:val="18"/>
              </w:rPr>
              <w:t>o</w:t>
            </w:r>
            <w:r w:rsidR="00E413FB" w:rsidRPr="00785C60">
              <w:rPr>
                <w:rFonts w:ascii="Arial" w:hAnsi="Arial" w:cs="Arial"/>
                <w:sz w:val="18"/>
                <w:szCs w:val="18"/>
              </w:rPr>
              <w:t>rthotics building</w:t>
            </w:r>
            <w:r w:rsidR="00E413FB">
              <w:rPr>
                <w:rFonts w:ascii="Arial" w:hAnsi="Arial" w:cs="Arial"/>
                <w:sz w:val="18"/>
                <w:szCs w:val="18"/>
              </w:rPr>
              <w:t xml:space="preserve"> </w:t>
            </w:r>
          </w:p>
        </w:tc>
        <w:tc>
          <w:tcPr>
            <w:tcW w:w="850" w:type="dxa"/>
            <w:vMerge/>
            <w:tcBorders>
              <w:left w:val="single" w:sz="4" w:space="0" w:color="auto"/>
              <w:right w:val="single" w:sz="4" w:space="0" w:color="auto"/>
            </w:tcBorders>
            <w:shd w:val="clear" w:color="auto" w:fill="D9D9D9" w:themeFill="background1" w:themeFillShade="D9"/>
            <w:vAlign w:val="center"/>
          </w:tcPr>
          <w:p w:rsidR="0074002E" w:rsidRPr="00D24D80" w:rsidRDefault="0074002E"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themeFill="background1" w:themeFillShade="D9"/>
            <w:vAlign w:val="center"/>
          </w:tcPr>
          <w:p w:rsidR="0074002E" w:rsidRPr="00153512" w:rsidRDefault="00E413FB" w:rsidP="00DC41D0">
            <w:pPr>
              <w:spacing w:before="120" w:after="0" w:line="240" w:lineRule="auto"/>
              <w:rPr>
                <w:rFonts w:ascii="Arial" w:hAnsi="Arial" w:cs="Arial"/>
                <w:sz w:val="18"/>
                <w:szCs w:val="18"/>
              </w:rPr>
            </w:pPr>
            <w:r w:rsidRPr="00153512">
              <w:rPr>
                <w:rFonts w:ascii="Arial" w:hAnsi="Arial" w:cs="Arial"/>
                <w:sz w:val="18"/>
                <w:szCs w:val="18"/>
              </w:rPr>
              <w:t>Building will be procured on time</w:t>
            </w:r>
          </w:p>
        </w:tc>
        <w:tc>
          <w:tcPr>
            <w:tcW w:w="851" w:type="dxa"/>
            <w:vMerge/>
            <w:tcBorders>
              <w:left w:val="single" w:sz="4" w:space="0" w:color="auto"/>
              <w:right w:val="single" w:sz="4" w:space="0" w:color="auto"/>
            </w:tcBorders>
            <w:shd w:val="clear" w:color="auto" w:fill="D9D9D9" w:themeFill="background1" w:themeFillShade="D9"/>
            <w:vAlign w:val="center"/>
          </w:tcPr>
          <w:p w:rsidR="0074002E" w:rsidRPr="00D24D80" w:rsidRDefault="0074002E"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themeFill="background1" w:themeFillShade="D9"/>
            <w:vAlign w:val="center"/>
          </w:tcPr>
          <w:p w:rsidR="0074002E" w:rsidRPr="00015501" w:rsidRDefault="00E413FB" w:rsidP="0074002E">
            <w:pPr>
              <w:spacing w:before="120" w:after="0" w:line="240" w:lineRule="auto"/>
              <w:rPr>
                <w:rFonts w:ascii="Arial" w:hAnsi="Arial" w:cs="Arial"/>
                <w:sz w:val="18"/>
                <w:szCs w:val="18"/>
              </w:rPr>
            </w:pPr>
            <w:r>
              <w:rPr>
                <w:rFonts w:ascii="Arial" w:hAnsi="Arial" w:cs="Arial"/>
                <w:sz w:val="18"/>
                <w:szCs w:val="18"/>
              </w:rPr>
              <w:t>Improved access to health services and medicines</w:t>
            </w:r>
          </w:p>
        </w:tc>
        <w:tc>
          <w:tcPr>
            <w:tcW w:w="2552" w:type="dxa"/>
            <w:tcBorders>
              <w:top w:val="nil"/>
              <w:left w:val="single" w:sz="4" w:space="0" w:color="auto"/>
              <w:bottom w:val="nil"/>
              <w:right w:val="single" w:sz="4" w:space="0" w:color="auto"/>
            </w:tcBorders>
            <w:shd w:val="clear" w:color="auto" w:fill="D9D9D9" w:themeFill="background1" w:themeFillShade="D9"/>
            <w:vAlign w:val="center"/>
          </w:tcPr>
          <w:p w:rsidR="0074002E" w:rsidRPr="00015501" w:rsidRDefault="00E413FB" w:rsidP="00DC41D0">
            <w:pPr>
              <w:spacing w:before="120" w:after="0" w:line="240" w:lineRule="auto"/>
              <w:rPr>
                <w:rFonts w:ascii="Arial" w:hAnsi="Arial" w:cs="Arial"/>
                <w:sz w:val="18"/>
                <w:szCs w:val="18"/>
              </w:rPr>
            </w:pPr>
            <w:r>
              <w:rPr>
                <w:rFonts w:ascii="Arial" w:hAnsi="Arial" w:cs="Arial"/>
                <w:sz w:val="18"/>
                <w:szCs w:val="18"/>
              </w:rPr>
              <w:t>Buildings opened</w:t>
            </w:r>
          </w:p>
        </w:tc>
      </w:tr>
      <w:tr w:rsidR="00E413FB" w:rsidRPr="00E72C5C" w:rsidTr="00E413FB">
        <w:trPr>
          <w:trHeight w:val="340"/>
        </w:trPr>
        <w:tc>
          <w:tcPr>
            <w:tcW w:w="3936" w:type="dxa"/>
            <w:tcBorders>
              <w:top w:val="nil"/>
              <w:left w:val="single" w:sz="4" w:space="0" w:color="auto"/>
              <w:bottom w:val="nil"/>
              <w:right w:val="single" w:sz="4" w:space="0" w:color="auto"/>
            </w:tcBorders>
            <w:shd w:val="clear" w:color="auto" w:fill="FFFFFF" w:themeFill="background1"/>
            <w:vAlign w:val="center"/>
          </w:tcPr>
          <w:p w:rsidR="00E413FB" w:rsidRDefault="00E413FB" w:rsidP="00E47735">
            <w:pPr>
              <w:spacing w:before="120" w:after="0" w:line="240" w:lineRule="auto"/>
              <w:rPr>
                <w:rFonts w:ascii="Arial" w:hAnsi="Arial" w:cs="Arial"/>
                <w:sz w:val="18"/>
                <w:szCs w:val="18"/>
              </w:rPr>
            </w:pPr>
            <w:r>
              <w:rPr>
                <w:rFonts w:ascii="Arial" w:hAnsi="Arial" w:cs="Arial"/>
                <w:sz w:val="18"/>
                <w:szCs w:val="18"/>
              </w:rPr>
              <w:t xml:space="preserve">A </w:t>
            </w:r>
            <w:r w:rsidR="00E47735">
              <w:rPr>
                <w:rFonts w:ascii="Arial" w:hAnsi="Arial" w:cs="Arial"/>
                <w:sz w:val="18"/>
                <w:szCs w:val="18"/>
              </w:rPr>
              <w:t>strategic document</w:t>
            </w:r>
            <w:r>
              <w:rPr>
                <w:rFonts w:ascii="Arial" w:hAnsi="Arial" w:cs="Arial"/>
                <w:sz w:val="18"/>
                <w:szCs w:val="18"/>
              </w:rPr>
              <w:t xml:space="preserve"> </w:t>
            </w:r>
            <w:r w:rsidR="00E47735">
              <w:rPr>
                <w:rFonts w:ascii="Arial" w:hAnsi="Arial" w:cs="Arial"/>
                <w:sz w:val="18"/>
                <w:szCs w:val="18"/>
              </w:rPr>
              <w:t xml:space="preserve">(2014-2022) outlining a health investment following on from SWAp will be completed </w:t>
            </w:r>
          </w:p>
        </w:tc>
        <w:tc>
          <w:tcPr>
            <w:tcW w:w="850" w:type="dxa"/>
            <w:vMerge/>
            <w:tcBorders>
              <w:left w:val="single" w:sz="4" w:space="0" w:color="auto"/>
              <w:bottom w:val="nil"/>
              <w:right w:val="single" w:sz="4" w:space="0" w:color="auto"/>
            </w:tcBorders>
            <w:vAlign w:val="center"/>
          </w:tcPr>
          <w:p w:rsidR="00E413FB" w:rsidRPr="00D24D80" w:rsidRDefault="00E413FB"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FFFFFF" w:themeFill="background1"/>
            <w:vAlign w:val="center"/>
          </w:tcPr>
          <w:p w:rsidR="00E413FB" w:rsidRPr="00153512" w:rsidRDefault="00E413FB" w:rsidP="00DC41D0">
            <w:pPr>
              <w:spacing w:before="120" w:after="0" w:line="240" w:lineRule="auto"/>
              <w:rPr>
                <w:rFonts w:ascii="Arial" w:hAnsi="Arial" w:cs="Arial"/>
                <w:sz w:val="18"/>
                <w:szCs w:val="18"/>
              </w:rPr>
            </w:pPr>
            <w:r w:rsidRPr="00153512">
              <w:rPr>
                <w:rFonts w:ascii="Arial" w:hAnsi="Arial" w:cs="Arial"/>
                <w:sz w:val="18"/>
                <w:szCs w:val="18"/>
              </w:rPr>
              <w:t>All parties commit to involvement in  the development and design of a new health investment</w:t>
            </w:r>
          </w:p>
        </w:tc>
        <w:tc>
          <w:tcPr>
            <w:tcW w:w="851" w:type="dxa"/>
            <w:vMerge/>
            <w:tcBorders>
              <w:left w:val="single" w:sz="4" w:space="0" w:color="auto"/>
              <w:bottom w:val="nil"/>
              <w:right w:val="single" w:sz="4" w:space="0" w:color="auto"/>
            </w:tcBorders>
            <w:vAlign w:val="center"/>
          </w:tcPr>
          <w:p w:rsidR="00E413FB" w:rsidRPr="00D24D80" w:rsidRDefault="00E413FB"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FFFFFF" w:themeFill="background1"/>
            <w:vAlign w:val="center"/>
          </w:tcPr>
          <w:p w:rsidR="00E413FB" w:rsidRPr="00015501" w:rsidRDefault="00E413FB" w:rsidP="00DC41D0">
            <w:pPr>
              <w:spacing w:before="120" w:after="0" w:line="240" w:lineRule="auto"/>
              <w:rPr>
                <w:rFonts w:ascii="Arial" w:hAnsi="Arial" w:cs="Arial"/>
                <w:sz w:val="18"/>
                <w:szCs w:val="18"/>
              </w:rPr>
            </w:pPr>
            <w:r>
              <w:rPr>
                <w:rFonts w:ascii="Arial" w:hAnsi="Arial" w:cs="Arial"/>
                <w:sz w:val="18"/>
                <w:szCs w:val="18"/>
              </w:rPr>
              <w:t>Improved predictability of focus of investments in health in the coming four years.</w:t>
            </w:r>
          </w:p>
        </w:tc>
        <w:tc>
          <w:tcPr>
            <w:tcW w:w="2552" w:type="dxa"/>
            <w:tcBorders>
              <w:top w:val="nil"/>
              <w:left w:val="single" w:sz="4" w:space="0" w:color="auto"/>
              <w:bottom w:val="nil"/>
              <w:right w:val="single" w:sz="4" w:space="0" w:color="auto"/>
            </w:tcBorders>
            <w:shd w:val="clear" w:color="auto" w:fill="FFFFFF" w:themeFill="background1"/>
            <w:vAlign w:val="center"/>
          </w:tcPr>
          <w:p w:rsidR="00E413FB" w:rsidRPr="00015501" w:rsidRDefault="00E413FB" w:rsidP="00FC1FC4">
            <w:pPr>
              <w:spacing w:before="120" w:after="0" w:line="240" w:lineRule="auto"/>
              <w:rPr>
                <w:rFonts w:ascii="Arial" w:hAnsi="Arial" w:cs="Arial"/>
                <w:sz w:val="18"/>
                <w:szCs w:val="18"/>
              </w:rPr>
            </w:pPr>
            <w:r>
              <w:rPr>
                <w:rFonts w:ascii="Arial" w:hAnsi="Arial" w:cs="Arial"/>
                <w:sz w:val="18"/>
                <w:szCs w:val="18"/>
              </w:rPr>
              <w:t xml:space="preserve">Signed </w:t>
            </w:r>
            <w:r w:rsidR="00FC1FC4">
              <w:rPr>
                <w:rFonts w:ascii="Arial" w:hAnsi="Arial" w:cs="Arial"/>
                <w:sz w:val="18"/>
                <w:szCs w:val="18"/>
              </w:rPr>
              <w:t>agreement for the strategic concept of a new health program</w:t>
            </w:r>
            <w:r>
              <w:rPr>
                <w:rFonts w:ascii="Arial" w:hAnsi="Arial" w:cs="Arial"/>
                <w:sz w:val="18"/>
                <w:szCs w:val="18"/>
              </w:rPr>
              <w:t xml:space="preserve">. </w:t>
            </w:r>
          </w:p>
        </w:tc>
      </w:tr>
      <w:tr w:rsidR="00E413FB" w:rsidRPr="00E72C5C" w:rsidTr="00E413FB">
        <w:trPr>
          <w:trHeight w:val="340"/>
        </w:trPr>
        <w:tc>
          <w:tcPr>
            <w:tcW w:w="393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413FB" w:rsidRPr="004C1FDF" w:rsidRDefault="00E413FB" w:rsidP="00DC41D0">
            <w:pPr>
              <w:spacing w:before="120" w:after="0" w:line="240" w:lineRule="auto"/>
              <w:rPr>
                <w:rFonts w:ascii="Arial" w:hAnsi="Arial" w:cs="Arial"/>
                <w:sz w:val="18"/>
                <w:szCs w:val="18"/>
              </w:rPr>
            </w:pPr>
            <w:r w:rsidRPr="004C1FDF">
              <w:rPr>
                <w:rFonts w:ascii="Arial" w:hAnsi="Arial" w:cs="Arial"/>
                <w:sz w:val="18"/>
                <w:szCs w:val="18"/>
              </w:rPr>
              <w:t xml:space="preserve">Technical assistance and </w:t>
            </w:r>
            <w:r w:rsidRPr="00E413FB">
              <w:rPr>
                <w:rFonts w:ascii="Arial" w:hAnsi="Arial" w:cs="Arial"/>
                <w:sz w:val="18"/>
                <w:szCs w:val="18"/>
                <w:shd w:val="clear" w:color="auto" w:fill="D9D9D9" w:themeFill="background1" w:themeFillShade="D9"/>
              </w:rPr>
              <w:t>training of</w:t>
            </w:r>
            <w:r w:rsidRPr="004C1FDF">
              <w:rPr>
                <w:rFonts w:ascii="Arial" w:hAnsi="Arial" w:cs="Arial"/>
                <w:sz w:val="18"/>
                <w:szCs w:val="18"/>
              </w:rPr>
              <w:t xml:space="preserve"> medical staff through RACS program</w:t>
            </w:r>
          </w:p>
        </w:tc>
        <w:tc>
          <w:tcPr>
            <w:tcW w:w="850" w:type="dxa"/>
            <w:tcBorders>
              <w:top w:val="nil"/>
              <w:left w:val="single" w:sz="4" w:space="0" w:color="auto"/>
              <w:bottom w:val="nil"/>
              <w:right w:val="single" w:sz="4" w:space="0" w:color="auto"/>
            </w:tcBorders>
            <w:vAlign w:val="center"/>
          </w:tcPr>
          <w:p w:rsidR="00E413FB" w:rsidRPr="00D24D80" w:rsidRDefault="00E413FB" w:rsidP="00C519A7">
            <w:pPr>
              <w:spacing w:after="0" w:line="240" w:lineRule="auto"/>
              <w:rPr>
                <w:rFonts w:ascii="Arial" w:hAnsi="Arial" w:cs="Arial"/>
              </w:rPr>
            </w:pPr>
          </w:p>
        </w:tc>
        <w:tc>
          <w:tcPr>
            <w:tcW w:w="32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413FB" w:rsidRPr="00153512" w:rsidRDefault="00E413FB" w:rsidP="00DC41D0">
            <w:pPr>
              <w:spacing w:before="120" w:after="0" w:line="240" w:lineRule="auto"/>
              <w:rPr>
                <w:rFonts w:ascii="Arial" w:hAnsi="Arial" w:cs="Arial"/>
                <w:sz w:val="18"/>
                <w:szCs w:val="18"/>
              </w:rPr>
            </w:pPr>
            <w:r w:rsidRPr="00153512">
              <w:rPr>
                <w:rFonts w:ascii="Arial" w:hAnsi="Arial" w:cs="Arial"/>
                <w:sz w:val="18"/>
                <w:szCs w:val="18"/>
              </w:rPr>
              <w:t>Staff available to learn from visiting MD and visits coordinated to avoid overlap with other donor teams</w:t>
            </w:r>
          </w:p>
        </w:tc>
        <w:tc>
          <w:tcPr>
            <w:tcW w:w="851" w:type="dxa"/>
            <w:tcBorders>
              <w:top w:val="nil"/>
              <w:left w:val="single" w:sz="4" w:space="0" w:color="auto"/>
              <w:bottom w:val="nil"/>
              <w:right w:val="single" w:sz="4" w:space="0" w:color="auto"/>
            </w:tcBorders>
            <w:vAlign w:val="center"/>
          </w:tcPr>
          <w:p w:rsidR="00E413FB" w:rsidRPr="00D24D80" w:rsidRDefault="00E413FB" w:rsidP="00C519A7">
            <w:pPr>
              <w:spacing w:after="0" w:line="240" w:lineRule="auto"/>
              <w:rPr>
                <w:rFonts w:ascii="Arial" w:hAnsi="Arial" w:cs="Arial"/>
              </w:rPr>
            </w:pPr>
          </w:p>
        </w:tc>
        <w:tc>
          <w:tcPr>
            <w:tcW w:w="3827"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413FB" w:rsidRPr="00015501" w:rsidRDefault="00E413FB" w:rsidP="00DC41D0">
            <w:pPr>
              <w:spacing w:before="120" w:after="0" w:line="240" w:lineRule="auto"/>
              <w:rPr>
                <w:rFonts w:ascii="Arial" w:hAnsi="Arial" w:cs="Arial"/>
                <w:sz w:val="18"/>
                <w:szCs w:val="18"/>
              </w:rPr>
            </w:pPr>
            <w:r w:rsidRPr="00015501">
              <w:rPr>
                <w:rFonts w:ascii="Arial" w:hAnsi="Arial" w:cs="Arial"/>
                <w:sz w:val="18"/>
                <w:szCs w:val="18"/>
              </w:rPr>
              <w:t>Improved access to specialist services and training for local medical staff</w:t>
            </w:r>
          </w:p>
        </w:tc>
        <w:tc>
          <w:tcPr>
            <w:tcW w:w="25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413FB" w:rsidRPr="00015501" w:rsidRDefault="00E413FB" w:rsidP="00DC41D0">
            <w:pPr>
              <w:spacing w:before="120" w:after="0" w:line="240" w:lineRule="auto"/>
              <w:rPr>
                <w:rFonts w:ascii="Arial" w:hAnsi="Arial" w:cs="Arial"/>
                <w:sz w:val="18"/>
                <w:szCs w:val="18"/>
              </w:rPr>
            </w:pPr>
            <w:r w:rsidRPr="00015501">
              <w:rPr>
                <w:rFonts w:ascii="Arial" w:hAnsi="Arial" w:cs="Arial"/>
                <w:sz w:val="18"/>
                <w:szCs w:val="18"/>
              </w:rPr>
              <w:t>RACS reports</w:t>
            </w:r>
          </w:p>
        </w:tc>
      </w:tr>
    </w:tbl>
    <w:p w:rsidR="00E1504C" w:rsidRDefault="00E1504C">
      <w:pPr>
        <w:rPr>
          <w:rFonts w:ascii="Arial" w:hAnsi="Arial" w:cs="Arial"/>
        </w:rPr>
      </w:pPr>
    </w:p>
    <w:p w:rsidR="00153512" w:rsidRDefault="00153512">
      <w:pPr>
        <w:rPr>
          <w:rFonts w:ascii="Arial" w:hAnsi="Arial" w:cs="Arial"/>
        </w:rPr>
      </w:pPr>
    </w:p>
    <w:p w:rsidR="00153512" w:rsidRPr="00E72C5C" w:rsidRDefault="001535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505"/>
      </w:tblGrid>
      <w:tr w:rsidR="00213339" w:rsidRPr="00E72C5C" w:rsidTr="00EC6BCF">
        <w:tc>
          <w:tcPr>
            <w:tcW w:w="5778" w:type="dxa"/>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lastRenderedPageBreak/>
              <w:t>Key Risks</w:t>
            </w:r>
          </w:p>
        </w:tc>
        <w:tc>
          <w:tcPr>
            <w:tcW w:w="8505" w:type="dxa"/>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t>Management Plan</w:t>
            </w:r>
          </w:p>
        </w:tc>
      </w:tr>
      <w:tr w:rsidR="0074002E" w:rsidRPr="00E72C5C" w:rsidTr="00EC6BCF">
        <w:tc>
          <w:tcPr>
            <w:tcW w:w="5778" w:type="dxa"/>
            <w:vAlign w:val="center"/>
          </w:tcPr>
          <w:p w:rsidR="0074002E" w:rsidRPr="008D1CED" w:rsidRDefault="0074002E" w:rsidP="00DC41D0">
            <w:pPr>
              <w:spacing w:before="40" w:after="40" w:line="240" w:lineRule="auto"/>
              <w:rPr>
                <w:rFonts w:ascii="Arial" w:hAnsi="Arial" w:cs="Arial"/>
              </w:rPr>
            </w:pPr>
            <w:r>
              <w:rPr>
                <w:rFonts w:ascii="Arial" w:hAnsi="Arial" w:cs="Arial"/>
                <w:sz w:val="18"/>
              </w:rPr>
              <w:t>Inability to procure and spend all SWAp funds</w:t>
            </w:r>
          </w:p>
        </w:tc>
        <w:tc>
          <w:tcPr>
            <w:tcW w:w="8505" w:type="dxa"/>
            <w:vAlign w:val="center"/>
          </w:tcPr>
          <w:p w:rsidR="0074002E" w:rsidRPr="00584FD3" w:rsidRDefault="0074002E" w:rsidP="00E47735">
            <w:pPr>
              <w:spacing w:before="40" w:after="40" w:line="240" w:lineRule="auto"/>
              <w:rPr>
                <w:rFonts w:ascii="Arial" w:hAnsi="Arial" w:cs="Arial"/>
                <w:sz w:val="18"/>
                <w:szCs w:val="18"/>
              </w:rPr>
            </w:pPr>
            <w:r w:rsidRPr="00584FD3">
              <w:rPr>
                <w:rFonts w:ascii="Arial" w:hAnsi="Arial" w:cs="Arial"/>
                <w:sz w:val="18"/>
                <w:szCs w:val="18"/>
              </w:rPr>
              <w:t>All parties consider a</w:t>
            </w:r>
            <w:r w:rsidR="00E47735">
              <w:rPr>
                <w:rFonts w:ascii="Arial" w:hAnsi="Arial" w:cs="Arial"/>
                <w:sz w:val="18"/>
                <w:szCs w:val="18"/>
              </w:rPr>
              <w:t>n</w:t>
            </w:r>
            <w:r w:rsidRPr="00584FD3">
              <w:rPr>
                <w:rFonts w:ascii="Arial" w:hAnsi="Arial" w:cs="Arial"/>
                <w:sz w:val="18"/>
                <w:szCs w:val="18"/>
              </w:rPr>
              <w:t xml:space="preserve"> extension to the SWAp to allow time for the implementation of all activities.</w:t>
            </w:r>
          </w:p>
        </w:tc>
      </w:tr>
      <w:tr w:rsidR="0074002E" w:rsidRPr="00E72C5C" w:rsidTr="00EC6BCF">
        <w:tc>
          <w:tcPr>
            <w:tcW w:w="5778" w:type="dxa"/>
            <w:shd w:val="clear" w:color="auto" w:fill="D9D9D9" w:themeFill="background1" w:themeFillShade="D9"/>
            <w:vAlign w:val="center"/>
          </w:tcPr>
          <w:p w:rsidR="0074002E" w:rsidRPr="008D1CED" w:rsidRDefault="0074002E" w:rsidP="00DC41D0">
            <w:pPr>
              <w:spacing w:before="40" w:after="40" w:line="240" w:lineRule="auto"/>
              <w:rPr>
                <w:rFonts w:ascii="Arial" w:hAnsi="Arial" w:cs="Arial"/>
              </w:rPr>
            </w:pPr>
            <w:r>
              <w:rPr>
                <w:rFonts w:ascii="Arial" w:hAnsi="Arial" w:cs="Arial"/>
                <w:sz w:val="18"/>
              </w:rPr>
              <w:t>Pipeline planning and design may delay new Initiative start</w:t>
            </w:r>
          </w:p>
        </w:tc>
        <w:tc>
          <w:tcPr>
            <w:tcW w:w="8505" w:type="dxa"/>
            <w:shd w:val="clear" w:color="auto" w:fill="D9D9D9" w:themeFill="background1" w:themeFillShade="D9"/>
            <w:vAlign w:val="center"/>
          </w:tcPr>
          <w:p w:rsidR="0074002E" w:rsidRPr="00584FD3" w:rsidRDefault="00062433" w:rsidP="00062433">
            <w:pPr>
              <w:spacing w:before="40" w:after="40" w:line="240" w:lineRule="auto"/>
              <w:rPr>
                <w:rFonts w:ascii="Arial" w:hAnsi="Arial" w:cs="Arial"/>
                <w:sz w:val="18"/>
                <w:szCs w:val="18"/>
              </w:rPr>
            </w:pPr>
            <w:r>
              <w:rPr>
                <w:rFonts w:ascii="Arial" w:hAnsi="Arial" w:cs="Arial"/>
                <w:sz w:val="18"/>
                <w:szCs w:val="18"/>
              </w:rPr>
              <w:t xml:space="preserve">The </w:t>
            </w:r>
            <w:r w:rsidR="00E47735">
              <w:rPr>
                <w:rFonts w:ascii="Arial" w:hAnsi="Arial" w:cs="Arial"/>
                <w:sz w:val="18"/>
                <w:szCs w:val="18"/>
              </w:rPr>
              <w:t>Australian aid program</w:t>
            </w:r>
            <w:r w:rsidR="00882800">
              <w:rPr>
                <w:rFonts w:ascii="Arial" w:hAnsi="Arial" w:cs="Arial"/>
                <w:sz w:val="18"/>
                <w:szCs w:val="18"/>
              </w:rPr>
              <w:t xml:space="preserve"> will </w:t>
            </w:r>
            <w:r w:rsidR="00882800" w:rsidRPr="009D3DEA">
              <w:rPr>
                <w:rFonts w:ascii="Arial" w:hAnsi="Arial" w:cs="Arial"/>
                <w:sz w:val="18"/>
                <w:szCs w:val="18"/>
              </w:rPr>
              <w:t>work with</w:t>
            </w:r>
            <w:r>
              <w:rPr>
                <w:rFonts w:ascii="Arial" w:hAnsi="Arial" w:cs="Arial"/>
                <w:sz w:val="18"/>
                <w:szCs w:val="18"/>
              </w:rPr>
              <w:t xml:space="preserve"> the h</w:t>
            </w:r>
            <w:r w:rsidR="00882800">
              <w:rPr>
                <w:rFonts w:ascii="Arial" w:hAnsi="Arial" w:cs="Arial"/>
                <w:sz w:val="18"/>
                <w:szCs w:val="18"/>
              </w:rPr>
              <w:t xml:space="preserve">ealth </w:t>
            </w:r>
            <w:r>
              <w:rPr>
                <w:rFonts w:ascii="Arial" w:hAnsi="Arial" w:cs="Arial"/>
                <w:sz w:val="18"/>
                <w:szCs w:val="18"/>
              </w:rPr>
              <w:t xml:space="preserve">sector </w:t>
            </w:r>
            <w:r w:rsidR="00882800">
              <w:rPr>
                <w:rFonts w:ascii="Arial" w:hAnsi="Arial" w:cs="Arial"/>
                <w:sz w:val="18"/>
                <w:szCs w:val="18"/>
              </w:rPr>
              <w:t>to prepare for the development of a</w:t>
            </w:r>
            <w:r>
              <w:rPr>
                <w:rFonts w:ascii="Arial" w:hAnsi="Arial" w:cs="Arial"/>
                <w:sz w:val="18"/>
                <w:szCs w:val="18"/>
              </w:rPr>
              <w:t>n Australian health investment after SWAp.  I</w:t>
            </w:r>
            <w:r w:rsidR="00882800">
              <w:rPr>
                <w:rFonts w:ascii="Arial" w:hAnsi="Arial" w:cs="Arial"/>
                <w:sz w:val="18"/>
                <w:szCs w:val="18"/>
              </w:rPr>
              <w:t xml:space="preserve">f required, </w:t>
            </w:r>
            <w:r w:rsidR="00E47735">
              <w:rPr>
                <w:rFonts w:ascii="Arial" w:hAnsi="Arial" w:cs="Arial"/>
                <w:sz w:val="18"/>
                <w:szCs w:val="18"/>
              </w:rPr>
              <w:t xml:space="preserve">the Australian aid program </w:t>
            </w:r>
            <w:r w:rsidR="00882800">
              <w:rPr>
                <w:rFonts w:ascii="Arial" w:hAnsi="Arial" w:cs="Arial"/>
                <w:sz w:val="18"/>
                <w:szCs w:val="18"/>
              </w:rPr>
              <w:t>and GoS will work together to address potential risks or weaknesses through the program design  process, and  annual review processes by incorporating risks as key tasks to be completed</w:t>
            </w:r>
          </w:p>
        </w:tc>
      </w:tr>
    </w:tbl>
    <w:p w:rsidR="001E055B" w:rsidRDefault="001E05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773"/>
      </w:tblGrid>
      <w:tr w:rsidR="0074002E" w:rsidRPr="00E72C5C" w:rsidTr="0074002E">
        <w:tc>
          <w:tcPr>
            <w:tcW w:w="7479" w:type="dxa"/>
            <w:shd w:val="clear" w:color="auto" w:fill="BCC9E6"/>
            <w:vAlign w:val="center"/>
          </w:tcPr>
          <w:p w:rsidR="0074002E" w:rsidRPr="00E72C5C" w:rsidRDefault="0074002E" w:rsidP="00213339">
            <w:pPr>
              <w:spacing w:before="40" w:after="40" w:line="240" w:lineRule="auto"/>
              <w:rPr>
                <w:rFonts w:ascii="Arial" w:hAnsi="Arial" w:cs="Arial"/>
              </w:rPr>
            </w:pPr>
            <w:r w:rsidRPr="00E72C5C">
              <w:rPr>
                <w:rFonts w:ascii="Arial" w:hAnsi="Arial" w:cs="Arial"/>
                <w:sz w:val="24"/>
                <w:szCs w:val="24"/>
              </w:rPr>
              <w:t>Supporting information</w:t>
            </w:r>
          </w:p>
        </w:tc>
        <w:tc>
          <w:tcPr>
            <w:tcW w:w="6773" w:type="dxa"/>
            <w:shd w:val="clear" w:color="auto" w:fill="BCC9E6"/>
            <w:vAlign w:val="center"/>
          </w:tcPr>
          <w:p w:rsidR="0074002E" w:rsidRPr="00E72C5C" w:rsidRDefault="0074002E" w:rsidP="00213339">
            <w:pPr>
              <w:spacing w:before="40" w:after="40" w:line="240" w:lineRule="auto"/>
              <w:rPr>
                <w:rFonts w:ascii="Arial" w:hAnsi="Arial" w:cs="Arial"/>
                <w:sz w:val="24"/>
                <w:szCs w:val="24"/>
              </w:rPr>
            </w:pPr>
            <w:r w:rsidRPr="00E72C5C">
              <w:rPr>
                <w:rFonts w:ascii="Arial" w:hAnsi="Arial" w:cs="Arial"/>
                <w:sz w:val="24"/>
                <w:szCs w:val="24"/>
              </w:rPr>
              <w:t>Programs</w:t>
            </w:r>
          </w:p>
        </w:tc>
      </w:tr>
      <w:tr w:rsidR="0074002E" w:rsidRPr="00E72C5C" w:rsidTr="0074002E">
        <w:tc>
          <w:tcPr>
            <w:tcW w:w="7479" w:type="dxa"/>
            <w:vAlign w:val="center"/>
          </w:tcPr>
          <w:p w:rsidR="00FE4904" w:rsidRPr="004C1FDF" w:rsidRDefault="00FE4904" w:rsidP="00FE4904">
            <w:pPr>
              <w:numPr>
                <w:ilvl w:val="0"/>
                <w:numId w:val="1"/>
              </w:numPr>
              <w:spacing w:before="40" w:after="40" w:line="240" w:lineRule="auto"/>
              <w:ind w:left="357" w:hanging="357"/>
              <w:rPr>
                <w:rFonts w:ascii="Arial" w:hAnsi="Arial" w:cs="Arial"/>
                <w:sz w:val="18"/>
                <w:szCs w:val="18"/>
              </w:rPr>
            </w:pPr>
            <w:r w:rsidRPr="004C1FDF">
              <w:rPr>
                <w:rFonts w:ascii="Arial" w:hAnsi="Arial" w:cs="Arial"/>
                <w:sz w:val="18"/>
                <w:szCs w:val="18"/>
              </w:rPr>
              <w:t>Key s</w:t>
            </w:r>
            <w:r>
              <w:rPr>
                <w:rFonts w:ascii="Arial" w:hAnsi="Arial" w:cs="Arial"/>
                <w:sz w:val="18"/>
                <w:szCs w:val="18"/>
              </w:rPr>
              <w:t>ector coordinating mechanisms: H</w:t>
            </w:r>
            <w:r w:rsidRPr="004C1FDF">
              <w:rPr>
                <w:rFonts w:ascii="Arial" w:hAnsi="Arial" w:cs="Arial"/>
                <w:sz w:val="18"/>
                <w:szCs w:val="18"/>
              </w:rPr>
              <w:t>ealth Sector Advisory Committee</w:t>
            </w:r>
            <w:r>
              <w:rPr>
                <w:rFonts w:ascii="Arial" w:hAnsi="Arial" w:cs="Arial"/>
                <w:sz w:val="18"/>
                <w:szCs w:val="18"/>
              </w:rPr>
              <w:t>;</w:t>
            </w:r>
            <w:r w:rsidRPr="004C1FDF">
              <w:rPr>
                <w:rFonts w:ascii="Arial" w:hAnsi="Arial" w:cs="Arial"/>
                <w:sz w:val="18"/>
                <w:szCs w:val="18"/>
              </w:rPr>
              <w:t xml:space="preserve"> </w:t>
            </w:r>
            <w:r>
              <w:rPr>
                <w:rFonts w:ascii="Arial" w:hAnsi="Arial" w:cs="Arial"/>
                <w:sz w:val="18"/>
                <w:szCs w:val="18"/>
              </w:rPr>
              <w:br/>
              <w:t xml:space="preserve">Joint Donor Implementation Missions (6 monthly) ; and Annual </w:t>
            </w:r>
            <w:r w:rsidRPr="004C1FDF">
              <w:rPr>
                <w:rFonts w:ascii="Arial" w:hAnsi="Arial" w:cs="Arial"/>
                <w:sz w:val="18"/>
                <w:szCs w:val="18"/>
              </w:rPr>
              <w:t xml:space="preserve">Heath Summit  </w:t>
            </w:r>
          </w:p>
          <w:p w:rsidR="0074002E" w:rsidRPr="008D1CED" w:rsidRDefault="0074002E" w:rsidP="00E47735">
            <w:pPr>
              <w:numPr>
                <w:ilvl w:val="0"/>
                <w:numId w:val="1"/>
              </w:numPr>
              <w:spacing w:before="40" w:after="40" w:line="240" w:lineRule="auto"/>
              <w:ind w:left="357" w:hanging="357"/>
              <w:rPr>
                <w:rFonts w:ascii="Arial" w:hAnsi="Arial" w:cs="Arial"/>
              </w:rPr>
            </w:pPr>
            <w:r w:rsidRPr="004C1FDF">
              <w:rPr>
                <w:rFonts w:ascii="Arial" w:hAnsi="Arial" w:cs="Arial"/>
                <w:sz w:val="18"/>
                <w:szCs w:val="18"/>
              </w:rPr>
              <w:t>Joint development partners: New Zealand,  World Bank, UN</w:t>
            </w:r>
          </w:p>
        </w:tc>
        <w:tc>
          <w:tcPr>
            <w:tcW w:w="6773" w:type="dxa"/>
            <w:vMerge w:val="restart"/>
            <w:vAlign w:val="center"/>
          </w:tcPr>
          <w:p w:rsidR="0074002E" w:rsidRPr="00EA4332" w:rsidRDefault="0074002E" w:rsidP="00DC41D0">
            <w:pPr>
              <w:numPr>
                <w:ilvl w:val="0"/>
                <w:numId w:val="3"/>
              </w:numPr>
              <w:spacing w:before="40" w:after="40" w:line="240" w:lineRule="auto"/>
              <w:ind w:left="357" w:hanging="357"/>
              <w:rPr>
                <w:rFonts w:ascii="Arial" w:hAnsi="Arial" w:cs="Arial"/>
                <w:sz w:val="18"/>
                <w:szCs w:val="18"/>
              </w:rPr>
            </w:pPr>
            <w:r w:rsidRPr="00EA4332">
              <w:rPr>
                <w:rFonts w:ascii="Arial" w:hAnsi="Arial" w:cs="Arial"/>
                <w:sz w:val="18"/>
                <w:szCs w:val="18"/>
              </w:rPr>
              <w:t>Samoa Health Sector Program (SWAp)</w:t>
            </w:r>
          </w:p>
          <w:p w:rsidR="0074002E" w:rsidRPr="00EA4332" w:rsidRDefault="0074002E" w:rsidP="00DC41D0">
            <w:pPr>
              <w:numPr>
                <w:ilvl w:val="0"/>
                <w:numId w:val="3"/>
              </w:numPr>
              <w:spacing w:before="40" w:after="40" w:line="240" w:lineRule="auto"/>
              <w:ind w:left="357" w:hanging="357"/>
              <w:rPr>
                <w:rFonts w:ascii="Arial" w:hAnsi="Arial" w:cs="Arial"/>
                <w:sz w:val="18"/>
                <w:szCs w:val="18"/>
              </w:rPr>
            </w:pPr>
            <w:r w:rsidRPr="00EA4332">
              <w:rPr>
                <w:rFonts w:ascii="Arial" w:hAnsi="Arial" w:cs="Arial"/>
                <w:sz w:val="18"/>
                <w:szCs w:val="18"/>
              </w:rPr>
              <w:t>Royal Australia College of Surgeons Pacific Islands Program</w:t>
            </w:r>
          </w:p>
          <w:p w:rsidR="0074002E" w:rsidRPr="00EA4332" w:rsidRDefault="0074002E" w:rsidP="00DC41D0">
            <w:pPr>
              <w:numPr>
                <w:ilvl w:val="0"/>
                <w:numId w:val="3"/>
              </w:numPr>
              <w:spacing w:before="40" w:after="40" w:line="240" w:lineRule="auto"/>
              <w:ind w:left="357" w:hanging="357"/>
              <w:rPr>
                <w:rFonts w:ascii="Arial" w:hAnsi="Arial" w:cs="Arial"/>
                <w:sz w:val="18"/>
                <w:szCs w:val="18"/>
              </w:rPr>
            </w:pPr>
            <w:r w:rsidRPr="00EA4332">
              <w:rPr>
                <w:rFonts w:ascii="Arial" w:hAnsi="Arial" w:cs="Arial"/>
                <w:sz w:val="18"/>
                <w:szCs w:val="18"/>
              </w:rPr>
              <w:t>Australian Sports Outreach Program</w:t>
            </w:r>
          </w:p>
          <w:p w:rsidR="0074002E" w:rsidRPr="00EA4332" w:rsidRDefault="0074002E" w:rsidP="00DC41D0">
            <w:pPr>
              <w:numPr>
                <w:ilvl w:val="0"/>
                <w:numId w:val="3"/>
              </w:numPr>
              <w:spacing w:before="40" w:after="40" w:line="240" w:lineRule="auto"/>
              <w:ind w:left="357" w:hanging="357"/>
              <w:rPr>
                <w:rFonts w:ascii="Arial" w:hAnsi="Arial" w:cs="Arial"/>
                <w:sz w:val="18"/>
                <w:szCs w:val="18"/>
              </w:rPr>
            </w:pPr>
            <w:r w:rsidRPr="00EA4332">
              <w:rPr>
                <w:rFonts w:ascii="Arial" w:hAnsi="Arial" w:cs="Arial"/>
                <w:sz w:val="18"/>
                <w:szCs w:val="18"/>
              </w:rPr>
              <w:t>Pacific Sports Development Grants</w:t>
            </w:r>
          </w:p>
          <w:p w:rsidR="0074002E" w:rsidRPr="00EA4332" w:rsidRDefault="0074002E" w:rsidP="00DC41D0">
            <w:pPr>
              <w:numPr>
                <w:ilvl w:val="0"/>
                <w:numId w:val="3"/>
              </w:numPr>
              <w:spacing w:before="40" w:after="40" w:line="240" w:lineRule="auto"/>
              <w:ind w:left="357" w:hanging="357"/>
              <w:rPr>
                <w:rFonts w:ascii="Arial" w:hAnsi="Arial" w:cs="Arial"/>
                <w:sz w:val="18"/>
                <w:szCs w:val="18"/>
              </w:rPr>
            </w:pPr>
            <w:r w:rsidRPr="00EA4332">
              <w:rPr>
                <w:rFonts w:ascii="Arial" w:hAnsi="Arial" w:cs="Arial"/>
                <w:sz w:val="18"/>
                <w:szCs w:val="18"/>
              </w:rPr>
              <w:t>Biomedical equipment Maintenance Program</w:t>
            </w:r>
          </w:p>
          <w:p w:rsidR="0074002E" w:rsidRPr="00EA4332" w:rsidRDefault="0074002E" w:rsidP="00DC41D0">
            <w:pPr>
              <w:numPr>
                <w:ilvl w:val="0"/>
                <w:numId w:val="3"/>
              </w:numPr>
              <w:spacing w:before="40" w:after="40" w:line="240" w:lineRule="auto"/>
              <w:ind w:left="357" w:hanging="357"/>
              <w:rPr>
                <w:rFonts w:ascii="Arial" w:hAnsi="Arial" w:cs="Arial"/>
                <w:sz w:val="18"/>
                <w:szCs w:val="18"/>
              </w:rPr>
            </w:pPr>
            <w:r w:rsidRPr="00EA4332">
              <w:rPr>
                <w:rFonts w:ascii="Arial" w:hAnsi="Arial" w:cs="Arial"/>
                <w:sz w:val="18"/>
                <w:szCs w:val="18"/>
              </w:rPr>
              <w:t>Pacific Sexual and Reproductive Health Program</w:t>
            </w:r>
          </w:p>
          <w:p w:rsidR="0074002E" w:rsidRPr="00EA4332" w:rsidRDefault="0074002E" w:rsidP="00DC41D0">
            <w:pPr>
              <w:numPr>
                <w:ilvl w:val="0"/>
                <w:numId w:val="3"/>
              </w:numPr>
              <w:spacing w:before="40" w:after="40" w:line="240" w:lineRule="auto"/>
              <w:ind w:left="357" w:hanging="357"/>
              <w:rPr>
                <w:rFonts w:ascii="Arial" w:hAnsi="Arial" w:cs="Arial"/>
                <w:sz w:val="18"/>
                <w:szCs w:val="18"/>
              </w:rPr>
            </w:pPr>
            <w:r w:rsidRPr="00EA4332">
              <w:rPr>
                <w:rFonts w:ascii="Arial" w:hAnsi="Arial" w:cs="Arial"/>
                <w:sz w:val="18"/>
                <w:szCs w:val="18"/>
              </w:rPr>
              <w:t>Strengthening Clinical Services in the Pacific Initiative</w:t>
            </w:r>
          </w:p>
          <w:p w:rsidR="0074002E" w:rsidRPr="00EA4332" w:rsidRDefault="0074002E" w:rsidP="00DC41D0">
            <w:pPr>
              <w:numPr>
                <w:ilvl w:val="0"/>
                <w:numId w:val="3"/>
              </w:numPr>
              <w:spacing w:before="40" w:after="40" w:line="240" w:lineRule="auto"/>
              <w:ind w:left="357" w:hanging="357"/>
              <w:rPr>
                <w:rFonts w:ascii="Arial" w:hAnsi="Arial" w:cs="Arial"/>
                <w:sz w:val="18"/>
                <w:szCs w:val="18"/>
              </w:rPr>
            </w:pPr>
            <w:r w:rsidRPr="00EA4332">
              <w:rPr>
                <w:rFonts w:ascii="Arial" w:hAnsi="Arial" w:cs="Arial"/>
                <w:sz w:val="18"/>
                <w:szCs w:val="18"/>
              </w:rPr>
              <w:t>Pacific Regional HIV and STI Response Fund</w:t>
            </w:r>
          </w:p>
          <w:p w:rsidR="0074002E" w:rsidRPr="00EA4332" w:rsidRDefault="0074002E" w:rsidP="00DC41D0">
            <w:pPr>
              <w:numPr>
                <w:ilvl w:val="0"/>
                <w:numId w:val="3"/>
              </w:numPr>
              <w:spacing w:before="40" w:after="40" w:line="240" w:lineRule="auto"/>
              <w:ind w:left="357" w:hanging="357"/>
              <w:rPr>
                <w:rFonts w:ascii="Arial" w:hAnsi="Arial" w:cs="Arial"/>
                <w:sz w:val="18"/>
                <w:szCs w:val="18"/>
              </w:rPr>
            </w:pPr>
            <w:r w:rsidRPr="00EA4332">
              <w:rPr>
                <w:rFonts w:ascii="Arial" w:hAnsi="Arial" w:cs="Arial"/>
                <w:sz w:val="18"/>
                <w:szCs w:val="18"/>
              </w:rPr>
              <w:t>Pacific Regional Non Communicable Disease Program</w:t>
            </w:r>
          </w:p>
          <w:p w:rsidR="0074002E" w:rsidRPr="00EA4332" w:rsidRDefault="0074002E" w:rsidP="00DC41D0">
            <w:pPr>
              <w:pStyle w:val="ListParagraph"/>
              <w:numPr>
                <w:ilvl w:val="0"/>
                <w:numId w:val="3"/>
              </w:numPr>
              <w:spacing w:before="40" w:after="40" w:line="240" w:lineRule="auto"/>
              <w:ind w:left="357" w:hanging="357"/>
              <w:contextualSpacing w:val="0"/>
              <w:rPr>
                <w:rFonts w:ascii="Arial" w:hAnsi="Arial" w:cs="Arial"/>
                <w:sz w:val="18"/>
                <w:szCs w:val="18"/>
              </w:rPr>
            </w:pPr>
            <w:r w:rsidRPr="00EA4332">
              <w:rPr>
                <w:rFonts w:ascii="Arial" w:hAnsi="Arial" w:cs="Arial"/>
                <w:sz w:val="18"/>
                <w:szCs w:val="18"/>
              </w:rPr>
              <w:t>UNICEF Pacific Program (for immunisation) WHO Pacific Biennium Plan funding support</w:t>
            </w:r>
          </w:p>
          <w:p w:rsidR="0074002E" w:rsidRPr="00EA4332" w:rsidRDefault="0074002E" w:rsidP="00DC41D0">
            <w:pPr>
              <w:pStyle w:val="ListParagraph"/>
              <w:numPr>
                <w:ilvl w:val="0"/>
                <w:numId w:val="3"/>
              </w:numPr>
              <w:spacing w:before="40" w:after="40" w:line="240" w:lineRule="auto"/>
              <w:ind w:left="357" w:hanging="357"/>
              <w:contextualSpacing w:val="0"/>
              <w:rPr>
                <w:rFonts w:ascii="Arial" w:hAnsi="Arial" w:cs="Arial"/>
                <w:sz w:val="18"/>
                <w:szCs w:val="18"/>
              </w:rPr>
            </w:pPr>
            <w:r w:rsidRPr="00EA4332">
              <w:rPr>
                <w:rFonts w:ascii="Arial" w:hAnsi="Arial" w:cs="Arial"/>
                <w:sz w:val="18"/>
                <w:szCs w:val="18"/>
              </w:rPr>
              <w:t>Pacific Human Resources for Health Alliance (with WHO)</w:t>
            </w:r>
          </w:p>
          <w:p w:rsidR="0074002E" w:rsidRPr="00EA4332" w:rsidRDefault="0074002E" w:rsidP="00DC41D0">
            <w:pPr>
              <w:pStyle w:val="ListParagraph"/>
              <w:numPr>
                <w:ilvl w:val="0"/>
                <w:numId w:val="3"/>
              </w:numPr>
              <w:spacing w:before="40" w:after="40" w:line="240" w:lineRule="auto"/>
              <w:ind w:left="357" w:hanging="357"/>
              <w:contextualSpacing w:val="0"/>
              <w:rPr>
                <w:rFonts w:ascii="Arial" w:hAnsi="Arial" w:cs="Arial"/>
                <w:sz w:val="18"/>
                <w:szCs w:val="18"/>
              </w:rPr>
            </w:pPr>
            <w:r w:rsidRPr="00EA4332">
              <w:rPr>
                <w:rFonts w:ascii="Arial" w:hAnsi="Arial" w:cs="Arial"/>
                <w:sz w:val="18"/>
                <w:szCs w:val="18"/>
              </w:rPr>
              <w:t>Pacific Open Health Learning Network (also with WHO)</w:t>
            </w:r>
          </w:p>
          <w:p w:rsidR="0074002E" w:rsidRPr="008D1CED" w:rsidRDefault="0074002E" w:rsidP="00DC41D0">
            <w:pPr>
              <w:pStyle w:val="ListParagraph"/>
              <w:numPr>
                <w:ilvl w:val="0"/>
                <w:numId w:val="3"/>
              </w:numPr>
              <w:spacing w:before="40" w:after="40" w:line="240" w:lineRule="auto"/>
              <w:ind w:left="357" w:hanging="357"/>
              <w:contextualSpacing w:val="0"/>
              <w:rPr>
                <w:rFonts w:ascii="Arial" w:hAnsi="Arial" w:cs="Arial"/>
              </w:rPr>
            </w:pPr>
            <w:r w:rsidRPr="00EA4332">
              <w:rPr>
                <w:rFonts w:ascii="Arial" w:hAnsi="Arial" w:cs="Arial"/>
                <w:sz w:val="18"/>
                <w:szCs w:val="18"/>
              </w:rPr>
              <w:t>UNFPA Pacific Sub-Regional Office</w:t>
            </w:r>
          </w:p>
        </w:tc>
      </w:tr>
      <w:tr w:rsidR="0074002E" w:rsidRPr="00E72C5C" w:rsidTr="0074002E">
        <w:tc>
          <w:tcPr>
            <w:tcW w:w="7479" w:type="dxa"/>
            <w:shd w:val="clear" w:color="auto" w:fill="BCC9E6"/>
            <w:vAlign w:val="center"/>
          </w:tcPr>
          <w:p w:rsidR="0074002E" w:rsidRPr="00E72C5C" w:rsidRDefault="0074002E" w:rsidP="00DC41D0">
            <w:pPr>
              <w:spacing w:before="40" w:after="40" w:line="240" w:lineRule="auto"/>
              <w:rPr>
                <w:rFonts w:ascii="Arial" w:hAnsi="Arial" w:cs="Arial"/>
              </w:rPr>
            </w:pPr>
            <w:r>
              <w:rPr>
                <w:rFonts w:ascii="Arial" w:hAnsi="Arial" w:cs="Arial"/>
                <w:sz w:val="24"/>
                <w:szCs w:val="24"/>
              </w:rPr>
              <w:t>Sector</w:t>
            </w:r>
            <w:r w:rsidRPr="00E72C5C">
              <w:rPr>
                <w:rFonts w:ascii="Arial" w:hAnsi="Arial" w:cs="Arial"/>
                <w:sz w:val="24"/>
                <w:szCs w:val="24"/>
              </w:rPr>
              <w:t xml:space="preserve"> Issues</w:t>
            </w:r>
          </w:p>
        </w:tc>
        <w:tc>
          <w:tcPr>
            <w:tcW w:w="6773" w:type="dxa"/>
            <w:vMerge/>
            <w:shd w:val="clear" w:color="auto" w:fill="BCC9E6"/>
            <w:vAlign w:val="center"/>
          </w:tcPr>
          <w:p w:rsidR="0074002E" w:rsidRPr="00E72C5C" w:rsidRDefault="0074002E" w:rsidP="00DC41D0">
            <w:pPr>
              <w:spacing w:before="40" w:after="40" w:line="240" w:lineRule="auto"/>
              <w:rPr>
                <w:rFonts w:ascii="Arial" w:hAnsi="Arial" w:cs="Arial"/>
                <w:sz w:val="24"/>
                <w:szCs w:val="24"/>
              </w:rPr>
            </w:pPr>
          </w:p>
        </w:tc>
      </w:tr>
      <w:tr w:rsidR="0074002E" w:rsidRPr="00E72C5C" w:rsidTr="0074002E">
        <w:tc>
          <w:tcPr>
            <w:tcW w:w="7479" w:type="dxa"/>
            <w:vAlign w:val="center"/>
          </w:tcPr>
          <w:p w:rsidR="00FE4904" w:rsidRPr="00FE4904" w:rsidRDefault="00FE4904" w:rsidP="00FE4904">
            <w:pPr>
              <w:numPr>
                <w:ilvl w:val="0"/>
                <w:numId w:val="1"/>
              </w:numPr>
              <w:spacing w:before="40" w:after="40" w:line="240" w:lineRule="auto"/>
              <w:ind w:left="357" w:hanging="357"/>
              <w:rPr>
                <w:rFonts w:ascii="Arial" w:hAnsi="Arial" w:cs="Arial"/>
                <w:sz w:val="18"/>
                <w:szCs w:val="18"/>
              </w:rPr>
            </w:pPr>
            <w:r w:rsidRPr="00FE4904">
              <w:rPr>
                <w:rFonts w:ascii="Arial" w:hAnsi="Arial" w:cs="Arial"/>
                <w:sz w:val="18"/>
                <w:szCs w:val="18"/>
              </w:rPr>
              <w:t xml:space="preserve">In 2013-14 a </w:t>
            </w:r>
            <w:r w:rsidR="00E47735">
              <w:rPr>
                <w:rFonts w:ascii="Arial" w:hAnsi="Arial" w:cs="Arial"/>
                <w:sz w:val="18"/>
                <w:szCs w:val="18"/>
              </w:rPr>
              <w:t>strategic document w</w:t>
            </w:r>
            <w:r w:rsidRPr="00FE4904">
              <w:rPr>
                <w:rFonts w:ascii="Arial" w:hAnsi="Arial" w:cs="Arial"/>
                <w:sz w:val="18"/>
                <w:szCs w:val="18"/>
              </w:rPr>
              <w:t xml:space="preserve">ill be written to consider </w:t>
            </w:r>
            <w:r w:rsidR="00E47735">
              <w:rPr>
                <w:rFonts w:ascii="Arial" w:hAnsi="Arial" w:cs="Arial"/>
                <w:sz w:val="18"/>
                <w:szCs w:val="18"/>
              </w:rPr>
              <w:t>Australian aid program</w:t>
            </w:r>
            <w:r w:rsidRPr="00FE4904">
              <w:rPr>
                <w:rFonts w:ascii="Arial" w:hAnsi="Arial" w:cs="Arial"/>
                <w:sz w:val="18"/>
                <w:szCs w:val="18"/>
              </w:rPr>
              <w:t xml:space="preserve"> support to the Health sector over the next eight to ten years </w:t>
            </w:r>
          </w:p>
          <w:p w:rsidR="00FE4904" w:rsidRDefault="00FE4904" w:rsidP="00974666">
            <w:pPr>
              <w:numPr>
                <w:ilvl w:val="0"/>
                <w:numId w:val="1"/>
              </w:numPr>
              <w:spacing w:before="40" w:after="40" w:line="240" w:lineRule="auto"/>
              <w:ind w:left="357" w:hanging="357"/>
              <w:rPr>
                <w:rFonts w:ascii="Arial" w:hAnsi="Arial" w:cs="Arial"/>
                <w:sz w:val="18"/>
                <w:szCs w:val="18"/>
              </w:rPr>
            </w:pPr>
            <w:r>
              <w:rPr>
                <w:rFonts w:ascii="Arial" w:hAnsi="Arial" w:cs="Arial"/>
                <w:sz w:val="18"/>
                <w:szCs w:val="18"/>
              </w:rPr>
              <w:t>In December 2013 the i</w:t>
            </w:r>
            <w:r w:rsidRPr="004C1FDF">
              <w:rPr>
                <w:rFonts w:ascii="Arial" w:hAnsi="Arial" w:cs="Arial"/>
                <w:sz w:val="18"/>
                <w:szCs w:val="18"/>
              </w:rPr>
              <w:t xml:space="preserve">mplementation of all SWAp </w:t>
            </w:r>
            <w:r>
              <w:rPr>
                <w:rFonts w:ascii="Arial" w:hAnsi="Arial" w:cs="Arial"/>
                <w:sz w:val="18"/>
                <w:szCs w:val="18"/>
              </w:rPr>
              <w:t>activities</w:t>
            </w:r>
            <w:r w:rsidR="00E47735">
              <w:rPr>
                <w:rFonts w:ascii="Arial" w:hAnsi="Arial" w:cs="Arial"/>
                <w:sz w:val="18"/>
                <w:szCs w:val="18"/>
              </w:rPr>
              <w:t>, with the exception of three key infrastructure buildings, will</w:t>
            </w:r>
            <w:r>
              <w:rPr>
                <w:rFonts w:ascii="Arial" w:hAnsi="Arial" w:cs="Arial"/>
                <w:sz w:val="18"/>
                <w:szCs w:val="18"/>
              </w:rPr>
              <w:t xml:space="preserve"> be finalised and the new health investment will commence in FY14/15</w:t>
            </w:r>
            <w:r w:rsidR="00E47735">
              <w:rPr>
                <w:rFonts w:ascii="Arial" w:hAnsi="Arial" w:cs="Arial"/>
                <w:sz w:val="18"/>
                <w:szCs w:val="18"/>
              </w:rPr>
              <w:t>.</w:t>
            </w:r>
          </w:p>
          <w:p w:rsidR="0074002E" w:rsidRPr="008D1CED" w:rsidRDefault="00E47735" w:rsidP="00E47735">
            <w:pPr>
              <w:numPr>
                <w:ilvl w:val="0"/>
                <w:numId w:val="1"/>
              </w:numPr>
              <w:spacing w:before="40" w:after="40" w:line="240" w:lineRule="auto"/>
              <w:ind w:left="357" w:hanging="357"/>
              <w:rPr>
                <w:rFonts w:ascii="Arial" w:hAnsi="Arial" w:cs="Arial"/>
              </w:rPr>
            </w:pPr>
            <w:r>
              <w:rPr>
                <w:rFonts w:ascii="Arial" w:hAnsi="Arial" w:cs="Arial"/>
                <w:sz w:val="18"/>
                <w:szCs w:val="18"/>
              </w:rPr>
              <w:t>A no-cost extension for the infrastructure is expected to be signed until 18 December 2015.</w:t>
            </w:r>
          </w:p>
        </w:tc>
        <w:tc>
          <w:tcPr>
            <w:tcW w:w="6773" w:type="dxa"/>
            <w:vMerge/>
            <w:vAlign w:val="center"/>
          </w:tcPr>
          <w:p w:rsidR="0074002E" w:rsidRPr="008D1CED" w:rsidRDefault="0074002E" w:rsidP="0074002E">
            <w:pPr>
              <w:pStyle w:val="ListParagraph"/>
              <w:numPr>
                <w:ilvl w:val="0"/>
                <w:numId w:val="3"/>
              </w:numPr>
              <w:spacing w:before="40" w:after="40" w:line="240" w:lineRule="auto"/>
              <w:ind w:left="357" w:hanging="357"/>
              <w:contextualSpacing w:val="0"/>
              <w:rPr>
                <w:rFonts w:ascii="Arial" w:hAnsi="Arial" w:cs="Arial"/>
              </w:rPr>
            </w:pPr>
          </w:p>
        </w:tc>
      </w:tr>
    </w:tbl>
    <w:p w:rsidR="00E1504C" w:rsidRDefault="00E1504C">
      <w:pPr>
        <w:rPr>
          <w:rFonts w:ascii="Arial" w:hAnsi="Arial" w:cs="Arial"/>
        </w:rPr>
      </w:pPr>
    </w:p>
    <w:tbl>
      <w:tblPr>
        <w:tblW w:w="0" w:type="auto"/>
        <w:tblLook w:val="00A0" w:firstRow="1" w:lastRow="0" w:firstColumn="1" w:lastColumn="0" w:noHBand="0" w:noVBand="0"/>
      </w:tblPr>
      <w:tblGrid>
        <w:gridCol w:w="7220"/>
        <w:gridCol w:w="711"/>
        <w:gridCol w:w="7395"/>
      </w:tblGrid>
      <w:tr w:rsidR="00E1504C" w:rsidTr="001E055B">
        <w:trPr>
          <w:trHeight w:val="1355"/>
        </w:trPr>
        <w:tc>
          <w:tcPr>
            <w:tcW w:w="7220"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Samoa</w:t>
            </w: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rPr>
            </w:pPr>
          </w:p>
        </w:tc>
        <w:tc>
          <w:tcPr>
            <w:tcW w:w="711" w:type="dxa"/>
            <w:vMerge w:val="restart"/>
          </w:tcPr>
          <w:p w:rsidR="00E1504C" w:rsidRPr="00D24D80" w:rsidRDefault="00E1504C" w:rsidP="00D24D80">
            <w:pPr>
              <w:spacing w:after="0" w:line="240" w:lineRule="auto"/>
              <w:rPr>
                <w:rFonts w:ascii="Arial" w:hAnsi="Arial" w:cs="Arial"/>
              </w:rPr>
            </w:pPr>
          </w:p>
        </w:tc>
        <w:tc>
          <w:tcPr>
            <w:tcW w:w="7395"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Australia</w:t>
            </w:r>
          </w:p>
          <w:p w:rsidR="00E1504C" w:rsidRPr="00D24D80" w:rsidRDefault="00E1504C" w:rsidP="00D24D80">
            <w:pPr>
              <w:spacing w:after="0" w:line="240" w:lineRule="auto"/>
              <w:rPr>
                <w:rFonts w:ascii="Arial" w:hAnsi="Arial" w:cs="Arial"/>
              </w:rPr>
            </w:pPr>
          </w:p>
        </w:tc>
      </w:tr>
      <w:tr w:rsidR="00E1504C" w:rsidTr="001E055B">
        <w:trPr>
          <w:trHeight w:val="709"/>
        </w:trPr>
        <w:tc>
          <w:tcPr>
            <w:tcW w:w="7220" w:type="dxa"/>
            <w:shd w:val="clear" w:color="auto" w:fill="F2F2F2"/>
          </w:tcPr>
          <w:p w:rsidR="00FB7E96" w:rsidRPr="00D24D80" w:rsidRDefault="00E67818" w:rsidP="00FB7E96">
            <w:pPr>
              <w:keepNext/>
              <w:keepLines/>
              <w:spacing w:before="40" w:after="40" w:line="240" w:lineRule="auto"/>
              <w:rPr>
                <w:rFonts w:ascii="Arial" w:hAnsi="Arial" w:cs="Arial"/>
                <w:sz w:val="16"/>
                <w:szCs w:val="16"/>
              </w:rPr>
            </w:pPr>
            <w:proofErr w:type="spellStart"/>
            <w:r>
              <w:rPr>
                <w:rFonts w:ascii="Arial" w:hAnsi="Arial" w:cs="Arial"/>
                <w:sz w:val="16"/>
                <w:szCs w:val="16"/>
              </w:rPr>
              <w:t>Lavea</w:t>
            </w:r>
            <w:proofErr w:type="spellEnd"/>
            <w:r>
              <w:rPr>
                <w:rFonts w:ascii="Arial" w:hAnsi="Arial" w:cs="Arial"/>
                <w:sz w:val="16"/>
                <w:szCs w:val="16"/>
              </w:rPr>
              <w:t xml:space="preserve"> </w:t>
            </w:r>
            <w:proofErr w:type="spellStart"/>
            <w:r w:rsidR="00FB7E96">
              <w:rPr>
                <w:rFonts w:ascii="Arial" w:hAnsi="Arial" w:cs="Arial"/>
                <w:sz w:val="16"/>
                <w:szCs w:val="16"/>
              </w:rPr>
              <w:t>Tupa’imatuna</w:t>
            </w:r>
            <w:proofErr w:type="spellEnd"/>
            <w:r w:rsidR="00FB7E96">
              <w:rPr>
                <w:rFonts w:ascii="Arial" w:hAnsi="Arial" w:cs="Arial"/>
                <w:sz w:val="16"/>
                <w:szCs w:val="16"/>
              </w:rPr>
              <w:t xml:space="preserve"> </w:t>
            </w:r>
            <w:proofErr w:type="spellStart"/>
            <w:r w:rsidR="00FB7E96">
              <w:rPr>
                <w:rFonts w:ascii="Arial" w:hAnsi="Arial" w:cs="Arial"/>
                <w:sz w:val="16"/>
                <w:szCs w:val="16"/>
              </w:rPr>
              <w:t>Iulai</w:t>
            </w:r>
            <w:proofErr w:type="spellEnd"/>
            <w:r w:rsidR="00FB7E96">
              <w:rPr>
                <w:rFonts w:ascii="Arial" w:hAnsi="Arial" w:cs="Arial"/>
                <w:sz w:val="16"/>
                <w:szCs w:val="16"/>
              </w:rPr>
              <w:t xml:space="preserve"> </w:t>
            </w:r>
            <w:proofErr w:type="spellStart"/>
            <w:r w:rsidR="00FB7E96">
              <w:rPr>
                <w:rFonts w:ascii="Arial" w:hAnsi="Arial" w:cs="Arial"/>
                <w:sz w:val="16"/>
                <w:szCs w:val="16"/>
              </w:rPr>
              <w:t>Lavea</w:t>
            </w:r>
            <w:proofErr w:type="spellEnd"/>
          </w:p>
          <w:p w:rsidR="00FB7E96" w:rsidRPr="00D24D80" w:rsidRDefault="00FB7E96" w:rsidP="00FB7E96">
            <w:pPr>
              <w:keepNext/>
              <w:keepLines/>
              <w:spacing w:before="40" w:after="40" w:line="240" w:lineRule="auto"/>
              <w:rPr>
                <w:rFonts w:ascii="Arial" w:hAnsi="Arial" w:cs="Arial"/>
                <w:sz w:val="16"/>
                <w:szCs w:val="16"/>
              </w:rPr>
            </w:pPr>
          </w:p>
          <w:p w:rsidR="00FB7E96" w:rsidRDefault="00FB7E96" w:rsidP="00FB7E96">
            <w:pPr>
              <w:keepNext/>
              <w:keepLines/>
              <w:spacing w:before="40" w:after="40" w:line="240" w:lineRule="auto"/>
              <w:rPr>
                <w:rFonts w:ascii="Arial" w:hAnsi="Arial" w:cs="Arial"/>
                <w:sz w:val="16"/>
                <w:szCs w:val="16"/>
              </w:rPr>
            </w:pPr>
            <w:r>
              <w:rPr>
                <w:rFonts w:ascii="Arial" w:hAnsi="Arial" w:cs="Arial"/>
                <w:sz w:val="16"/>
                <w:szCs w:val="16"/>
              </w:rPr>
              <w:t>Chief Executive Officer, Ministry of Finance</w:t>
            </w:r>
          </w:p>
          <w:p w:rsidR="00FB7E96" w:rsidRDefault="00FB7E96" w:rsidP="00FB7E96">
            <w:pPr>
              <w:keepNext/>
              <w:keepLines/>
              <w:spacing w:before="40" w:after="40" w:line="240" w:lineRule="auto"/>
              <w:rPr>
                <w:rFonts w:ascii="Arial" w:hAnsi="Arial" w:cs="Arial"/>
                <w:sz w:val="16"/>
                <w:szCs w:val="16"/>
              </w:rPr>
            </w:pPr>
          </w:p>
          <w:p w:rsidR="001E055B" w:rsidRPr="001E055B" w:rsidRDefault="00FB7E96" w:rsidP="00FB7E96">
            <w:pPr>
              <w:keepNext/>
              <w:keepLines/>
              <w:spacing w:before="40" w:after="40" w:line="240" w:lineRule="auto"/>
              <w:rPr>
                <w:rFonts w:ascii="Arial" w:hAnsi="Arial" w:cs="Arial"/>
                <w:sz w:val="16"/>
                <w:szCs w:val="16"/>
              </w:rPr>
            </w:pPr>
            <w:r>
              <w:rPr>
                <w:rFonts w:ascii="Arial" w:hAnsi="Arial" w:cs="Arial"/>
                <w:sz w:val="16"/>
                <w:szCs w:val="16"/>
              </w:rPr>
              <w:t>11 December 2013</w:t>
            </w:r>
          </w:p>
        </w:tc>
        <w:tc>
          <w:tcPr>
            <w:tcW w:w="711" w:type="dxa"/>
            <w:vMerge/>
          </w:tcPr>
          <w:p w:rsidR="00E1504C" w:rsidRPr="00D24D80" w:rsidRDefault="00E1504C" w:rsidP="00D24D80">
            <w:pPr>
              <w:spacing w:after="0" w:line="240" w:lineRule="auto"/>
              <w:rPr>
                <w:rFonts w:ascii="Arial" w:hAnsi="Arial" w:cs="Arial"/>
              </w:rPr>
            </w:pPr>
          </w:p>
        </w:tc>
        <w:tc>
          <w:tcPr>
            <w:tcW w:w="7395" w:type="dxa"/>
            <w:shd w:val="clear" w:color="auto" w:fill="F2F2F2"/>
          </w:tcPr>
          <w:p w:rsidR="00FB7E96" w:rsidRPr="00D24D80" w:rsidRDefault="00E67818" w:rsidP="00FB7E96">
            <w:pPr>
              <w:keepNext/>
              <w:keepLines/>
              <w:spacing w:before="40" w:after="40" w:line="240" w:lineRule="auto"/>
              <w:rPr>
                <w:rFonts w:ascii="Arial" w:hAnsi="Arial" w:cs="Arial"/>
                <w:sz w:val="16"/>
                <w:szCs w:val="16"/>
              </w:rPr>
            </w:pPr>
            <w:r>
              <w:rPr>
                <w:rFonts w:ascii="Arial" w:hAnsi="Arial" w:cs="Arial"/>
                <w:sz w:val="16"/>
                <w:szCs w:val="16"/>
              </w:rPr>
              <w:t>Dr Stephen Henningham</w:t>
            </w:r>
          </w:p>
          <w:p w:rsidR="00FB7E96" w:rsidRPr="00D24D80" w:rsidRDefault="00FB7E96" w:rsidP="00FB7E96">
            <w:pPr>
              <w:keepNext/>
              <w:keepLines/>
              <w:spacing w:before="40" w:after="40" w:line="240" w:lineRule="auto"/>
              <w:rPr>
                <w:rFonts w:ascii="Arial" w:hAnsi="Arial" w:cs="Arial"/>
                <w:sz w:val="16"/>
                <w:szCs w:val="16"/>
              </w:rPr>
            </w:pPr>
          </w:p>
          <w:p w:rsidR="00FB7E96" w:rsidRDefault="00E67818" w:rsidP="00FB7E96">
            <w:pPr>
              <w:keepNext/>
              <w:keepLines/>
              <w:spacing w:before="40" w:after="40" w:line="240" w:lineRule="auto"/>
              <w:rPr>
                <w:rFonts w:ascii="Arial" w:hAnsi="Arial" w:cs="Arial"/>
                <w:sz w:val="16"/>
                <w:szCs w:val="16"/>
              </w:rPr>
            </w:pPr>
            <w:r>
              <w:rPr>
                <w:rFonts w:ascii="Arial" w:hAnsi="Arial" w:cs="Arial"/>
                <w:sz w:val="16"/>
                <w:szCs w:val="16"/>
              </w:rPr>
              <w:t>Australian High Commissioner to Samoa</w:t>
            </w:r>
          </w:p>
          <w:p w:rsidR="00FB7E96" w:rsidRDefault="00FB7E96" w:rsidP="00FB7E96">
            <w:pPr>
              <w:keepNext/>
              <w:keepLines/>
              <w:spacing w:before="40" w:after="40" w:line="240" w:lineRule="auto"/>
              <w:rPr>
                <w:rFonts w:ascii="Arial" w:hAnsi="Arial" w:cs="Arial"/>
                <w:sz w:val="16"/>
                <w:szCs w:val="16"/>
              </w:rPr>
            </w:pPr>
          </w:p>
          <w:p w:rsidR="001E055B" w:rsidRPr="001E055B" w:rsidRDefault="00FB7E96" w:rsidP="00FB7E96">
            <w:pPr>
              <w:keepNext/>
              <w:keepLines/>
              <w:spacing w:before="40" w:after="40" w:line="240" w:lineRule="auto"/>
              <w:rPr>
                <w:rFonts w:ascii="Arial" w:hAnsi="Arial" w:cs="Arial"/>
                <w:sz w:val="16"/>
                <w:szCs w:val="16"/>
              </w:rPr>
            </w:pPr>
            <w:r>
              <w:rPr>
                <w:rFonts w:ascii="Arial" w:hAnsi="Arial" w:cs="Arial"/>
                <w:sz w:val="16"/>
                <w:szCs w:val="16"/>
              </w:rPr>
              <w:t>11 December 2013</w:t>
            </w:r>
          </w:p>
        </w:tc>
      </w:tr>
    </w:tbl>
    <w:p w:rsidR="00E1504C" w:rsidRPr="00E72C5C" w:rsidRDefault="00E1504C" w:rsidP="005F18A2">
      <w:pPr>
        <w:rPr>
          <w:rFonts w:ascii="Arial" w:hAnsi="Arial" w:cs="Arial"/>
        </w:rPr>
      </w:pPr>
    </w:p>
    <w:sectPr w:rsidR="00E1504C" w:rsidRPr="00E72C5C" w:rsidSect="007E5B07">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82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D0" w:rsidRDefault="00DC41D0" w:rsidP="006D4AB1">
      <w:pPr>
        <w:spacing w:after="0" w:line="240" w:lineRule="auto"/>
      </w:pPr>
      <w:r>
        <w:separator/>
      </w:r>
    </w:p>
  </w:endnote>
  <w:endnote w:type="continuationSeparator" w:id="0">
    <w:p w:rsidR="00DC41D0" w:rsidRDefault="00DC41D0" w:rsidP="006D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D0" w:rsidRDefault="00DC4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D0" w:rsidRDefault="00DC4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D0" w:rsidRDefault="00DC4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D0" w:rsidRDefault="00DC41D0" w:rsidP="006D4AB1">
      <w:pPr>
        <w:spacing w:after="0" w:line="240" w:lineRule="auto"/>
      </w:pPr>
      <w:r>
        <w:separator/>
      </w:r>
    </w:p>
  </w:footnote>
  <w:footnote w:type="continuationSeparator" w:id="0">
    <w:p w:rsidR="00DC41D0" w:rsidRDefault="00DC41D0" w:rsidP="006D4AB1">
      <w:pPr>
        <w:spacing w:after="0" w:line="240" w:lineRule="auto"/>
      </w:pPr>
      <w:r>
        <w:continuationSeparator/>
      </w:r>
    </w:p>
  </w:footnote>
  <w:footnote w:id="1">
    <w:p w:rsidR="00DC41D0" w:rsidRPr="00D735E2" w:rsidRDefault="00DC41D0">
      <w:pPr>
        <w:pStyle w:val="FootnoteText"/>
        <w:rPr>
          <w:lang w:val="en-AU"/>
        </w:rPr>
      </w:pPr>
      <w:r>
        <w:rPr>
          <w:rStyle w:val="FootnoteReference"/>
        </w:rPr>
        <w:footnoteRef/>
      </w:r>
      <w:r>
        <w:t xml:space="preserve"> </w:t>
      </w:r>
      <w:r>
        <w:rPr>
          <w:lang w:val="en-AU"/>
        </w:rPr>
        <w:t xml:space="preserve">As per the </w:t>
      </w:r>
      <w:r w:rsidR="00FB7E96">
        <w:rPr>
          <w:lang w:val="en-AU"/>
        </w:rPr>
        <w:t xml:space="preserve">Australian Aid Program </w:t>
      </w:r>
      <w:r>
        <w:rPr>
          <w:lang w:val="en-AU"/>
        </w:rPr>
        <w:t>Samoa Annual Program Performance Report 2012-13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D0" w:rsidRDefault="00DC4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D0" w:rsidRDefault="00DC41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D0" w:rsidRDefault="00DC4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36CC1"/>
    <w:multiLevelType w:val="hybridMultilevel"/>
    <w:tmpl w:val="000AE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65151C5D"/>
    <w:multiLevelType w:val="hybridMultilevel"/>
    <w:tmpl w:val="45A09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AB43AE8"/>
    <w:multiLevelType w:val="hybridMultilevel"/>
    <w:tmpl w:val="F350D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237"/>
    <w:rsid w:val="00062433"/>
    <w:rsid w:val="000E360D"/>
    <w:rsid w:val="001415A7"/>
    <w:rsid w:val="00153512"/>
    <w:rsid w:val="00160BFF"/>
    <w:rsid w:val="001E055B"/>
    <w:rsid w:val="00213339"/>
    <w:rsid w:val="002F799E"/>
    <w:rsid w:val="00353A73"/>
    <w:rsid w:val="00382E24"/>
    <w:rsid w:val="00390D5A"/>
    <w:rsid w:val="00400A38"/>
    <w:rsid w:val="00523C62"/>
    <w:rsid w:val="005F18A2"/>
    <w:rsid w:val="005F788C"/>
    <w:rsid w:val="0068494A"/>
    <w:rsid w:val="006D4AB1"/>
    <w:rsid w:val="0074002E"/>
    <w:rsid w:val="007418B3"/>
    <w:rsid w:val="007645B7"/>
    <w:rsid w:val="007B69AA"/>
    <w:rsid w:val="007E5B07"/>
    <w:rsid w:val="00812E8D"/>
    <w:rsid w:val="0082137A"/>
    <w:rsid w:val="00852237"/>
    <w:rsid w:val="00882800"/>
    <w:rsid w:val="008A56A7"/>
    <w:rsid w:val="008C48D5"/>
    <w:rsid w:val="00940A8F"/>
    <w:rsid w:val="009650A4"/>
    <w:rsid w:val="00974666"/>
    <w:rsid w:val="009911D2"/>
    <w:rsid w:val="009977A3"/>
    <w:rsid w:val="00A31DDC"/>
    <w:rsid w:val="00A5517F"/>
    <w:rsid w:val="00A619B1"/>
    <w:rsid w:val="00A70824"/>
    <w:rsid w:val="00AC26DB"/>
    <w:rsid w:val="00AD3EAF"/>
    <w:rsid w:val="00C519A7"/>
    <w:rsid w:val="00C546F2"/>
    <w:rsid w:val="00C5499B"/>
    <w:rsid w:val="00C553D8"/>
    <w:rsid w:val="00C609A1"/>
    <w:rsid w:val="00D24D80"/>
    <w:rsid w:val="00D735E2"/>
    <w:rsid w:val="00DC0228"/>
    <w:rsid w:val="00DC41D0"/>
    <w:rsid w:val="00DE0AFA"/>
    <w:rsid w:val="00DF5793"/>
    <w:rsid w:val="00E1504C"/>
    <w:rsid w:val="00E413FB"/>
    <w:rsid w:val="00E47735"/>
    <w:rsid w:val="00E67818"/>
    <w:rsid w:val="00E72C5C"/>
    <w:rsid w:val="00EC6BCF"/>
    <w:rsid w:val="00F2508D"/>
    <w:rsid w:val="00F4088B"/>
    <w:rsid w:val="00F761EA"/>
    <w:rsid w:val="00FB7E96"/>
    <w:rsid w:val="00FC1FC4"/>
    <w:rsid w:val="00FE4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37"/>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22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D4A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4AB1"/>
    <w:rPr>
      <w:rFonts w:ascii="Calibri" w:hAnsi="Calibri" w:cs="Times New Roman"/>
      <w:lang w:val="en-GB"/>
    </w:rPr>
  </w:style>
  <w:style w:type="paragraph" w:styleId="Footer">
    <w:name w:val="footer"/>
    <w:basedOn w:val="Normal"/>
    <w:link w:val="FooterChar"/>
    <w:uiPriority w:val="99"/>
    <w:semiHidden/>
    <w:rsid w:val="006D4A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4AB1"/>
    <w:rPr>
      <w:rFonts w:ascii="Calibri" w:hAnsi="Calibri" w:cs="Times New Roman"/>
      <w:lang w:val="en-GB"/>
    </w:rPr>
  </w:style>
  <w:style w:type="paragraph" w:styleId="ListParagraph">
    <w:name w:val="List Paragraph"/>
    <w:basedOn w:val="Normal"/>
    <w:uiPriority w:val="34"/>
    <w:qFormat/>
    <w:rsid w:val="00E72C5C"/>
    <w:pPr>
      <w:ind w:left="720"/>
      <w:contextualSpacing/>
    </w:pPr>
  </w:style>
  <w:style w:type="paragraph" w:styleId="FootnoteText">
    <w:name w:val="footnote text"/>
    <w:basedOn w:val="Normal"/>
    <w:link w:val="FootnoteTextChar"/>
    <w:uiPriority w:val="99"/>
    <w:semiHidden/>
    <w:unhideWhenUsed/>
    <w:rsid w:val="00D735E2"/>
    <w:rPr>
      <w:sz w:val="20"/>
      <w:szCs w:val="20"/>
    </w:rPr>
  </w:style>
  <w:style w:type="character" w:customStyle="1" w:styleId="FootnoteTextChar">
    <w:name w:val="Footnote Text Char"/>
    <w:basedOn w:val="DefaultParagraphFont"/>
    <w:link w:val="FootnoteText"/>
    <w:uiPriority w:val="99"/>
    <w:semiHidden/>
    <w:rsid w:val="00D735E2"/>
    <w:rPr>
      <w:sz w:val="20"/>
      <w:szCs w:val="20"/>
      <w:lang w:val="en-GB" w:eastAsia="en-US"/>
    </w:rPr>
  </w:style>
  <w:style w:type="character" w:styleId="FootnoteReference">
    <w:name w:val="footnote reference"/>
    <w:basedOn w:val="DefaultParagraphFont"/>
    <w:uiPriority w:val="99"/>
    <w:semiHidden/>
    <w:unhideWhenUsed/>
    <w:rsid w:val="00D735E2"/>
    <w:rPr>
      <w:vertAlign w:val="superscript"/>
    </w:rPr>
  </w:style>
  <w:style w:type="character" w:styleId="CommentReference">
    <w:name w:val="annotation reference"/>
    <w:basedOn w:val="DefaultParagraphFont"/>
    <w:uiPriority w:val="99"/>
    <w:semiHidden/>
    <w:unhideWhenUsed/>
    <w:rsid w:val="0074002E"/>
    <w:rPr>
      <w:sz w:val="16"/>
      <w:szCs w:val="16"/>
    </w:rPr>
  </w:style>
  <w:style w:type="paragraph" w:styleId="CommentText">
    <w:name w:val="annotation text"/>
    <w:basedOn w:val="Normal"/>
    <w:link w:val="CommentTextChar"/>
    <w:uiPriority w:val="99"/>
    <w:semiHidden/>
    <w:unhideWhenUsed/>
    <w:rsid w:val="0074002E"/>
    <w:rPr>
      <w:sz w:val="20"/>
      <w:szCs w:val="20"/>
    </w:rPr>
  </w:style>
  <w:style w:type="character" w:customStyle="1" w:styleId="CommentTextChar">
    <w:name w:val="Comment Text Char"/>
    <w:basedOn w:val="DefaultParagraphFont"/>
    <w:link w:val="CommentText"/>
    <w:uiPriority w:val="99"/>
    <w:semiHidden/>
    <w:rsid w:val="0074002E"/>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74002E"/>
    <w:rPr>
      <w:b/>
      <w:bCs/>
    </w:rPr>
  </w:style>
  <w:style w:type="character" w:customStyle="1" w:styleId="CommentSubjectChar">
    <w:name w:val="Comment Subject Char"/>
    <w:basedOn w:val="CommentTextChar"/>
    <w:link w:val="CommentSubject"/>
    <w:uiPriority w:val="99"/>
    <w:semiHidden/>
    <w:rsid w:val="0074002E"/>
    <w:rPr>
      <w:b/>
      <w:bCs/>
      <w:sz w:val="20"/>
      <w:szCs w:val="20"/>
      <w:lang w:val="en-GB" w:eastAsia="en-US"/>
    </w:rPr>
  </w:style>
  <w:style w:type="paragraph" w:styleId="BalloonText">
    <w:name w:val="Balloon Text"/>
    <w:basedOn w:val="Normal"/>
    <w:link w:val="BalloonTextChar"/>
    <w:uiPriority w:val="99"/>
    <w:semiHidden/>
    <w:unhideWhenUsed/>
    <w:rsid w:val="00740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02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67933C-CD4A-451D-998A-F606D325FAE9}"/>
</file>

<file path=customXml/itemProps2.xml><?xml version="1.0" encoding="utf-8"?>
<ds:datastoreItem xmlns:ds="http://schemas.openxmlformats.org/officeDocument/2006/customXml" ds:itemID="{B853D948-A8EB-4E69-A798-C16410A64CF0}"/>
</file>

<file path=customXml/itemProps3.xml><?xml version="1.0" encoding="utf-8"?>
<ds:datastoreItem xmlns:ds="http://schemas.openxmlformats.org/officeDocument/2006/customXml" ds:itemID="{8699CB30-DB4F-4FDF-8D9D-5380AAE04CFE}"/>
</file>

<file path=customXml/itemProps4.xml><?xml version="1.0" encoding="utf-8"?>
<ds:datastoreItem xmlns:ds="http://schemas.openxmlformats.org/officeDocument/2006/customXml" ds:itemID="{4C961297-9473-4635-8F30-F5BBE1BA2F15}"/>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3555</Characters>
  <Application>Microsoft Office Word</Application>
  <DocSecurity>0</DocSecurity>
  <Lines>169</Lines>
  <Paragraphs>84</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2014-01-22T00:38:00Z</dcterms:created>
  <dcterms:modified xsi:type="dcterms:W3CDTF">2014-01-22T00:38:00Z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10600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AusAIDPageDescriptionMetadata">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RSS Feed Link">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AusAIDPageSubjectMetadata">
    <vt:lpwstr/>
  </property>
  <property fmtid="{D5CDD505-2E9C-101B-9397-08002B2CF9AE}" pid="22" name="AusAIDCategoryMetadata">
    <vt:lpwstr/>
  </property>
  <property fmtid="{D5CDD505-2E9C-101B-9397-08002B2CF9AE}" pid="23" name="AusAIDDocumentTypeMetaData">
    <vt:lpwstr/>
  </property>
  <property fmtid="{D5CDD505-2E9C-101B-9397-08002B2CF9AE}" pid="24" name="WCMSLanguage">
    <vt:lpwstr/>
  </property>
  <property fmtid="{D5CDD505-2E9C-101B-9397-08002B2CF9AE}" pid="25" name="TemplateUrl">
    <vt:lpwstr/>
  </property>
  <property fmtid="{D5CDD505-2E9C-101B-9397-08002B2CF9AE}" pid="26" name="Audience">
    <vt:lpwstr/>
  </property>
</Properties>
</file>