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2C4CD85" w14:textId="4902D51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230D35C5" w14:textId="77777777" w:rsidR="003D352D" w:rsidRDefault="003D352D" w:rsidP="00D146A2"/>
    <w:p w14:paraId="4CD480DC" w14:textId="77777777" w:rsidR="003D352D" w:rsidRDefault="003D352D" w:rsidP="00D146A2"/>
    <w:p w14:paraId="0F605DE7" w14:textId="77777777" w:rsidR="003D352D" w:rsidRDefault="003D352D" w:rsidP="00D146A2"/>
    <w:p w14:paraId="7EFF228F" w14:textId="77777777" w:rsidR="003D352D" w:rsidRDefault="003D352D" w:rsidP="00D146A2"/>
    <w:p w14:paraId="1CDDB845" w14:textId="77777777" w:rsidR="003D352D" w:rsidRDefault="003D352D" w:rsidP="00D146A2"/>
    <w:p w14:paraId="00F2ED56" w14:textId="77777777" w:rsidR="003D352D" w:rsidRDefault="003D352D" w:rsidP="00D146A2"/>
    <w:p w14:paraId="0287AD8D" w14:textId="77777777" w:rsidR="003D352D" w:rsidRDefault="003D352D" w:rsidP="00D146A2"/>
    <w:p w14:paraId="2A199B45" w14:textId="77777777" w:rsidR="003D352D" w:rsidRDefault="003D352D" w:rsidP="00D146A2"/>
    <w:p w14:paraId="33666903" w14:textId="77777777" w:rsidR="003D352D" w:rsidRDefault="003D352D" w:rsidP="00D146A2"/>
    <w:p w14:paraId="7AD77975" w14:textId="77777777" w:rsidR="003D352D" w:rsidRDefault="003D352D" w:rsidP="00D146A2"/>
    <w:p w14:paraId="375B6C23" w14:textId="77777777" w:rsidR="003D352D" w:rsidRDefault="003D352D" w:rsidP="00D146A2"/>
    <w:p w14:paraId="495048DD" w14:textId="77777777" w:rsidR="003D352D" w:rsidRDefault="003D352D" w:rsidP="00D146A2"/>
    <w:p w14:paraId="2808316F" w14:textId="77777777" w:rsidR="003D352D" w:rsidRDefault="003D352D" w:rsidP="00D146A2"/>
    <w:p w14:paraId="5D5D3F6C" w14:textId="77777777" w:rsidR="003D352D" w:rsidRDefault="003D352D" w:rsidP="00D146A2"/>
    <w:p w14:paraId="5D56F2BE" w14:textId="77777777" w:rsidR="003D352D" w:rsidRDefault="003D352D" w:rsidP="00D146A2"/>
    <w:p w14:paraId="6BAB3B10" w14:textId="77777777" w:rsidR="003D352D" w:rsidRPr="0059146A" w:rsidRDefault="003D352D" w:rsidP="0059146A"/>
    <w:p w14:paraId="2305BF10" w14:textId="77777777" w:rsidR="003D352D" w:rsidRPr="0059146A" w:rsidRDefault="003D352D" w:rsidP="0059146A"/>
    <w:p w14:paraId="2E7F922B" w14:textId="77777777" w:rsidR="003D352D" w:rsidRPr="0059146A" w:rsidRDefault="003D352D" w:rsidP="0059146A"/>
    <w:p w14:paraId="6F174ECA" w14:textId="77777777" w:rsidR="003D352D" w:rsidRPr="0059146A" w:rsidRDefault="003D352D" w:rsidP="0059146A"/>
    <w:p w14:paraId="6C368D0C" w14:textId="77777777" w:rsidR="003D352D" w:rsidRPr="0059146A" w:rsidRDefault="003D352D" w:rsidP="0059146A"/>
    <w:p w14:paraId="03CDF455" w14:textId="77777777" w:rsidR="003D352D" w:rsidRPr="0059146A" w:rsidRDefault="003D352D" w:rsidP="0059146A"/>
    <w:p w14:paraId="0F2314CF" w14:textId="77777777" w:rsidR="00A56F14" w:rsidRPr="0059146A" w:rsidRDefault="00A56F14" w:rsidP="00A56F14"/>
    <w:p w14:paraId="4FE1F7F4" w14:textId="77777777" w:rsidR="00A56F14" w:rsidRPr="0059146A" w:rsidRDefault="00A56F14" w:rsidP="0059146A"/>
    <w:p w14:paraId="2AF232AB" w14:textId="77777777" w:rsidR="00A56F14" w:rsidRDefault="00A56F14" w:rsidP="0059146A"/>
    <w:p w14:paraId="288E9A99" w14:textId="77777777" w:rsidR="0059146A" w:rsidRDefault="0059146A" w:rsidP="0059146A"/>
    <w:p w14:paraId="01CD9635" w14:textId="77777777" w:rsidR="0059146A" w:rsidRDefault="0059146A" w:rsidP="0059146A"/>
    <w:p w14:paraId="470832B0" w14:textId="77777777" w:rsidR="0059146A" w:rsidRDefault="0059146A" w:rsidP="0059146A"/>
    <w:p w14:paraId="6DF71269" w14:textId="56628EEC"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1B75B6">
        <w:rPr>
          <w:spacing w:val="-20"/>
          <w:sz w:val="60"/>
        </w:rPr>
        <w:t>7</w:t>
      </w:r>
      <w:r>
        <w:rPr>
          <w:spacing w:val="-20"/>
          <w:sz w:val="60"/>
        </w:rPr>
        <w:t>-1</w:t>
      </w:r>
      <w:r w:rsidR="001B75B6">
        <w:rPr>
          <w:spacing w:val="-20"/>
          <w:sz w:val="60"/>
        </w:rPr>
        <w:t>8</w:t>
      </w:r>
    </w:p>
    <w:p w14:paraId="3A8A34BD" w14:textId="2B4A9A9C" w:rsidR="0059146A" w:rsidRDefault="00C40DF7"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Samoa</w:t>
      </w:r>
      <w:r w:rsidR="0059146A">
        <w:rPr>
          <w:sz w:val="40"/>
        </w:rPr>
        <w:br/>
      </w:r>
      <w:r w:rsidR="0059146A" w:rsidRPr="0059146A">
        <w:rPr>
          <w:sz w:val="24"/>
        </w:rPr>
        <w:t>September 201</w:t>
      </w:r>
      <w:r w:rsidR="001B75B6">
        <w:rPr>
          <w:sz w:val="24"/>
        </w:rPr>
        <w:t>8</w:t>
      </w:r>
    </w:p>
    <w:p w14:paraId="4F8DE671" w14:textId="77777777" w:rsidR="000E2605" w:rsidRPr="00B438D3" w:rsidRDefault="000E2605" w:rsidP="000E2605">
      <w:pPr>
        <w:pStyle w:val="Title"/>
      </w:pPr>
      <w:r>
        <w:lastRenderedPageBreak/>
        <w:t>SAMOA</w:t>
      </w:r>
      <w:r w:rsidRPr="00B438D3">
        <w:t xml:space="preserve"> Aid Program Performance Information 201</w:t>
      </w:r>
      <w:r>
        <w:t>7</w:t>
      </w:r>
      <w:r w:rsidRPr="00B438D3">
        <w:t>-1</w:t>
      </w:r>
      <w:r>
        <w:t>8</w:t>
      </w:r>
    </w:p>
    <w:p w14:paraId="5A593031" w14:textId="77777777" w:rsidR="004C17D1" w:rsidRDefault="004C17D1" w:rsidP="000E2605">
      <w:pPr>
        <w:pStyle w:val="Subtitle"/>
        <w:spacing w:after="260"/>
      </w:pPr>
    </w:p>
    <w:p w14:paraId="11CE5DC9" w14:textId="51B9A76F" w:rsidR="000E2605" w:rsidRPr="00C4114C" w:rsidRDefault="000E2605" w:rsidP="000E2605">
      <w:pPr>
        <w:pStyle w:val="Subtitle"/>
        <w:spacing w:after="260"/>
      </w:pPr>
      <w:r w:rsidRPr="00C4114C">
        <w:t>Summary</w:t>
      </w:r>
    </w:p>
    <w:p w14:paraId="34F0AE9A" w14:textId="035B2A43" w:rsidR="000E2605" w:rsidRPr="00F648C6" w:rsidRDefault="000E2605" w:rsidP="000E2605">
      <w:r w:rsidRPr="00F648C6">
        <w:t xml:space="preserve">This report summarises the performance of Australia’s </w:t>
      </w:r>
      <w:r>
        <w:t>aid program in Samoa from July 2017 to June 2018</w:t>
      </w:r>
      <w:r w:rsidRPr="00F648C6">
        <w:t xml:space="preserve"> against </w:t>
      </w:r>
      <w:r w:rsidR="002C420D">
        <w:t>DFAT’s</w:t>
      </w:r>
      <w:r w:rsidR="002C420D" w:rsidRPr="00F648C6">
        <w:t xml:space="preserve"> </w:t>
      </w:r>
      <w:r w:rsidRPr="00F648C6">
        <w:t xml:space="preserve">Samoa Aid Investment Plan 2015-16 to 2018-19. </w:t>
      </w:r>
    </w:p>
    <w:p w14:paraId="106727D5" w14:textId="0589CE1D" w:rsidR="000E2605" w:rsidRPr="00F648C6" w:rsidRDefault="000E2605" w:rsidP="000E2605">
      <w:r w:rsidRPr="00F648C6">
        <w:t xml:space="preserve">The Australian Government is promoting development in Samoa by </w:t>
      </w:r>
      <w:r w:rsidR="0089530D">
        <w:t xml:space="preserve">encouraging </w:t>
      </w:r>
      <w:r w:rsidRPr="00F648C6">
        <w:t>economic growth, progressing health and education outcomes and strengthening governance</w:t>
      </w:r>
      <w:r w:rsidR="0089530D">
        <w:t xml:space="preserve">.  Our assistance </w:t>
      </w:r>
      <w:r w:rsidR="000308AF">
        <w:t xml:space="preserve">is </w:t>
      </w:r>
      <w:r w:rsidR="002C420D">
        <w:t xml:space="preserve">aligned </w:t>
      </w:r>
      <w:r w:rsidR="00342F89">
        <w:t xml:space="preserve">with the </w:t>
      </w:r>
      <w:r w:rsidR="0089530D">
        <w:t>Samoa Development Strategy 2016-</w:t>
      </w:r>
      <w:r w:rsidR="00342F89">
        <w:t>17</w:t>
      </w:r>
      <w:r w:rsidR="0089530D">
        <w:t xml:space="preserve"> to </w:t>
      </w:r>
      <w:r w:rsidR="00342F89">
        <w:t>2019</w:t>
      </w:r>
      <w:r w:rsidR="0089530D">
        <w:t>-</w:t>
      </w:r>
      <w:r w:rsidR="00342F89">
        <w:t>20</w:t>
      </w:r>
      <w:r w:rsidRPr="00F648C6">
        <w:t xml:space="preserve">. </w:t>
      </w:r>
      <w:r w:rsidR="0089530D">
        <w:t xml:space="preserve"> </w:t>
      </w:r>
      <w:r w:rsidRPr="00F648C6">
        <w:t>Australia continues to work closely with the Samoan Government through the Samoa-Australia Aid Partnership Arrangement 2016-2019</w:t>
      </w:r>
      <w:r w:rsidR="00342F89">
        <w:t xml:space="preserve"> </w:t>
      </w:r>
    </w:p>
    <w:p w14:paraId="2FF4DEC7" w14:textId="14BD6FFA" w:rsidR="00CE6262" w:rsidRDefault="002C420D" w:rsidP="00CE6262">
      <w:r>
        <w:t xml:space="preserve">The program was delivered in the context of evolving policy priorities on the Australian side, including major initiatives under the Pacific “Step-Up” and </w:t>
      </w:r>
      <w:r w:rsidR="00DA6CE2">
        <w:t xml:space="preserve">2017 </w:t>
      </w:r>
      <w:r>
        <w:t xml:space="preserve">Foreign Policy White Paper, which saw new programming priorities being considered, many of which will come to fruition in 2018-19. </w:t>
      </w:r>
      <w:r w:rsidR="00A3397A">
        <w:t xml:space="preserve"> M</w:t>
      </w:r>
      <w:r>
        <w:t xml:space="preserve">ajor challenges in the health sector, including the planned merger of the Ministry of Health and National Health Service, as well as changes in the Ministry of Women, meant that programs had to be amended to adapt to new priorities. </w:t>
      </w:r>
      <w:r w:rsidR="000308AF">
        <w:t xml:space="preserve"> </w:t>
      </w:r>
      <w:r w:rsidR="00CE6262">
        <w:t xml:space="preserve">While the overall strategy for this program remains relevant, </w:t>
      </w:r>
      <w:r w:rsidR="0045142E">
        <w:t xml:space="preserve">the </w:t>
      </w:r>
      <w:r w:rsidR="00CE6262">
        <w:t xml:space="preserve">new Aid Investment Plan being drafted for implementation in 2019, </w:t>
      </w:r>
      <w:r w:rsidR="0045142E">
        <w:t>w</w:t>
      </w:r>
      <w:r w:rsidR="00CE6262">
        <w:t xml:space="preserve">ill </w:t>
      </w:r>
      <w:r w:rsidR="0045142E">
        <w:t>provide the opportunity for closer alignment with new priorities for both governments.</w:t>
      </w:r>
    </w:p>
    <w:p w14:paraId="606FE0B5" w14:textId="09491690" w:rsidR="000E2605" w:rsidRPr="00596F67" w:rsidRDefault="000E2605" w:rsidP="000E2605">
      <w:r w:rsidRPr="00596F67">
        <w:t>In 201</w:t>
      </w:r>
      <w:r>
        <w:t>7-18</w:t>
      </w:r>
      <w:r w:rsidRPr="00596F67">
        <w:t>, Australia supported stronger governance through the construction of Samoa’s new parliament house</w:t>
      </w:r>
      <w:r>
        <w:t>. We also</w:t>
      </w:r>
      <w:r w:rsidRPr="00596F67">
        <w:t xml:space="preserve"> provid</w:t>
      </w:r>
      <w:r>
        <w:t>ed</w:t>
      </w:r>
      <w:r w:rsidRPr="00596F67">
        <w:t xml:space="preserve"> technical assistance to </w:t>
      </w:r>
      <w:r w:rsidRPr="0083584B">
        <w:t>promote economic growth</w:t>
      </w:r>
      <w:r>
        <w:t>,</w:t>
      </w:r>
      <w:r w:rsidRPr="0083584B">
        <w:t xml:space="preserve"> </w:t>
      </w:r>
      <w:r w:rsidRPr="00596F67">
        <w:t xml:space="preserve">strengthen public financial management and support public sector reforms. </w:t>
      </w:r>
      <w:r>
        <w:t>We established the Women in Leadership in Samoa program, in cooperation with UNDP and UN Women</w:t>
      </w:r>
      <w:r w:rsidR="00342F89">
        <w:t>,</w:t>
      </w:r>
      <w:r>
        <w:t xml:space="preserve"> to </w:t>
      </w:r>
      <w:r w:rsidRPr="00724C36">
        <w:t xml:space="preserve">strengthen women's leadership and </w:t>
      </w:r>
      <w:r>
        <w:t xml:space="preserve">promote </w:t>
      </w:r>
      <w:r w:rsidRPr="00724C36">
        <w:t>gender equality in Samoa</w:t>
      </w:r>
      <w:r w:rsidRPr="00596F67">
        <w:t>.  Women in rural areas received business skills and financial literacy training with a focus on economic empowerment</w:t>
      </w:r>
      <w:r>
        <w:t>.</w:t>
      </w:r>
    </w:p>
    <w:p w14:paraId="3F0C60C9" w14:textId="16C2F7F5" w:rsidR="000E2605" w:rsidRPr="00643FA6" w:rsidRDefault="000E2605" w:rsidP="000E2605">
      <w:r>
        <w:t>Enabling economic growth was supported by t</w:t>
      </w:r>
      <w:r w:rsidRPr="00643FA6">
        <w:t xml:space="preserve">he </w:t>
      </w:r>
      <w:r>
        <w:t>c</w:t>
      </w:r>
      <w:r w:rsidRPr="00643FA6">
        <w:t xml:space="preserve">onstruction of the </w:t>
      </w:r>
      <w:proofErr w:type="spellStart"/>
      <w:r w:rsidRPr="00643FA6">
        <w:t>Tui</w:t>
      </w:r>
      <w:proofErr w:type="spellEnd"/>
      <w:r w:rsidRPr="00643FA6">
        <w:t>-Samoa submarine cable</w:t>
      </w:r>
      <w:r>
        <w:t xml:space="preserve">, in cooperation </w:t>
      </w:r>
      <w:r w:rsidR="00AD291D">
        <w:t>with</w:t>
      </w:r>
      <w:r>
        <w:t xml:space="preserve"> the ADB and World Bank. The new cable brings high speed internet to Samoa, which is expected to strengthen the business environment. Australian support for roads and bridges continued in 2017-18 including the delivery of emergency ‘bailey’ bridges and design work on the new </w:t>
      </w:r>
      <w:proofErr w:type="spellStart"/>
      <w:r>
        <w:t>Maliolio</w:t>
      </w:r>
      <w:proofErr w:type="spellEnd"/>
      <w:r>
        <w:t xml:space="preserve"> Bridge</w:t>
      </w:r>
      <w:r w:rsidRPr="004F45D8">
        <w:t xml:space="preserve"> </w:t>
      </w:r>
      <w:r>
        <w:t xml:space="preserve">and proposed </w:t>
      </w:r>
      <w:r w:rsidR="00342F89">
        <w:t xml:space="preserve">improvements to </w:t>
      </w:r>
      <w:r w:rsidRPr="004F45D8">
        <w:t>Cross Island Road</w:t>
      </w:r>
      <w:r>
        <w:t>. Construction of the new 2AP radio transmission tower</w:t>
      </w:r>
      <w:r w:rsidR="00342F89">
        <w:t xml:space="preserve">, which will take place in 2018-19, but </w:t>
      </w:r>
      <w:r w:rsidR="00CE6262">
        <w:t>was planned for in the reporting period,</w:t>
      </w:r>
      <w:r>
        <w:t xml:space="preserve"> will ensure infrastructure remains in place to support emergency communications during cyclones and other natural disasters. </w:t>
      </w:r>
    </w:p>
    <w:p w14:paraId="58E9E179" w14:textId="647D230C" w:rsidR="000E2605" w:rsidRDefault="000E2605" w:rsidP="000E2605">
      <w:r w:rsidRPr="00370290">
        <w:t>Strengthening education and health services in Samoa remains a priority for Australia’s aid program</w:t>
      </w:r>
      <w:r w:rsidR="00507E65" w:rsidRPr="00370290">
        <w:t>, with recent reporting on challenges in the health sector demonstrating significant need for donor assistance.</w:t>
      </w:r>
      <w:r w:rsidRPr="00370290">
        <w:t xml:space="preserve">  </w:t>
      </w:r>
      <w:r w:rsidR="00507E65" w:rsidRPr="00370290">
        <w:t>While</w:t>
      </w:r>
      <w:r w:rsidR="00507E65">
        <w:t xml:space="preserve"> providing ongoing support at the health systems level, at a practical level, </w:t>
      </w:r>
      <w:r>
        <w:rPr>
          <w:rFonts w:eastAsia="Times New Roman"/>
        </w:rPr>
        <w:t xml:space="preserve">Australia also funded a </w:t>
      </w:r>
      <w:r w:rsidRPr="001A1113">
        <w:rPr>
          <w:rFonts w:eastAsia="Times New Roman"/>
        </w:rPr>
        <w:t xml:space="preserve">prosthetics and orthotics workshop </w:t>
      </w:r>
      <w:r>
        <w:rPr>
          <w:rFonts w:eastAsia="Times New Roman"/>
        </w:rPr>
        <w:t xml:space="preserve">to deliver </w:t>
      </w:r>
      <w:r w:rsidRPr="001A1113">
        <w:rPr>
          <w:rFonts w:eastAsia="Times New Roman"/>
        </w:rPr>
        <w:t>mobility devices, including walking aids and wheelchairs</w:t>
      </w:r>
      <w:r>
        <w:rPr>
          <w:rFonts w:eastAsia="Times New Roman"/>
        </w:rPr>
        <w:t>. Australian support for Samoa’s Education Sector Plan has helped m</w:t>
      </w:r>
      <w:r w:rsidRPr="00643FA6">
        <w:rPr>
          <w:rFonts w:eastAsia="Times New Roman"/>
        </w:rPr>
        <w:t xml:space="preserve">ore primary children </w:t>
      </w:r>
      <w:r>
        <w:rPr>
          <w:rFonts w:eastAsia="Times New Roman"/>
        </w:rPr>
        <w:t xml:space="preserve">to </w:t>
      </w:r>
      <w:r w:rsidRPr="00643FA6">
        <w:rPr>
          <w:rFonts w:eastAsia="Times New Roman"/>
        </w:rPr>
        <w:t>read, write a</w:t>
      </w:r>
      <w:r>
        <w:rPr>
          <w:rFonts w:eastAsia="Times New Roman"/>
        </w:rPr>
        <w:t>nd count to national standards.</w:t>
      </w:r>
    </w:p>
    <w:p w14:paraId="1F7BD2B9" w14:textId="3EA736FA" w:rsidR="000E2605" w:rsidRDefault="000E2605" w:rsidP="000E2605">
      <w:r w:rsidRPr="00F648C6">
        <w:t>Australia is Samoa’s largest bilateral aid donor. Other significant donors include New Zealand, China and Japan. In 201</w:t>
      </w:r>
      <w:r>
        <w:t>7-18</w:t>
      </w:r>
      <w:r w:rsidRPr="00F648C6">
        <w:t>, Australia’s official development assistance (ODA) expenditure was $</w:t>
      </w:r>
      <w:r>
        <w:t>35</w:t>
      </w:r>
      <w:r w:rsidRPr="00F648C6">
        <w:t xml:space="preserve"> million, equivalent to approximately </w:t>
      </w:r>
      <w:r>
        <w:t>8</w:t>
      </w:r>
      <w:r w:rsidRPr="00F648C6">
        <w:t xml:space="preserve"> per cent of Samoa’s national budget</w:t>
      </w:r>
      <w:r>
        <w:t>.</w:t>
      </w:r>
      <w:r w:rsidR="00CE6262">
        <w:t xml:space="preserve"> </w:t>
      </w:r>
    </w:p>
    <w:p w14:paraId="79336B3E" w14:textId="77777777" w:rsidR="00507E65" w:rsidRDefault="00507E65" w:rsidP="000E2605">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356AB897" w14:textId="77777777" w:rsidR="00507E65" w:rsidRDefault="00507E65" w:rsidP="000E2605">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C4FCF08" w14:textId="5A71AA00" w:rsidR="000E2605" w:rsidRPr="002A51CA" w:rsidRDefault="000E2605" w:rsidP="000E2605">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14:paraId="4CC65F37" w14:textId="1AF7E919" w:rsidR="000E2605" w:rsidRPr="0039547B" w:rsidRDefault="000E2605" w:rsidP="000E2605">
      <w:pPr>
        <w:rPr>
          <w:b/>
        </w:rPr>
      </w:pPr>
      <w:r w:rsidRPr="0039547B">
        <w:rPr>
          <w:b/>
        </w:rPr>
        <w:t xml:space="preserve">Table </w:t>
      </w:r>
      <w:r w:rsidRPr="0039547B">
        <w:rPr>
          <w:b/>
        </w:rPr>
        <w:fldChar w:fldCharType="begin"/>
      </w:r>
      <w:r w:rsidRPr="0039547B">
        <w:rPr>
          <w:b/>
        </w:rPr>
        <w:instrText xml:space="preserve"> SEQ Table \* ARABIC </w:instrText>
      </w:r>
      <w:r w:rsidRPr="0039547B">
        <w:rPr>
          <w:b/>
        </w:rPr>
        <w:fldChar w:fldCharType="separate"/>
      </w:r>
      <w:r w:rsidR="008C2AC6">
        <w:rPr>
          <w:b/>
          <w:noProof/>
        </w:rPr>
        <w:t>1</w:t>
      </w:r>
      <w:r w:rsidRPr="0039547B">
        <w:rPr>
          <w:b/>
          <w:noProof/>
        </w:rPr>
        <w:fldChar w:fldCharType="end"/>
      </w:r>
      <w:r w:rsidRPr="0039547B">
        <w:rPr>
          <w:b/>
        </w:rPr>
        <w:t xml:space="preserve"> Total ODA Expenditure in FY 201</w:t>
      </w:r>
      <w:r w:rsidR="00342F89">
        <w:rPr>
          <w:b/>
        </w:rPr>
        <w:t>7</w:t>
      </w:r>
      <w:r w:rsidRPr="0039547B">
        <w:rPr>
          <w:b/>
        </w:rPr>
        <w:t>-1</w:t>
      </w:r>
      <w:r>
        <w:rPr>
          <w:b/>
        </w:rPr>
        <w:t>8</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0E2605" w:rsidRPr="004E1F36" w14:paraId="3467998E" w14:textId="77777777" w:rsidTr="00080B83">
        <w:tc>
          <w:tcPr>
            <w:tcW w:w="6374" w:type="dxa"/>
          </w:tcPr>
          <w:p w14:paraId="713F9DD0" w14:textId="77777777" w:rsidR="000E2605" w:rsidRPr="004E1F36" w:rsidRDefault="000E2605" w:rsidP="00080B83">
            <w:pPr>
              <w:rPr>
                <w:b/>
                <w:sz w:val="24"/>
              </w:rPr>
            </w:pPr>
            <w:r w:rsidRPr="004E1F36">
              <w:rPr>
                <w:sz w:val="20"/>
              </w:rPr>
              <w:t>Objective</w:t>
            </w:r>
          </w:p>
        </w:tc>
        <w:tc>
          <w:tcPr>
            <w:tcW w:w="1423" w:type="dxa"/>
          </w:tcPr>
          <w:p w14:paraId="309636CA" w14:textId="77777777" w:rsidR="000E2605" w:rsidRPr="004E1F36" w:rsidRDefault="000E2605" w:rsidP="00080B83">
            <w:pPr>
              <w:jc w:val="right"/>
              <w:rPr>
                <w:b/>
                <w:sz w:val="24"/>
              </w:rPr>
            </w:pPr>
            <w:r w:rsidRPr="004E1F36">
              <w:rPr>
                <w:sz w:val="20"/>
              </w:rPr>
              <w:t>A$ million</w:t>
            </w:r>
          </w:p>
        </w:tc>
        <w:tc>
          <w:tcPr>
            <w:tcW w:w="1417" w:type="dxa"/>
          </w:tcPr>
          <w:p w14:paraId="0DC0B189" w14:textId="77777777" w:rsidR="000E2605" w:rsidRPr="004E1F36" w:rsidRDefault="000E2605" w:rsidP="00080B83">
            <w:pPr>
              <w:jc w:val="right"/>
              <w:rPr>
                <w:b/>
                <w:sz w:val="24"/>
              </w:rPr>
            </w:pPr>
            <w:r w:rsidRPr="004E1F36">
              <w:rPr>
                <w:sz w:val="20"/>
              </w:rPr>
              <w:t>% of total ODA</w:t>
            </w:r>
          </w:p>
        </w:tc>
      </w:tr>
      <w:tr w:rsidR="000E2605" w:rsidRPr="004E1F36" w14:paraId="1B2E395F" w14:textId="77777777" w:rsidTr="00080B83">
        <w:tc>
          <w:tcPr>
            <w:tcW w:w="6374" w:type="dxa"/>
          </w:tcPr>
          <w:p w14:paraId="057AACB0" w14:textId="77777777" w:rsidR="000E2605" w:rsidRPr="004E1F36" w:rsidRDefault="000E2605" w:rsidP="00080B83">
            <w:pPr>
              <w:rPr>
                <w:b/>
                <w:sz w:val="24"/>
              </w:rPr>
            </w:pPr>
            <w:r w:rsidRPr="004E1F36">
              <w:rPr>
                <w:sz w:val="20"/>
              </w:rPr>
              <w:t>Objective 1: Enable economic growth</w:t>
            </w:r>
          </w:p>
        </w:tc>
        <w:tc>
          <w:tcPr>
            <w:tcW w:w="1423" w:type="dxa"/>
          </w:tcPr>
          <w:p w14:paraId="4E3F9615" w14:textId="77777777" w:rsidR="000E2605" w:rsidRPr="004E1F36" w:rsidRDefault="000E2605" w:rsidP="00080B83">
            <w:pPr>
              <w:jc w:val="right"/>
              <w:rPr>
                <w:b/>
                <w:sz w:val="24"/>
              </w:rPr>
            </w:pPr>
            <w:r>
              <w:rPr>
                <w:b/>
                <w:sz w:val="24"/>
              </w:rPr>
              <w:t xml:space="preserve">  5.0</w:t>
            </w:r>
          </w:p>
        </w:tc>
        <w:tc>
          <w:tcPr>
            <w:tcW w:w="1417" w:type="dxa"/>
          </w:tcPr>
          <w:p w14:paraId="786D7BAB" w14:textId="77777777" w:rsidR="000E2605" w:rsidRPr="004E1F36" w:rsidRDefault="000E2605" w:rsidP="00080B83">
            <w:pPr>
              <w:jc w:val="right"/>
              <w:rPr>
                <w:b/>
                <w:sz w:val="24"/>
              </w:rPr>
            </w:pPr>
            <w:r>
              <w:rPr>
                <w:b/>
                <w:sz w:val="24"/>
              </w:rPr>
              <w:t>14%</w:t>
            </w:r>
          </w:p>
        </w:tc>
      </w:tr>
      <w:tr w:rsidR="000E2605" w:rsidRPr="004E1F36" w14:paraId="3F6F97D3" w14:textId="77777777" w:rsidTr="00080B83">
        <w:tc>
          <w:tcPr>
            <w:tcW w:w="6374" w:type="dxa"/>
          </w:tcPr>
          <w:p w14:paraId="575BBADE" w14:textId="77777777" w:rsidR="000E2605" w:rsidRPr="004E1F36" w:rsidRDefault="000E2605" w:rsidP="00080B83">
            <w:pPr>
              <w:rPr>
                <w:b/>
                <w:sz w:val="24"/>
              </w:rPr>
            </w:pPr>
            <w:r w:rsidRPr="004E1F36">
              <w:rPr>
                <w:sz w:val="20"/>
              </w:rPr>
              <w:t>Objective 2: Progress health and education outcomes</w:t>
            </w:r>
          </w:p>
        </w:tc>
        <w:tc>
          <w:tcPr>
            <w:tcW w:w="1423" w:type="dxa"/>
          </w:tcPr>
          <w:p w14:paraId="751CA9D1" w14:textId="77777777" w:rsidR="000E2605" w:rsidRPr="004E1F36" w:rsidRDefault="000E2605" w:rsidP="00080B83">
            <w:pPr>
              <w:jc w:val="right"/>
              <w:rPr>
                <w:b/>
                <w:sz w:val="24"/>
              </w:rPr>
            </w:pPr>
            <w:r>
              <w:rPr>
                <w:b/>
                <w:sz w:val="24"/>
              </w:rPr>
              <w:t>10.5</w:t>
            </w:r>
          </w:p>
        </w:tc>
        <w:tc>
          <w:tcPr>
            <w:tcW w:w="1417" w:type="dxa"/>
          </w:tcPr>
          <w:p w14:paraId="67ABA897" w14:textId="77777777" w:rsidR="000E2605" w:rsidRPr="004E1F36" w:rsidRDefault="000E2605" w:rsidP="00080B83">
            <w:pPr>
              <w:jc w:val="right"/>
              <w:rPr>
                <w:b/>
                <w:sz w:val="24"/>
              </w:rPr>
            </w:pPr>
            <w:r>
              <w:rPr>
                <w:b/>
                <w:sz w:val="24"/>
              </w:rPr>
              <w:t>30%</w:t>
            </w:r>
          </w:p>
        </w:tc>
      </w:tr>
      <w:tr w:rsidR="000E2605" w:rsidRPr="004E1F36" w14:paraId="7460DE39" w14:textId="77777777" w:rsidTr="00080B83">
        <w:tc>
          <w:tcPr>
            <w:tcW w:w="6374" w:type="dxa"/>
          </w:tcPr>
          <w:p w14:paraId="372053DE" w14:textId="77777777" w:rsidR="000E2605" w:rsidRPr="004E1F36" w:rsidRDefault="000E2605" w:rsidP="00080B83">
            <w:pPr>
              <w:rPr>
                <w:b/>
                <w:sz w:val="24"/>
              </w:rPr>
            </w:pPr>
            <w:r w:rsidRPr="004E1F36">
              <w:rPr>
                <w:sz w:val="20"/>
              </w:rPr>
              <w:t>Objective 3: Strengthen governance</w:t>
            </w:r>
          </w:p>
        </w:tc>
        <w:tc>
          <w:tcPr>
            <w:tcW w:w="1423" w:type="dxa"/>
          </w:tcPr>
          <w:p w14:paraId="6E3E39CC" w14:textId="77777777" w:rsidR="000E2605" w:rsidRPr="004E1F36" w:rsidRDefault="000E2605" w:rsidP="00080B83">
            <w:pPr>
              <w:jc w:val="right"/>
              <w:rPr>
                <w:b/>
                <w:sz w:val="24"/>
              </w:rPr>
            </w:pPr>
            <w:r>
              <w:rPr>
                <w:b/>
                <w:sz w:val="24"/>
              </w:rPr>
              <w:t xml:space="preserve">  8.1</w:t>
            </w:r>
          </w:p>
        </w:tc>
        <w:tc>
          <w:tcPr>
            <w:tcW w:w="1417" w:type="dxa"/>
          </w:tcPr>
          <w:p w14:paraId="643C3241" w14:textId="77777777" w:rsidR="000E2605" w:rsidRPr="004E1F36" w:rsidRDefault="000E2605" w:rsidP="00080B83">
            <w:pPr>
              <w:jc w:val="right"/>
              <w:rPr>
                <w:b/>
                <w:sz w:val="24"/>
              </w:rPr>
            </w:pPr>
            <w:r>
              <w:rPr>
                <w:b/>
                <w:sz w:val="24"/>
              </w:rPr>
              <w:t>23%</w:t>
            </w:r>
          </w:p>
        </w:tc>
      </w:tr>
      <w:tr w:rsidR="000E2605" w:rsidRPr="004E1F36" w14:paraId="2777CBE1" w14:textId="77777777" w:rsidTr="00080B83">
        <w:tc>
          <w:tcPr>
            <w:tcW w:w="6374" w:type="dxa"/>
          </w:tcPr>
          <w:p w14:paraId="433A1F27" w14:textId="77777777" w:rsidR="000E2605" w:rsidRPr="004E1F36" w:rsidRDefault="000E2605" w:rsidP="00080B83">
            <w:pPr>
              <w:rPr>
                <w:b/>
                <w:sz w:val="24"/>
              </w:rPr>
            </w:pPr>
            <w:r w:rsidRPr="004E1F36">
              <w:rPr>
                <w:sz w:val="20"/>
              </w:rPr>
              <w:t>Sub-Total Bilateral</w:t>
            </w:r>
          </w:p>
        </w:tc>
        <w:tc>
          <w:tcPr>
            <w:tcW w:w="1423" w:type="dxa"/>
          </w:tcPr>
          <w:p w14:paraId="27C9EB1E" w14:textId="77777777" w:rsidR="000E2605" w:rsidRPr="004E1F36" w:rsidRDefault="000E2605" w:rsidP="00080B83">
            <w:pPr>
              <w:jc w:val="right"/>
              <w:rPr>
                <w:b/>
                <w:sz w:val="24"/>
              </w:rPr>
            </w:pPr>
            <w:r>
              <w:rPr>
                <w:b/>
                <w:sz w:val="24"/>
              </w:rPr>
              <w:t>23.6</w:t>
            </w:r>
          </w:p>
        </w:tc>
        <w:tc>
          <w:tcPr>
            <w:tcW w:w="1417" w:type="dxa"/>
          </w:tcPr>
          <w:p w14:paraId="084DB079" w14:textId="77777777" w:rsidR="000E2605" w:rsidRPr="004E1F36" w:rsidRDefault="000E2605" w:rsidP="00080B83">
            <w:pPr>
              <w:jc w:val="right"/>
              <w:rPr>
                <w:b/>
                <w:sz w:val="24"/>
              </w:rPr>
            </w:pPr>
            <w:r>
              <w:rPr>
                <w:b/>
                <w:sz w:val="24"/>
              </w:rPr>
              <w:t>67%</w:t>
            </w:r>
          </w:p>
        </w:tc>
      </w:tr>
      <w:tr w:rsidR="000E2605" w:rsidRPr="004E1F36" w14:paraId="10F4810E" w14:textId="77777777" w:rsidTr="00080B83">
        <w:tc>
          <w:tcPr>
            <w:tcW w:w="6374" w:type="dxa"/>
          </w:tcPr>
          <w:p w14:paraId="39D539E0" w14:textId="77777777" w:rsidR="000E2605" w:rsidRPr="004E1F36" w:rsidRDefault="000E2605" w:rsidP="00080B83">
            <w:pPr>
              <w:rPr>
                <w:b/>
                <w:sz w:val="24"/>
              </w:rPr>
            </w:pPr>
            <w:r w:rsidRPr="004E1F36">
              <w:rPr>
                <w:sz w:val="20"/>
              </w:rPr>
              <w:t>Regional and Global</w:t>
            </w:r>
          </w:p>
        </w:tc>
        <w:tc>
          <w:tcPr>
            <w:tcW w:w="1423" w:type="dxa"/>
          </w:tcPr>
          <w:p w14:paraId="441A16A0" w14:textId="77777777" w:rsidR="000E2605" w:rsidRPr="004E1F36" w:rsidRDefault="000E2605" w:rsidP="00080B83">
            <w:pPr>
              <w:jc w:val="right"/>
              <w:rPr>
                <w:b/>
                <w:sz w:val="24"/>
              </w:rPr>
            </w:pPr>
            <w:r>
              <w:rPr>
                <w:b/>
                <w:sz w:val="24"/>
              </w:rPr>
              <w:t xml:space="preserve">  8.6</w:t>
            </w:r>
          </w:p>
        </w:tc>
        <w:tc>
          <w:tcPr>
            <w:tcW w:w="1417" w:type="dxa"/>
          </w:tcPr>
          <w:p w14:paraId="37E2C035" w14:textId="77777777" w:rsidR="000E2605" w:rsidRPr="004E1F36" w:rsidRDefault="000E2605" w:rsidP="00080B83">
            <w:pPr>
              <w:jc w:val="right"/>
              <w:rPr>
                <w:b/>
                <w:sz w:val="24"/>
              </w:rPr>
            </w:pPr>
            <w:r>
              <w:rPr>
                <w:b/>
                <w:sz w:val="24"/>
              </w:rPr>
              <w:t xml:space="preserve">  25%</w:t>
            </w:r>
          </w:p>
        </w:tc>
      </w:tr>
      <w:tr w:rsidR="000E2605" w:rsidRPr="004E1F36" w14:paraId="12BFC9D9" w14:textId="77777777" w:rsidTr="00080B83">
        <w:tc>
          <w:tcPr>
            <w:tcW w:w="6374" w:type="dxa"/>
          </w:tcPr>
          <w:p w14:paraId="0F07BAB9" w14:textId="77777777" w:rsidR="000E2605" w:rsidRPr="004E1F36" w:rsidRDefault="000E2605" w:rsidP="00080B83">
            <w:pPr>
              <w:rPr>
                <w:b/>
                <w:sz w:val="24"/>
              </w:rPr>
            </w:pPr>
            <w:r w:rsidRPr="004E1F36">
              <w:rPr>
                <w:sz w:val="20"/>
              </w:rPr>
              <w:t>Other Government Departments</w:t>
            </w:r>
          </w:p>
        </w:tc>
        <w:tc>
          <w:tcPr>
            <w:tcW w:w="1423" w:type="dxa"/>
          </w:tcPr>
          <w:p w14:paraId="36930D5F" w14:textId="77777777" w:rsidR="000E2605" w:rsidRPr="004E1F36" w:rsidRDefault="000E2605" w:rsidP="00080B83">
            <w:pPr>
              <w:jc w:val="right"/>
              <w:rPr>
                <w:b/>
                <w:sz w:val="24"/>
              </w:rPr>
            </w:pPr>
            <w:r>
              <w:rPr>
                <w:b/>
                <w:sz w:val="24"/>
              </w:rPr>
              <w:t xml:space="preserve">  2.8</w:t>
            </w:r>
          </w:p>
        </w:tc>
        <w:tc>
          <w:tcPr>
            <w:tcW w:w="1417" w:type="dxa"/>
          </w:tcPr>
          <w:p w14:paraId="4274B7E6" w14:textId="77777777" w:rsidR="000E2605" w:rsidRPr="004E1F36" w:rsidRDefault="000E2605" w:rsidP="00080B83">
            <w:pPr>
              <w:jc w:val="right"/>
              <w:rPr>
                <w:b/>
                <w:sz w:val="24"/>
              </w:rPr>
            </w:pPr>
            <w:r>
              <w:rPr>
                <w:b/>
                <w:sz w:val="24"/>
              </w:rPr>
              <w:t xml:space="preserve">     8%</w:t>
            </w:r>
          </w:p>
        </w:tc>
      </w:tr>
      <w:tr w:rsidR="000E2605" w14:paraId="6FEA35C2" w14:textId="77777777" w:rsidTr="00080B83">
        <w:tc>
          <w:tcPr>
            <w:tcW w:w="6374" w:type="dxa"/>
          </w:tcPr>
          <w:p w14:paraId="62AF54C2" w14:textId="77777777" w:rsidR="000E2605" w:rsidRDefault="000E2605" w:rsidP="00080B83">
            <w:pPr>
              <w:rPr>
                <w:b/>
                <w:sz w:val="24"/>
              </w:rPr>
            </w:pPr>
            <w:r w:rsidRPr="004E1F36">
              <w:rPr>
                <w:sz w:val="20"/>
              </w:rPr>
              <w:t>Total ODA Expenditure</w:t>
            </w:r>
          </w:p>
        </w:tc>
        <w:tc>
          <w:tcPr>
            <w:tcW w:w="1423" w:type="dxa"/>
          </w:tcPr>
          <w:p w14:paraId="7B5388E4" w14:textId="77777777" w:rsidR="000E2605" w:rsidRDefault="000E2605" w:rsidP="00080B83">
            <w:pPr>
              <w:jc w:val="right"/>
              <w:rPr>
                <w:b/>
                <w:sz w:val="24"/>
              </w:rPr>
            </w:pPr>
            <w:r>
              <w:rPr>
                <w:b/>
                <w:sz w:val="24"/>
              </w:rPr>
              <w:t>35.0</w:t>
            </w:r>
          </w:p>
        </w:tc>
        <w:tc>
          <w:tcPr>
            <w:tcW w:w="1417" w:type="dxa"/>
          </w:tcPr>
          <w:p w14:paraId="4EB77AAE" w14:textId="77777777" w:rsidR="000E2605" w:rsidRDefault="000E2605" w:rsidP="00080B83">
            <w:pPr>
              <w:jc w:val="right"/>
              <w:rPr>
                <w:b/>
                <w:sz w:val="24"/>
              </w:rPr>
            </w:pPr>
            <w:r>
              <w:rPr>
                <w:b/>
                <w:sz w:val="24"/>
              </w:rPr>
              <w:t>100%</w:t>
            </w:r>
          </w:p>
        </w:tc>
      </w:tr>
    </w:tbl>
    <w:p w14:paraId="67D6DC52" w14:textId="77777777" w:rsidR="004C17D1" w:rsidRDefault="004C17D1" w:rsidP="000E2605">
      <w:pPr>
        <w:suppressAutoHyphens w:val="0"/>
        <w:spacing w:before="0" w:line="440" w:lineRule="atLeast"/>
        <w:rPr>
          <w:rFonts w:asciiTheme="majorHAnsi" w:eastAsiaTheme="majorEastAsia" w:hAnsiTheme="majorHAnsi" w:cstheme="majorBidi"/>
          <w:caps/>
          <w:sz w:val="36"/>
          <w:szCs w:val="26"/>
        </w:rPr>
      </w:pPr>
    </w:p>
    <w:p w14:paraId="7E6B990E" w14:textId="77777777" w:rsidR="004C17D1" w:rsidRDefault="004C17D1" w:rsidP="000E2605">
      <w:pPr>
        <w:suppressAutoHyphens w:val="0"/>
        <w:spacing w:before="0" w:line="440" w:lineRule="atLeast"/>
        <w:rPr>
          <w:rFonts w:asciiTheme="majorHAnsi" w:eastAsiaTheme="majorEastAsia" w:hAnsiTheme="majorHAnsi" w:cstheme="majorBidi"/>
          <w:caps/>
          <w:sz w:val="36"/>
          <w:szCs w:val="26"/>
        </w:rPr>
      </w:pPr>
    </w:p>
    <w:p w14:paraId="071D376F" w14:textId="00DBBC01" w:rsidR="000E2605" w:rsidRPr="008C2F58" w:rsidRDefault="000E2605" w:rsidP="000E2605">
      <w:pPr>
        <w:suppressAutoHyphens w:val="0"/>
        <w:spacing w:before="0" w:line="440" w:lineRule="atLeast"/>
        <w:rPr>
          <w:rFonts w:asciiTheme="majorHAnsi" w:eastAsiaTheme="majorEastAsia" w:hAnsiTheme="majorHAnsi" w:cstheme="majorBidi"/>
          <w:caps/>
          <w:sz w:val="36"/>
          <w:szCs w:val="26"/>
        </w:rPr>
      </w:pPr>
      <w:r w:rsidRPr="008C2F58">
        <w:rPr>
          <w:rFonts w:asciiTheme="majorHAnsi" w:eastAsiaTheme="majorEastAsia" w:hAnsiTheme="majorHAnsi" w:cstheme="majorBidi"/>
          <w:caps/>
          <w:sz w:val="36"/>
          <w:szCs w:val="26"/>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0E2605" w:rsidRPr="00812509" w14:paraId="25C33C25" w14:textId="77777777" w:rsidTr="00080B83">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06E45CCB" w14:textId="77777777" w:rsidR="000E2605" w:rsidRPr="00812509" w:rsidRDefault="000E2605" w:rsidP="00080B83">
            <w:pPr>
              <w:pStyle w:val="TableTextColumnHeading"/>
            </w:pPr>
            <w:r w:rsidRPr="00812509">
              <w:rPr>
                <w:noProof/>
              </w:rPr>
              <w:drawing>
                <wp:anchor distT="0" distB="0" distL="114300" distR="114300" simplePos="0" relativeHeight="251698176" behindDoc="0" locked="0" layoutInCell="1" allowOverlap="1" wp14:anchorId="5A83CA03" wp14:editId="0CE9B17B">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01C88575" w14:textId="77777777" w:rsidR="000E2605" w:rsidRPr="00812509" w:rsidRDefault="000E2605" w:rsidP="00080B83">
            <w:pPr>
              <w:pStyle w:val="TableTextColumnHeading"/>
            </w:pPr>
            <w:r w:rsidRPr="00812509">
              <w:t>Previous Rating</w:t>
            </w:r>
          </w:p>
        </w:tc>
        <w:tc>
          <w:tcPr>
            <w:tcW w:w="402" w:type="dxa"/>
          </w:tcPr>
          <w:p w14:paraId="04B48557" w14:textId="77777777" w:rsidR="000E2605" w:rsidRPr="00812509" w:rsidRDefault="000E2605" w:rsidP="00080B83">
            <w:pPr>
              <w:pStyle w:val="TableTextColumnHeading"/>
            </w:pPr>
          </w:p>
        </w:tc>
        <w:tc>
          <w:tcPr>
            <w:tcW w:w="1167" w:type="dxa"/>
          </w:tcPr>
          <w:p w14:paraId="1C6C180D" w14:textId="77777777" w:rsidR="000E2605" w:rsidRPr="00812509" w:rsidRDefault="000E2605" w:rsidP="00080B83">
            <w:pPr>
              <w:pStyle w:val="TableTextColumnHeading"/>
            </w:pPr>
            <w:r w:rsidRPr="00812509">
              <w:t>Current Rating</w:t>
            </w:r>
          </w:p>
        </w:tc>
        <w:tc>
          <w:tcPr>
            <w:tcW w:w="996" w:type="dxa"/>
          </w:tcPr>
          <w:p w14:paraId="79E37317" w14:textId="77777777" w:rsidR="000E2605" w:rsidRPr="002A4A0E" w:rsidRDefault="000E2605" w:rsidP="00080B83">
            <w:pPr>
              <w:pStyle w:val="TableTextColumnHeading"/>
            </w:pPr>
          </w:p>
        </w:tc>
      </w:tr>
      <w:tr w:rsidR="000E2605" w:rsidRPr="00812509" w14:paraId="1071DDFF" w14:textId="77777777" w:rsidTr="00080B83">
        <w:trPr>
          <w:cnfStyle w:val="000000010000" w:firstRow="0" w:lastRow="0" w:firstColumn="0" w:lastColumn="0" w:oddVBand="0" w:evenVBand="0" w:oddHBand="0" w:evenHBand="1" w:firstRowFirstColumn="0" w:firstRowLastColumn="0" w:lastRowFirstColumn="0" w:lastRowLastColumn="0"/>
        </w:trPr>
        <w:tc>
          <w:tcPr>
            <w:tcW w:w="5807" w:type="dxa"/>
          </w:tcPr>
          <w:p w14:paraId="4DE72032" w14:textId="77777777" w:rsidR="000E2605" w:rsidRPr="00812509" w:rsidRDefault="000E2605" w:rsidP="00080B83">
            <w:pPr>
              <w:pStyle w:val="TableTextEntries"/>
              <w:rPr>
                <w:rFonts w:asciiTheme="minorHAnsi" w:hAnsiTheme="minorHAnsi"/>
              </w:rPr>
            </w:pPr>
            <w:r w:rsidRPr="00812509">
              <w:rPr>
                <w:rFonts w:asciiTheme="minorHAnsi" w:hAnsiTheme="minorHAnsi"/>
              </w:rPr>
              <w:t>Objective 1</w:t>
            </w:r>
            <w:r>
              <w:rPr>
                <w:rFonts w:asciiTheme="minorHAnsi" w:hAnsiTheme="minorHAnsi"/>
              </w:rPr>
              <w:t>: Enable economic growth</w:t>
            </w:r>
          </w:p>
        </w:tc>
        <w:tc>
          <w:tcPr>
            <w:tcW w:w="1098" w:type="dxa"/>
            <w:shd w:val="clear" w:color="auto" w:fill="72AF2F"/>
            <w:noWrap/>
          </w:tcPr>
          <w:p w14:paraId="36CB0651" w14:textId="77777777" w:rsidR="000E2605" w:rsidRPr="00812509" w:rsidRDefault="000E2605" w:rsidP="00080B83">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25BE1756" w14:textId="77777777" w:rsidR="000E2605" w:rsidRPr="00812509" w:rsidRDefault="000E2605" w:rsidP="00080B83">
            <w:pPr>
              <w:pStyle w:val="TableTextEntries"/>
              <w:jc w:val="center"/>
              <w:rPr>
                <w:rFonts w:asciiTheme="minorHAnsi" w:hAnsiTheme="minorHAnsi"/>
                <w:color w:val="FFFFFF" w:themeColor="background1"/>
              </w:rPr>
            </w:pPr>
          </w:p>
        </w:tc>
        <w:tc>
          <w:tcPr>
            <w:tcW w:w="1167" w:type="dxa"/>
            <w:shd w:val="clear" w:color="auto" w:fill="7FB64D" w:themeFill="accent3" w:themeFillShade="BF"/>
            <w:noWrap/>
          </w:tcPr>
          <w:p w14:paraId="089203C8" w14:textId="77777777" w:rsidR="000E2605" w:rsidRPr="00D44094" w:rsidRDefault="000E2605" w:rsidP="00080B83">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996" w:type="dxa"/>
            <w:shd w:val="clear" w:color="auto" w:fill="auto"/>
          </w:tcPr>
          <w:p w14:paraId="64A7B259" w14:textId="77777777" w:rsidR="000E2605" w:rsidRPr="002A4A0E" w:rsidRDefault="000E2605" w:rsidP="00080B83">
            <w:pPr>
              <w:pStyle w:val="TableTextEntries"/>
              <w:jc w:val="center"/>
              <w:rPr>
                <w:rFonts w:asciiTheme="minorHAnsi" w:hAnsiTheme="minorHAnsi"/>
                <w:color w:val="FFFFFF" w:themeColor="background1"/>
              </w:rPr>
            </w:pPr>
          </w:p>
        </w:tc>
      </w:tr>
      <w:tr w:rsidR="000E2605" w:rsidRPr="00812509" w14:paraId="36335E6C" w14:textId="77777777" w:rsidTr="00090D5D">
        <w:trPr>
          <w:cnfStyle w:val="000000010000" w:firstRow="0" w:lastRow="0" w:firstColumn="0" w:lastColumn="0" w:oddVBand="0" w:evenVBand="0" w:oddHBand="0" w:evenHBand="1" w:firstRowFirstColumn="0" w:firstRowLastColumn="0" w:lastRowFirstColumn="0" w:lastRowLastColumn="0"/>
        </w:trPr>
        <w:tc>
          <w:tcPr>
            <w:tcW w:w="5807" w:type="dxa"/>
          </w:tcPr>
          <w:p w14:paraId="7B5E350F" w14:textId="77777777" w:rsidR="000E2605" w:rsidRPr="00812509" w:rsidRDefault="000E2605" w:rsidP="00080B83">
            <w:pPr>
              <w:pStyle w:val="TableTextEntries"/>
              <w:rPr>
                <w:rFonts w:asciiTheme="minorHAnsi" w:hAnsiTheme="minorHAnsi"/>
              </w:rPr>
            </w:pPr>
            <w:r w:rsidRPr="00812509">
              <w:rPr>
                <w:rFonts w:asciiTheme="minorHAnsi" w:hAnsiTheme="minorHAnsi"/>
              </w:rPr>
              <w:t>Objective 2</w:t>
            </w:r>
            <w:r>
              <w:rPr>
                <w:rFonts w:asciiTheme="minorHAnsi" w:hAnsiTheme="minorHAnsi"/>
              </w:rPr>
              <w:t>: Progress health and education outcomes</w:t>
            </w:r>
          </w:p>
        </w:tc>
        <w:tc>
          <w:tcPr>
            <w:tcW w:w="1098" w:type="dxa"/>
            <w:shd w:val="clear" w:color="auto" w:fill="FFC000"/>
            <w:noWrap/>
          </w:tcPr>
          <w:p w14:paraId="68266DD8" w14:textId="77777777" w:rsidR="000E2605" w:rsidRPr="00FA7B30" w:rsidRDefault="000E2605" w:rsidP="00080B83">
            <w:pPr>
              <w:pStyle w:val="TableTextEntries"/>
              <w:jc w:val="center"/>
              <w:rPr>
                <w:rFonts w:asciiTheme="minorHAnsi" w:hAnsiTheme="minorHAnsi"/>
                <w:color w:val="FFFFFF" w:themeColor="background1"/>
              </w:rPr>
            </w:pPr>
            <w:r w:rsidRPr="00FA7B30">
              <w:rPr>
                <w:rFonts w:asciiTheme="minorHAnsi" w:hAnsiTheme="minorHAnsi"/>
                <w:color w:val="FFFFFF" w:themeColor="background1"/>
              </w:rPr>
              <w:t>Amber</w:t>
            </w:r>
          </w:p>
        </w:tc>
        <w:tc>
          <w:tcPr>
            <w:tcW w:w="402" w:type="dxa"/>
          </w:tcPr>
          <w:p w14:paraId="2550D8CD" w14:textId="77777777" w:rsidR="000E2605" w:rsidRPr="00812509" w:rsidRDefault="000E2605" w:rsidP="00080B83">
            <w:pPr>
              <w:pStyle w:val="TableTextEntries"/>
              <w:jc w:val="center"/>
              <w:rPr>
                <w:rFonts w:asciiTheme="minorHAnsi" w:hAnsiTheme="minorHAnsi"/>
                <w:color w:val="FFFFFF" w:themeColor="background1"/>
              </w:rPr>
            </w:pPr>
          </w:p>
        </w:tc>
        <w:tc>
          <w:tcPr>
            <w:tcW w:w="1167" w:type="dxa"/>
            <w:shd w:val="clear" w:color="auto" w:fill="FFC000"/>
            <w:noWrap/>
          </w:tcPr>
          <w:p w14:paraId="299A0871" w14:textId="53FB3207" w:rsidR="000E2605" w:rsidRPr="00347442" w:rsidRDefault="00090D5D" w:rsidP="00080B83">
            <w:pPr>
              <w:pStyle w:val="TableTextEntries"/>
              <w:jc w:val="center"/>
              <w:rPr>
                <w:rFonts w:asciiTheme="minorHAnsi" w:hAnsiTheme="minorHAnsi"/>
                <w:color w:val="FFFFFF" w:themeColor="background1"/>
                <w:highlight w:val="green"/>
              </w:rPr>
            </w:pPr>
            <w:r>
              <w:rPr>
                <w:rFonts w:asciiTheme="minorHAnsi" w:hAnsiTheme="minorHAnsi"/>
                <w:color w:val="FFFFFF" w:themeColor="background1"/>
              </w:rPr>
              <w:t>Amber</w:t>
            </w:r>
          </w:p>
        </w:tc>
        <w:tc>
          <w:tcPr>
            <w:tcW w:w="996" w:type="dxa"/>
            <w:shd w:val="clear" w:color="auto" w:fill="auto"/>
          </w:tcPr>
          <w:p w14:paraId="154293F8" w14:textId="77777777" w:rsidR="000E2605" w:rsidRPr="002A4A0E" w:rsidRDefault="000E2605" w:rsidP="00080B83">
            <w:pPr>
              <w:pStyle w:val="TableTextEntries"/>
              <w:jc w:val="center"/>
              <w:rPr>
                <w:rFonts w:asciiTheme="minorHAnsi" w:hAnsiTheme="minorHAnsi"/>
                <w:color w:val="FFFFFF" w:themeColor="background1"/>
              </w:rPr>
            </w:pPr>
          </w:p>
        </w:tc>
      </w:tr>
      <w:tr w:rsidR="000E2605" w:rsidRPr="00812509" w14:paraId="7BF4F045" w14:textId="77777777" w:rsidTr="00080B83">
        <w:trPr>
          <w:cnfStyle w:val="000000010000" w:firstRow="0" w:lastRow="0" w:firstColumn="0" w:lastColumn="0" w:oddVBand="0" w:evenVBand="0" w:oddHBand="0" w:evenHBand="1" w:firstRowFirstColumn="0" w:firstRowLastColumn="0" w:lastRowFirstColumn="0" w:lastRowLastColumn="0"/>
        </w:trPr>
        <w:tc>
          <w:tcPr>
            <w:tcW w:w="5807" w:type="dxa"/>
          </w:tcPr>
          <w:p w14:paraId="6BBA1A17" w14:textId="77777777" w:rsidR="000E2605" w:rsidRPr="00812509" w:rsidRDefault="000E2605" w:rsidP="00080B83">
            <w:pPr>
              <w:pStyle w:val="TableTextEntries"/>
              <w:rPr>
                <w:rFonts w:asciiTheme="minorHAnsi" w:hAnsiTheme="minorHAnsi"/>
              </w:rPr>
            </w:pPr>
            <w:r w:rsidRPr="00812509">
              <w:rPr>
                <w:rFonts w:asciiTheme="minorHAnsi" w:hAnsiTheme="minorHAnsi"/>
              </w:rPr>
              <w:t>Objective 3</w:t>
            </w:r>
            <w:r>
              <w:rPr>
                <w:rFonts w:asciiTheme="minorHAnsi" w:hAnsiTheme="minorHAnsi"/>
              </w:rPr>
              <w:t>: Strengthen governance</w:t>
            </w:r>
          </w:p>
        </w:tc>
        <w:tc>
          <w:tcPr>
            <w:tcW w:w="1098" w:type="dxa"/>
            <w:shd w:val="clear" w:color="auto" w:fill="7FB64D"/>
            <w:noWrap/>
          </w:tcPr>
          <w:p w14:paraId="5D87E1C9" w14:textId="77777777" w:rsidR="000E2605" w:rsidRPr="00812509" w:rsidRDefault="000E2605" w:rsidP="00080B83">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14:paraId="40EDB88E" w14:textId="77777777" w:rsidR="000E2605" w:rsidRPr="00812509" w:rsidRDefault="000E2605" w:rsidP="00080B83">
            <w:pPr>
              <w:pStyle w:val="TableTextEntries"/>
              <w:jc w:val="center"/>
              <w:rPr>
                <w:rFonts w:asciiTheme="minorHAnsi" w:hAnsiTheme="minorHAnsi"/>
                <w:color w:val="FFFFFF" w:themeColor="background1"/>
              </w:rPr>
            </w:pPr>
          </w:p>
        </w:tc>
        <w:tc>
          <w:tcPr>
            <w:tcW w:w="1167" w:type="dxa"/>
            <w:shd w:val="clear" w:color="auto" w:fill="FFC000"/>
            <w:noWrap/>
          </w:tcPr>
          <w:p w14:paraId="7ACE05EF" w14:textId="77777777" w:rsidR="000E2605" w:rsidRPr="00347442" w:rsidRDefault="000E2605" w:rsidP="00080B83">
            <w:pPr>
              <w:pStyle w:val="TableTextEntries"/>
              <w:jc w:val="center"/>
              <w:rPr>
                <w:rFonts w:asciiTheme="minorHAnsi" w:hAnsiTheme="minorHAnsi"/>
                <w:color w:val="FFFFFF" w:themeColor="background1"/>
                <w:highlight w:val="green"/>
              </w:rPr>
            </w:pPr>
            <w:r>
              <w:rPr>
                <w:rFonts w:asciiTheme="minorHAnsi" w:hAnsiTheme="minorHAnsi"/>
                <w:color w:val="FFFFFF" w:themeColor="background1"/>
              </w:rPr>
              <w:t>Amber</w:t>
            </w:r>
          </w:p>
        </w:tc>
        <w:tc>
          <w:tcPr>
            <w:tcW w:w="996" w:type="dxa"/>
            <w:shd w:val="clear" w:color="auto" w:fill="auto"/>
          </w:tcPr>
          <w:p w14:paraId="4CC6A6AC" w14:textId="77777777" w:rsidR="000E2605" w:rsidRPr="002A4A0E" w:rsidRDefault="000E2605" w:rsidP="00080B83">
            <w:pPr>
              <w:pStyle w:val="TableTextEntries"/>
              <w:jc w:val="center"/>
              <w:rPr>
                <w:rFonts w:asciiTheme="minorHAnsi" w:hAnsiTheme="minorHAnsi"/>
                <w:color w:val="FFFFFF" w:themeColor="background1"/>
              </w:rPr>
            </w:pPr>
          </w:p>
        </w:tc>
      </w:tr>
    </w:tbl>
    <w:p w14:paraId="7EB27475" w14:textId="77777777" w:rsidR="000E2605" w:rsidRPr="00812509" w:rsidRDefault="000E2605" w:rsidP="000E2605">
      <w:pPr>
        <w:pStyle w:val="Note"/>
      </w:pPr>
      <w:r w:rsidRPr="00812509">
        <w:t xml:space="preserve">Note: </w:t>
      </w:r>
    </w:p>
    <w:p w14:paraId="1F2AB434" w14:textId="77777777" w:rsidR="000E2605" w:rsidRPr="00812509" w:rsidRDefault="000E2605" w:rsidP="000E2605">
      <w:pPr>
        <w:pStyle w:val="Note"/>
      </w:pPr>
      <w:r w:rsidRPr="00812509">
        <w:rPr>
          <w:color w:val="72AF2F"/>
        </w:rPr>
        <w:sym w:font="Webdings" w:char="F067"/>
      </w:r>
      <w:r w:rsidRPr="00812509">
        <w:t> </w:t>
      </w:r>
      <w:r w:rsidRPr="00812509">
        <w:t xml:space="preserve"> Green. Progress is as expected at this stage of implementation and it is likely that the objective will be achieved. Standard program management practices are sufficient.</w:t>
      </w:r>
    </w:p>
    <w:p w14:paraId="444FE091" w14:textId="77777777" w:rsidR="000E2605" w:rsidRPr="00812509" w:rsidRDefault="000E2605" w:rsidP="000E2605">
      <w:pPr>
        <w:pStyle w:val="Note"/>
      </w:pPr>
      <w:r w:rsidRPr="00812509">
        <w:rPr>
          <w:color w:val="E36C0A"/>
        </w:rPr>
        <w:sym w:font="Webdings" w:char="F067"/>
      </w:r>
      <w:r w:rsidRPr="00812509">
        <w:t> </w:t>
      </w:r>
      <w:r w:rsidRPr="00812509">
        <w:t xml:space="preserve"> Amber. Progress is somewhat less than expected at this stage of implementation and restorative action will be necessary if the objective is to be achieved. Close performance monitoring is recommended.</w:t>
      </w:r>
    </w:p>
    <w:p w14:paraId="476704ED" w14:textId="77777777" w:rsidR="000E2605" w:rsidRDefault="000E2605" w:rsidP="000E2605">
      <w:pPr>
        <w:pStyle w:val="Note"/>
      </w:pPr>
      <w:r w:rsidRPr="00812509">
        <w:rPr>
          <w:color w:val="FF0000"/>
        </w:rPr>
        <w:sym w:font="Webdings" w:char="F067"/>
      </w:r>
      <w:r w:rsidRPr="00812509">
        <w:t> </w:t>
      </w:r>
      <w:r w:rsidRPr="00812509">
        <w:t xml:space="preserve"> Red. Progress is significantly less than expected at this stage of implementation and the objective is not likely to be met given available resources and priorities. Recasting the objective may be required.</w:t>
      </w:r>
    </w:p>
    <w:p w14:paraId="5634C14D" w14:textId="77777777" w:rsidR="000E2605" w:rsidRPr="00CB70E8" w:rsidRDefault="000E2605" w:rsidP="000E2605">
      <w:pPr>
        <w:pStyle w:val="Note"/>
        <w:rPr>
          <w:sz w:val="12"/>
          <w:szCs w:val="12"/>
        </w:rPr>
      </w:pPr>
      <w:r w:rsidRPr="00C4114C">
        <w:t xml:space="preserve">  </w:t>
      </w:r>
    </w:p>
    <w:p w14:paraId="45A06C89" w14:textId="77777777" w:rsidR="00FC5419" w:rsidRDefault="00FC5419" w:rsidP="000E2605">
      <w:pPr>
        <w:spacing w:before="0"/>
        <w:rPr>
          <w:rFonts w:asciiTheme="majorHAnsi" w:eastAsiaTheme="majorEastAsia" w:hAnsiTheme="majorHAnsi" w:cstheme="majorBidi"/>
          <w:caps/>
          <w:sz w:val="38"/>
          <w:szCs w:val="26"/>
        </w:rPr>
      </w:pPr>
    </w:p>
    <w:p w14:paraId="40E89292" w14:textId="1348F9B8" w:rsidR="000E2605" w:rsidRDefault="000E2605" w:rsidP="000E2605">
      <w:pPr>
        <w:spacing w:before="0"/>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Objective 1</w:t>
      </w:r>
      <w:r>
        <w:rPr>
          <w:rFonts w:asciiTheme="majorHAnsi" w:eastAsiaTheme="majorEastAsia" w:hAnsiTheme="majorHAnsi" w:cstheme="majorBidi"/>
          <w:caps/>
          <w:sz w:val="38"/>
          <w:szCs w:val="26"/>
        </w:rPr>
        <w:t>: Enable Economic Growth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0E2605" w:rsidRPr="00695730" w14:paraId="0976812B" w14:textId="77777777" w:rsidTr="00080B83">
        <w:tc>
          <w:tcPr>
            <w:tcW w:w="2016" w:type="dxa"/>
          </w:tcPr>
          <w:p w14:paraId="354BBE96" w14:textId="77777777" w:rsidR="000E2605" w:rsidRPr="00695730" w:rsidRDefault="000E2605" w:rsidP="00080B83">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C4A6DBB" wp14:editId="4E60AC06">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35DB4846"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DB43D37" wp14:editId="369D5B6C">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38707FB8"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DC8FC33" wp14:editId="328012AF">
                  <wp:extent cx="609600" cy="609600"/>
                  <wp:effectExtent l="0" t="0" r="0" b="0"/>
                  <wp:docPr id="43" name="Picture 4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4EE08AF6"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sidRPr="0096397E">
              <w:rPr>
                <w:rFonts w:asciiTheme="majorHAnsi" w:eastAsiaTheme="majorEastAsia" w:hAnsiTheme="majorHAnsi" w:cstheme="majorBidi"/>
                <w:caps/>
                <w:noProof/>
                <w:sz w:val="38"/>
                <w:szCs w:val="26"/>
                <w:lang w:val="en-AU" w:eastAsia="en-AU"/>
              </w:rPr>
              <w:drawing>
                <wp:inline distT="0" distB="0" distL="0" distR="0" wp14:anchorId="76599B76" wp14:editId="66AE008A">
                  <wp:extent cx="612000" cy="612000"/>
                  <wp:effectExtent l="0" t="0" r="0" b="0"/>
                  <wp:docPr id="3" name="Picture 3"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Aregnaul\Desktop\sdg-0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906" w:type="dxa"/>
          </w:tcPr>
          <w:p w14:paraId="173FE665"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C57A5F2" wp14:editId="0985F967">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5AF6F6C0" w14:textId="0D7C865E" w:rsidR="00CE6262" w:rsidRDefault="00CE6262" w:rsidP="00CE6262">
      <w:pPr>
        <w:spacing w:line="240" w:lineRule="auto"/>
        <w:rPr>
          <w:rFonts w:eastAsia="Times New Roman"/>
        </w:rPr>
      </w:pPr>
      <w:r>
        <w:rPr>
          <w:rFonts w:eastAsia="Times New Roman"/>
        </w:rPr>
        <w:t>Australia continues to support Samoa’s economic reforms through the Joint Policy Action Matrix (JPAM) in partnership with the World Bank, the Asian Development Bank and New Zealand. JPAM incentivises economic reform by disbursing funds when the Government of Samoa achieves jointly agreed reforms. Achievements in the period included:</w:t>
      </w:r>
      <w:r w:rsidRPr="00F4752D">
        <w:rPr>
          <w:rFonts w:eastAsia="Times New Roman"/>
        </w:rPr>
        <w:t xml:space="preserve"> </w:t>
      </w:r>
      <w:r>
        <w:rPr>
          <w:rFonts w:eastAsia="Times New Roman"/>
        </w:rPr>
        <w:t xml:space="preserve">strengthened </w:t>
      </w:r>
      <w:r w:rsidRPr="00F4752D">
        <w:rPr>
          <w:rFonts w:eastAsia="Times New Roman"/>
        </w:rPr>
        <w:t>d</w:t>
      </w:r>
      <w:r>
        <w:rPr>
          <w:rFonts w:eastAsia="Times New Roman"/>
        </w:rPr>
        <w:t xml:space="preserve">ebt management and developing </w:t>
      </w:r>
      <w:r w:rsidRPr="009E2ADE">
        <w:rPr>
          <w:rFonts w:eastAsia="Times New Roman"/>
        </w:rPr>
        <w:t>climate-resilient building codes and standards</w:t>
      </w:r>
      <w:r>
        <w:rPr>
          <w:rFonts w:eastAsia="Times New Roman"/>
        </w:rPr>
        <w:t>.  The e</w:t>
      </w:r>
      <w:r w:rsidRPr="009E2ADE">
        <w:rPr>
          <w:rFonts w:eastAsia="Times New Roman"/>
        </w:rPr>
        <w:t xml:space="preserve">ffectiveness of </w:t>
      </w:r>
      <w:r w:rsidR="00C154BB">
        <w:rPr>
          <w:rFonts w:eastAsia="Times New Roman"/>
        </w:rPr>
        <w:t xml:space="preserve">the </w:t>
      </w:r>
      <w:r w:rsidRPr="00C154BB">
        <w:rPr>
          <w:rFonts w:eastAsia="Times New Roman"/>
          <w:i/>
        </w:rPr>
        <w:t>Personal Properties Securities Act</w:t>
      </w:r>
      <w:r w:rsidRPr="009E2ADE">
        <w:rPr>
          <w:rFonts w:eastAsia="Times New Roman"/>
        </w:rPr>
        <w:t xml:space="preserve"> </w:t>
      </w:r>
      <w:r>
        <w:rPr>
          <w:rFonts w:eastAsia="Times New Roman"/>
        </w:rPr>
        <w:t>was</w:t>
      </w:r>
      <w:r w:rsidRPr="00F51A2C">
        <w:rPr>
          <w:rFonts w:eastAsia="Times New Roman"/>
        </w:rPr>
        <w:t xml:space="preserve"> </w:t>
      </w:r>
      <w:r>
        <w:rPr>
          <w:rFonts w:eastAsia="Times New Roman"/>
        </w:rPr>
        <w:t xml:space="preserve">also </w:t>
      </w:r>
      <w:r w:rsidRPr="00F51A2C">
        <w:rPr>
          <w:rFonts w:eastAsia="Times New Roman"/>
        </w:rPr>
        <w:lastRenderedPageBreak/>
        <w:t>strengthen</w:t>
      </w:r>
      <w:r>
        <w:rPr>
          <w:rFonts w:eastAsia="Times New Roman"/>
        </w:rPr>
        <w:t>ed</w:t>
      </w:r>
      <w:r w:rsidRPr="00F51A2C">
        <w:rPr>
          <w:rFonts w:eastAsia="Times New Roman"/>
        </w:rPr>
        <w:t xml:space="preserve"> </w:t>
      </w:r>
      <w:r>
        <w:rPr>
          <w:rFonts w:eastAsia="Times New Roman"/>
        </w:rPr>
        <w:t xml:space="preserve">through the </w:t>
      </w:r>
      <w:r w:rsidRPr="009E2ADE">
        <w:rPr>
          <w:rFonts w:eastAsia="Times New Roman"/>
        </w:rPr>
        <w:t xml:space="preserve">launch of </w:t>
      </w:r>
      <w:r>
        <w:rPr>
          <w:rFonts w:eastAsia="Times New Roman"/>
        </w:rPr>
        <w:t xml:space="preserve">a </w:t>
      </w:r>
      <w:r w:rsidRPr="009E2ADE">
        <w:rPr>
          <w:rFonts w:eastAsia="Times New Roman"/>
        </w:rPr>
        <w:t>new registry</w:t>
      </w:r>
      <w:r>
        <w:rPr>
          <w:rFonts w:eastAsia="Times New Roman"/>
        </w:rPr>
        <w:t xml:space="preserve"> which will</w:t>
      </w:r>
      <w:r w:rsidRPr="009E2ADE">
        <w:rPr>
          <w:rFonts w:eastAsia="Times New Roman"/>
        </w:rPr>
        <w:t xml:space="preserve"> improve access to finance by allowing movable property to be used as collateral for loans.</w:t>
      </w:r>
    </w:p>
    <w:p w14:paraId="2246053F" w14:textId="77777777" w:rsidR="000E2605" w:rsidRDefault="000E2605" w:rsidP="000E2605">
      <w:pPr>
        <w:spacing w:line="240" w:lineRule="auto"/>
        <w:rPr>
          <w:rFonts w:eastAsia="Times New Roman"/>
        </w:rPr>
      </w:pPr>
      <w:r>
        <w:rPr>
          <w:rFonts w:eastAsia="Times New Roman"/>
        </w:rPr>
        <w:t xml:space="preserve">The construction of the </w:t>
      </w:r>
      <w:proofErr w:type="spellStart"/>
      <w:r>
        <w:rPr>
          <w:rFonts w:eastAsia="Times New Roman"/>
        </w:rPr>
        <w:t>Tui</w:t>
      </w:r>
      <w:proofErr w:type="spellEnd"/>
      <w:r>
        <w:rPr>
          <w:rFonts w:eastAsia="Times New Roman"/>
        </w:rPr>
        <w:t>-Samoa submarine cable was completed in 2017-18, with support from Australia, the Asian Development Bank, the World Bank and private investors, and brings high speed internet to Samoa. The new submarine cable will significantly improve the business environment in Samoa and strengthen service delivery by Government.</w:t>
      </w:r>
    </w:p>
    <w:p w14:paraId="73440552" w14:textId="114705B1" w:rsidR="000E2605" w:rsidRDefault="000E2605" w:rsidP="000E2605">
      <w:pPr>
        <w:spacing w:line="240" w:lineRule="auto"/>
        <w:rPr>
          <w:rFonts w:eastAsia="Times New Roman"/>
        </w:rPr>
      </w:pPr>
      <w:r>
        <w:rPr>
          <w:rFonts w:eastAsia="Times New Roman"/>
        </w:rPr>
        <w:t>The construction of roads and bridges th</w:t>
      </w:r>
      <w:r w:rsidR="002B5300">
        <w:rPr>
          <w:rFonts w:eastAsia="Times New Roman"/>
        </w:rPr>
        <w:t>r</w:t>
      </w:r>
      <w:r>
        <w:rPr>
          <w:rFonts w:eastAsia="Times New Roman"/>
        </w:rPr>
        <w:t xml:space="preserve">ough the Australian funded, World Bank managed, Emergency Roads Access Project continued in 2017-18. With completion of </w:t>
      </w:r>
      <w:proofErr w:type="spellStart"/>
      <w:r>
        <w:rPr>
          <w:rFonts w:eastAsia="Times New Roman"/>
        </w:rPr>
        <w:t>Vaitele</w:t>
      </w:r>
      <w:proofErr w:type="spellEnd"/>
      <w:r>
        <w:rPr>
          <w:rFonts w:eastAsia="Times New Roman"/>
        </w:rPr>
        <w:t xml:space="preserve"> Road </w:t>
      </w:r>
      <w:r w:rsidR="00A3397A">
        <w:rPr>
          <w:rFonts w:eastAsia="Times New Roman"/>
        </w:rPr>
        <w:t xml:space="preserve">upgrade </w:t>
      </w:r>
      <w:r>
        <w:rPr>
          <w:rFonts w:eastAsia="Times New Roman"/>
        </w:rPr>
        <w:t xml:space="preserve">and Leone Bridge, </w:t>
      </w:r>
      <w:r w:rsidRPr="00B80487">
        <w:rPr>
          <w:rFonts w:eastAsia="Times New Roman"/>
        </w:rPr>
        <w:t>link</w:t>
      </w:r>
      <w:r>
        <w:rPr>
          <w:rFonts w:eastAsia="Times New Roman"/>
        </w:rPr>
        <w:t>ing</w:t>
      </w:r>
      <w:r w:rsidRPr="00B80487">
        <w:rPr>
          <w:rFonts w:eastAsia="Times New Roman"/>
        </w:rPr>
        <w:t xml:space="preserve"> </w:t>
      </w:r>
      <w:r>
        <w:rPr>
          <w:rFonts w:eastAsia="Times New Roman"/>
        </w:rPr>
        <w:t xml:space="preserve">the port to </w:t>
      </w:r>
      <w:r w:rsidRPr="00B80487">
        <w:rPr>
          <w:rFonts w:eastAsia="Times New Roman"/>
        </w:rPr>
        <w:t>Apia</w:t>
      </w:r>
      <w:r>
        <w:rPr>
          <w:rFonts w:eastAsia="Times New Roman"/>
        </w:rPr>
        <w:t>’s</w:t>
      </w:r>
      <w:r w:rsidRPr="00B80487">
        <w:rPr>
          <w:rFonts w:eastAsia="Times New Roman"/>
        </w:rPr>
        <w:t xml:space="preserve"> CBD and industrial zone</w:t>
      </w:r>
      <w:r>
        <w:rPr>
          <w:rFonts w:eastAsia="Times New Roman"/>
        </w:rPr>
        <w:t xml:space="preserve">, the program turned its attention to the design of the </w:t>
      </w:r>
      <w:proofErr w:type="spellStart"/>
      <w:r>
        <w:rPr>
          <w:rFonts w:eastAsia="Times New Roman"/>
        </w:rPr>
        <w:t>Maliolio</w:t>
      </w:r>
      <w:proofErr w:type="spellEnd"/>
      <w:r>
        <w:rPr>
          <w:rFonts w:eastAsia="Times New Roman"/>
        </w:rPr>
        <w:t xml:space="preserve"> Bridge which will</w:t>
      </w:r>
      <w:r w:rsidRPr="00B80487">
        <w:rPr>
          <w:rFonts w:eastAsia="Times New Roman"/>
        </w:rPr>
        <w:t xml:space="preserve"> </w:t>
      </w:r>
      <w:r>
        <w:rPr>
          <w:rFonts w:eastAsia="Times New Roman"/>
        </w:rPr>
        <w:t>ensure continued</w:t>
      </w:r>
      <w:r w:rsidRPr="00B80487">
        <w:rPr>
          <w:rFonts w:eastAsia="Times New Roman"/>
        </w:rPr>
        <w:t xml:space="preserve"> access for rural communities in Savaii </w:t>
      </w:r>
      <w:r>
        <w:rPr>
          <w:rFonts w:eastAsia="Times New Roman"/>
        </w:rPr>
        <w:t>in the event of</w:t>
      </w:r>
      <w:r w:rsidRPr="00B80487">
        <w:rPr>
          <w:rFonts w:eastAsia="Times New Roman"/>
        </w:rPr>
        <w:t xml:space="preserve"> severe flooding</w:t>
      </w:r>
      <w:r>
        <w:rPr>
          <w:rFonts w:eastAsia="Times New Roman"/>
        </w:rPr>
        <w:t xml:space="preserve">. </w:t>
      </w:r>
      <w:r w:rsidRPr="004F45D8">
        <w:rPr>
          <w:rFonts w:eastAsia="Times New Roman"/>
        </w:rPr>
        <w:t xml:space="preserve">Design for </w:t>
      </w:r>
      <w:r w:rsidR="00DE2486">
        <w:rPr>
          <w:rFonts w:eastAsia="Times New Roman"/>
        </w:rPr>
        <w:t xml:space="preserve">significant improvements to </w:t>
      </w:r>
      <w:r>
        <w:rPr>
          <w:rFonts w:eastAsia="Times New Roman"/>
        </w:rPr>
        <w:t>the Cross Island R</w:t>
      </w:r>
      <w:r w:rsidRPr="004F45D8">
        <w:rPr>
          <w:rFonts w:eastAsia="Times New Roman"/>
        </w:rPr>
        <w:t>oad, another economic arterial road, linking rural businesses to Apia, was also completed in the reporting period</w:t>
      </w:r>
      <w:r>
        <w:rPr>
          <w:rFonts w:eastAsia="Times New Roman"/>
        </w:rPr>
        <w:t>.</w:t>
      </w:r>
      <w:r w:rsidRPr="004F45D8">
        <w:rPr>
          <w:rFonts w:eastAsia="Times New Roman"/>
        </w:rPr>
        <w:t xml:space="preserve"> </w:t>
      </w:r>
      <w:r>
        <w:rPr>
          <w:rFonts w:eastAsia="Times New Roman"/>
        </w:rPr>
        <w:t>Australia delivered five ‘bailey’ modular bridges which can be rapidly installed in emergency situations following bridge failures during natural disasters.</w:t>
      </w:r>
    </w:p>
    <w:p w14:paraId="1FCAE013" w14:textId="25E32B52" w:rsidR="00097795" w:rsidRDefault="00DE2486" w:rsidP="000E2605">
      <w:pPr>
        <w:spacing w:line="240" w:lineRule="auto"/>
        <w:rPr>
          <w:rFonts w:eastAsia="Times New Roman"/>
        </w:rPr>
      </w:pPr>
      <w:r>
        <w:rPr>
          <w:rFonts w:eastAsia="Times New Roman"/>
        </w:rPr>
        <w:t>Through the</w:t>
      </w:r>
      <w:r w:rsidR="00097795">
        <w:rPr>
          <w:rFonts w:eastAsia="Times New Roman"/>
        </w:rPr>
        <w:t xml:space="preserve"> Samoan Women Shaping Development (SWSD) Project t</w:t>
      </w:r>
      <w:r w:rsidR="00097795" w:rsidRPr="00097795">
        <w:rPr>
          <w:rFonts w:eastAsia="Times New Roman"/>
        </w:rPr>
        <w:t>he Development Bank of Samoa</w:t>
      </w:r>
      <w:r>
        <w:rPr>
          <w:rFonts w:eastAsia="Times New Roman"/>
        </w:rPr>
        <w:t xml:space="preserve"> (DBS)</w:t>
      </w:r>
      <w:r w:rsidR="00097795" w:rsidRPr="00097795">
        <w:rPr>
          <w:rFonts w:eastAsia="Times New Roman"/>
        </w:rPr>
        <w:t xml:space="preserve"> provided financial literacy training for 406 individuals (319 women/87 men) in 12 participating districts as a prerequisite to accessing DBS loans for a variety of small enterprise activities including agricultural activities</w:t>
      </w:r>
      <w:r w:rsidR="00097795">
        <w:rPr>
          <w:rFonts w:eastAsia="Times New Roman"/>
        </w:rPr>
        <w:t xml:space="preserve">. SWSD also supported 18 </w:t>
      </w:r>
      <w:r w:rsidR="00097795" w:rsidRPr="00097795">
        <w:rPr>
          <w:rFonts w:eastAsia="Times New Roman"/>
        </w:rPr>
        <w:t xml:space="preserve">women’s weaving groups </w:t>
      </w:r>
      <w:r>
        <w:rPr>
          <w:rFonts w:eastAsia="Times New Roman"/>
        </w:rPr>
        <w:t xml:space="preserve">that </w:t>
      </w:r>
      <w:r w:rsidR="00097795">
        <w:rPr>
          <w:rFonts w:eastAsia="Times New Roman"/>
        </w:rPr>
        <w:t>provided</w:t>
      </w:r>
      <w:r w:rsidR="00097795" w:rsidRPr="00097795">
        <w:rPr>
          <w:rFonts w:eastAsia="Times New Roman"/>
        </w:rPr>
        <w:t xml:space="preserve"> over 10 </w:t>
      </w:r>
      <w:r>
        <w:rPr>
          <w:rFonts w:eastAsia="Times New Roman"/>
        </w:rPr>
        <w:t xml:space="preserve">high quality </w:t>
      </w:r>
      <w:r w:rsidR="00097795" w:rsidRPr="00097795">
        <w:rPr>
          <w:rFonts w:eastAsia="Times New Roman"/>
        </w:rPr>
        <w:t>fine mats for annual exhibitions.</w:t>
      </w:r>
    </w:p>
    <w:p w14:paraId="244EF6AE" w14:textId="669430EE" w:rsidR="000E2605" w:rsidRDefault="000E2605" w:rsidP="000E2605">
      <w:pPr>
        <w:spacing w:after="240" w:line="240" w:lineRule="auto"/>
        <w:jc w:val="both"/>
        <w:rPr>
          <w:rFonts w:eastAsia="Times New Roman"/>
        </w:rPr>
      </w:pPr>
      <w:r>
        <w:rPr>
          <w:rFonts w:eastAsia="Times New Roman"/>
        </w:rPr>
        <w:t xml:space="preserve">Australia </w:t>
      </w:r>
      <w:r w:rsidR="00AD291D">
        <w:rPr>
          <w:rFonts w:eastAsia="Times New Roman"/>
        </w:rPr>
        <w:t>is</w:t>
      </w:r>
      <w:r>
        <w:rPr>
          <w:rFonts w:eastAsia="Times New Roman"/>
        </w:rPr>
        <w:t xml:space="preserve"> strengthen</w:t>
      </w:r>
      <w:r w:rsidR="00AD291D">
        <w:rPr>
          <w:rFonts w:eastAsia="Times New Roman"/>
        </w:rPr>
        <w:t>ing</w:t>
      </w:r>
      <w:r>
        <w:rPr>
          <w:rFonts w:eastAsia="Times New Roman"/>
        </w:rPr>
        <w:t xml:space="preserve"> disaster preparedness through the construction of a new radio transmission tower for the Government’s 2AP radio station, which is Samoa’s primary communications system during cyclones and other natural disasters. </w:t>
      </w:r>
      <w:r w:rsidR="00DE2486">
        <w:rPr>
          <w:rFonts w:eastAsia="Times New Roman"/>
        </w:rPr>
        <w:t xml:space="preserve">While planning and design work was undertaken in 2017-18, the construction work will begin in the next reporting period. </w:t>
      </w:r>
      <w:r w:rsidR="00C154BB">
        <w:rPr>
          <w:rFonts w:eastAsia="Times New Roman"/>
        </w:rPr>
        <w:t>In response to Tropical C</w:t>
      </w:r>
      <w:r>
        <w:rPr>
          <w:rFonts w:eastAsia="Times New Roman"/>
        </w:rPr>
        <w:t>yclone Gita in February 2018 Australia provided $163,000 in emergency response funding to support debris clearance to reopen road and bridge networks.</w:t>
      </w:r>
    </w:p>
    <w:p w14:paraId="045A497B" w14:textId="77777777" w:rsidR="000E2605" w:rsidRPr="00D44094" w:rsidRDefault="000E2605" w:rsidP="000E2605">
      <w:pPr>
        <w:spacing w:after="240" w:line="240" w:lineRule="auto"/>
        <w:jc w:val="both"/>
        <w:rPr>
          <w:rFonts w:eastAsia="Times New Roman"/>
        </w:rPr>
      </w:pPr>
      <w:r>
        <w:rPr>
          <w:rFonts w:eastAsia="Times New Roman"/>
        </w:rPr>
        <w:t xml:space="preserve">A rating of </w:t>
      </w:r>
      <w:r w:rsidRPr="002847EA">
        <w:rPr>
          <w:rFonts w:eastAsia="Times New Roman"/>
        </w:rPr>
        <w:t>green</w:t>
      </w:r>
      <w:r>
        <w:rPr>
          <w:rFonts w:eastAsia="Times New Roman"/>
        </w:rPr>
        <w:t xml:space="preserve"> is given for this objective overall as most benchmarks were achieved in 2017-18.</w:t>
      </w:r>
    </w:p>
    <w:p w14:paraId="1E0E6361" w14:textId="08C8270B" w:rsidR="000E2605" w:rsidRDefault="000E2605" w:rsidP="000E2605">
      <w:pPr>
        <w:spacing w:before="0"/>
        <w:ind w:right="-142"/>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2: progress health and education outcomes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602"/>
        <w:gridCol w:w="1604"/>
        <w:gridCol w:w="1604"/>
        <w:gridCol w:w="1604"/>
        <w:gridCol w:w="1207"/>
      </w:tblGrid>
      <w:tr w:rsidR="000E2605" w:rsidRPr="00695730" w14:paraId="620BEC0A" w14:textId="77777777" w:rsidTr="00080B83">
        <w:tc>
          <w:tcPr>
            <w:tcW w:w="2017" w:type="dxa"/>
          </w:tcPr>
          <w:p w14:paraId="29074699" w14:textId="77777777" w:rsidR="000E2605" w:rsidRPr="00695730" w:rsidRDefault="000E2605" w:rsidP="00080B83">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3BD98A4" wp14:editId="4B95BC92">
                  <wp:extent cx="1137600" cy="720000"/>
                  <wp:effectExtent l="0" t="0" r="571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602" w:type="dxa"/>
          </w:tcPr>
          <w:p w14:paraId="172C2491"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A700395" wp14:editId="46463D1A">
                  <wp:extent cx="609600" cy="609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604" w:type="dxa"/>
          </w:tcPr>
          <w:p w14:paraId="13837F02"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FA2DD59" wp14:editId="76125D12">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04" w:type="dxa"/>
          </w:tcPr>
          <w:p w14:paraId="36AC2946"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9896F27" wp14:editId="687A0F7F">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04" w:type="dxa"/>
          </w:tcPr>
          <w:p w14:paraId="05B82917"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DB15D4B" wp14:editId="0854DE24">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07" w:type="dxa"/>
          </w:tcPr>
          <w:p w14:paraId="050D15D9" w14:textId="77777777" w:rsidR="000E2605" w:rsidRDefault="000E2605" w:rsidP="00080B83">
            <w:pPr>
              <w:suppressAutoHyphens w:val="0"/>
              <w:spacing w:before="160" w:after="80" w:line="240" w:lineRule="auto"/>
              <w:jc w:val="center"/>
              <w:rPr>
                <w:noProof/>
                <w:lang w:val="en-AU" w:eastAsia="en-AU"/>
              </w:rPr>
            </w:pPr>
          </w:p>
        </w:tc>
      </w:tr>
    </w:tbl>
    <w:p w14:paraId="7E6B1D09" w14:textId="6A6DB155" w:rsidR="000E2605" w:rsidRDefault="000E2605" w:rsidP="000E2605">
      <w:pPr>
        <w:spacing w:line="240" w:lineRule="auto"/>
        <w:rPr>
          <w:rFonts w:eastAsia="Times New Roman"/>
        </w:rPr>
      </w:pPr>
      <w:r>
        <w:rPr>
          <w:rFonts w:eastAsia="Times New Roman"/>
        </w:rPr>
        <w:t>Australia’s Samoa Health Program seeks</w:t>
      </w:r>
      <w:r w:rsidRPr="00152378">
        <w:rPr>
          <w:rFonts w:eastAsia="Times New Roman"/>
        </w:rPr>
        <w:t xml:space="preserve"> to improve the health of Samoans so that they can lead longer and more productive lives and contribute more to </w:t>
      </w:r>
      <w:r w:rsidR="00230378">
        <w:rPr>
          <w:rFonts w:eastAsia="Times New Roman"/>
        </w:rPr>
        <w:t xml:space="preserve">grow </w:t>
      </w:r>
      <w:r w:rsidRPr="00152378">
        <w:rPr>
          <w:rFonts w:eastAsia="Times New Roman"/>
        </w:rPr>
        <w:t>the economy.</w:t>
      </w:r>
      <w:r>
        <w:rPr>
          <w:rFonts w:eastAsia="Times New Roman"/>
        </w:rPr>
        <w:t xml:space="preserve"> Key activities in 2017-18 included the provision of pharmaceutical advisers to help strengthen procurement reforms and a biomedical adviser to provide mentoring support to the National Health Service biomedical unit. The Strategic Partnership Program between Samoa’s Ministry of Health and the Queensland Department of Health continues to implement improvements in governance and leadership, public health and health information. Additionally, Australia is assisting the Samoa Family Health Association </w:t>
      </w:r>
      <w:r w:rsidR="00230378">
        <w:rPr>
          <w:rFonts w:eastAsia="Times New Roman"/>
        </w:rPr>
        <w:t xml:space="preserve">in partnership with the International Planned Parenthood Federation </w:t>
      </w:r>
      <w:r>
        <w:rPr>
          <w:rFonts w:eastAsia="Times New Roman"/>
        </w:rPr>
        <w:t xml:space="preserve">to improve </w:t>
      </w:r>
      <w:r w:rsidR="00230378">
        <w:rPr>
          <w:rFonts w:eastAsia="Times New Roman"/>
        </w:rPr>
        <w:t xml:space="preserve">sexual and reproductive health and rights outcomes. </w:t>
      </w:r>
    </w:p>
    <w:p w14:paraId="6E45E791" w14:textId="5BE50288" w:rsidR="000E2605" w:rsidRDefault="000E2605" w:rsidP="000E2605">
      <w:pPr>
        <w:spacing w:line="240" w:lineRule="auto"/>
      </w:pPr>
      <w:r>
        <w:rPr>
          <w:rFonts w:eastAsia="Times New Roman"/>
        </w:rPr>
        <w:t>A</w:t>
      </w:r>
      <w:r w:rsidR="00230378">
        <w:rPr>
          <w:rFonts w:eastAsia="Times New Roman"/>
        </w:rPr>
        <w:t>n Integrated</w:t>
      </w:r>
      <w:r>
        <w:rPr>
          <w:rFonts w:eastAsia="Times New Roman"/>
        </w:rPr>
        <w:t xml:space="preserve"> </w:t>
      </w:r>
      <w:r w:rsidR="00230378">
        <w:rPr>
          <w:rFonts w:eastAsia="Times New Roman"/>
        </w:rPr>
        <w:t>Mobility Device Service</w:t>
      </w:r>
      <w:r>
        <w:rPr>
          <w:rFonts w:eastAsia="Times New Roman"/>
        </w:rPr>
        <w:t xml:space="preserve"> workshop, supported by the Samoa Disability Program, is now fully operational</w:t>
      </w:r>
      <w:r w:rsidRPr="00BC6FFD">
        <w:rPr>
          <w:rFonts w:eastAsia="Times New Roman"/>
        </w:rPr>
        <w:t xml:space="preserve"> </w:t>
      </w:r>
      <w:r>
        <w:rPr>
          <w:rFonts w:eastAsia="Times New Roman"/>
        </w:rPr>
        <w:t>and has exceeded program expectations</w:t>
      </w:r>
      <w:r w:rsidR="00230378">
        <w:rPr>
          <w:rFonts w:eastAsia="Times New Roman"/>
        </w:rPr>
        <w:t xml:space="preserve"> with 1,367 Samoans </w:t>
      </w:r>
      <w:r w:rsidR="0059234A">
        <w:rPr>
          <w:rFonts w:eastAsia="Times New Roman"/>
        </w:rPr>
        <w:t xml:space="preserve">(47.5% women) </w:t>
      </w:r>
      <w:r w:rsidR="00230378">
        <w:rPr>
          <w:rFonts w:eastAsia="Times New Roman"/>
        </w:rPr>
        <w:t>provided with 1,889 mobility devices</w:t>
      </w:r>
      <w:r>
        <w:rPr>
          <w:rFonts w:eastAsia="Times New Roman"/>
        </w:rPr>
        <w:t>.</w:t>
      </w:r>
      <w:r w:rsidR="00230378">
        <w:rPr>
          <w:rFonts w:eastAsia="Times New Roman"/>
        </w:rPr>
        <w:t xml:space="preserve"> This exceeds the target of 1,080 clients.</w:t>
      </w:r>
      <w:r>
        <w:rPr>
          <w:rFonts w:eastAsia="Times New Roman"/>
        </w:rPr>
        <w:t xml:space="preserve"> </w:t>
      </w:r>
      <w:r w:rsidR="0059234A" w:rsidRPr="0059234A">
        <w:rPr>
          <w:rFonts w:eastAsia="Times New Roman"/>
        </w:rPr>
        <w:t xml:space="preserve">Of these 75% were from rural areas. </w:t>
      </w:r>
      <w:r>
        <w:rPr>
          <w:rFonts w:eastAsia="Times New Roman"/>
        </w:rPr>
        <w:t>The workshop provides</w:t>
      </w:r>
      <w:r w:rsidRPr="003F02BC">
        <w:rPr>
          <w:rFonts w:eastAsia="Times New Roman"/>
        </w:rPr>
        <w:t xml:space="preserve"> mobility devices, including walking aids and wheelchairs</w:t>
      </w:r>
      <w:r w:rsidR="00230378">
        <w:rPr>
          <w:rFonts w:eastAsia="Times New Roman"/>
        </w:rPr>
        <w:t xml:space="preserve"> and prosthetic / orthotic </w:t>
      </w:r>
      <w:r w:rsidR="00230378">
        <w:rPr>
          <w:rFonts w:eastAsia="Times New Roman"/>
        </w:rPr>
        <w:lastRenderedPageBreak/>
        <w:t>services</w:t>
      </w:r>
      <w:r>
        <w:rPr>
          <w:rFonts w:eastAsia="Times New Roman"/>
        </w:rPr>
        <w:t xml:space="preserve">. The Samoa Inclusive Education Demonstration Program continues to work with children with disabilities. In particular, it increased awareness of the education rights of children with disabilities within the household, community and government. </w:t>
      </w:r>
    </w:p>
    <w:p w14:paraId="0AD184EA" w14:textId="4E669F0D" w:rsidR="000E2605" w:rsidRDefault="000E2605" w:rsidP="000E2605">
      <w:pPr>
        <w:spacing w:line="240" w:lineRule="auto"/>
        <w:rPr>
          <w:rFonts w:eastAsia="Times New Roman"/>
        </w:rPr>
      </w:pPr>
      <w:r>
        <w:rPr>
          <w:rFonts w:eastAsia="Times New Roman"/>
        </w:rPr>
        <w:t>T</w:t>
      </w:r>
      <w:r w:rsidRPr="006D1C4A">
        <w:rPr>
          <w:rFonts w:eastAsia="Times New Roman"/>
        </w:rPr>
        <w:t>he Samoa Educatio</w:t>
      </w:r>
      <w:r>
        <w:rPr>
          <w:rFonts w:eastAsia="Times New Roman"/>
        </w:rPr>
        <w:t xml:space="preserve">n Sector Support Program seeks to </w:t>
      </w:r>
      <w:r w:rsidRPr="00740C8B">
        <w:rPr>
          <w:rFonts w:eastAsia="Times New Roman"/>
        </w:rPr>
        <w:t xml:space="preserve">improve the effectiveness and efficiency of </w:t>
      </w:r>
      <w:r>
        <w:rPr>
          <w:rFonts w:eastAsia="Times New Roman"/>
        </w:rPr>
        <w:t>Samoa’s</w:t>
      </w:r>
      <w:r w:rsidRPr="00740C8B">
        <w:rPr>
          <w:rFonts w:eastAsia="Times New Roman"/>
        </w:rPr>
        <w:t xml:space="preserve"> education system</w:t>
      </w:r>
      <w:r>
        <w:rPr>
          <w:rFonts w:eastAsia="Times New Roman"/>
        </w:rPr>
        <w:t xml:space="preserve"> by </w:t>
      </w:r>
      <w:r w:rsidRPr="00740C8B">
        <w:rPr>
          <w:rFonts w:eastAsia="Times New Roman"/>
        </w:rPr>
        <w:t xml:space="preserve">the implementation of the Education Sector Plan 2013-2018 (ESP) through </w:t>
      </w:r>
      <w:r>
        <w:rPr>
          <w:rFonts w:eastAsia="Times New Roman"/>
        </w:rPr>
        <w:t>performance based payments. T</w:t>
      </w:r>
      <w:r w:rsidRPr="00AE4979">
        <w:rPr>
          <w:rFonts w:eastAsia="Times New Roman"/>
        </w:rPr>
        <w:t xml:space="preserve">he </w:t>
      </w:r>
      <w:r>
        <w:rPr>
          <w:rFonts w:eastAsia="Times New Roman"/>
        </w:rPr>
        <w:t>2016-17 annual review report of the ESP</w:t>
      </w:r>
      <w:r w:rsidRPr="00AE4979">
        <w:rPr>
          <w:rFonts w:eastAsia="Times New Roman"/>
        </w:rPr>
        <w:t xml:space="preserve">, reported 81% achievement of the ESP's sub sector outcomes </w:t>
      </w:r>
      <w:r>
        <w:rPr>
          <w:rFonts w:eastAsia="Times New Roman"/>
        </w:rPr>
        <w:t>while the remainder were</w:t>
      </w:r>
      <w:r w:rsidRPr="00AE4979">
        <w:rPr>
          <w:rFonts w:eastAsia="Times New Roman"/>
        </w:rPr>
        <w:t xml:space="preserve"> still in progress. The 2017 and 2018 independent verification process reports noted marked improvements towards achieving the 9 key performance indicators </w:t>
      </w:r>
      <w:r>
        <w:rPr>
          <w:rFonts w:eastAsia="Times New Roman"/>
        </w:rPr>
        <w:t xml:space="preserve">which are used by Australia and </w:t>
      </w:r>
      <w:r w:rsidRPr="00AE4979">
        <w:rPr>
          <w:rFonts w:eastAsia="Times New Roman"/>
        </w:rPr>
        <w:t>N</w:t>
      </w:r>
      <w:r>
        <w:rPr>
          <w:rFonts w:eastAsia="Times New Roman"/>
        </w:rPr>
        <w:t xml:space="preserve">ew </w:t>
      </w:r>
      <w:r w:rsidRPr="00AE4979">
        <w:rPr>
          <w:rFonts w:eastAsia="Times New Roman"/>
        </w:rPr>
        <w:t>Z</w:t>
      </w:r>
      <w:r>
        <w:rPr>
          <w:rFonts w:eastAsia="Times New Roman"/>
        </w:rPr>
        <w:t>ealand</w:t>
      </w:r>
      <w:r w:rsidRPr="00AE4979">
        <w:rPr>
          <w:rFonts w:eastAsia="Times New Roman"/>
        </w:rPr>
        <w:t xml:space="preserve"> for assessing financial disbursements. More primary children can read, write and coun</w:t>
      </w:r>
      <w:r w:rsidR="00AD291D">
        <w:rPr>
          <w:rFonts w:eastAsia="Times New Roman"/>
        </w:rPr>
        <w:t>t to national standards: i</w:t>
      </w:r>
      <w:r w:rsidRPr="00AE4979">
        <w:rPr>
          <w:rFonts w:eastAsia="Times New Roman"/>
        </w:rPr>
        <w:t xml:space="preserve">mprovement was reported in literacy results, with a 30% improvement (Year 6 girls) in English and 26% (Year 4) in Samoan. </w:t>
      </w:r>
    </w:p>
    <w:p w14:paraId="22E4B364" w14:textId="77777777" w:rsidR="000E2605" w:rsidRDefault="000E2605" w:rsidP="000E2605">
      <w:pPr>
        <w:spacing w:line="240" w:lineRule="auto"/>
        <w:rPr>
          <w:rFonts w:eastAsia="Times New Roman"/>
        </w:rPr>
      </w:pPr>
      <w:r>
        <w:rPr>
          <w:rFonts w:eastAsia="Times New Roman"/>
        </w:rPr>
        <w:t xml:space="preserve">Australia also provides a Strategic Planning Adviser in the education sector and an Education Technical Assistance Facility to enhance coordination and the achievement of ESP outcomes with the particular aim of improving numeracy and literacy levels. </w:t>
      </w:r>
    </w:p>
    <w:p w14:paraId="3AC2C783" w14:textId="293E3C12" w:rsidR="000E2605" w:rsidRDefault="000E2605" w:rsidP="000E2605">
      <w:pPr>
        <w:spacing w:line="240" w:lineRule="auto"/>
        <w:rPr>
          <w:rFonts w:eastAsia="Times New Roman"/>
        </w:rPr>
      </w:pPr>
      <w:r>
        <w:rPr>
          <w:rFonts w:eastAsia="Times New Roman"/>
        </w:rPr>
        <w:t xml:space="preserve">In 2017-18 an additional 58 Samoans </w:t>
      </w:r>
      <w:r w:rsidR="00080B83">
        <w:rPr>
          <w:rFonts w:eastAsia="Times New Roman"/>
        </w:rPr>
        <w:t xml:space="preserve">(41 women) </w:t>
      </w:r>
      <w:r>
        <w:rPr>
          <w:rFonts w:eastAsia="Times New Roman"/>
        </w:rPr>
        <w:t xml:space="preserve">received an </w:t>
      </w:r>
      <w:r w:rsidRPr="00DC304D">
        <w:rPr>
          <w:rFonts w:eastAsia="Times New Roman"/>
        </w:rPr>
        <w:t xml:space="preserve">Australia Awards </w:t>
      </w:r>
      <w:r>
        <w:rPr>
          <w:rFonts w:eastAsia="Times New Roman"/>
        </w:rPr>
        <w:t>scholarship for tertiary studies in Australia and the region. The scholarships were awarded to help address skills shortages and promote people to people links with Australia.</w:t>
      </w:r>
    </w:p>
    <w:p w14:paraId="5D6CD1AB" w14:textId="46BA8937" w:rsidR="000E2605" w:rsidRDefault="000E2605" w:rsidP="000E2605">
      <w:pPr>
        <w:spacing w:after="240" w:line="240" w:lineRule="auto"/>
        <w:rPr>
          <w:rFonts w:eastAsia="Times New Roman"/>
        </w:rPr>
      </w:pPr>
      <w:r>
        <w:rPr>
          <w:rFonts w:eastAsia="Times New Roman"/>
        </w:rPr>
        <w:t xml:space="preserve">Solid progress was made across most performance benchmarks, </w:t>
      </w:r>
      <w:r w:rsidR="00090D5D">
        <w:rPr>
          <w:rFonts w:eastAsia="Times New Roman"/>
        </w:rPr>
        <w:t>but the delays in the</w:t>
      </w:r>
      <w:r>
        <w:rPr>
          <w:rFonts w:eastAsia="Times New Roman"/>
        </w:rPr>
        <w:t xml:space="preserve"> review of primary healthcare due to the ongoing restructure of the heal</w:t>
      </w:r>
      <w:r w:rsidR="00090D5D">
        <w:rPr>
          <w:rFonts w:eastAsia="Times New Roman"/>
        </w:rPr>
        <w:t>th sector, leads to an amber rating.</w:t>
      </w:r>
    </w:p>
    <w:p w14:paraId="32B4683C" w14:textId="0341C6F1" w:rsidR="000E2605" w:rsidRDefault="000E2605" w:rsidP="000E2605">
      <w:pPr>
        <w:spacing w:before="0"/>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3: strengthen governance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0E2605" w:rsidRPr="00695730" w14:paraId="6547B8F8" w14:textId="77777777" w:rsidTr="00080B83">
        <w:tc>
          <w:tcPr>
            <w:tcW w:w="2016" w:type="dxa"/>
          </w:tcPr>
          <w:p w14:paraId="4E0F9AD7" w14:textId="77777777" w:rsidR="000E2605" w:rsidRPr="00695730" w:rsidRDefault="000E2605" w:rsidP="00080B83">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ADAC107" wp14:editId="752BFAFD">
                  <wp:extent cx="1137600" cy="720000"/>
                  <wp:effectExtent l="0" t="0" r="5715"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47B40A2A"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348A6C2" wp14:editId="05323B38">
                  <wp:extent cx="609600" cy="609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60F6C1DA"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316858B" wp14:editId="420E1A29">
                  <wp:extent cx="612000" cy="6120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7577A4CE"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20E69B1" wp14:editId="6DF97A1F">
                  <wp:extent cx="609600" cy="609600"/>
                  <wp:effectExtent l="0" t="0" r="0" b="0"/>
                  <wp:docPr id="68" name="Picture 6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09FA6029" w14:textId="77777777" w:rsidR="000E2605" w:rsidRPr="00695730" w:rsidRDefault="000E2605" w:rsidP="00080B83">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16CEFAC4" wp14:editId="1D76DC4A">
                  <wp:extent cx="608400" cy="612000"/>
                  <wp:effectExtent l="0" t="0" r="127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14:paraId="0B8FE527" w14:textId="28C8A3DE" w:rsidR="000E2605" w:rsidRPr="002C4187" w:rsidRDefault="000E2605" w:rsidP="000E2605">
      <w:pPr>
        <w:spacing w:line="240" w:lineRule="auto"/>
        <w:rPr>
          <w:rFonts w:eastAsia="Times New Roman"/>
        </w:rPr>
      </w:pPr>
      <w:r w:rsidRPr="002C4187">
        <w:rPr>
          <w:rFonts w:eastAsia="Times New Roman"/>
        </w:rPr>
        <w:t xml:space="preserve">Construction of a new Samoan </w:t>
      </w:r>
      <w:r>
        <w:rPr>
          <w:rFonts w:eastAsia="Times New Roman"/>
        </w:rPr>
        <w:t>Parliament House</w:t>
      </w:r>
      <w:r w:rsidRPr="002C4187">
        <w:rPr>
          <w:rFonts w:eastAsia="Times New Roman"/>
        </w:rPr>
        <w:t xml:space="preserve"> is </w:t>
      </w:r>
      <w:r>
        <w:rPr>
          <w:rFonts w:eastAsia="Times New Roman"/>
        </w:rPr>
        <w:t>now expected</w:t>
      </w:r>
      <w:r w:rsidRPr="002C4187">
        <w:rPr>
          <w:rFonts w:eastAsia="Times New Roman"/>
        </w:rPr>
        <w:t xml:space="preserve"> to be completed by </w:t>
      </w:r>
      <w:r>
        <w:rPr>
          <w:rFonts w:eastAsia="Times New Roman"/>
        </w:rPr>
        <w:t xml:space="preserve">the end of </w:t>
      </w:r>
      <w:r w:rsidRPr="002C4187">
        <w:rPr>
          <w:rFonts w:eastAsia="Times New Roman"/>
        </w:rPr>
        <w:t>2018</w:t>
      </w:r>
      <w:r>
        <w:rPr>
          <w:rFonts w:eastAsia="Times New Roman"/>
        </w:rPr>
        <w:t xml:space="preserve"> and will become an important symbol of</w:t>
      </w:r>
      <w:r w:rsidRPr="00197CF2">
        <w:t xml:space="preserve"> </w:t>
      </w:r>
      <w:r>
        <w:rPr>
          <w:rFonts w:eastAsia="Times New Roman"/>
        </w:rPr>
        <w:t xml:space="preserve">parliamentary democracy in Samoa. The new parliament, with </w:t>
      </w:r>
      <w:r w:rsidR="002B5300">
        <w:rPr>
          <w:rFonts w:eastAsia="Times New Roman"/>
        </w:rPr>
        <w:t>climate resilient</w:t>
      </w:r>
      <w:r>
        <w:rPr>
          <w:rFonts w:eastAsia="Times New Roman"/>
        </w:rPr>
        <w:t xml:space="preserve"> design features,</w:t>
      </w:r>
      <w:r w:rsidRPr="002C4187">
        <w:rPr>
          <w:rFonts w:eastAsia="Times New Roman"/>
        </w:rPr>
        <w:t xml:space="preserve"> </w:t>
      </w:r>
      <w:r>
        <w:rPr>
          <w:rFonts w:eastAsia="Times New Roman"/>
        </w:rPr>
        <w:t>i</w:t>
      </w:r>
      <w:r w:rsidRPr="002C4187">
        <w:rPr>
          <w:rFonts w:eastAsia="Times New Roman"/>
        </w:rPr>
        <w:t xml:space="preserve">s </w:t>
      </w:r>
      <w:r>
        <w:rPr>
          <w:rFonts w:eastAsia="Times New Roman"/>
        </w:rPr>
        <w:t>being built to</w:t>
      </w:r>
      <w:r w:rsidRPr="002C4187">
        <w:rPr>
          <w:rFonts w:eastAsia="Times New Roman"/>
        </w:rPr>
        <w:t xml:space="preserve"> a high standard, consistent with approved designs, and within budget. The project has increased the skill levels </w:t>
      </w:r>
      <w:r>
        <w:rPr>
          <w:rFonts w:eastAsia="Times New Roman"/>
        </w:rPr>
        <w:t xml:space="preserve">and workplace safety awareness </w:t>
      </w:r>
      <w:r w:rsidRPr="002C4187">
        <w:rPr>
          <w:rFonts w:eastAsia="Times New Roman"/>
        </w:rPr>
        <w:t xml:space="preserve">of local </w:t>
      </w:r>
      <w:r>
        <w:rPr>
          <w:rFonts w:eastAsia="Times New Roman"/>
        </w:rPr>
        <w:t>employee</w:t>
      </w:r>
      <w:r w:rsidRPr="002C4187">
        <w:rPr>
          <w:rFonts w:eastAsia="Times New Roman"/>
        </w:rPr>
        <w:t>s by providing training on the use of new tools and equipment on-site. The project has incorporated public diplomacy initiatives to increase public engagement</w:t>
      </w:r>
      <w:r>
        <w:rPr>
          <w:rFonts w:eastAsia="Times New Roman"/>
        </w:rPr>
        <w:t>.</w:t>
      </w:r>
      <w:r w:rsidRPr="002C4187">
        <w:rPr>
          <w:rFonts w:eastAsia="Times New Roman"/>
        </w:rPr>
        <w:t xml:space="preserve"> </w:t>
      </w:r>
      <w:r>
        <w:rPr>
          <w:rFonts w:eastAsia="Times New Roman"/>
        </w:rPr>
        <w:t>T</w:t>
      </w:r>
      <w:r w:rsidRPr="002C4187">
        <w:rPr>
          <w:rFonts w:eastAsia="Times New Roman"/>
        </w:rPr>
        <w:t xml:space="preserve">ime-lapse </w:t>
      </w:r>
      <w:r>
        <w:rPr>
          <w:rFonts w:eastAsia="Times New Roman"/>
        </w:rPr>
        <w:t>photography</w:t>
      </w:r>
      <w:r w:rsidRPr="002C4187">
        <w:rPr>
          <w:rFonts w:eastAsia="Times New Roman"/>
        </w:rPr>
        <w:t xml:space="preserve"> of </w:t>
      </w:r>
      <w:r>
        <w:rPr>
          <w:rFonts w:eastAsia="Times New Roman"/>
        </w:rPr>
        <w:t xml:space="preserve">the </w:t>
      </w:r>
      <w:r w:rsidRPr="002C4187">
        <w:rPr>
          <w:rFonts w:eastAsia="Times New Roman"/>
        </w:rPr>
        <w:t xml:space="preserve">construction </w:t>
      </w:r>
      <w:r>
        <w:rPr>
          <w:rFonts w:eastAsia="Times New Roman"/>
        </w:rPr>
        <w:t xml:space="preserve">of the new Parliament House is available </w:t>
      </w:r>
      <w:r w:rsidRPr="002C4187">
        <w:rPr>
          <w:rFonts w:eastAsia="Times New Roman"/>
        </w:rPr>
        <w:t>on the Parliament</w:t>
      </w:r>
      <w:r>
        <w:rPr>
          <w:rFonts w:eastAsia="Times New Roman"/>
        </w:rPr>
        <w:t>’s</w:t>
      </w:r>
      <w:r w:rsidRPr="002C4187">
        <w:rPr>
          <w:rFonts w:eastAsia="Times New Roman"/>
        </w:rPr>
        <w:t xml:space="preserve"> website.</w:t>
      </w:r>
    </w:p>
    <w:p w14:paraId="2A56C197" w14:textId="6884CCB0" w:rsidR="000E2605" w:rsidRPr="0083584B" w:rsidRDefault="000E2605" w:rsidP="000E2605">
      <w:pPr>
        <w:spacing w:line="240" w:lineRule="auto"/>
        <w:rPr>
          <w:rFonts w:eastAsia="Times New Roman"/>
        </w:rPr>
      </w:pPr>
      <w:r>
        <w:rPr>
          <w:rFonts w:eastAsia="Times New Roman"/>
        </w:rPr>
        <w:t>Through our Samoa Governance Program we worked with the Government of Samoa to r</w:t>
      </w:r>
      <w:r w:rsidRPr="0083584B">
        <w:rPr>
          <w:rFonts w:eastAsia="Times New Roman"/>
        </w:rPr>
        <w:t xml:space="preserve">eview </w:t>
      </w:r>
      <w:r>
        <w:rPr>
          <w:rFonts w:eastAsia="Times New Roman"/>
        </w:rPr>
        <w:t>it</w:t>
      </w:r>
      <w:r w:rsidRPr="0083584B">
        <w:rPr>
          <w:rFonts w:eastAsia="Times New Roman"/>
        </w:rPr>
        <w:t>s Investment Policy and Legislation</w:t>
      </w:r>
      <w:r>
        <w:rPr>
          <w:rFonts w:eastAsia="Times New Roman"/>
        </w:rPr>
        <w:t xml:space="preserve"> w</w:t>
      </w:r>
      <w:r w:rsidRPr="0083584B">
        <w:rPr>
          <w:rFonts w:eastAsia="Times New Roman"/>
        </w:rPr>
        <w:t>ith the aim of increasing sustainable economic growth in Samoa</w:t>
      </w:r>
      <w:r>
        <w:rPr>
          <w:rFonts w:eastAsia="Times New Roman"/>
        </w:rPr>
        <w:t>. The program also supported a</w:t>
      </w:r>
      <w:r w:rsidRPr="0083584B">
        <w:rPr>
          <w:rFonts w:eastAsia="Times New Roman"/>
        </w:rPr>
        <w:t xml:space="preserve"> review </w:t>
      </w:r>
      <w:r>
        <w:rPr>
          <w:rFonts w:eastAsia="Times New Roman"/>
        </w:rPr>
        <w:t>of Samoa’s</w:t>
      </w:r>
      <w:r w:rsidRPr="0083584B">
        <w:rPr>
          <w:rFonts w:eastAsia="Times New Roman"/>
        </w:rPr>
        <w:t xml:space="preserve"> national tax policy in order to strengthen the management of tax expenditures and to review legislation and practice regarding capital gains tax.</w:t>
      </w:r>
      <w:r>
        <w:rPr>
          <w:rFonts w:eastAsia="Times New Roman"/>
        </w:rPr>
        <w:t xml:space="preserve"> Another program assessing national systems is still underway</w:t>
      </w:r>
      <w:r w:rsidR="00F046B7">
        <w:rPr>
          <w:rFonts w:eastAsia="Times New Roman"/>
        </w:rPr>
        <w:t xml:space="preserve"> and will be completed in 2018</w:t>
      </w:r>
      <w:r>
        <w:rPr>
          <w:rFonts w:eastAsia="Times New Roman"/>
        </w:rPr>
        <w:t>.</w:t>
      </w:r>
    </w:p>
    <w:p w14:paraId="5D4D8F14" w14:textId="77777777" w:rsidR="000E2605" w:rsidRDefault="000E2605" w:rsidP="000E2605">
      <w:pPr>
        <w:spacing w:line="240" w:lineRule="auto"/>
        <w:rPr>
          <w:rFonts w:eastAsia="Times New Roman"/>
        </w:rPr>
      </w:pPr>
      <w:r w:rsidRPr="00A55D1D">
        <w:rPr>
          <w:rFonts w:eastAsia="Times New Roman"/>
        </w:rPr>
        <w:t xml:space="preserve">In support of the performance benchmark of </w:t>
      </w:r>
      <w:r>
        <w:rPr>
          <w:rFonts w:eastAsia="Times New Roman"/>
        </w:rPr>
        <w:t xml:space="preserve">increasing the number of women in leadership positions, Australia launched the Women in Leadership in Samoa program in cooperation with UNDP and UN Women. The new program builds on the former </w:t>
      </w:r>
      <w:r w:rsidRPr="004F45D8">
        <w:rPr>
          <w:rFonts w:eastAsia="Times New Roman"/>
        </w:rPr>
        <w:t>Increasing Political Participation of Women Samoa’s Parliament Project</w:t>
      </w:r>
      <w:r>
        <w:rPr>
          <w:rFonts w:eastAsia="Times New Roman"/>
        </w:rPr>
        <w:t xml:space="preserve">, to </w:t>
      </w:r>
      <w:r w:rsidRPr="00676A47">
        <w:rPr>
          <w:rFonts w:eastAsia="Times New Roman"/>
        </w:rPr>
        <w:t>strengthen women's leadership and promote gender equality in Samoa</w:t>
      </w:r>
      <w:r>
        <w:rPr>
          <w:rFonts w:eastAsia="Times New Roman"/>
        </w:rPr>
        <w:t>.</w:t>
      </w:r>
    </w:p>
    <w:p w14:paraId="0376C836" w14:textId="385D1E47" w:rsidR="000E2605" w:rsidRDefault="000E2605" w:rsidP="000E2605">
      <w:pPr>
        <w:spacing w:after="240" w:line="240" w:lineRule="auto"/>
        <w:rPr>
          <w:rFonts w:eastAsia="Times New Roman"/>
        </w:rPr>
      </w:pPr>
      <w:proofErr w:type="gramStart"/>
      <w:r w:rsidRPr="005330A5">
        <w:rPr>
          <w:rFonts w:eastAsia="Times New Roman"/>
        </w:rPr>
        <w:t xml:space="preserve">There are currently three Australian Federal Police officers deployed to Samoa </w:t>
      </w:r>
      <w:r w:rsidR="00DE7996">
        <w:rPr>
          <w:rFonts w:eastAsia="Times New Roman"/>
        </w:rPr>
        <w:t xml:space="preserve">with the </w:t>
      </w:r>
      <w:r w:rsidRPr="005330A5">
        <w:rPr>
          <w:rFonts w:eastAsia="Times New Roman"/>
        </w:rPr>
        <w:t xml:space="preserve">Samoa Australia Police Partnership </w:t>
      </w:r>
      <w:r w:rsidR="00E3082C">
        <w:rPr>
          <w:rFonts w:eastAsia="Times New Roman"/>
        </w:rPr>
        <w:t xml:space="preserve">(SAPP) </w:t>
      </w:r>
      <w:r w:rsidRPr="005330A5">
        <w:rPr>
          <w:rFonts w:eastAsia="Times New Roman"/>
        </w:rPr>
        <w:t>and the Pacific Transnational Crime Coordination Centre.</w:t>
      </w:r>
      <w:proofErr w:type="gramEnd"/>
      <w:r w:rsidRPr="005330A5">
        <w:rPr>
          <w:rFonts w:eastAsia="Times New Roman"/>
        </w:rPr>
        <w:t xml:space="preserve">  </w:t>
      </w:r>
      <w:r w:rsidR="00E3082C">
        <w:rPr>
          <w:rFonts w:eastAsia="Times New Roman"/>
        </w:rPr>
        <w:t>The two officers deployed with SAPP</w:t>
      </w:r>
      <w:r w:rsidRPr="005330A5">
        <w:rPr>
          <w:rFonts w:eastAsia="Times New Roman"/>
        </w:rPr>
        <w:t xml:space="preserve"> provide capacity building to the Samoa Police Service (SPS) with the primary objective to </w:t>
      </w:r>
      <w:r w:rsidRPr="005330A5">
        <w:rPr>
          <w:rFonts w:eastAsia="Times New Roman"/>
        </w:rPr>
        <w:lastRenderedPageBreak/>
        <w:t>improve the effectiveness of</w:t>
      </w:r>
      <w:r>
        <w:rPr>
          <w:rFonts w:eastAsia="Times New Roman"/>
        </w:rPr>
        <w:t>,</w:t>
      </w:r>
      <w:r w:rsidRPr="005330A5">
        <w:rPr>
          <w:rFonts w:eastAsia="Times New Roman"/>
        </w:rPr>
        <w:t xml:space="preserve"> and community confidence in</w:t>
      </w:r>
      <w:r>
        <w:rPr>
          <w:rFonts w:eastAsia="Times New Roman"/>
        </w:rPr>
        <w:t>,</w:t>
      </w:r>
      <w:r w:rsidRPr="005330A5">
        <w:rPr>
          <w:rFonts w:eastAsia="Times New Roman"/>
        </w:rPr>
        <w:t xml:space="preserve"> the </w:t>
      </w:r>
      <w:r w:rsidR="004C17D1">
        <w:rPr>
          <w:rFonts w:eastAsia="Times New Roman"/>
        </w:rPr>
        <w:t>SPS</w:t>
      </w:r>
      <w:r w:rsidRPr="005330A5">
        <w:rPr>
          <w:rFonts w:eastAsia="Times New Roman"/>
        </w:rPr>
        <w:t xml:space="preserve">. </w:t>
      </w:r>
      <w:r w:rsidR="00E3082C">
        <w:rPr>
          <w:rFonts w:eastAsia="Times New Roman"/>
        </w:rPr>
        <w:t>The</w:t>
      </w:r>
      <w:r w:rsidRPr="005330A5">
        <w:rPr>
          <w:rFonts w:eastAsia="Times New Roman"/>
        </w:rPr>
        <w:t xml:space="preserve"> Advisor to the Pacific Transnational Crime Coordination Centre </w:t>
      </w:r>
      <w:r w:rsidR="00E3082C">
        <w:rPr>
          <w:rFonts w:eastAsia="Times New Roman"/>
        </w:rPr>
        <w:t>is working</w:t>
      </w:r>
      <w:r w:rsidRPr="005330A5">
        <w:rPr>
          <w:rFonts w:eastAsia="Times New Roman"/>
        </w:rPr>
        <w:t xml:space="preserve"> to enhance capacity development, coordination of information and collaboration with key law enforcement partners in the Pacific.</w:t>
      </w:r>
      <w:r>
        <w:rPr>
          <w:rFonts w:eastAsia="Times New Roman"/>
        </w:rPr>
        <w:t xml:space="preserve"> </w:t>
      </w:r>
    </w:p>
    <w:p w14:paraId="7EEB8034" w14:textId="77777777" w:rsidR="000E2605" w:rsidRDefault="000E2605" w:rsidP="000E2605">
      <w:pPr>
        <w:spacing w:after="240" w:line="240" w:lineRule="auto"/>
        <w:rPr>
          <w:rFonts w:eastAsia="Times New Roman"/>
        </w:rPr>
      </w:pPr>
      <w:r w:rsidRPr="00D44094">
        <w:t xml:space="preserve">This objective </w:t>
      </w:r>
      <w:r>
        <w:t>is</w:t>
      </w:r>
      <w:r w:rsidRPr="00D44094">
        <w:t xml:space="preserve"> rated </w:t>
      </w:r>
      <w:r>
        <w:rPr>
          <w:rFonts w:eastAsia="Times New Roman"/>
        </w:rPr>
        <w:t xml:space="preserve">as amber due to the delays in completing the construction of Samoa’s Parliament House and the assessment of national systems. </w:t>
      </w:r>
    </w:p>
    <w:p w14:paraId="2BA23AC3" w14:textId="0BF262D4" w:rsidR="000E2605" w:rsidRPr="00652936" w:rsidRDefault="000E2605" w:rsidP="000E2605">
      <w:pPr>
        <w:rPr>
          <w:rFonts w:asciiTheme="majorHAnsi" w:eastAsiaTheme="majorEastAsia" w:hAnsiTheme="majorHAnsi" w:cstheme="majorBidi"/>
          <w:caps/>
          <w:sz w:val="38"/>
          <w:szCs w:val="26"/>
        </w:rPr>
      </w:pPr>
      <w:r w:rsidRPr="00652936">
        <w:rPr>
          <w:rFonts w:asciiTheme="majorHAnsi" w:eastAsiaTheme="majorEastAsia" w:hAnsiTheme="majorHAnsi" w:cstheme="majorBidi"/>
          <w:caps/>
          <w:sz w:val="38"/>
          <w:szCs w:val="26"/>
        </w:rPr>
        <w:t>Regional and global programs</w:t>
      </w:r>
    </w:p>
    <w:p w14:paraId="00DE0B8D" w14:textId="4A4E9A31" w:rsidR="00DE2486" w:rsidRDefault="00DE2486" w:rsidP="00DE2486">
      <w:pPr>
        <w:pStyle w:val="ListBullet"/>
        <w:tabs>
          <w:tab w:val="clear" w:pos="284"/>
        </w:tabs>
        <w:spacing w:after="60"/>
        <w:rPr>
          <w:rFonts w:asciiTheme="minorHAnsi" w:hAnsiTheme="minorHAnsi" w:cstheme="minorBidi"/>
          <w:color w:val="495965" w:themeColor="text2"/>
          <w:sz w:val="22"/>
          <w:szCs w:val="22"/>
          <w:lang w:val="en-GB" w:eastAsia="en-US"/>
        </w:rPr>
      </w:pPr>
      <w:r>
        <w:rPr>
          <w:rFonts w:asciiTheme="minorHAnsi" w:hAnsiTheme="minorHAnsi" w:cstheme="minorBidi"/>
          <w:color w:val="495965" w:themeColor="text2"/>
          <w:sz w:val="22"/>
          <w:szCs w:val="22"/>
          <w:lang w:val="en-GB" w:eastAsia="en-US"/>
        </w:rPr>
        <w:t>Samoa has benefitted significantly from regional and global programs including: targeting gender equality programming through Pacific Women, which supports gender equality, greater economic participation, and women’s empowerment; supporting resilient and healthy communities to better prepare for climate change and respond to natural disasters; and, tackling regional security challenges through the Australia Pacific Security College that will build individual and regional capacity to respond to security threats.</w:t>
      </w:r>
    </w:p>
    <w:p w14:paraId="09B505AA" w14:textId="77777777" w:rsidR="000E2605" w:rsidRDefault="000E2605" w:rsidP="000E2605">
      <w:pPr>
        <w:pStyle w:val="ListBullet"/>
        <w:rPr>
          <w:rFonts w:asciiTheme="minorHAnsi" w:hAnsiTheme="minorHAnsi" w:cstheme="minorBidi"/>
          <w:color w:val="495965" w:themeColor="text2"/>
          <w:sz w:val="22"/>
          <w:szCs w:val="22"/>
          <w:lang w:val="en-GB" w:eastAsia="en-US"/>
        </w:rPr>
      </w:pPr>
      <w:r>
        <w:rPr>
          <w:rFonts w:asciiTheme="minorHAnsi" w:hAnsiTheme="minorHAnsi" w:cstheme="minorBidi"/>
          <w:color w:val="495965" w:themeColor="text2"/>
          <w:sz w:val="22"/>
          <w:szCs w:val="22"/>
          <w:lang w:val="en-GB" w:eastAsia="en-US"/>
        </w:rPr>
        <w:t xml:space="preserve">The </w:t>
      </w:r>
      <w:r w:rsidRPr="006B1FCE">
        <w:rPr>
          <w:rFonts w:asciiTheme="minorHAnsi" w:hAnsiTheme="minorHAnsi" w:cstheme="minorBidi"/>
          <w:color w:val="495965" w:themeColor="text2"/>
          <w:sz w:val="22"/>
          <w:szCs w:val="22"/>
          <w:lang w:val="en-GB" w:eastAsia="en-US"/>
        </w:rPr>
        <w:t>Pacific Regional Agricultural Market Access (PHAMA) continues to support the agriculture sector</w:t>
      </w:r>
      <w:r>
        <w:rPr>
          <w:rFonts w:asciiTheme="minorHAnsi" w:hAnsiTheme="minorHAnsi" w:cstheme="minorBidi"/>
          <w:color w:val="495965" w:themeColor="text2"/>
          <w:sz w:val="22"/>
          <w:szCs w:val="22"/>
          <w:lang w:val="en-GB" w:eastAsia="en-US"/>
        </w:rPr>
        <w:t xml:space="preserve">. </w:t>
      </w:r>
      <w:r w:rsidRPr="00E264E7">
        <w:rPr>
          <w:rFonts w:asciiTheme="minorHAnsi" w:hAnsiTheme="minorHAnsi" w:cstheme="minorBidi"/>
          <w:color w:val="495965" w:themeColor="text2"/>
          <w:sz w:val="22"/>
          <w:szCs w:val="22"/>
          <w:lang w:val="en-GB" w:eastAsia="en-US"/>
        </w:rPr>
        <w:t xml:space="preserve">In </w:t>
      </w:r>
      <w:r>
        <w:rPr>
          <w:rFonts w:asciiTheme="minorHAnsi" w:hAnsiTheme="minorHAnsi" w:cstheme="minorBidi"/>
          <w:color w:val="495965" w:themeColor="text2"/>
          <w:sz w:val="22"/>
          <w:szCs w:val="22"/>
          <w:lang w:val="en-GB" w:eastAsia="en-US"/>
        </w:rPr>
        <w:t xml:space="preserve">2017-18 PHAMA </w:t>
      </w:r>
      <w:r w:rsidRPr="00E264E7">
        <w:rPr>
          <w:rFonts w:asciiTheme="minorHAnsi" w:hAnsiTheme="minorHAnsi" w:cstheme="minorBidi"/>
          <w:color w:val="495965" w:themeColor="text2"/>
          <w:sz w:val="22"/>
          <w:szCs w:val="22"/>
          <w:lang w:val="en-GB" w:eastAsia="en-US"/>
        </w:rPr>
        <w:t>suppl</w:t>
      </w:r>
      <w:r>
        <w:rPr>
          <w:rFonts w:asciiTheme="minorHAnsi" w:hAnsiTheme="minorHAnsi" w:cstheme="minorBidi"/>
          <w:color w:val="495965" w:themeColor="text2"/>
          <w:sz w:val="22"/>
          <w:szCs w:val="22"/>
          <w:lang w:val="en-GB" w:eastAsia="en-US"/>
        </w:rPr>
        <w:t>ied</w:t>
      </w:r>
      <w:r w:rsidRPr="00E264E7">
        <w:rPr>
          <w:rFonts w:asciiTheme="minorHAnsi" w:hAnsiTheme="minorHAnsi" w:cstheme="minorBidi"/>
          <w:color w:val="495965" w:themeColor="text2"/>
          <w:sz w:val="22"/>
          <w:szCs w:val="22"/>
          <w:lang w:val="en-GB" w:eastAsia="en-US"/>
        </w:rPr>
        <w:t xml:space="preserve"> 31,500 tissue culture plantlet</w:t>
      </w:r>
      <w:r>
        <w:rPr>
          <w:rFonts w:asciiTheme="minorHAnsi" w:hAnsiTheme="minorHAnsi" w:cstheme="minorBidi"/>
          <w:color w:val="495965" w:themeColor="text2"/>
          <w:sz w:val="22"/>
          <w:szCs w:val="22"/>
          <w:lang w:val="en-GB" w:eastAsia="en-US"/>
        </w:rPr>
        <w:t>s</w:t>
      </w:r>
      <w:r w:rsidRPr="00E264E7">
        <w:rPr>
          <w:rFonts w:asciiTheme="minorHAnsi" w:hAnsiTheme="minorHAnsi" w:cstheme="minorBidi"/>
          <w:color w:val="495965" w:themeColor="text2"/>
          <w:sz w:val="22"/>
          <w:szCs w:val="22"/>
          <w:lang w:val="en-GB" w:eastAsia="en-US"/>
        </w:rPr>
        <w:t xml:space="preserve"> from South Africa to help the </w:t>
      </w:r>
      <w:r>
        <w:rPr>
          <w:rFonts w:asciiTheme="minorHAnsi" w:hAnsiTheme="minorHAnsi" w:cstheme="minorBidi"/>
          <w:color w:val="495965" w:themeColor="text2"/>
          <w:sz w:val="22"/>
          <w:szCs w:val="22"/>
          <w:lang w:val="en-GB" w:eastAsia="en-US"/>
        </w:rPr>
        <w:t xml:space="preserve">banana </w:t>
      </w:r>
      <w:r w:rsidRPr="00E264E7">
        <w:rPr>
          <w:rFonts w:asciiTheme="minorHAnsi" w:hAnsiTheme="minorHAnsi" w:cstheme="minorBidi"/>
          <w:color w:val="495965" w:themeColor="text2"/>
          <w:sz w:val="22"/>
          <w:szCs w:val="22"/>
          <w:lang w:val="en-GB" w:eastAsia="en-US"/>
        </w:rPr>
        <w:t>industry recover</w:t>
      </w:r>
      <w:r>
        <w:rPr>
          <w:rFonts w:asciiTheme="minorHAnsi" w:hAnsiTheme="minorHAnsi" w:cstheme="minorBidi"/>
          <w:color w:val="495965" w:themeColor="text2"/>
          <w:sz w:val="22"/>
          <w:szCs w:val="22"/>
          <w:lang w:val="en-GB" w:eastAsia="en-US"/>
        </w:rPr>
        <w:t xml:space="preserve"> from the impacts of Cyclone Gita</w:t>
      </w:r>
      <w:r w:rsidRPr="00E264E7">
        <w:rPr>
          <w:rFonts w:asciiTheme="minorHAnsi" w:hAnsiTheme="minorHAnsi" w:cstheme="minorBidi"/>
          <w:color w:val="495965" w:themeColor="text2"/>
          <w:sz w:val="22"/>
          <w:szCs w:val="22"/>
          <w:lang w:val="en-GB" w:eastAsia="en-US"/>
        </w:rPr>
        <w:t>. PHAMA also supported 5 new companies to complete their Hazard Assessment Critical Control Point certification</w:t>
      </w:r>
      <w:r>
        <w:rPr>
          <w:rFonts w:asciiTheme="minorHAnsi" w:hAnsiTheme="minorHAnsi" w:cstheme="minorBidi"/>
          <w:color w:val="495965" w:themeColor="text2"/>
          <w:sz w:val="22"/>
          <w:szCs w:val="22"/>
          <w:lang w:val="en-GB" w:eastAsia="en-US"/>
        </w:rPr>
        <w:t>, which</w:t>
      </w:r>
      <w:r w:rsidRPr="00E264E7">
        <w:rPr>
          <w:rFonts w:asciiTheme="minorHAnsi" w:hAnsiTheme="minorHAnsi" w:cstheme="minorBidi"/>
          <w:color w:val="495965" w:themeColor="text2"/>
          <w:sz w:val="22"/>
          <w:szCs w:val="22"/>
          <w:lang w:val="en-GB" w:eastAsia="en-US"/>
        </w:rPr>
        <w:t xml:space="preserve"> will help these companies </w:t>
      </w:r>
      <w:r>
        <w:rPr>
          <w:rFonts w:asciiTheme="minorHAnsi" w:hAnsiTheme="minorHAnsi" w:cstheme="minorBidi"/>
          <w:color w:val="495965" w:themeColor="text2"/>
          <w:sz w:val="22"/>
          <w:szCs w:val="22"/>
          <w:lang w:val="en-GB" w:eastAsia="en-US"/>
        </w:rPr>
        <w:t xml:space="preserve">to </w:t>
      </w:r>
      <w:r w:rsidRPr="00E264E7">
        <w:rPr>
          <w:rFonts w:asciiTheme="minorHAnsi" w:hAnsiTheme="minorHAnsi" w:cstheme="minorBidi"/>
          <w:color w:val="495965" w:themeColor="text2"/>
          <w:sz w:val="22"/>
          <w:szCs w:val="22"/>
          <w:lang w:val="en-GB" w:eastAsia="en-US"/>
        </w:rPr>
        <w:t xml:space="preserve">access overseas markets.  </w:t>
      </w:r>
    </w:p>
    <w:p w14:paraId="1F1590C2" w14:textId="299ED4E7" w:rsidR="000E2605" w:rsidRPr="003B3DE7" w:rsidRDefault="000E2605" w:rsidP="000E2605">
      <w:pPr>
        <w:pStyle w:val="ListBullet"/>
        <w:tabs>
          <w:tab w:val="clear" w:pos="284"/>
        </w:tabs>
        <w:spacing w:after="60"/>
        <w:rPr>
          <w:rFonts w:asciiTheme="minorHAnsi" w:hAnsiTheme="minorHAnsi" w:cstheme="minorBidi"/>
          <w:color w:val="495965" w:themeColor="text2"/>
          <w:sz w:val="22"/>
          <w:szCs w:val="22"/>
          <w:lang w:val="en-GB" w:eastAsia="en-US"/>
        </w:rPr>
      </w:pPr>
      <w:r>
        <w:rPr>
          <w:rFonts w:asciiTheme="minorHAnsi" w:hAnsiTheme="minorHAnsi" w:cstheme="minorBidi"/>
          <w:color w:val="495965" w:themeColor="text2"/>
          <w:sz w:val="22"/>
          <w:szCs w:val="22"/>
          <w:lang w:val="en-GB" w:eastAsia="en-US"/>
        </w:rPr>
        <w:t xml:space="preserve">A total of 86 Samoans graduated from the Australia Pacific Technical College in 2017. The Samoan campus of the APTC provided Certificate III training courses in plumbing, cookery, education support, hospitality, metal fabrication, and Certificate IV training courses in youth work and management. </w:t>
      </w:r>
      <w:r w:rsidR="00080B83">
        <w:rPr>
          <w:rFonts w:asciiTheme="minorHAnsi" w:hAnsiTheme="minorHAnsi" w:cstheme="minorBidi"/>
          <w:color w:val="495965" w:themeColor="text2"/>
          <w:sz w:val="22"/>
          <w:szCs w:val="22"/>
          <w:lang w:val="en-GB" w:eastAsia="en-US"/>
        </w:rPr>
        <w:t xml:space="preserve">In 2017 </w:t>
      </w:r>
      <w:r w:rsidR="00080B83" w:rsidRPr="00080B83">
        <w:rPr>
          <w:rFonts w:asciiTheme="minorHAnsi" w:hAnsiTheme="minorHAnsi" w:cstheme="minorBidi"/>
          <w:color w:val="495965" w:themeColor="text2"/>
          <w:sz w:val="22"/>
          <w:szCs w:val="22"/>
          <w:lang w:val="en-GB" w:eastAsia="en-US"/>
        </w:rPr>
        <w:t xml:space="preserve">45% of </w:t>
      </w:r>
      <w:r w:rsidR="00080B83">
        <w:rPr>
          <w:rFonts w:asciiTheme="minorHAnsi" w:hAnsiTheme="minorHAnsi" w:cstheme="minorBidi"/>
          <w:color w:val="495965" w:themeColor="text2"/>
          <w:sz w:val="22"/>
          <w:szCs w:val="22"/>
          <w:lang w:val="en-GB" w:eastAsia="en-US"/>
        </w:rPr>
        <w:t xml:space="preserve">APTC </w:t>
      </w:r>
      <w:r w:rsidR="00080B83" w:rsidRPr="00080B83">
        <w:rPr>
          <w:rFonts w:asciiTheme="minorHAnsi" w:hAnsiTheme="minorHAnsi" w:cstheme="minorBidi"/>
          <w:color w:val="495965" w:themeColor="text2"/>
          <w:sz w:val="22"/>
          <w:szCs w:val="22"/>
          <w:lang w:val="en-GB" w:eastAsia="en-US"/>
        </w:rPr>
        <w:t>graduates were female</w:t>
      </w:r>
      <w:r w:rsidR="00080B83">
        <w:rPr>
          <w:rFonts w:asciiTheme="minorHAnsi" w:hAnsiTheme="minorHAnsi" w:cstheme="minorBidi"/>
          <w:color w:val="495965" w:themeColor="text2"/>
          <w:sz w:val="22"/>
          <w:szCs w:val="22"/>
          <w:lang w:val="en-GB" w:eastAsia="en-US"/>
        </w:rPr>
        <w:t>.</w:t>
      </w:r>
    </w:p>
    <w:p w14:paraId="195F2F0F" w14:textId="5E530110" w:rsidR="000E2605" w:rsidRDefault="00AD291D" w:rsidP="000E2605">
      <w:pPr>
        <w:pStyle w:val="ListBullet"/>
        <w:tabs>
          <w:tab w:val="clear" w:pos="284"/>
        </w:tabs>
        <w:spacing w:after="60"/>
        <w:rPr>
          <w:rFonts w:asciiTheme="minorHAnsi" w:hAnsiTheme="minorHAnsi" w:cstheme="minorBidi"/>
          <w:color w:val="495965" w:themeColor="text2"/>
          <w:sz w:val="22"/>
          <w:szCs w:val="22"/>
          <w:lang w:val="en-GB" w:eastAsia="en-US"/>
        </w:rPr>
      </w:pPr>
      <w:r>
        <w:rPr>
          <w:rFonts w:asciiTheme="minorHAnsi" w:hAnsiTheme="minorHAnsi" w:cstheme="minorBidi"/>
          <w:color w:val="495965" w:themeColor="text2"/>
          <w:sz w:val="22"/>
          <w:szCs w:val="22"/>
          <w:lang w:val="en-GB" w:eastAsia="en-US"/>
        </w:rPr>
        <w:t>In 2017-18</w:t>
      </w:r>
      <w:r w:rsidR="000E2605" w:rsidRPr="007155F8">
        <w:rPr>
          <w:rFonts w:asciiTheme="minorHAnsi" w:hAnsiTheme="minorHAnsi" w:cstheme="minorBidi"/>
          <w:color w:val="495965" w:themeColor="text2"/>
          <w:sz w:val="22"/>
          <w:szCs w:val="22"/>
          <w:lang w:val="en-GB" w:eastAsia="en-US"/>
        </w:rPr>
        <w:t xml:space="preserve">, </w:t>
      </w:r>
      <w:r w:rsidR="000E2605">
        <w:rPr>
          <w:rFonts w:asciiTheme="minorHAnsi" w:hAnsiTheme="minorHAnsi" w:cstheme="minorBidi"/>
          <w:color w:val="495965" w:themeColor="text2"/>
          <w:sz w:val="22"/>
          <w:szCs w:val="22"/>
          <w:lang w:val="en-GB" w:eastAsia="en-US"/>
        </w:rPr>
        <w:t>89</w:t>
      </w:r>
      <w:r w:rsidR="000E2605" w:rsidRPr="007155F8">
        <w:rPr>
          <w:rFonts w:asciiTheme="minorHAnsi" w:hAnsiTheme="minorHAnsi" w:cstheme="minorBidi"/>
          <w:color w:val="495965" w:themeColor="text2"/>
          <w:sz w:val="22"/>
          <w:szCs w:val="22"/>
          <w:lang w:val="en-GB" w:eastAsia="en-US"/>
        </w:rPr>
        <w:t xml:space="preserve"> operations were performed on Samoan patients by volunteer medical professionals from Australia and New Zealand and mentoring of national surgeons. Surgeons were mentored by Australian surgeons, in areas of ear, nose and throat surgery and plastic and endoscopy surgery supported by DFAT through the Royal Australasian College of Surgeons.</w:t>
      </w:r>
    </w:p>
    <w:p w14:paraId="739D037D" w14:textId="3D7D448B" w:rsidR="000E2605" w:rsidRDefault="000E2605" w:rsidP="000E2605">
      <w:pPr>
        <w:pStyle w:val="ListBullet"/>
        <w:rPr>
          <w:rFonts w:asciiTheme="minorHAnsi" w:hAnsiTheme="minorHAnsi" w:cstheme="minorBidi"/>
          <w:color w:val="495965" w:themeColor="text2"/>
          <w:sz w:val="22"/>
          <w:szCs w:val="22"/>
          <w:lang w:val="en-GB" w:eastAsia="en-US"/>
        </w:rPr>
      </w:pPr>
      <w:r>
        <w:rPr>
          <w:rFonts w:asciiTheme="minorHAnsi" w:hAnsiTheme="minorHAnsi" w:cstheme="minorBidi"/>
          <w:color w:val="495965" w:themeColor="text2"/>
          <w:sz w:val="22"/>
          <w:szCs w:val="22"/>
          <w:lang w:val="en-GB" w:eastAsia="en-US"/>
        </w:rPr>
        <w:t xml:space="preserve">A Samoan initiative between </w:t>
      </w:r>
      <w:r w:rsidRPr="001F45E0">
        <w:rPr>
          <w:rFonts w:asciiTheme="minorHAnsi" w:hAnsiTheme="minorHAnsi" w:cstheme="minorBidi"/>
          <w:color w:val="495965" w:themeColor="text2"/>
          <w:sz w:val="22"/>
          <w:szCs w:val="22"/>
          <w:lang w:val="en-GB" w:eastAsia="en-US"/>
        </w:rPr>
        <w:t>Fairtrade A</w:t>
      </w:r>
      <w:r w:rsidR="007A0AFD">
        <w:rPr>
          <w:rFonts w:asciiTheme="minorHAnsi" w:hAnsiTheme="minorHAnsi" w:cstheme="minorBidi"/>
          <w:color w:val="495965" w:themeColor="text2"/>
          <w:sz w:val="22"/>
          <w:szCs w:val="22"/>
          <w:lang w:val="en-GB" w:eastAsia="en-US"/>
        </w:rPr>
        <w:t xml:space="preserve">ustralia </w:t>
      </w:r>
      <w:r w:rsidRPr="001F45E0">
        <w:rPr>
          <w:rFonts w:asciiTheme="minorHAnsi" w:hAnsiTheme="minorHAnsi" w:cstheme="minorBidi"/>
          <w:color w:val="495965" w:themeColor="text2"/>
          <w:sz w:val="22"/>
          <w:szCs w:val="22"/>
          <w:lang w:val="en-GB" w:eastAsia="en-US"/>
        </w:rPr>
        <w:t>N</w:t>
      </w:r>
      <w:r w:rsidR="007A0AFD">
        <w:rPr>
          <w:rFonts w:asciiTheme="minorHAnsi" w:hAnsiTheme="minorHAnsi" w:cstheme="minorBidi"/>
          <w:color w:val="495965" w:themeColor="text2"/>
          <w:sz w:val="22"/>
          <w:szCs w:val="22"/>
          <w:lang w:val="en-GB" w:eastAsia="en-US"/>
        </w:rPr>
        <w:t xml:space="preserve">ew </w:t>
      </w:r>
      <w:r w:rsidRPr="001F45E0">
        <w:rPr>
          <w:rFonts w:asciiTheme="minorHAnsi" w:hAnsiTheme="minorHAnsi" w:cstheme="minorBidi"/>
          <w:color w:val="495965" w:themeColor="text2"/>
          <w:sz w:val="22"/>
          <w:szCs w:val="22"/>
          <w:lang w:val="en-GB" w:eastAsia="en-US"/>
        </w:rPr>
        <w:t>Z</w:t>
      </w:r>
      <w:r w:rsidR="007A0AFD">
        <w:rPr>
          <w:rFonts w:asciiTheme="minorHAnsi" w:hAnsiTheme="minorHAnsi" w:cstheme="minorBidi"/>
          <w:color w:val="495965" w:themeColor="text2"/>
          <w:sz w:val="22"/>
          <w:szCs w:val="22"/>
          <w:lang w:val="en-GB" w:eastAsia="en-US"/>
        </w:rPr>
        <w:t>ealand</w:t>
      </w:r>
      <w:r w:rsidRPr="001F45E0">
        <w:rPr>
          <w:rFonts w:asciiTheme="minorHAnsi" w:hAnsiTheme="minorHAnsi" w:cstheme="minorBidi"/>
          <w:color w:val="495965" w:themeColor="text2"/>
          <w:sz w:val="22"/>
          <w:szCs w:val="22"/>
          <w:lang w:val="en-GB" w:eastAsia="en-US"/>
        </w:rPr>
        <w:t xml:space="preserve">, Krissy Co and the Savai’i Coconut Farmers Association </w:t>
      </w:r>
      <w:r>
        <w:rPr>
          <w:rFonts w:asciiTheme="minorHAnsi" w:hAnsiTheme="minorHAnsi" w:cstheme="minorBidi"/>
          <w:color w:val="495965" w:themeColor="text2"/>
          <w:sz w:val="22"/>
          <w:szCs w:val="22"/>
          <w:lang w:val="en-GB" w:eastAsia="en-US"/>
        </w:rPr>
        <w:t>was o</w:t>
      </w:r>
      <w:r w:rsidRPr="00F51A2C">
        <w:rPr>
          <w:rFonts w:asciiTheme="minorHAnsi" w:hAnsiTheme="minorHAnsi" w:cstheme="minorBidi"/>
          <w:color w:val="495965" w:themeColor="text2"/>
          <w:sz w:val="22"/>
          <w:szCs w:val="22"/>
          <w:lang w:val="en-GB" w:eastAsia="en-US"/>
        </w:rPr>
        <w:t>ne of the ten successful partnerships announced as part of Business Partnerships Platform</w:t>
      </w:r>
      <w:r>
        <w:rPr>
          <w:rFonts w:asciiTheme="minorHAnsi" w:hAnsiTheme="minorHAnsi" w:cstheme="minorBidi"/>
          <w:color w:val="495965" w:themeColor="text2"/>
          <w:sz w:val="22"/>
          <w:szCs w:val="22"/>
          <w:lang w:val="en-GB" w:eastAsia="en-US"/>
        </w:rPr>
        <w:t>. The initiative</w:t>
      </w:r>
      <w:r w:rsidRPr="00F51A2C">
        <w:rPr>
          <w:rFonts w:asciiTheme="minorHAnsi" w:hAnsiTheme="minorHAnsi" w:cstheme="minorBidi"/>
          <w:color w:val="495965" w:themeColor="text2"/>
          <w:sz w:val="22"/>
          <w:szCs w:val="22"/>
          <w:lang w:val="en-GB" w:eastAsia="en-US"/>
        </w:rPr>
        <w:t xml:space="preserve"> </w:t>
      </w:r>
      <w:r w:rsidRPr="001F45E0">
        <w:rPr>
          <w:rFonts w:asciiTheme="minorHAnsi" w:hAnsiTheme="minorHAnsi" w:cstheme="minorBidi"/>
          <w:color w:val="495965" w:themeColor="text2"/>
          <w:sz w:val="22"/>
          <w:szCs w:val="22"/>
          <w:lang w:val="en-GB" w:eastAsia="en-US"/>
        </w:rPr>
        <w:t xml:space="preserve">will </w:t>
      </w:r>
      <w:r>
        <w:rPr>
          <w:rFonts w:asciiTheme="minorHAnsi" w:hAnsiTheme="minorHAnsi" w:cstheme="minorBidi"/>
          <w:color w:val="495965" w:themeColor="text2"/>
          <w:sz w:val="22"/>
          <w:szCs w:val="22"/>
          <w:lang w:val="en-GB" w:eastAsia="en-US"/>
        </w:rPr>
        <w:t xml:space="preserve">help </w:t>
      </w:r>
      <w:r w:rsidRPr="001F45E0">
        <w:rPr>
          <w:rFonts w:asciiTheme="minorHAnsi" w:hAnsiTheme="minorHAnsi" w:cstheme="minorBidi"/>
          <w:color w:val="495965" w:themeColor="text2"/>
          <w:sz w:val="22"/>
          <w:szCs w:val="22"/>
          <w:lang w:val="en-GB" w:eastAsia="en-US"/>
        </w:rPr>
        <w:t>address unmet demand for organic coconut cream and boost Samoa’s participation in global markets</w:t>
      </w:r>
      <w:r>
        <w:rPr>
          <w:rFonts w:asciiTheme="minorHAnsi" w:hAnsiTheme="minorHAnsi" w:cstheme="minorBidi"/>
          <w:color w:val="495965" w:themeColor="text2"/>
          <w:sz w:val="22"/>
          <w:szCs w:val="22"/>
          <w:lang w:val="en-GB" w:eastAsia="en-US"/>
        </w:rPr>
        <w:t>.</w:t>
      </w:r>
    </w:p>
    <w:p w14:paraId="699BBAF8" w14:textId="1A3015F7" w:rsidR="000E2605" w:rsidRDefault="000E2605" w:rsidP="000E2605">
      <w:pPr>
        <w:pStyle w:val="ListBullet"/>
        <w:rPr>
          <w:rFonts w:asciiTheme="majorHAnsi" w:eastAsiaTheme="majorEastAsia" w:hAnsiTheme="majorHAnsi" w:cstheme="majorBidi"/>
          <w:caps/>
          <w:color w:val="495965" w:themeColor="text2"/>
          <w:sz w:val="38"/>
          <w:szCs w:val="26"/>
          <w:lang w:val="en-GB" w:eastAsia="en-US"/>
        </w:rPr>
      </w:pPr>
      <w:r>
        <w:rPr>
          <w:rFonts w:asciiTheme="minorHAnsi" w:hAnsiTheme="minorHAnsi" w:cstheme="minorBidi"/>
          <w:color w:val="495965" w:themeColor="text2"/>
          <w:sz w:val="22"/>
          <w:szCs w:val="22"/>
          <w:lang w:val="en-GB" w:eastAsia="en-US"/>
        </w:rPr>
        <w:t>Two Samoan businesses were among the f</w:t>
      </w:r>
      <w:r w:rsidRPr="001F45E0">
        <w:rPr>
          <w:rFonts w:asciiTheme="minorHAnsi" w:hAnsiTheme="minorHAnsi" w:cstheme="minorBidi"/>
          <w:color w:val="495965" w:themeColor="text2"/>
          <w:sz w:val="22"/>
          <w:szCs w:val="22"/>
          <w:lang w:val="en-GB" w:eastAsia="en-US"/>
        </w:rPr>
        <w:t xml:space="preserve">ifteen outstanding Frontier Innovators </w:t>
      </w:r>
      <w:r>
        <w:rPr>
          <w:rFonts w:asciiTheme="minorHAnsi" w:hAnsiTheme="minorHAnsi" w:cstheme="minorBidi"/>
          <w:color w:val="495965" w:themeColor="text2"/>
          <w:sz w:val="22"/>
          <w:szCs w:val="22"/>
          <w:lang w:val="en-GB" w:eastAsia="en-US"/>
        </w:rPr>
        <w:t>who were</w:t>
      </w:r>
      <w:r w:rsidRPr="001F45E0">
        <w:rPr>
          <w:rFonts w:asciiTheme="minorHAnsi" w:hAnsiTheme="minorHAnsi" w:cstheme="minorBidi"/>
          <w:color w:val="495965" w:themeColor="text2"/>
          <w:sz w:val="22"/>
          <w:szCs w:val="22"/>
          <w:lang w:val="en-GB" w:eastAsia="en-US"/>
        </w:rPr>
        <w:t xml:space="preserve"> selected from over 700 applications</w:t>
      </w:r>
      <w:r>
        <w:rPr>
          <w:rFonts w:asciiTheme="minorHAnsi" w:hAnsiTheme="minorHAnsi" w:cstheme="minorBidi"/>
          <w:color w:val="495965" w:themeColor="text2"/>
          <w:sz w:val="22"/>
          <w:szCs w:val="22"/>
          <w:lang w:val="en-GB" w:eastAsia="en-US"/>
        </w:rPr>
        <w:t xml:space="preserve"> from around the world</w:t>
      </w:r>
      <w:r w:rsidRPr="001F45E0">
        <w:rPr>
          <w:rFonts w:asciiTheme="minorHAnsi" w:hAnsiTheme="minorHAnsi" w:cstheme="minorBidi"/>
          <w:color w:val="495965" w:themeColor="text2"/>
          <w:sz w:val="22"/>
          <w:szCs w:val="22"/>
          <w:lang w:val="en-GB" w:eastAsia="en-US"/>
        </w:rPr>
        <w:t xml:space="preserve">. </w:t>
      </w:r>
      <w:proofErr w:type="spellStart"/>
      <w:r>
        <w:rPr>
          <w:rFonts w:asciiTheme="minorHAnsi" w:hAnsiTheme="minorHAnsi" w:cstheme="minorBidi"/>
          <w:color w:val="495965" w:themeColor="text2"/>
          <w:sz w:val="22"/>
          <w:szCs w:val="22"/>
          <w:lang w:val="en-GB" w:eastAsia="en-US"/>
        </w:rPr>
        <w:t>Skyeye</w:t>
      </w:r>
      <w:proofErr w:type="spellEnd"/>
      <w:r>
        <w:rPr>
          <w:rFonts w:asciiTheme="minorHAnsi" w:hAnsiTheme="minorHAnsi" w:cstheme="minorBidi"/>
          <w:color w:val="495965" w:themeColor="text2"/>
          <w:sz w:val="22"/>
          <w:szCs w:val="22"/>
          <w:lang w:val="en-GB" w:eastAsia="en-US"/>
        </w:rPr>
        <w:t xml:space="preserve"> and </w:t>
      </w:r>
      <w:r w:rsidRPr="006C2D2F">
        <w:rPr>
          <w:rFonts w:asciiTheme="minorHAnsi" w:hAnsiTheme="minorHAnsi" w:cstheme="minorBidi"/>
          <w:color w:val="495965" w:themeColor="text2"/>
          <w:sz w:val="22"/>
          <w:szCs w:val="22"/>
          <w:lang w:val="en-GB" w:eastAsia="en-US"/>
        </w:rPr>
        <w:t>Nora's Plantation Foods</w:t>
      </w:r>
      <w:r>
        <w:rPr>
          <w:rFonts w:asciiTheme="minorHAnsi" w:hAnsiTheme="minorHAnsi" w:cstheme="minorBidi"/>
          <w:color w:val="495965" w:themeColor="text2"/>
          <w:sz w:val="22"/>
          <w:szCs w:val="22"/>
          <w:lang w:val="en-GB" w:eastAsia="en-US"/>
        </w:rPr>
        <w:t xml:space="preserve"> were recognised as </w:t>
      </w:r>
      <w:r w:rsidRPr="006C2D2F">
        <w:rPr>
          <w:rFonts w:asciiTheme="minorHAnsi" w:hAnsiTheme="minorHAnsi" w:cstheme="minorBidi"/>
          <w:color w:val="495965" w:themeColor="text2"/>
          <w:sz w:val="22"/>
          <w:szCs w:val="22"/>
          <w:lang w:val="en-GB" w:eastAsia="en-US"/>
        </w:rPr>
        <w:t>outstanding social enterprises delivering development impact for communities in the Indo-Pacific region</w:t>
      </w:r>
      <w:r>
        <w:rPr>
          <w:rFonts w:asciiTheme="minorHAnsi" w:hAnsiTheme="minorHAnsi" w:cstheme="minorBidi"/>
          <w:color w:val="495965" w:themeColor="text2"/>
          <w:sz w:val="22"/>
          <w:szCs w:val="22"/>
          <w:lang w:val="en-GB" w:eastAsia="en-US"/>
        </w:rPr>
        <w:t>.</w:t>
      </w:r>
      <w:r w:rsidRPr="006C2D2F">
        <w:rPr>
          <w:rFonts w:asciiTheme="minorHAnsi" w:hAnsiTheme="minorHAnsi" w:cstheme="minorBidi"/>
          <w:color w:val="495965" w:themeColor="text2"/>
          <w:sz w:val="22"/>
          <w:szCs w:val="22"/>
          <w:lang w:val="en-GB" w:eastAsia="en-US"/>
        </w:rPr>
        <w:t xml:space="preserve"> </w:t>
      </w:r>
      <w:r w:rsidRPr="001F45E0">
        <w:rPr>
          <w:rFonts w:asciiTheme="minorHAnsi" w:hAnsiTheme="minorHAnsi" w:cstheme="minorBidi"/>
          <w:color w:val="495965" w:themeColor="text2"/>
          <w:sz w:val="22"/>
          <w:szCs w:val="22"/>
          <w:lang w:val="en-GB" w:eastAsia="en-US"/>
        </w:rPr>
        <w:t>Each winner receive</w:t>
      </w:r>
      <w:r>
        <w:rPr>
          <w:rFonts w:asciiTheme="minorHAnsi" w:hAnsiTheme="minorHAnsi" w:cstheme="minorBidi"/>
          <w:color w:val="495965" w:themeColor="text2"/>
          <w:sz w:val="22"/>
          <w:szCs w:val="22"/>
          <w:lang w:val="en-GB" w:eastAsia="en-US"/>
        </w:rPr>
        <w:t>d</w:t>
      </w:r>
      <w:r w:rsidRPr="001F45E0">
        <w:rPr>
          <w:rFonts w:asciiTheme="minorHAnsi" w:hAnsiTheme="minorHAnsi" w:cstheme="minorBidi"/>
          <w:color w:val="495965" w:themeColor="text2"/>
          <w:sz w:val="22"/>
          <w:szCs w:val="22"/>
          <w:lang w:val="en-GB" w:eastAsia="en-US"/>
        </w:rPr>
        <w:t xml:space="preserve"> </w:t>
      </w:r>
      <w:r>
        <w:rPr>
          <w:rFonts w:asciiTheme="minorHAnsi" w:hAnsiTheme="minorHAnsi" w:cstheme="minorBidi"/>
          <w:color w:val="495965" w:themeColor="text2"/>
          <w:sz w:val="22"/>
          <w:szCs w:val="22"/>
          <w:lang w:val="en-GB" w:eastAsia="en-US"/>
        </w:rPr>
        <w:t>a cash grant</w:t>
      </w:r>
      <w:r w:rsidRPr="001F45E0">
        <w:rPr>
          <w:rFonts w:asciiTheme="minorHAnsi" w:hAnsiTheme="minorHAnsi" w:cstheme="minorBidi"/>
          <w:color w:val="495965" w:themeColor="text2"/>
          <w:sz w:val="22"/>
          <w:szCs w:val="22"/>
          <w:lang w:val="en-GB" w:eastAsia="en-US"/>
        </w:rPr>
        <w:t xml:space="preserve"> to help accelerate their businesses and broaden their development impact.</w:t>
      </w:r>
      <w:r w:rsidR="00080B83">
        <w:rPr>
          <w:rFonts w:asciiTheme="minorHAnsi" w:hAnsiTheme="minorHAnsi" w:cstheme="minorBidi"/>
          <w:color w:val="495965" w:themeColor="text2"/>
          <w:sz w:val="22"/>
          <w:szCs w:val="22"/>
          <w:lang w:val="en-GB" w:eastAsia="en-US"/>
        </w:rPr>
        <w:t xml:space="preserve"> </w:t>
      </w:r>
      <w:r w:rsidR="00080B83" w:rsidRPr="00080B83">
        <w:rPr>
          <w:rFonts w:asciiTheme="minorHAnsi" w:hAnsiTheme="minorHAnsi" w:cstheme="minorBidi"/>
          <w:color w:val="495965" w:themeColor="text2"/>
          <w:sz w:val="22"/>
          <w:szCs w:val="22"/>
          <w:lang w:val="en-GB" w:eastAsia="en-US"/>
        </w:rPr>
        <w:t>These initiatives will benefit more than 200 households, facilitating increased participation in the formal cash economy and create 74 new jobs in the manufacturing facility, mostly for women</w:t>
      </w:r>
      <w:r w:rsidR="00080B83">
        <w:rPr>
          <w:rFonts w:asciiTheme="minorHAnsi" w:hAnsiTheme="minorHAnsi" w:cstheme="minorBidi"/>
          <w:color w:val="495965" w:themeColor="text2"/>
          <w:sz w:val="22"/>
          <w:szCs w:val="22"/>
          <w:lang w:val="en-GB" w:eastAsia="en-US"/>
        </w:rPr>
        <w:t>.</w:t>
      </w:r>
    </w:p>
    <w:p w14:paraId="1660BB8D" w14:textId="77777777" w:rsidR="000E2605" w:rsidRDefault="000E2605" w:rsidP="000E2605">
      <w:pPr>
        <w:pStyle w:val="ListBullet"/>
        <w:tabs>
          <w:tab w:val="clear" w:pos="284"/>
        </w:tabs>
        <w:spacing w:after="60"/>
        <w:rPr>
          <w:rFonts w:asciiTheme="majorHAnsi" w:eastAsiaTheme="majorEastAsia" w:hAnsiTheme="majorHAnsi" w:cstheme="majorBidi"/>
          <w:caps/>
          <w:color w:val="495965" w:themeColor="text2"/>
          <w:sz w:val="38"/>
          <w:szCs w:val="26"/>
          <w:lang w:val="en-GB" w:eastAsia="en-US"/>
        </w:rPr>
      </w:pPr>
    </w:p>
    <w:p w14:paraId="50C7B054" w14:textId="77777777" w:rsidR="004C17D1" w:rsidRDefault="004C17D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1807C294" w14:textId="0516A514" w:rsidR="000E2605" w:rsidRPr="00015316" w:rsidRDefault="000E2605" w:rsidP="000E2605">
      <w:pPr>
        <w:pStyle w:val="ListBullet"/>
        <w:tabs>
          <w:tab w:val="clear" w:pos="284"/>
        </w:tabs>
        <w:spacing w:after="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lastRenderedPageBreak/>
        <w:t>Mutual Obligations</w:t>
      </w:r>
    </w:p>
    <w:p w14:paraId="7CC05DA3" w14:textId="77777777" w:rsidR="000E2605" w:rsidRDefault="000E2605" w:rsidP="000E2605">
      <w:pPr>
        <w:spacing w:line="240" w:lineRule="auto"/>
      </w:pPr>
      <w:r>
        <w:t>Australia and Samoa continued to work towards agreed mutual obligations as outlined in Australia’s Aid Investment Plan for Samoa and the Australia-Samoa Aid Partnership Arrangement 2016-2019.</w:t>
      </w:r>
    </w:p>
    <w:p w14:paraId="7AD5270E" w14:textId="77777777" w:rsidR="000E2605" w:rsidRDefault="000E2605" w:rsidP="000E2605">
      <w:pPr>
        <w:spacing w:after="0" w:line="240" w:lineRule="auto"/>
      </w:pPr>
      <w:r>
        <w:t xml:space="preserve"> In 2017-18 the Government of Samoa:</w:t>
      </w:r>
    </w:p>
    <w:p w14:paraId="5E483334" w14:textId="77777777" w:rsidR="000E2605" w:rsidRDefault="000E2605" w:rsidP="000E2605">
      <w:pPr>
        <w:pStyle w:val="ListParagraph"/>
        <w:numPr>
          <w:ilvl w:val="0"/>
          <w:numId w:val="38"/>
        </w:numPr>
        <w:spacing w:before="0" w:line="240" w:lineRule="auto"/>
        <w:ind w:left="714" w:hanging="357"/>
        <w:rPr>
          <w:rFonts w:eastAsia="Times New Roman"/>
        </w:rPr>
      </w:pPr>
      <w:r>
        <w:rPr>
          <w:rFonts w:eastAsia="Times New Roman"/>
        </w:rPr>
        <w:t>implemented national development plans and coordinated development partner assistance, including through regular sectoral working groups;</w:t>
      </w:r>
    </w:p>
    <w:p w14:paraId="12E13A1E" w14:textId="77777777" w:rsidR="000E2605" w:rsidRDefault="000E2605" w:rsidP="000E2605">
      <w:pPr>
        <w:pStyle w:val="ListParagraph"/>
        <w:numPr>
          <w:ilvl w:val="0"/>
          <w:numId w:val="38"/>
        </w:numPr>
        <w:spacing w:before="0" w:line="240" w:lineRule="auto"/>
        <w:ind w:left="714" w:hanging="357"/>
        <w:rPr>
          <w:rFonts w:eastAsia="Times New Roman"/>
        </w:rPr>
      </w:pPr>
      <w:r>
        <w:rPr>
          <w:rFonts w:eastAsia="Times New Roman"/>
        </w:rPr>
        <w:t>continued to improve government procurement and financial systems; and</w:t>
      </w:r>
    </w:p>
    <w:p w14:paraId="657F5DC6" w14:textId="77777777" w:rsidR="000E2605" w:rsidRPr="0057514F" w:rsidRDefault="000E2605" w:rsidP="000E2605">
      <w:pPr>
        <w:pStyle w:val="ListParagraph"/>
        <w:numPr>
          <w:ilvl w:val="0"/>
          <w:numId w:val="38"/>
        </w:numPr>
        <w:spacing w:line="240" w:lineRule="auto"/>
        <w:ind w:left="714" w:hanging="357"/>
        <w:rPr>
          <w:rFonts w:eastAsia="Times New Roman"/>
        </w:rPr>
      </w:pPr>
      <w:proofErr w:type="gramStart"/>
      <w:r>
        <w:rPr>
          <w:rFonts w:eastAsia="Times New Roman"/>
        </w:rPr>
        <w:t>maintained</w:t>
      </w:r>
      <w:proofErr w:type="gramEnd"/>
      <w:r>
        <w:rPr>
          <w:rFonts w:eastAsia="Times New Roman"/>
        </w:rPr>
        <w:t xml:space="preserve"> budget expenditure on education, health and infrastructure maintenance.</w:t>
      </w:r>
    </w:p>
    <w:p w14:paraId="623D5CB4" w14:textId="77777777" w:rsidR="000E2605" w:rsidRDefault="000E2605" w:rsidP="000E2605">
      <w:pPr>
        <w:spacing w:after="0" w:line="240" w:lineRule="auto"/>
        <w:rPr>
          <w:rFonts w:eastAsia="Times New Roman"/>
        </w:rPr>
      </w:pPr>
      <w:r>
        <w:rPr>
          <w:rFonts w:eastAsia="Times New Roman"/>
        </w:rPr>
        <w:t xml:space="preserve">In 2017-18 the Australian Government: </w:t>
      </w:r>
    </w:p>
    <w:p w14:paraId="671A552E" w14:textId="77777777" w:rsidR="000E2605" w:rsidRDefault="000E2605" w:rsidP="000E2605">
      <w:pPr>
        <w:pStyle w:val="ListParagraph"/>
        <w:numPr>
          <w:ilvl w:val="0"/>
          <w:numId w:val="39"/>
        </w:numPr>
        <w:spacing w:before="0" w:line="240" w:lineRule="auto"/>
        <w:ind w:left="714" w:hanging="357"/>
        <w:rPr>
          <w:rFonts w:eastAsia="Times New Roman"/>
        </w:rPr>
      </w:pPr>
      <w:r>
        <w:rPr>
          <w:rFonts w:eastAsia="Times New Roman"/>
        </w:rPr>
        <w:t>continued to deliver timely, effective and predictable development assistance in line with the Government of Samoa’s Strategy for the Development of Samoa 2016-17 to 2019-20;</w:t>
      </w:r>
    </w:p>
    <w:p w14:paraId="7842C636" w14:textId="77777777" w:rsidR="000E2605" w:rsidRDefault="000E2605" w:rsidP="000E2605">
      <w:pPr>
        <w:pStyle w:val="ListParagraph"/>
        <w:numPr>
          <w:ilvl w:val="0"/>
          <w:numId w:val="39"/>
        </w:numPr>
        <w:spacing w:line="240" w:lineRule="auto"/>
        <w:ind w:left="714" w:hanging="357"/>
        <w:rPr>
          <w:rFonts w:eastAsia="Times New Roman"/>
        </w:rPr>
      </w:pPr>
      <w:r>
        <w:rPr>
          <w:rFonts w:eastAsia="Times New Roman"/>
        </w:rPr>
        <w:t>continued to be transparent in the allocation of funding under the Partnership; and</w:t>
      </w:r>
    </w:p>
    <w:p w14:paraId="34BAF32A" w14:textId="51549CC3" w:rsidR="000E2605" w:rsidRPr="0057514F" w:rsidRDefault="000E2605" w:rsidP="000E2605">
      <w:pPr>
        <w:pStyle w:val="ListParagraph"/>
        <w:numPr>
          <w:ilvl w:val="0"/>
          <w:numId w:val="39"/>
        </w:numPr>
        <w:spacing w:line="240" w:lineRule="auto"/>
        <w:ind w:left="714" w:hanging="357"/>
        <w:rPr>
          <w:rFonts w:eastAsia="Times New Roman"/>
        </w:rPr>
      </w:pPr>
      <w:proofErr w:type="gramStart"/>
      <w:r>
        <w:rPr>
          <w:rFonts w:eastAsia="Times New Roman"/>
        </w:rPr>
        <w:t>delivered</w:t>
      </w:r>
      <w:proofErr w:type="gramEnd"/>
      <w:r>
        <w:rPr>
          <w:rFonts w:eastAsia="Times New Roman"/>
        </w:rPr>
        <w:t xml:space="preserve"> assistance through Samoa’s g</w:t>
      </w:r>
      <w:r w:rsidR="00AC43C1">
        <w:rPr>
          <w:rFonts w:eastAsia="Times New Roman"/>
        </w:rPr>
        <w:t>overnment systems where it made</w:t>
      </w:r>
      <w:r>
        <w:rPr>
          <w:rFonts w:eastAsia="Times New Roman"/>
        </w:rPr>
        <w:t xml:space="preserve"> sense to do so.</w:t>
      </w:r>
    </w:p>
    <w:p w14:paraId="030F5B51" w14:textId="77777777" w:rsidR="000E2605" w:rsidRDefault="000E2605" w:rsidP="000E2605">
      <w:pPr>
        <w:pStyle w:val="ListBullet"/>
        <w:tabs>
          <w:tab w:val="clear" w:pos="284"/>
        </w:tabs>
        <w:spacing w:before="120" w:after="60"/>
        <w:rPr>
          <w:rFonts w:asciiTheme="majorHAnsi" w:eastAsiaTheme="majorEastAsia" w:hAnsiTheme="majorHAnsi" w:cstheme="majorBidi"/>
          <w:caps/>
          <w:color w:val="495965" w:themeColor="text2"/>
          <w:sz w:val="38"/>
          <w:szCs w:val="26"/>
          <w:lang w:val="en-GB" w:eastAsia="en-US"/>
        </w:rPr>
      </w:pPr>
    </w:p>
    <w:p w14:paraId="7F2EE9B8" w14:textId="77777777" w:rsidR="000E2605" w:rsidRPr="00015316" w:rsidRDefault="000E2605" w:rsidP="000E2605">
      <w:pPr>
        <w:pStyle w:val="ListBullet"/>
        <w:tabs>
          <w:tab w:val="clear" w:pos="284"/>
        </w:tabs>
        <w:spacing w:before="120" w:after="6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45C939FF" w14:textId="1AF33813" w:rsidR="000E2605" w:rsidRDefault="000E2605" w:rsidP="000E2605">
      <w:pPr>
        <w:spacing w:afterLines="60" w:after="144" w:line="240" w:lineRule="auto"/>
      </w:pPr>
      <w:r>
        <w:t>Aid Quality Check ratings across all initiatives in Australia’s development assistance to Samoa remained the same or slightly improved compared with last year. Ratings for gender equality remain largely unchanged when compared with the previous reporting period</w:t>
      </w:r>
      <w:r w:rsidR="0059234A">
        <w:t xml:space="preserve"> </w:t>
      </w:r>
      <w:r w:rsidR="0059234A" w:rsidRPr="0059234A">
        <w:t>– 90% achieved a rating of at least 4.</w:t>
      </w:r>
      <w:r w:rsidR="0059234A">
        <w:t xml:space="preserve"> </w:t>
      </w:r>
      <w:r>
        <w:t>Post is seeking support from a gender adviser for future aid quality checks.</w:t>
      </w:r>
    </w:p>
    <w:p w14:paraId="79A18B53" w14:textId="2C6CAB5D" w:rsidR="00FC5419" w:rsidRDefault="000E2605" w:rsidP="000E2605">
      <w:pPr>
        <w:pStyle w:val="ListBullet"/>
        <w:tabs>
          <w:tab w:val="clear" w:pos="284"/>
        </w:tabs>
        <w:spacing w:before="120"/>
        <w:rPr>
          <w:rFonts w:asciiTheme="majorHAnsi" w:eastAsiaTheme="majorEastAsia" w:hAnsiTheme="majorHAnsi" w:cstheme="majorBidi"/>
          <w:caps/>
          <w:color w:val="495965" w:themeColor="text2"/>
          <w:sz w:val="38"/>
          <w:szCs w:val="26"/>
          <w:lang w:val="en-GB" w:eastAsia="en-US"/>
        </w:rPr>
      </w:pPr>
      <w:r>
        <w:t xml:space="preserve"> </w:t>
      </w:r>
    </w:p>
    <w:p w14:paraId="72BFA3BF" w14:textId="7C44E210" w:rsidR="000E2605" w:rsidRPr="00015316" w:rsidRDefault="000E2605" w:rsidP="000E2605">
      <w:pPr>
        <w:pStyle w:val="ListBullet"/>
        <w:tabs>
          <w:tab w:val="clear" w:pos="284"/>
        </w:tabs>
        <w:spacing w:before="12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Pr>
          <w:rFonts w:asciiTheme="majorHAnsi" w:eastAsiaTheme="majorEastAsia" w:hAnsiTheme="majorHAnsi" w:cstheme="majorBidi"/>
          <w:caps/>
          <w:color w:val="495965" w:themeColor="text2"/>
          <w:sz w:val="38"/>
          <w:szCs w:val="26"/>
          <w:lang w:val="en-GB" w:eastAsia="en-US"/>
        </w:rPr>
        <w:t>actions</w:t>
      </w:r>
    </w:p>
    <w:p w14:paraId="3CF9D58A" w14:textId="77777777" w:rsidR="000E2605" w:rsidRDefault="000E2605" w:rsidP="000E2605">
      <w:pPr>
        <w:spacing w:line="240" w:lineRule="auto"/>
      </w:pPr>
      <w:r>
        <w:t>Following an assessment of Australian development assistance in Samoa, the following management responses have been identified to address challenges and risks associated with the program</w:t>
      </w:r>
      <w:r w:rsidRPr="001D62C7">
        <w:t xml:space="preserve"> </w:t>
      </w:r>
      <w:r>
        <w:t>in 2018-19:</w:t>
      </w:r>
    </w:p>
    <w:p w14:paraId="5781F269" w14:textId="77777777" w:rsidR="000E2605" w:rsidRDefault="000E2605" w:rsidP="000E2605">
      <w:pPr>
        <w:pStyle w:val="ListParagraph"/>
        <w:numPr>
          <w:ilvl w:val="0"/>
          <w:numId w:val="41"/>
        </w:numPr>
        <w:spacing w:before="60" w:line="240" w:lineRule="auto"/>
        <w:contextualSpacing w:val="0"/>
      </w:pPr>
      <w:r>
        <w:t xml:space="preserve">DFAT will engage a gender adviser to support post and </w:t>
      </w:r>
      <w:r w:rsidRPr="00803503">
        <w:t>provide capacity building for staff and improve gender mainstreaming of DFAT sector programs</w:t>
      </w:r>
      <w:r>
        <w:t>.</w:t>
      </w:r>
    </w:p>
    <w:p w14:paraId="07D8988D" w14:textId="6DA6B879" w:rsidR="000E2605" w:rsidRDefault="000E2605" w:rsidP="000E2605">
      <w:pPr>
        <w:pStyle w:val="ListParagraph"/>
        <w:numPr>
          <w:ilvl w:val="0"/>
          <w:numId w:val="41"/>
        </w:numPr>
        <w:spacing w:before="60" w:line="240" w:lineRule="auto"/>
        <w:contextualSpacing w:val="0"/>
      </w:pPr>
      <w:r>
        <w:t xml:space="preserve">DFAT will develop a design brief for the construction of </w:t>
      </w:r>
      <w:r w:rsidR="002B5300">
        <w:t xml:space="preserve">the new </w:t>
      </w:r>
      <w:r>
        <w:t>Legislative Assembly Office, which is part of the Parliamentary complex, which builds on the lessons learned from the construction of the Parliament House and supports government systems without burdening these systems.</w:t>
      </w:r>
    </w:p>
    <w:p w14:paraId="10E0B9A8" w14:textId="3629AF76" w:rsidR="000E2605" w:rsidRDefault="000E2605" w:rsidP="00AD291D">
      <w:pPr>
        <w:pStyle w:val="ListParagraph"/>
        <w:numPr>
          <w:ilvl w:val="0"/>
          <w:numId w:val="41"/>
        </w:numPr>
        <w:spacing w:before="60" w:line="240" w:lineRule="auto"/>
        <w:contextualSpacing w:val="0"/>
      </w:pPr>
      <w:r>
        <w:t>DFAT will explore ways to strengthen the capacity of the Ministry of Women and Community Development to implement development programs in the future which can achieve results and</w:t>
      </w:r>
      <w:r w:rsidR="00AD291D">
        <w:t xml:space="preserve"> </w:t>
      </w:r>
      <w:r w:rsidR="00AD291D" w:rsidRPr="00AD291D">
        <w:t>represent value for money</w:t>
      </w:r>
      <w:r w:rsidR="00AD291D">
        <w:t>.</w:t>
      </w:r>
    </w:p>
    <w:p w14:paraId="70C17317" w14:textId="5FF6EAA5" w:rsidR="002B5300" w:rsidRDefault="009405D7" w:rsidP="00AD291D">
      <w:pPr>
        <w:pStyle w:val="ListParagraph"/>
        <w:numPr>
          <w:ilvl w:val="0"/>
          <w:numId w:val="41"/>
        </w:numPr>
        <w:spacing w:before="60" w:line="240" w:lineRule="auto"/>
        <w:contextualSpacing w:val="0"/>
      </w:pPr>
      <w:r>
        <w:t>DFAT will</w:t>
      </w:r>
      <w:r w:rsidR="005866A0">
        <w:t xml:space="preserve"> work toget</w:t>
      </w:r>
      <w:r w:rsidR="0072234D">
        <w:t xml:space="preserve">her with development partners </w:t>
      </w:r>
      <w:r>
        <w:t xml:space="preserve">to strengthen the capacity of the health sector to design and implement </w:t>
      </w:r>
      <w:r w:rsidR="005866A0">
        <w:t>an integrated, patient centred primary health care program.</w:t>
      </w:r>
    </w:p>
    <w:p w14:paraId="71C23A60" w14:textId="26682FE8" w:rsidR="000E2605" w:rsidRDefault="002B5300" w:rsidP="00080B83">
      <w:pPr>
        <w:pStyle w:val="ListParagraph"/>
        <w:numPr>
          <w:ilvl w:val="0"/>
          <w:numId w:val="41"/>
        </w:numPr>
        <w:spacing w:before="60" w:line="240" w:lineRule="auto"/>
        <w:contextualSpacing w:val="0"/>
      </w:pPr>
      <w:r>
        <w:t xml:space="preserve">DFAT will </w:t>
      </w:r>
      <w:r w:rsidRPr="002B5300">
        <w:t xml:space="preserve">explore ways to strengthen </w:t>
      </w:r>
      <w:r>
        <w:t>technical and vocational education in Samoa</w:t>
      </w:r>
      <w:r w:rsidRPr="002B5300">
        <w:t xml:space="preserve"> to ensure that more Samoans </w:t>
      </w:r>
      <w:r>
        <w:t>are</w:t>
      </w:r>
      <w:r w:rsidRPr="002B5300">
        <w:t xml:space="preserve"> able to take advantage of the opportunities available through the Labour Mobility Scheme</w:t>
      </w:r>
      <w:r>
        <w:t>.</w:t>
      </w:r>
    </w:p>
    <w:p w14:paraId="681926CC" w14:textId="3A52BB38" w:rsidR="00DE7996" w:rsidRDefault="00DE7996" w:rsidP="00DE7996">
      <w:pPr>
        <w:pStyle w:val="ListParagraph"/>
        <w:numPr>
          <w:ilvl w:val="0"/>
          <w:numId w:val="41"/>
        </w:numPr>
        <w:spacing w:before="60" w:line="240" w:lineRule="auto"/>
        <w:sectPr w:rsidR="00DE7996" w:rsidSect="00363ECB">
          <w:headerReference w:type="default" r:id="rId27"/>
          <w:footerReference w:type="default" r:id="rId28"/>
          <w:pgSz w:w="11906" w:h="16838" w:code="9"/>
          <w:pgMar w:top="1843" w:right="1134" w:bottom="851" w:left="1134" w:header="1565" w:footer="342" w:gutter="0"/>
          <w:cols w:space="397"/>
          <w:docGrid w:linePitch="360"/>
        </w:sectPr>
      </w:pPr>
      <w:r>
        <w:t xml:space="preserve">DFAT will look to incorporate lessons from current aid investments while reshaping programs to take account of new policy priorities in a future Aid Investment Plan.   </w:t>
      </w:r>
    </w:p>
    <w:p w14:paraId="398FD926" w14:textId="77777777" w:rsidR="00AF1B85" w:rsidRPr="00A8197B" w:rsidRDefault="00AF1B85" w:rsidP="005E606B">
      <w:pPr>
        <w:pStyle w:val="Subtitle"/>
      </w:pPr>
      <w:r w:rsidRPr="00261CF2">
        <w:lastRenderedPageBreak/>
        <w:t>Annex A - Progress in Addressing Management Responses</w:t>
      </w:r>
    </w:p>
    <w:p w14:paraId="5E8A5421" w14:textId="1125BB82" w:rsidR="00AF1B85" w:rsidRPr="00C61187" w:rsidRDefault="00AF1B85" w:rsidP="00A8197B">
      <w:r w:rsidRPr="00C61187">
        <w:t>Describe progress made against management responses in 201</w:t>
      </w:r>
      <w:r w:rsidR="003C5019">
        <w:t>6</w:t>
      </w:r>
      <w:r w:rsidRPr="00C61187">
        <w:t>-1</w:t>
      </w:r>
      <w:r w:rsidR="003C5019">
        <w:t>7</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0868D987" w14:textId="77777777" w:rsidTr="003C5019">
        <w:trPr>
          <w:cnfStyle w:val="000000010000" w:firstRow="0" w:lastRow="0" w:firstColumn="0" w:lastColumn="0" w:oddVBand="0" w:evenVBand="0" w:oddHBand="0" w:evenHBand="1" w:firstRowFirstColumn="0" w:firstRowLastColumn="0" w:lastRowFirstColumn="0" w:lastRowLastColumn="0"/>
        </w:trPr>
        <w:tc>
          <w:tcPr>
            <w:tcW w:w="6284" w:type="dxa"/>
          </w:tcPr>
          <w:p w14:paraId="7BCA6135" w14:textId="4E36EC15" w:rsidR="00AF1B85" w:rsidRPr="00812509" w:rsidRDefault="00AF1B85" w:rsidP="003C501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C5019">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C5019">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Pr>
          <w:p w14:paraId="1E002BB0"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Pr>
          <w:p w14:paraId="0798B51D" w14:textId="04977A10"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3C5019">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-1</w:t>
            </w:r>
            <w:r w:rsidR="003C5019">
              <w:rPr>
                <w:rFonts w:asciiTheme="minorHAnsi" w:eastAsia="Times New Roman" w:hAnsiTheme="minorHAnsi"/>
                <w:b/>
                <w:iCs/>
                <w:szCs w:val="17"/>
                <w:lang w:eastAsia="en-US"/>
              </w:rPr>
              <w:t>8</w:t>
            </w:r>
          </w:p>
        </w:tc>
      </w:tr>
      <w:tr w:rsidR="00AF1B85" w:rsidRPr="00812509" w14:paraId="652C61C4" w14:textId="77777777" w:rsidTr="00BA5C21">
        <w:trPr>
          <w:cnfStyle w:val="000000010000" w:firstRow="0" w:lastRow="0" w:firstColumn="0" w:lastColumn="0" w:oddVBand="0" w:evenVBand="0" w:oddHBand="0" w:evenHBand="1" w:firstRowFirstColumn="0" w:firstRowLastColumn="0" w:lastRowFirstColumn="0" w:lastRowLastColumn="0"/>
        </w:trPr>
        <w:tc>
          <w:tcPr>
            <w:tcW w:w="6284" w:type="dxa"/>
          </w:tcPr>
          <w:p w14:paraId="396DC82A" w14:textId="2CB7B72D" w:rsidR="00AF1B85" w:rsidRPr="00B208E0" w:rsidRDefault="003C5019" w:rsidP="00D15A00">
            <w:pPr>
              <w:keepLines/>
              <w:spacing w:before="40" w:after="40" w:line="200" w:lineRule="atLeast"/>
              <w:rPr>
                <w:rFonts w:asciiTheme="minorHAnsi" w:eastAsia="Times New Roman" w:hAnsiTheme="minorHAnsi"/>
                <w:iCs/>
                <w:sz w:val="18"/>
                <w:szCs w:val="18"/>
                <w:lang w:eastAsia="en-US"/>
              </w:rPr>
            </w:pPr>
            <w:r w:rsidRPr="003C5019">
              <w:rPr>
                <w:rFonts w:asciiTheme="minorHAnsi" w:eastAsia="Times New Roman" w:hAnsiTheme="minorHAnsi"/>
                <w:iCs/>
                <w:sz w:val="18"/>
                <w:szCs w:val="18"/>
                <w:lang w:eastAsia="en-US"/>
              </w:rPr>
              <w:t>DFAT will advocate for increased in-country staffing and additional technical oversight by the World Bank under the Enhanced Road Access Project and will use the annual JPAM process to trigger further planning and implementation of infrastructure sector policy and sector management reforms.</w:t>
            </w:r>
          </w:p>
        </w:tc>
        <w:tc>
          <w:tcPr>
            <w:tcW w:w="1151" w:type="dxa"/>
            <w:shd w:val="clear" w:color="auto" w:fill="7FB64D" w:themeFill="accent3" w:themeFillShade="BF"/>
          </w:tcPr>
          <w:p w14:paraId="43A4CEF8" w14:textId="2F47BF3E" w:rsidR="00AF1B85" w:rsidRPr="0017000B" w:rsidRDefault="00BA5C21" w:rsidP="00D44094">
            <w:pPr>
              <w:keepLines/>
              <w:spacing w:before="40" w:after="40" w:line="200" w:lineRule="atLeast"/>
              <w:jc w:val="center"/>
              <w:rPr>
                <w:rFonts w:asciiTheme="minorHAnsi" w:hAnsiTheme="minorHAnsi"/>
                <w:color w:val="FFFFFF" w:themeColor="background1"/>
                <w:sz w:val="18"/>
                <w:szCs w:val="18"/>
                <w:lang w:eastAsia="en-US"/>
              </w:rPr>
            </w:pPr>
            <w:r>
              <w:rPr>
                <w:rFonts w:asciiTheme="minorHAnsi" w:eastAsia="Times New Roman" w:hAnsiTheme="minorHAnsi"/>
                <w:iCs/>
                <w:color w:val="FFFFFF" w:themeColor="background1"/>
                <w:sz w:val="18"/>
                <w:szCs w:val="18"/>
              </w:rPr>
              <w:t>A</w:t>
            </w:r>
            <w:r w:rsidR="002E1C1D" w:rsidRPr="0017000B">
              <w:rPr>
                <w:rFonts w:asciiTheme="minorHAnsi" w:eastAsia="Times New Roman" w:hAnsiTheme="minorHAnsi"/>
                <w:iCs/>
                <w:color w:val="FFFFFF" w:themeColor="background1"/>
                <w:sz w:val="18"/>
                <w:szCs w:val="18"/>
              </w:rPr>
              <w:t>chieved</w:t>
            </w:r>
            <w:r w:rsidR="002E1C1D" w:rsidRPr="0017000B">
              <w:rPr>
                <w:rFonts w:asciiTheme="minorHAnsi" w:hAnsiTheme="minorHAnsi"/>
                <w:iCs/>
                <w:color w:val="FFFFFF" w:themeColor="background1"/>
                <w:sz w:val="18"/>
                <w:szCs w:val="18"/>
                <w:lang w:eastAsia="en-US"/>
              </w:rPr>
              <w:t xml:space="preserve"> </w:t>
            </w:r>
          </w:p>
        </w:tc>
        <w:tc>
          <w:tcPr>
            <w:tcW w:w="6696" w:type="dxa"/>
          </w:tcPr>
          <w:p w14:paraId="24A4E686" w14:textId="0C505F6F" w:rsidR="00AF1B85" w:rsidRPr="00B208E0" w:rsidRDefault="003C5019" w:rsidP="00A24D85">
            <w:pPr>
              <w:keepLines/>
              <w:spacing w:before="40" w:after="40" w:line="200" w:lineRule="atLeast"/>
              <w:rPr>
                <w:rFonts w:asciiTheme="minorHAnsi" w:eastAsia="Times New Roman" w:hAnsiTheme="minorHAnsi"/>
                <w:iCs/>
                <w:color w:val="92D050"/>
                <w:sz w:val="18"/>
                <w:szCs w:val="18"/>
                <w:lang w:eastAsia="en-US"/>
              </w:rPr>
            </w:pPr>
            <w:r w:rsidRPr="003C5019">
              <w:rPr>
                <w:rFonts w:asciiTheme="minorHAnsi" w:eastAsia="Times New Roman" w:hAnsiTheme="minorHAnsi"/>
                <w:iCs/>
                <w:sz w:val="18"/>
                <w:szCs w:val="18"/>
                <w:lang w:eastAsia="en-US"/>
              </w:rPr>
              <w:t>The World Bank has agreed to fund 4 new in-country staffing positions.</w:t>
            </w:r>
            <w:r>
              <w:rPr>
                <w:rFonts w:asciiTheme="minorHAnsi" w:eastAsia="Times New Roman" w:hAnsiTheme="minorHAnsi"/>
                <w:iCs/>
                <w:sz w:val="18"/>
                <w:szCs w:val="18"/>
                <w:lang w:eastAsia="en-US"/>
              </w:rPr>
              <w:t xml:space="preserve"> Recruitment for these positions will take place in 2018-19.</w:t>
            </w:r>
          </w:p>
        </w:tc>
      </w:tr>
      <w:tr w:rsidR="00AF1B85" w:rsidRPr="00812509" w14:paraId="2C93238D" w14:textId="77777777" w:rsidTr="00BA5C21">
        <w:trPr>
          <w:cnfStyle w:val="000000010000" w:firstRow="0" w:lastRow="0" w:firstColumn="0" w:lastColumn="0" w:oddVBand="0" w:evenVBand="0" w:oddHBand="0" w:evenHBand="1" w:firstRowFirstColumn="0" w:firstRowLastColumn="0" w:lastRowFirstColumn="0" w:lastRowLastColumn="0"/>
        </w:trPr>
        <w:tc>
          <w:tcPr>
            <w:tcW w:w="6284" w:type="dxa"/>
          </w:tcPr>
          <w:p w14:paraId="72AF9A28" w14:textId="608E6D98" w:rsidR="00AF1B85" w:rsidRPr="00B208E0" w:rsidRDefault="003C5019" w:rsidP="00D15A00">
            <w:pPr>
              <w:keepLines/>
              <w:spacing w:before="40" w:after="40" w:line="200" w:lineRule="atLeast"/>
              <w:rPr>
                <w:rFonts w:asciiTheme="minorHAnsi" w:eastAsia="Times New Roman" w:hAnsiTheme="minorHAnsi"/>
                <w:iCs/>
                <w:sz w:val="18"/>
                <w:szCs w:val="18"/>
                <w:lang w:eastAsia="en-US"/>
              </w:rPr>
            </w:pPr>
            <w:r w:rsidRPr="003C5019">
              <w:rPr>
                <w:rFonts w:asciiTheme="minorHAnsi" w:eastAsia="Times New Roman" w:hAnsiTheme="minorHAnsi"/>
                <w:iCs/>
                <w:sz w:val="18"/>
                <w:szCs w:val="18"/>
                <w:lang w:eastAsia="en-US"/>
              </w:rPr>
              <w:t>DFAT will request the Ministry of Women, Community and Social Development to provide a formal update on progress of Samoa Women Shaping Development Program (SWSD) including information on the status and expenditure of the main activities planned for this period. The update will be provided to the Program Management Committee before the end of 2017.</w:t>
            </w:r>
          </w:p>
        </w:tc>
        <w:tc>
          <w:tcPr>
            <w:tcW w:w="1151" w:type="dxa"/>
            <w:shd w:val="clear" w:color="auto" w:fill="7FB64D" w:themeFill="accent3" w:themeFillShade="BF"/>
          </w:tcPr>
          <w:p w14:paraId="55B9D755" w14:textId="0B9C6DA0" w:rsidR="00AF1B85" w:rsidRPr="0017000B" w:rsidRDefault="00BA5C21" w:rsidP="00D15A00">
            <w:pPr>
              <w:keepLines/>
              <w:spacing w:before="40" w:after="40" w:line="200" w:lineRule="atLeast"/>
              <w:jc w:val="center"/>
              <w:rPr>
                <w:rFonts w:asciiTheme="minorHAnsi" w:eastAsia="Times New Roman" w:hAnsiTheme="minorHAnsi"/>
                <w:iCs/>
                <w:color w:val="FFFFFF" w:themeColor="background1"/>
                <w:sz w:val="18"/>
                <w:szCs w:val="18"/>
                <w:lang w:eastAsia="en-US"/>
              </w:rPr>
            </w:pPr>
            <w:r>
              <w:rPr>
                <w:rFonts w:asciiTheme="minorHAnsi" w:eastAsia="Times New Roman" w:hAnsiTheme="minorHAnsi"/>
                <w:iCs/>
                <w:color w:val="FFFFFF" w:themeColor="background1"/>
                <w:sz w:val="18"/>
                <w:szCs w:val="18"/>
              </w:rPr>
              <w:t>A</w:t>
            </w:r>
            <w:r w:rsidR="002E1C1D" w:rsidRPr="0017000B">
              <w:rPr>
                <w:rFonts w:asciiTheme="minorHAnsi" w:eastAsia="Times New Roman" w:hAnsiTheme="minorHAnsi"/>
                <w:iCs/>
                <w:color w:val="FFFFFF" w:themeColor="background1"/>
                <w:sz w:val="18"/>
                <w:szCs w:val="18"/>
              </w:rPr>
              <w:t xml:space="preserve">chieved </w:t>
            </w:r>
            <w:r w:rsidR="00AF1B85" w:rsidRPr="0017000B">
              <w:rPr>
                <w:rFonts w:eastAsia="Times New Roman"/>
                <w:iCs/>
                <w:color w:val="FFFFFF" w:themeColor="background1"/>
                <w:sz w:val="18"/>
                <w:szCs w:val="18"/>
              </w:rPr>
              <w:fldChar w:fldCharType="begin"/>
            </w:r>
            <w:r w:rsidR="00AF1B85" w:rsidRPr="0017000B">
              <w:rPr>
                <w:rFonts w:asciiTheme="minorHAnsi" w:eastAsia="Times New Roman" w:hAnsiTheme="minorHAnsi"/>
                <w:iCs/>
                <w:color w:val="FFFFFF" w:themeColor="background1"/>
                <w:sz w:val="18"/>
                <w:szCs w:val="18"/>
                <w:lang w:eastAsia="en-US"/>
              </w:rPr>
              <w:instrText xml:space="preserve"> AUTOTEXTLIST  \s "Rating bullet"\t "Right click to choose a rating" \* MERGEFORMAT </w:instrText>
            </w:r>
            <w:r w:rsidR="00AF1B85" w:rsidRPr="0017000B">
              <w:rPr>
                <w:rFonts w:eastAsia="Times New Roman"/>
                <w:iCs/>
                <w:color w:val="FFFFFF" w:themeColor="background1"/>
                <w:sz w:val="18"/>
                <w:szCs w:val="18"/>
              </w:rPr>
              <w:fldChar w:fldCharType="end"/>
            </w:r>
          </w:p>
        </w:tc>
        <w:tc>
          <w:tcPr>
            <w:tcW w:w="6696" w:type="dxa"/>
          </w:tcPr>
          <w:p w14:paraId="5586B9CF" w14:textId="598D2364" w:rsidR="00AF1B85" w:rsidRPr="00B208E0" w:rsidRDefault="00BA5C21" w:rsidP="001A281E">
            <w:pPr>
              <w:keepLines/>
              <w:spacing w:before="40" w:after="40" w:line="200" w:lineRule="atLeast"/>
              <w:rPr>
                <w:rFonts w:asciiTheme="minorHAnsi" w:eastAsia="Times New Roman" w:hAnsiTheme="minorHAnsi"/>
                <w:iCs/>
                <w:color w:val="92D050"/>
                <w:sz w:val="18"/>
                <w:szCs w:val="18"/>
                <w:lang w:eastAsia="en-US"/>
              </w:rPr>
            </w:pPr>
            <w:r>
              <w:rPr>
                <w:rFonts w:asciiTheme="minorHAnsi" w:eastAsia="Times New Roman" w:hAnsiTheme="minorHAnsi"/>
                <w:iCs/>
                <w:sz w:val="18"/>
                <w:szCs w:val="18"/>
                <w:lang w:eastAsia="en-US"/>
              </w:rPr>
              <w:t xml:space="preserve">The </w:t>
            </w:r>
            <w:r w:rsidRPr="003C5019">
              <w:rPr>
                <w:rFonts w:asciiTheme="minorHAnsi" w:eastAsia="Times New Roman" w:hAnsiTheme="minorHAnsi"/>
                <w:iCs/>
                <w:sz w:val="18"/>
                <w:szCs w:val="18"/>
                <w:lang w:eastAsia="en-US"/>
              </w:rPr>
              <w:t>Ministry of Women, Community and Social Development</w:t>
            </w:r>
            <w:r>
              <w:rPr>
                <w:rFonts w:asciiTheme="minorHAnsi" w:eastAsia="Times New Roman" w:hAnsiTheme="minorHAnsi"/>
                <w:iCs/>
                <w:sz w:val="18"/>
                <w:szCs w:val="18"/>
                <w:lang w:eastAsia="en-US"/>
              </w:rPr>
              <w:t xml:space="preserve"> provided the requested update on progress of SWSD.</w:t>
            </w:r>
          </w:p>
        </w:tc>
      </w:tr>
      <w:tr w:rsidR="00AF1B85" w:rsidRPr="00812509" w14:paraId="57B8F3E5" w14:textId="77777777" w:rsidTr="00BA5C21">
        <w:trPr>
          <w:cnfStyle w:val="000000010000" w:firstRow="0" w:lastRow="0" w:firstColumn="0" w:lastColumn="0" w:oddVBand="0" w:evenVBand="0" w:oddHBand="0" w:evenHBand="1" w:firstRowFirstColumn="0" w:firstRowLastColumn="0" w:lastRowFirstColumn="0" w:lastRowLastColumn="0"/>
        </w:trPr>
        <w:tc>
          <w:tcPr>
            <w:tcW w:w="6284" w:type="dxa"/>
          </w:tcPr>
          <w:p w14:paraId="23C79A89" w14:textId="3C11C7FB" w:rsidR="00AF1B85" w:rsidRPr="00B208E0" w:rsidRDefault="003C5019" w:rsidP="00D15A00">
            <w:pPr>
              <w:keepLines/>
              <w:spacing w:before="40" w:after="40" w:line="200" w:lineRule="atLeast"/>
              <w:rPr>
                <w:rFonts w:asciiTheme="minorHAnsi" w:eastAsia="Times New Roman" w:hAnsiTheme="minorHAnsi"/>
                <w:iCs/>
                <w:sz w:val="18"/>
                <w:szCs w:val="18"/>
                <w:lang w:eastAsia="en-US"/>
              </w:rPr>
            </w:pPr>
            <w:r w:rsidRPr="003C5019">
              <w:rPr>
                <w:rFonts w:asciiTheme="minorHAnsi" w:eastAsia="Times New Roman" w:hAnsiTheme="minorHAnsi"/>
                <w:iCs/>
                <w:sz w:val="18"/>
                <w:szCs w:val="18"/>
                <w:lang w:eastAsia="en-US"/>
              </w:rPr>
              <w:t>External consultants will review the governance arrangements of the SWSD, including modality, design and timeframe through an agreed country review in late 2017.</w:t>
            </w:r>
          </w:p>
        </w:tc>
        <w:tc>
          <w:tcPr>
            <w:tcW w:w="1151" w:type="dxa"/>
            <w:shd w:val="clear" w:color="auto" w:fill="7FB64D" w:themeFill="accent3" w:themeFillShade="BF"/>
          </w:tcPr>
          <w:p w14:paraId="43A749C5" w14:textId="38D1974E" w:rsidR="005F3DCA" w:rsidRPr="0017000B" w:rsidRDefault="00BA5C21" w:rsidP="00D15A00">
            <w:pPr>
              <w:keepLines/>
              <w:spacing w:before="40" w:after="40" w:line="200" w:lineRule="atLeast"/>
              <w:jc w:val="center"/>
              <w:rPr>
                <w:rFonts w:asciiTheme="minorHAnsi" w:eastAsia="Times New Roman" w:hAnsiTheme="minorHAnsi"/>
                <w:iCs/>
                <w:color w:val="FFFFFF" w:themeColor="background1"/>
                <w:sz w:val="18"/>
                <w:szCs w:val="18"/>
                <w:lang w:eastAsia="en-US"/>
              </w:rPr>
            </w:pPr>
            <w:r>
              <w:rPr>
                <w:rFonts w:asciiTheme="minorHAnsi" w:eastAsia="Times New Roman" w:hAnsiTheme="minorHAnsi"/>
                <w:iCs/>
                <w:color w:val="FFFFFF" w:themeColor="background1"/>
                <w:sz w:val="18"/>
                <w:szCs w:val="18"/>
                <w:lang w:eastAsia="en-US"/>
              </w:rPr>
              <w:t>A</w:t>
            </w:r>
            <w:r w:rsidR="005F3DCA" w:rsidRPr="0017000B">
              <w:rPr>
                <w:rFonts w:asciiTheme="minorHAnsi" w:eastAsia="Times New Roman" w:hAnsiTheme="minorHAnsi"/>
                <w:iCs/>
                <w:color w:val="FFFFFF" w:themeColor="background1"/>
                <w:sz w:val="18"/>
                <w:szCs w:val="18"/>
                <w:lang w:eastAsia="en-US"/>
              </w:rPr>
              <w:t>chieved</w:t>
            </w:r>
          </w:p>
        </w:tc>
        <w:tc>
          <w:tcPr>
            <w:tcW w:w="6696" w:type="dxa"/>
          </w:tcPr>
          <w:p w14:paraId="03C5D63F" w14:textId="109E36F2" w:rsidR="00AF1B85" w:rsidRPr="00B208E0" w:rsidRDefault="00BA5C21" w:rsidP="00BA5C21">
            <w:pPr>
              <w:keepLines/>
              <w:spacing w:before="40" w:after="40" w:line="200" w:lineRule="atLeast"/>
              <w:rPr>
                <w:rFonts w:asciiTheme="minorHAnsi" w:eastAsia="Times New Roman" w:hAnsiTheme="minorHAnsi"/>
                <w:iCs/>
                <w:color w:val="92D050"/>
                <w:sz w:val="18"/>
                <w:szCs w:val="18"/>
                <w:lang w:eastAsia="en-US"/>
              </w:rPr>
            </w:pPr>
            <w:r w:rsidRPr="003C5019">
              <w:rPr>
                <w:rFonts w:asciiTheme="minorHAnsi" w:eastAsia="Times New Roman" w:hAnsiTheme="minorHAnsi"/>
                <w:iCs/>
                <w:sz w:val="18"/>
                <w:szCs w:val="18"/>
                <w:lang w:eastAsia="en-US"/>
              </w:rPr>
              <w:t>External consultants review</w:t>
            </w:r>
            <w:r>
              <w:rPr>
                <w:rFonts w:asciiTheme="minorHAnsi" w:eastAsia="Times New Roman" w:hAnsiTheme="minorHAnsi"/>
                <w:iCs/>
                <w:sz w:val="18"/>
                <w:szCs w:val="18"/>
                <w:lang w:eastAsia="en-US"/>
              </w:rPr>
              <w:t>ed</w:t>
            </w:r>
            <w:r w:rsidRPr="003C5019">
              <w:rPr>
                <w:rFonts w:asciiTheme="minorHAnsi" w:eastAsia="Times New Roman" w:hAnsiTheme="minorHAnsi"/>
                <w:iCs/>
                <w:sz w:val="18"/>
                <w:szCs w:val="18"/>
                <w:lang w:eastAsia="en-US"/>
              </w:rPr>
              <w:t xml:space="preserve"> the governance arrangements of the SWSD</w:t>
            </w:r>
          </w:p>
        </w:tc>
      </w:tr>
      <w:tr w:rsidR="00AF1B85" w:rsidRPr="00812509" w14:paraId="628043D6" w14:textId="77777777" w:rsidTr="00BA5C21">
        <w:trPr>
          <w:cnfStyle w:val="000000010000" w:firstRow="0" w:lastRow="0" w:firstColumn="0" w:lastColumn="0" w:oddVBand="0" w:evenVBand="0" w:oddHBand="0" w:evenHBand="1" w:firstRowFirstColumn="0" w:firstRowLastColumn="0" w:lastRowFirstColumn="0" w:lastRowLastColumn="0"/>
        </w:trPr>
        <w:tc>
          <w:tcPr>
            <w:tcW w:w="6284" w:type="dxa"/>
          </w:tcPr>
          <w:p w14:paraId="6D717D31" w14:textId="2D353616" w:rsidR="00AF1B85" w:rsidRPr="00B208E0" w:rsidRDefault="003C5019" w:rsidP="00D15A00">
            <w:pPr>
              <w:keepLines/>
              <w:spacing w:before="40" w:after="40" w:line="200" w:lineRule="atLeast"/>
              <w:rPr>
                <w:rFonts w:asciiTheme="minorHAnsi" w:eastAsia="Times New Roman" w:hAnsiTheme="minorHAnsi"/>
                <w:iCs/>
                <w:sz w:val="18"/>
                <w:szCs w:val="18"/>
                <w:lang w:eastAsia="en-US"/>
              </w:rPr>
            </w:pPr>
            <w:r w:rsidRPr="003C5019">
              <w:rPr>
                <w:rFonts w:asciiTheme="minorHAnsi" w:eastAsia="Times New Roman" w:hAnsiTheme="minorHAnsi"/>
                <w:iCs/>
                <w:sz w:val="18"/>
                <w:szCs w:val="18"/>
                <w:lang w:eastAsia="en-US"/>
              </w:rPr>
              <w:t>DFAT will continue to explore ways to improve delivery of the SWSD with the Pacific Women Support Unit and to provide gender specialist support to the Government of Samoa.</w:t>
            </w:r>
          </w:p>
        </w:tc>
        <w:tc>
          <w:tcPr>
            <w:tcW w:w="1151" w:type="dxa"/>
            <w:shd w:val="clear" w:color="auto" w:fill="7FB64D" w:themeFill="accent3" w:themeFillShade="BF"/>
          </w:tcPr>
          <w:p w14:paraId="35DCBB4F" w14:textId="38AD94F4" w:rsidR="00AF1B85" w:rsidRPr="0017000B" w:rsidRDefault="002E1C1D" w:rsidP="00D15A00">
            <w:pPr>
              <w:keepLines/>
              <w:spacing w:before="40" w:after="40" w:line="200" w:lineRule="atLeast"/>
              <w:jc w:val="center"/>
              <w:rPr>
                <w:rFonts w:asciiTheme="minorHAnsi" w:hAnsiTheme="minorHAnsi"/>
                <w:color w:val="FF0000"/>
                <w:sz w:val="18"/>
              </w:rPr>
            </w:pPr>
            <w:r w:rsidRPr="0017000B">
              <w:rPr>
                <w:rFonts w:asciiTheme="minorHAnsi" w:eastAsia="Times New Roman" w:hAnsiTheme="minorHAnsi"/>
                <w:iCs/>
                <w:color w:val="FFFFFF" w:themeColor="background1"/>
                <w:sz w:val="18"/>
                <w:szCs w:val="18"/>
              </w:rPr>
              <w:t>Achieved</w:t>
            </w:r>
          </w:p>
        </w:tc>
        <w:tc>
          <w:tcPr>
            <w:tcW w:w="6696" w:type="dxa"/>
          </w:tcPr>
          <w:p w14:paraId="700A9EF0" w14:textId="3E5033A7" w:rsidR="00AF1B85" w:rsidRPr="00BA5C21" w:rsidRDefault="00BA5C21" w:rsidP="00B548E5">
            <w:pPr>
              <w:keepLines/>
              <w:spacing w:before="40" w:after="40" w:line="200" w:lineRule="atLeast"/>
              <w:rPr>
                <w:rFonts w:asciiTheme="minorHAnsi" w:eastAsia="Times New Roman" w:hAnsiTheme="minorHAnsi"/>
                <w:iCs/>
                <w:sz w:val="18"/>
                <w:szCs w:val="18"/>
                <w:lang w:eastAsia="en-US"/>
              </w:rPr>
            </w:pPr>
            <w:r w:rsidRPr="00BA5C21">
              <w:rPr>
                <w:rFonts w:asciiTheme="minorHAnsi" w:eastAsia="Times New Roman" w:hAnsiTheme="minorHAnsi"/>
                <w:iCs/>
                <w:sz w:val="18"/>
                <w:szCs w:val="18"/>
                <w:lang w:eastAsia="en-US"/>
              </w:rPr>
              <w:t>DFAT improved delivery of SWSD by directing funding to the Women in Leadership in Samoa Program, implemented by UNDP and UN</w:t>
            </w:r>
            <w:r w:rsidR="00B548E5">
              <w:rPr>
                <w:rFonts w:asciiTheme="minorHAnsi" w:eastAsia="Times New Roman" w:hAnsiTheme="minorHAnsi"/>
                <w:iCs/>
                <w:sz w:val="18"/>
                <w:szCs w:val="18"/>
                <w:lang w:eastAsia="en-US"/>
              </w:rPr>
              <w:t xml:space="preserve"> Women</w:t>
            </w:r>
            <w:r w:rsidR="0059234A">
              <w:t xml:space="preserve"> </w:t>
            </w:r>
            <w:r w:rsidR="0059234A" w:rsidRPr="0059234A">
              <w:rPr>
                <w:rFonts w:asciiTheme="minorHAnsi" w:eastAsia="Times New Roman" w:hAnsiTheme="minorHAnsi"/>
                <w:iCs/>
                <w:sz w:val="18"/>
                <w:szCs w:val="18"/>
                <w:lang w:eastAsia="en-US"/>
              </w:rPr>
              <w:t>and to CSSP to support women’s NGO which eased the burden on MWCSD</w:t>
            </w:r>
            <w:r w:rsidR="0059234A">
              <w:rPr>
                <w:rFonts w:asciiTheme="minorHAnsi" w:eastAsia="Times New Roman" w:hAnsiTheme="minorHAnsi"/>
                <w:iCs/>
                <w:sz w:val="18"/>
                <w:szCs w:val="18"/>
                <w:lang w:eastAsia="en-US"/>
              </w:rPr>
              <w:t>.</w:t>
            </w:r>
          </w:p>
        </w:tc>
      </w:tr>
      <w:tr w:rsidR="00AF1B85" w:rsidRPr="00812509" w14:paraId="219348A9" w14:textId="77777777" w:rsidTr="003C5019">
        <w:trPr>
          <w:cnfStyle w:val="000000010000" w:firstRow="0" w:lastRow="0" w:firstColumn="0" w:lastColumn="0" w:oddVBand="0" w:evenVBand="0" w:oddHBand="0" w:evenHBand="1" w:firstRowFirstColumn="0" w:firstRowLastColumn="0" w:lastRowFirstColumn="0" w:lastRowLastColumn="0"/>
        </w:trPr>
        <w:tc>
          <w:tcPr>
            <w:tcW w:w="6284" w:type="dxa"/>
          </w:tcPr>
          <w:p w14:paraId="6DB7633F" w14:textId="4856A258" w:rsidR="00AF1B85" w:rsidRPr="00B208E0" w:rsidRDefault="003C5019" w:rsidP="00D15A00">
            <w:pPr>
              <w:keepLines/>
              <w:spacing w:before="40" w:after="40" w:line="200" w:lineRule="atLeast"/>
              <w:rPr>
                <w:rFonts w:asciiTheme="minorHAnsi" w:eastAsia="Times New Roman" w:hAnsiTheme="minorHAnsi"/>
                <w:iCs/>
                <w:sz w:val="18"/>
                <w:szCs w:val="18"/>
                <w:lang w:eastAsia="en-US"/>
              </w:rPr>
            </w:pPr>
            <w:r w:rsidRPr="003C5019">
              <w:rPr>
                <w:rFonts w:asciiTheme="minorHAnsi" w:eastAsia="Times New Roman" w:hAnsiTheme="minorHAnsi"/>
                <w:iCs/>
                <w:sz w:val="18"/>
                <w:szCs w:val="18"/>
                <w:lang w:eastAsia="en-US"/>
              </w:rPr>
              <w:t>DFAT will finalise, in the second half of 2017, remaining activities under the SHSI, including completion of renovations to the x-ray department for the Savaii hospital, and finalise, in cooperation with other development partners, the design for a new health program (SHP) beyond the SHSI.</w:t>
            </w:r>
          </w:p>
        </w:tc>
        <w:tc>
          <w:tcPr>
            <w:tcW w:w="1151" w:type="dxa"/>
            <w:shd w:val="clear" w:color="auto" w:fill="72AF2F"/>
          </w:tcPr>
          <w:p w14:paraId="2F67676B" w14:textId="567D39A1" w:rsidR="00AF1B85" w:rsidRPr="0017000B" w:rsidRDefault="00787E1F" w:rsidP="00D15A00">
            <w:pPr>
              <w:keepLines/>
              <w:spacing w:before="40" w:after="40" w:line="200" w:lineRule="atLeast"/>
              <w:jc w:val="center"/>
              <w:rPr>
                <w:rFonts w:asciiTheme="minorHAnsi" w:eastAsia="Times New Roman" w:hAnsiTheme="minorHAnsi"/>
                <w:iCs/>
                <w:color w:val="FFFFFF" w:themeColor="background1"/>
                <w:sz w:val="18"/>
                <w:szCs w:val="18"/>
                <w:lang w:eastAsia="en-US"/>
              </w:rPr>
            </w:pPr>
            <w:r w:rsidRPr="0017000B">
              <w:rPr>
                <w:rFonts w:asciiTheme="minorHAnsi" w:eastAsia="Times New Roman" w:hAnsiTheme="minorHAnsi"/>
                <w:iCs/>
                <w:color w:val="FFFFFF" w:themeColor="background1"/>
                <w:sz w:val="18"/>
                <w:szCs w:val="18"/>
                <w:lang w:eastAsia="en-US"/>
              </w:rPr>
              <w:t>Achieved</w:t>
            </w:r>
          </w:p>
        </w:tc>
        <w:tc>
          <w:tcPr>
            <w:tcW w:w="6696" w:type="dxa"/>
          </w:tcPr>
          <w:p w14:paraId="2CF72D58" w14:textId="2DEC18C4" w:rsidR="00AF1B85" w:rsidRPr="00BA5C21" w:rsidRDefault="008D6387" w:rsidP="00D15A00">
            <w:pPr>
              <w:keepLines/>
              <w:spacing w:before="40" w:after="40" w:line="200" w:lineRule="atLeast"/>
              <w:rPr>
                <w:rFonts w:asciiTheme="minorHAnsi" w:eastAsia="Times New Roman" w:hAnsiTheme="minorHAnsi"/>
                <w:iCs/>
                <w:sz w:val="18"/>
                <w:szCs w:val="18"/>
                <w:lang w:eastAsia="en-US"/>
              </w:rPr>
            </w:pPr>
            <w:r>
              <w:rPr>
                <w:rFonts w:asciiTheme="minorHAnsi" w:eastAsia="Times New Roman" w:hAnsiTheme="minorHAnsi"/>
                <w:iCs/>
                <w:sz w:val="18"/>
                <w:szCs w:val="18"/>
                <w:lang w:eastAsia="en-US"/>
              </w:rPr>
              <w:t>Completed</w:t>
            </w:r>
            <w:r w:rsidR="00BF4B1C">
              <w:rPr>
                <w:rFonts w:asciiTheme="minorHAnsi" w:eastAsia="Times New Roman" w:hAnsiTheme="minorHAnsi"/>
                <w:iCs/>
                <w:sz w:val="18"/>
                <w:szCs w:val="18"/>
                <w:lang w:eastAsia="en-US"/>
              </w:rPr>
              <w:t>.</w:t>
            </w:r>
          </w:p>
        </w:tc>
      </w:tr>
    </w:tbl>
    <w:p w14:paraId="33AA1C2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20075299"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53F87B2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7E99F450"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733E9D24" w14:textId="77777777" w:rsidR="00D00802" w:rsidRDefault="00D00802" w:rsidP="005B5769">
      <w:pPr>
        <w:pStyle w:val="ListBullet"/>
        <w:tabs>
          <w:tab w:val="clear" w:pos="284"/>
        </w:tabs>
        <w:sectPr w:rsidR="00D00802" w:rsidSect="00D00802">
          <w:headerReference w:type="first" r:id="rId29"/>
          <w:pgSz w:w="16838" w:h="11906" w:orient="landscape" w:code="9"/>
          <w:pgMar w:top="1134" w:right="1952" w:bottom="1134" w:left="851" w:header="1107" w:footer="567" w:gutter="0"/>
          <w:cols w:space="397"/>
          <w:titlePg/>
          <w:docGrid w:linePitch="360"/>
        </w:sectPr>
      </w:pPr>
    </w:p>
    <w:p w14:paraId="441F667D" w14:textId="77777777" w:rsidR="00184F1E" w:rsidRDefault="00184F1E" w:rsidP="00184F1E">
      <w:pPr>
        <w:pStyle w:val="Subtitle"/>
        <w:numPr>
          <w:ilvl w:val="0"/>
          <w:numId w:val="0"/>
        </w:numPr>
      </w:pPr>
      <w:r w:rsidRPr="00764034">
        <w:lastRenderedPageBreak/>
        <w:t>Annex B – PERFORMANCE BENCHMARKS</w:t>
      </w:r>
    </w:p>
    <w:p w14:paraId="03AB9F5B" w14:textId="7ABDA8A1" w:rsidR="00184F1E" w:rsidRPr="00F52A12"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BC1B2A">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BC1B2A">
        <w:rPr>
          <w:rFonts w:ascii="Franklin Gothic Book" w:eastAsia="Times New Roman" w:hAnsi="Franklin Gothic Book"/>
          <w:b/>
          <w:sz w:val="24"/>
          <w:szCs w:val="24"/>
        </w:rPr>
        <w:t>8</w:t>
      </w:r>
    </w:p>
    <w:tbl>
      <w:tblPr>
        <w:tblStyle w:val="DFATTable"/>
        <w:tblW w:w="5000" w:type="pct"/>
        <w:jc w:val="center"/>
        <w:tblLook w:val="04A0" w:firstRow="1" w:lastRow="0" w:firstColumn="1" w:lastColumn="0" w:noHBand="0" w:noVBand="1"/>
      </w:tblPr>
      <w:tblGrid>
        <w:gridCol w:w="2189"/>
        <w:gridCol w:w="2914"/>
        <w:gridCol w:w="1418"/>
        <w:gridCol w:w="7514"/>
      </w:tblGrid>
      <w:tr w:rsidR="00184F1E" w:rsidRPr="00C61187" w14:paraId="4FDF801E" w14:textId="77777777" w:rsidTr="00290DBC">
        <w:trPr>
          <w:tblHeader/>
          <w:jc w:val="center"/>
        </w:trPr>
        <w:tc>
          <w:tcPr>
            <w:tcW w:w="780" w:type="pct"/>
            <w:tcMar>
              <w:top w:w="57" w:type="dxa"/>
              <w:bottom w:w="57" w:type="dxa"/>
            </w:tcMar>
          </w:tcPr>
          <w:p w14:paraId="6A0D26A5" w14:textId="77777777" w:rsidR="00184F1E" w:rsidRPr="00C62F90" w:rsidRDefault="00184F1E" w:rsidP="00037EDE">
            <w:pPr>
              <w:keepLines/>
              <w:spacing w:before="80" w:after="80" w:line="200" w:lineRule="atLeast"/>
              <w:rPr>
                <w:rFonts w:asciiTheme="minorHAnsi" w:eastAsia="Times New Roman" w:hAnsiTheme="minorHAnsi"/>
                <w:b/>
                <w:iCs/>
                <w:sz w:val="18"/>
                <w:szCs w:val="18"/>
                <w:lang w:eastAsia="en-US"/>
              </w:rPr>
            </w:pPr>
            <w:r w:rsidRPr="00C62F90">
              <w:rPr>
                <w:rFonts w:asciiTheme="minorHAnsi" w:eastAsia="Times New Roman" w:hAnsiTheme="minorHAnsi"/>
                <w:b/>
                <w:iCs/>
                <w:sz w:val="18"/>
                <w:szCs w:val="18"/>
                <w:lang w:eastAsia="en-US"/>
              </w:rPr>
              <w:t>Aid objective</w:t>
            </w:r>
          </w:p>
        </w:tc>
        <w:tc>
          <w:tcPr>
            <w:tcW w:w="1038" w:type="pct"/>
          </w:tcPr>
          <w:p w14:paraId="159077D0" w14:textId="77777777" w:rsidR="00184F1E" w:rsidRPr="00C62F90" w:rsidRDefault="00184F1E" w:rsidP="00037EDE">
            <w:pPr>
              <w:keepLines/>
              <w:spacing w:before="80" w:after="80" w:line="200" w:lineRule="atLeast"/>
              <w:rPr>
                <w:rFonts w:asciiTheme="minorHAnsi" w:eastAsia="Times New Roman" w:hAnsiTheme="minorHAnsi"/>
                <w:b/>
                <w:iCs/>
                <w:sz w:val="18"/>
                <w:szCs w:val="18"/>
                <w:lang w:eastAsia="en-US"/>
              </w:rPr>
            </w:pPr>
            <w:r w:rsidRPr="00C62F90">
              <w:rPr>
                <w:rFonts w:asciiTheme="minorHAnsi" w:eastAsia="Times New Roman" w:hAnsiTheme="minorHAnsi"/>
                <w:b/>
                <w:iCs/>
                <w:sz w:val="18"/>
                <w:szCs w:val="18"/>
                <w:lang w:eastAsia="en-US"/>
              </w:rPr>
              <w:t xml:space="preserve">Performance Benchmark </w:t>
            </w:r>
          </w:p>
        </w:tc>
        <w:tc>
          <w:tcPr>
            <w:tcW w:w="505" w:type="pct"/>
          </w:tcPr>
          <w:p w14:paraId="6251214E" w14:textId="77777777" w:rsidR="00184F1E" w:rsidRPr="00C62F90" w:rsidRDefault="00184F1E" w:rsidP="00037EDE">
            <w:pPr>
              <w:keepLines/>
              <w:spacing w:before="80" w:after="80" w:line="200" w:lineRule="atLeast"/>
              <w:jc w:val="center"/>
              <w:rPr>
                <w:rFonts w:asciiTheme="minorHAnsi" w:eastAsia="Times New Roman" w:hAnsiTheme="minorHAnsi"/>
                <w:b/>
                <w:iCs/>
                <w:sz w:val="18"/>
                <w:szCs w:val="18"/>
                <w:lang w:eastAsia="en-US"/>
              </w:rPr>
            </w:pPr>
            <w:r w:rsidRPr="00C62F90">
              <w:rPr>
                <w:rFonts w:asciiTheme="minorHAnsi" w:eastAsia="Times New Roman" w:hAnsiTheme="minorHAnsi"/>
                <w:b/>
                <w:iCs/>
                <w:sz w:val="18"/>
                <w:szCs w:val="18"/>
                <w:lang w:eastAsia="en-US"/>
              </w:rPr>
              <w:t>Rating</w:t>
            </w:r>
          </w:p>
        </w:tc>
        <w:tc>
          <w:tcPr>
            <w:tcW w:w="2677" w:type="pct"/>
          </w:tcPr>
          <w:p w14:paraId="5D7796C2" w14:textId="44D84597" w:rsidR="00184F1E" w:rsidRPr="00C62F90" w:rsidRDefault="00184F1E" w:rsidP="00FA5BA9">
            <w:pPr>
              <w:keepLines/>
              <w:spacing w:before="80" w:after="80" w:line="200" w:lineRule="atLeast"/>
              <w:jc w:val="center"/>
              <w:rPr>
                <w:rFonts w:asciiTheme="minorHAnsi" w:eastAsia="Times New Roman" w:hAnsiTheme="minorHAnsi"/>
                <w:b/>
                <w:iCs/>
                <w:sz w:val="18"/>
                <w:szCs w:val="18"/>
                <w:lang w:eastAsia="en-US"/>
              </w:rPr>
            </w:pPr>
            <w:r w:rsidRPr="00C62F90">
              <w:rPr>
                <w:rFonts w:asciiTheme="minorHAnsi" w:eastAsia="Times New Roman" w:hAnsiTheme="minorHAnsi"/>
                <w:b/>
                <w:iCs/>
                <w:sz w:val="18"/>
                <w:szCs w:val="18"/>
                <w:lang w:eastAsia="en-US"/>
              </w:rPr>
              <w:t>Progress in 201</w:t>
            </w:r>
            <w:r w:rsidR="00FA5BA9">
              <w:rPr>
                <w:rFonts w:asciiTheme="minorHAnsi" w:eastAsia="Times New Roman" w:hAnsiTheme="minorHAnsi"/>
                <w:b/>
                <w:iCs/>
                <w:sz w:val="18"/>
                <w:szCs w:val="18"/>
                <w:lang w:eastAsia="en-US"/>
              </w:rPr>
              <w:t>7-18</w:t>
            </w:r>
          </w:p>
        </w:tc>
      </w:tr>
      <w:tr w:rsidR="00B12441" w:rsidRPr="00C61187" w14:paraId="0190EBC5" w14:textId="77777777" w:rsidTr="00290DBC">
        <w:trPr>
          <w:trHeight w:val="567"/>
          <w:jc w:val="center"/>
        </w:trPr>
        <w:tc>
          <w:tcPr>
            <w:tcW w:w="780" w:type="pct"/>
            <w:tcMar>
              <w:top w:w="57" w:type="dxa"/>
              <w:bottom w:w="57" w:type="dxa"/>
            </w:tcMar>
          </w:tcPr>
          <w:p w14:paraId="4C42F177"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Enable economic growth</w:t>
            </w:r>
          </w:p>
        </w:tc>
        <w:tc>
          <w:tcPr>
            <w:tcW w:w="1038" w:type="pct"/>
          </w:tcPr>
          <w:p w14:paraId="3F3631A8"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Achievement of all prior actions under the Joint Policy Matrix</w:t>
            </w:r>
          </w:p>
        </w:tc>
        <w:tc>
          <w:tcPr>
            <w:tcW w:w="505" w:type="pct"/>
            <w:shd w:val="clear" w:color="auto" w:fill="FFC000"/>
          </w:tcPr>
          <w:p w14:paraId="1D1BC231" w14:textId="0FEF3FFF" w:rsidR="00B12441" w:rsidRPr="0017000B" w:rsidRDefault="007E4E98" w:rsidP="00037EDE">
            <w:pPr>
              <w:keepLines/>
              <w:spacing w:before="40" w:after="40" w:line="200" w:lineRule="atLeast"/>
              <w:jc w:val="center"/>
              <w:rPr>
                <w:rFonts w:asciiTheme="minorHAnsi" w:eastAsia="Times New Roman" w:hAnsiTheme="minorHAnsi"/>
                <w:iCs/>
                <w:color w:val="FFFFFF" w:themeColor="background1"/>
                <w:sz w:val="18"/>
                <w:szCs w:val="18"/>
              </w:rPr>
            </w:pPr>
            <w:r>
              <w:rPr>
                <w:rFonts w:asciiTheme="minorHAnsi" w:eastAsia="Times New Roman" w:hAnsiTheme="minorHAnsi"/>
                <w:iCs/>
                <w:color w:val="FFFFFF" w:themeColor="background1"/>
                <w:sz w:val="18"/>
                <w:szCs w:val="18"/>
              </w:rPr>
              <w:t xml:space="preserve">Partly </w:t>
            </w:r>
            <w:r w:rsidR="00ED440B" w:rsidRPr="0017000B">
              <w:rPr>
                <w:rFonts w:asciiTheme="minorHAnsi" w:eastAsia="Times New Roman" w:hAnsiTheme="minorHAnsi"/>
                <w:iCs/>
                <w:color w:val="FFFFFF" w:themeColor="background1"/>
                <w:sz w:val="18"/>
                <w:szCs w:val="18"/>
              </w:rPr>
              <w:t>Achieved</w:t>
            </w:r>
          </w:p>
        </w:tc>
        <w:tc>
          <w:tcPr>
            <w:tcW w:w="2677" w:type="pct"/>
          </w:tcPr>
          <w:p w14:paraId="4CF58234" w14:textId="261006D9" w:rsidR="00B12441" w:rsidRPr="0097497B" w:rsidRDefault="00CC583A" w:rsidP="00037EDE">
            <w:pPr>
              <w:keepLines/>
              <w:spacing w:before="40" w:after="40" w:line="200" w:lineRule="atLeast"/>
              <w:rPr>
                <w:rFonts w:asciiTheme="minorHAnsi" w:eastAsia="Times New Roman" w:hAnsiTheme="minorHAnsi"/>
                <w:iCs/>
                <w:color w:val="495965"/>
                <w:sz w:val="18"/>
                <w:szCs w:val="18"/>
              </w:rPr>
            </w:pPr>
            <w:r>
              <w:rPr>
                <w:rFonts w:asciiTheme="minorHAnsi" w:eastAsia="Times New Roman" w:hAnsiTheme="minorHAnsi"/>
                <w:iCs/>
                <w:color w:val="495965"/>
                <w:sz w:val="18"/>
                <w:szCs w:val="18"/>
              </w:rPr>
              <w:t xml:space="preserve">Majority of performance indicators were achieved in the </w:t>
            </w:r>
            <w:r w:rsidR="005E2E64">
              <w:rPr>
                <w:rFonts w:asciiTheme="minorHAnsi" w:eastAsia="Times New Roman" w:hAnsiTheme="minorHAnsi"/>
                <w:iCs/>
                <w:color w:val="495965"/>
                <w:sz w:val="18"/>
                <w:szCs w:val="18"/>
              </w:rPr>
              <w:t>reporting period. Remaining indicators</w:t>
            </w:r>
            <w:r>
              <w:rPr>
                <w:rFonts w:asciiTheme="minorHAnsi" w:eastAsia="Times New Roman" w:hAnsiTheme="minorHAnsi"/>
                <w:iCs/>
                <w:color w:val="495965"/>
                <w:sz w:val="18"/>
                <w:szCs w:val="18"/>
              </w:rPr>
              <w:t xml:space="preserve"> are on -track. </w:t>
            </w:r>
          </w:p>
        </w:tc>
      </w:tr>
      <w:tr w:rsidR="00B12441" w:rsidRPr="00C61187" w14:paraId="66DE0420" w14:textId="77777777" w:rsidTr="00290DBC">
        <w:trPr>
          <w:trHeight w:val="567"/>
          <w:jc w:val="center"/>
        </w:trPr>
        <w:tc>
          <w:tcPr>
            <w:tcW w:w="780" w:type="pct"/>
            <w:tcMar>
              <w:top w:w="57" w:type="dxa"/>
              <w:bottom w:w="57" w:type="dxa"/>
            </w:tcMar>
          </w:tcPr>
          <w:p w14:paraId="2FB1A71B"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Enable economic growth</w:t>
            </w:r>
          </w:p>
        </w:tc>
        <w:tc>
          <w:tcPr>
            <w:tcW w:w="1038" w:type="pct"/>
          </w:tcPr>
          <w:p w14:paraId="4D6475AD" w14:textId="5A6A4741" w:rsidR="00B12441" w:rsidRPr="00C62F90" w:rsidRDefault="007E4E98" w:rsidP="007E4E98">
            <w:pPr>
              <w:keepLines/>
              <w:spacing w:before="40" w:after="40" w:line="200" w:lineRule="atLeast"/>
              <w:rPr>
                <w:rFonts w:asciiTheme="minorHAnsi" w:eastAsia="Times New Roman" w:hAnsiTheme="minorHAnsi"/>
                <w:iCs/>
                <w:sz w:val="18"/>
                <w:szCs w:val="18"/>
              </w:rPr>
            </w:pPr>
            <w:r>
              <w:rPr>
                <w:rFonts w:asciiTheme="minorHAnsi" w:eastAsia="Times New Roman" w:hAnsiTheme="minorHAnsi"/>
                <w:iCs/>
                <w:sz w:val="18"/>
                <w:szCs w:val="18"/>
              </w:rPr>
              <w:t>Australian funded t</w:t>
            </w:r>
            <w:r w:rsidR="00B12441" w:rsidRPr="00C62F90">
              <w:rPr>
                <w:rFonts w:asciiTheme="minorHAnsi" w:eastAsia="Times New Roman" w:hAnsiTheme="minorHAnsi"/>
                <w:iCs/>
                <w:sz w:val="18"/>
                <w:szCs w:val="18"/>
              </w:rPr>
              <w:t xml:space="preserve">echnical </w:t>
            </w:r>
            <w:r>
              <w:rPr>
                <w:rFonts w:asciiTheme="minorHAnsi" w:eastAsia="Times New Roman" w:hAnsiTheme="minorHAnsi"/>
                <w:iCs/>
                <w:sz w:val="18"/>
                <w:szCs w:val="18"/>
              </w:rPr>
              <w:t>a</w:t>
            </w:r>
            <w:r w:rsidR="00B12441" w:rsidRPr="00C62F90">
              <w:rPr>
                <w:rFonts w:asciiTheme="minorHAnsi" w:eastAsia="Times New Roman" w:hAnsiTheme="minorHAnsi"/>
                <w:iCs/>
                <w:sz w:val="18"/>
                <w:szCs w:val="18"/>
              </w:rPr>
              <w:t>ssistance</w:t>
            </w:r>
            <w:r>
              <w:rPr>
                <w:rFonts w:asciiTheme="minorHAnsi" w:eastAsia="Times New Roman" w:hAnsiTheme="minorHAnsi"/>
                <w:iCs/>
                <w:sz w:val="18"/>
                <w:szCs w:val="18"/>
              </w:rPr>
              <w:t xml:space="preserve"> assessed as effective</w:t>
            </w:r>
            <w:r w:rsidR="00B12441" w:rsidRPr="00C62F90">
              <w:rPr>
                <w:rFonts w:asciiTheme="minorHAnsi" w:eastAsia="Times New Roman" w:hAnsiTheme="minorHAnsi"/>
                <w:iCs/>
                <w:sz w:val="18"/>
                <w:szCs w:val="18"/>
              </w:rPr>
              <w:t xml:space="preserve"> </w:t>
            </w:r>
          </w:p>
        </w:tc>
        <w:tc>
          <w:tcPr>
            <w:tcW w:w="505" w:type="pct"/>
            <w:shd w:val="clear" w:color="auto" w:fill="92D050"/>
          </w:tcPr>
          <w:p w14:paraId="22033C0A" w14:textId="49068094" w:rsidR="00B12441" w:rsidRPr="0017000B" w:rsidRDefault="00EB3402" w:rsidP="00037EDE">
            <w:pPr>
              <w:keepLines/>
              <w:spacing w:before="40" w:after="40" w:line="200" w:lineRule="atLeast"/>
              <w:jc w:val="center"/>
              <w:rPr>
                <w:rFonts w:asciiTheme="minorHAnsi" w:eastAsia="Times New Roman" w:hAnsiTheme="minorHAnsi"/>
                <w:iCs/>
                <w:color w:val="FFFFFF" w:themeColor="background1"/>
                <w:sz w:val="18"/>
                <w:szCs w:val="18"/>
              </w:rPr>
            </w:pPr>
            <w:r w:rsidRPr="0017000B">
              <w:rPr>
                <w:rFonts w:asciiTheme="minorHAnsi" w:eastAsia="Times New Roman" w:hAnsiTheme="minorHAnsi"/>
                <w:iCs/>
                <w:color w:val="FFFFFF" w:themeColor="background1"/>
                <w:sz w:val="18"/>
                <w:szCs w:val="18"/>
              </w:rPr>
              <w:t>Achieved</w:t>
            </w:r>
          </w:p>
        </w:tc>
        <w:tc>
          <w:tcPr>
            <w:tcW w:w="2677" w:type="pct"/>
          </w:tcPr>
          <w:p w14:paraId="712300AE" w14:textId="12AD9E29" w:rsidR="00B12441" w:rsidRPr="0097497B" w:rsidRDefault="00C32275" w:rsidP="007E4E98">
            <w:pPr>
              <w:keepLines/>
              <w:spacing w:before="40" w:after="40" w:line="200" w:lineRule="atLeast"/>
              <w:rPr>
                <w:rFonts w:asciiTheme="minorHAnsi" w:eastAsia="Times New Roman" w:hAnsiTheme="minorHAnsi"/>
                <w:iCs/>
                <w:color w:val="495965"/>
                <w:sz w:val="18"/>
                <w:szCs w:val="18"/>
              </w:rPr>
            </w:pPr>
            <w:r w:rsidRPr="0097497B">
              <w:rPr>
                <w:rFonts w:asciiTheme="minorHAnsi" w:eastAsia="Times New Roman" w:hAnsiTheme="minorHAnsi"/>
                <w:iCs/>
                <w:color w:val="495965"/>
                <w:sz w:val="18"/>
                <w:szCs w:val="18"/>
              </w:rPr>
              <w:t xml:space="preserve">This facility </w:t>
            </w:r>
            <w:r w:rsidR="007E4E98">
              <w:rPr>
                <w:rFonts w:asciiTheme="minorHAnsi" w:eastAsia="Times New Roman" w:hAnsiTheme="minorHAnsi"/>
                <w:iCs/>
                <w:color w:val="495965"/>
                <w:sz w:val="18"/>
                <w:szCs w:val="18"/>
              </w:rPr>
              <w:t>is operational agreed by all parties to be highly effective.</w:t>
            </w:r>
            <w:r w:rsidR="00EB3402">
              <w:rPr>
                <w:rFonts w:asciiTheme="minorHAnsi" w:eastAsia="Times New Roman" w:hAnsiTheme="minorHAnsi"/>
                <w:iCs/>
                <w:color w:val="495965"/>
                <w:sz w:val="18"/>
                <w:szCs w:val="18"/>
              </w:rPr>
              <w:t xml:space="preserve"> </w:t>
            </w:r>
          </w:p>
        </w:tc>
      </w:tr>
      <w:tr w:rsidR="00184F1E" w:rsidRPr="00C61187" w14:paraId="7CF2205F" w14:textId="77777777" w:rsidTr="00290DBC">
        <w:trPr>
          <w:trHeight w:val="567"/>
          <w:jc w:val="center"/>
        </w:trPr>
        <w:tc>
          <w:tcPr>
            <w:tcW w:w="780" w:type="pct"/>
            <w:tcMar>
              <w:top w:w="57" w:type="dxa"/>
              <w:bottom w:w="57" w:type="dxa"/>
            </w:tcMar>
          </w:tcPr>
          <w:p w14:paraId="6E5135A2" w14:textId="77777777" w:rsidR="00184F1E" w:rsidRPr="00C62F90" w:rsidRDefault="00F52A12" w:rsidP="00037EDE">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Enable economic growth</w:t>
            </w:r>
          </w:p>
        </w:tc>
        <w:tc>
          <w:tcPr>
            <w:tcW w:w="1038" w:type="pct"/>
          </w:tcPr>
          <w:p w14:paraId="3C838B47" w14:textId="18840FB8" w:rsidR="00B12441" w:rsidRPr="00C62F90" w:rsidRDefault="00BC1B2A" w:rsidP="00037EDE">
            <w:pPr>
              <w:keepLines/>
              <w:spacing w:before="40" w:after="40" w:line="200" w:lineRule="atLeast"/>
              <w:rPr>
                <w:rFonts w:asciiTheme="minorHAnsi" w:eastAsia="Times New Roman" w:hAnsiTheme="minorHAnsi"/>
                <w:iCs/>
                <w:sz w:val="18"/>
                <w:szCs w:val="18"/>
                <w:lang w:eastAsia="en-US"/>
              </w:rPr>
            </w:pPr>
            <w:r>
              <w:rPr>
                <w:rFonts w:asciiTheme="minorHAnsi" w:eastAsia="Times New Roman" w:hAnsiTheme="minorHAnsi"/>
                <w:iCs/>
                <w:sz w:val="18"/>
                <w:szCs w:val="18"/>
                <w:lang w:eastAsia="en-US"/>
              </w:rPr>
              <w:t>Submarine cable operational</w:t>
            </w:r>
          </w:p>
        </w:tc>
        <w:tc>
          <w:tcPr>
            <w:tcW w:w="505" w:type="pct"/>
            <w:shd w:val="clear" w:color="auto" w:fill="92D050"/>
          </w:tcPr>
          <w:p w14:paraId="1D82ED59" w14:textId="77777777" w:rsidR="00184F1E" w:rsidRPr="0017000B" w:rsidRDefault="00B208E0" w:rsidP="00037EDE">
            <w:pPr>
              <w:keepLines/>
              <w:spacing w:before="40" w:after="40" w:line="200" w:lineRule="atLeast"/>
              <w:jc w:val="center"/>
              <w:rPr>
                <w:rFonts w:asciiTheme="minorHAnsi" w:eastAsia="Times New Roman" w:hAnsiTheme="minorHAnsi"/>
                <w:iCs/>
                <w:color w:val="FFFFFF" w:themeColor="background1"/>
                <w:sz w:val="18"/>
                <w:szCs w:val="18"/>
                <w:lang w:eastAsia="en-US"/>
              </w:rPr>
            </w:pPr>
            <w:r w:rsidRPr="0017000B">
              <w:rPr>
                <w:rFonts w:asciiTheme="minorHAnsi" w:eastAsia="Times New Roman" w:hAnsiTheme="minorHAnsi"/>
                <w:iCs/>
                <w:color w:val="FFFFFF" w:themeColor="background1"/>
                <w:sz w:val="18"/>
                <w:szCs w:val="18"/>
                <w:lang w:eastAsia="en-US"/>
              </w:rPr>
              <w:t>Achieved</w:t>
            </w:r>
          </w:p>
        </w:tc>
        <w:tc>
          <w:tcPr>
            <w:tcW w:w="2677" w:type="pct"/>
          </w:tcPr>
          <w:p w14:paraId="42D83EE8" w14:textId="77777777" w:rsidR="00184F1E" w:rsidRPr="0097497B" w:rsidRDefault="00C62F90" w:rsidP="00037EDE">
            <w:pPr>
              <w:keepLines/>
              <w:spacing w:before="40" w:after="40" w:line="200" w:lineRule="atLeast"/>
              <w:rPr>
                <w:rFonts w:asciiTheme="minorHAnsi" w:eastAsia="Times New Roman" w:hAnsiTheme="minorHAnsi"/>
                <w:iCs/>
                <w:color w:val="495965"/>
                <w:sz w:val="18"/>
                <w:szCs w:val="18"/>
                <w:lang w:eastAsia="en-US"/>
              </w:rPr>
            </w:pPr>
            <w:r w:rsidRPr="0097497B">
              <w:rPr>
                <w:rFonts w:asciiTheme="minorHAnsi" w:eastAsia="Times New Roman" w:hAnsiTheme="minorHAnsi"/>
                <w:iCs/>
                <w:color w:val="495965"/>
                <w:sz w:val="18"/>
                <w:szCs w:val="18"/>
                <w:lang w:eastAsia="en-US"/>
              </w:rPr>
              <w:t>Completed.</w:t>
            </w:r>
          </w:p>
        </w:tc>
      </w:tr>
      <w:tr w:rsidR="00B12441" w:rsidRPr="00C61187" w14:paraId="126D8247" w14:textId="77777777" w:rsidTr="00290DBC">
        <w:trPr>
          <w:trHeight w:val="567"/>
          <w:jc w:val="center"/>
        </w:trPr>
        <w:tc>
          <w:tcPr>
            <w:tcW w:w="780" w:type="pct"/>
            <w:tcMar>
              <w:top w:w="57" w:type="dxa"/>
              <w:bottom w:w="57" w:type="dxa"/>
            </w:tcMar>
          </w:tcPr>
          <w:p w14:paraId="6FD0D166"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Enable economic growth</w:t>
            </w:r>
          </w:p>
        </w:tc>
        <w:tc>
          <w:tcPr>
            <w:tcW w:w="1038" w:type="pct"/>
          </w:tcPr>
          <w:p w14:paraId="38FE1DAE" w14:textId="21DA7609" w:rsidR="00B12441" w:rsidRPr="00C62F90" w:rsidRDefault="00BC1B2A" w:rsidP="00037EDE">
            <w:pPr>
              <w:keepLines/>
              <w:spacing w:before="40" w:after="40" w:line="200" w:lineRule="atLeast"/>
              <w:rPr>
                <w:rFonts w:asciiTheme="minorHAnsi" w:eastAsia="Times New Roman" w:hAnsiTheme="minorHAnsi"/>
                <w:iCs/>
                <w:sz w:val="18"/>
                <w:szCs w:val="18"/>
              </w:rPr>
            </w:pPr>
            <w:r>
              <w:rPr>
                <w:rFonts w:asciiTheme="minorHAnsi" w:eastAsia="Times New Roman" w:hAnsiTheme="minorHAnsi"/>
                <w:iCs/>
                <w:sz w:val="18"/>
                <w:szCs w:val="18"/>
              </w:rPr>
              <w:t>200 women and people with disabilities supported to establish businesses</w:t>
            </w:r>
          </w:p>
        </w:tc>
        <w:tc>
          <w:tcPr>
            <w:tcW w:w="505" w:type="pct"/>
            <w:shd w:val="clear" w:color="auto" w:fill="92D050"/>
          </w:tcPr>
          <w:p w14:paraId="07C57E25" w14:textId="1622138E" w:rsidR="00B12441" w:rsidRPr="0017000B" w:rsidRDefault="00B208E0" w:rsidP="00B208E0">
            <w:pPr>
              <w:keepLines/>
              <w:spacing w:before="40" w:after="40" w:line="200" w:lineRule="atLeast"/>
              <w:jc w:val="center"/>
              <w:rPr>
                <w:rFonts w:asciiTheme="minorHAnsi" w:eastAsia="Times New Roman" w:hAnsiTheme="minorHAnsi"/>
                <w:iCs/>
                <w:color w:val="FFFFFF" w:themeColor="background1"/>
                <w:sz w:val="18"/>
                <w:szCs w:val="18"/>
                <w:highlight w:val="yellow"/>
              </w:rPr>
            </w:pPr>
            <w:r w:rsidRPr="0017000B">
              <w:rPr>
                <w:rFonts w:asciiTheme="minorHAnsi" w:eastAsia="Times New Roman" w:hAnsiTheme="minorHAnsi"/>
                <w:iCs/>
                <w:color w:val="FFFFFF" w:themeColor="background1"/>
                <w:sz w:val="18"/>
                <w:szCs w:val="18"/>
              </w:rPr>
              <w:t>Achieved</w:t>
            </w:r>
          </w:p>
        </w:tc>
        <w:tc>
          <w:tcPr>
            <w:tcW w:w="2677" w:type="pct"/>
          </w:tcPr>
          <w:p w14:paraId="3E85146D" w14:textId="69E876CA" w:rsidR="00B12441" w:rsidRPr="0097497B" w:rsidRDefault="007E4E98" w:rsidP="005649E7">
            <w:pPr>
              <w:keepLines/>
              <w:spacing w:before="40" w:after="40" w:line="200" w:lineRule="atLeast"/>
              <w:rPr>
                <w:rFonts w:asciiTheme="minorHAnsi" w:eastAsia="Times New Roman" w:hAnsiTheme="minorHAnsi"/>
                <w:iCs/>
                <w:color w:val="495965"/>
                <w:sz w:val="18"/>
                <w:szCs w:val="18"/>
                <w:highlight w:val="yellow"/>
              </w:rPr>
            </w:pPr>
            <w:r w:rsidRPr="007E4E98">
              <w:rPr>
                <w:rFonts w:asciiTheme="minorHAnsi" w:eastAsia="Times New Roman" w:hAnsiTheme="minorHAnsi"/>
                <w:iCs/>
                <w:color w:val="495965"/>
                <w:sz w:val="18"/>
                <w:szCs w:val="18"/>
              </w:rPr>
              <w:t>Over 200 women were supported to establish businesses.</w:t>
            </w:r>
          </w:p>
        </w:tc>
      </w:tr>
      <w:tr w:rsidR="00AB5CA5" w:rsidRPr="00C61187" w14:paraId="32ADD32B" w14:textId="77777777" w:rsidTr="00290DBC">
        <w:trPr>
          <w:trHeight w:val="567"/>
          <w:jc w:val="center"/>
        </w:trPr>
        <w:tc>
          <w:tcPr>
            <w:tcW w:w="780" w:type="pct"/>
            <w:tcMar>
              <w:top w:w="57" w:type="dxa"/>
              <w:bottom w:w="57" w:type="dxa"/>
            </w:tcMar>
          </w:tcPr>
          <w:p w14:paraId="0E2B87C2" w14:textId="77777777" w:rsidR="00AB5CA5" w:rsidRPr="00C62F90" w:rsidRDefault="00AB5CA5" w:rsidP="00AB5CA5">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Progress health and education outcomes</w:t>
            </w:r>
          </w:p>
        </w:tc>
        <w:tc>
          <w:tcPr>
            <w:tcW w:w="1038" w:type="pct"/>
          </w:tcPr>
          <w:p w14:paraId="3703C62A" w14:textId="77777777" w:rsidR="00AB5CA5" w:rsidRPr="00C62F90" w:rsidRDefault="00AB5CA5" w:rsidP="00AB5CA5">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Full or partial achievement against nine key performance indicators</w:t>
            </w:r>
          </w:p>
        </w:tc>
        <w:tc>
          <w:tcPr>
            <w:tcW w:w="505" w:type="pct"/>
            <w:shd w:val="clear" w:color="auto" w:fill="FFC000"/>
          </w:tcPr>
          <w:p w14:paraId="26D604F0" w14:textId="30BCCCB2" w:rsidR="00AB5CA5" w:rsidRPr="0017000B" w:rsidRDefault="00AB5CA5" w:rsidP="00AB5CA5">
            <w:pPr>
              <w:keepLines/>
              <w:spacing w:before="40" w:after="40" w:line="200" w:lineRule="atLeast"/>
              <w:jc w:val="center"/>
              <w:rPr>
                <w:rFonts w:asciiTheme="minorHAnsi" w:eastAsia="Times New Roman" w:hAnsiTheme="minorHAnsi"/>
                <w:iCs/>
                <w:color w:val="FFFFFF" w:themeColor="background1"/>
                <w:sz w:val="18"/>
                <w:szCs w:val="18"/>
              </w:rPr>
            </w:pPr>
            <w:r>
              <w:rPr>
                <w:rFonts w:asciiTheme="minorHAnsi" w:eastAsia="Times New Roman" w:hAnsiTheme="minorHAnsi"/>
                <w:iCs/>
                <w:color w:val="FFFFFF" w:themeColor="background1"/>
                <w:sz w:val="18"/>
                <w:szCs w:val="18"/>
              </w:rPr>
              <w:t xml:space="preserve">Partly </w:t>
            </w:r>
            <w:r w:rsidRPr="00C62F90">
              <w:rPr>
                <w:rFonts w:asciiTheme="minorHAnsi" w:eastAsia="Times New Roman" w:hAnsiTheme="minorHAnsi"/>
                <w:iCs/>
                <w:color w:val="FFFFFF" w:themeColor="background1"/>
                <w:sz w:val="18"/>
                <w:szCs w:val="18"/>
              </w:rPr>
              <w:t>Achieved</w:t>
            </w:r>
          </w:p>
        </w:tc>
        <w:tc>
          <w:tcPr>
            <w:tcW w:w="2677" w:type="pct"/>
          </w:tcPr>
          <w:p w14:paraId="7B883031" w14:textId="218577A5" w:rsidR="00AB5CA5" w:rsidRPr="0097497B" w:rsidRDefault="004F0DE0" w:rsidP="004F0DE0">
            <w:pPr>
              <w:keepLines/>
              <w:spacing w:before="40" w:after="40" w:line="200" w:lineRule="atLeast"/>
              <w:rPr>
                <w:rFonts w:asciiTheme="minorHAnsi" w:eastAsia="Times New Roman" w:hAnsiTheme="minorHAnsi"/>
                <w:iCs/>
                <w:color w:val="495965"/>
                <w:sz w:val="18"/>
                <w:szCs w:val="18"/>
              </w:rPr>
            </w:pPr>
            <w:r>
              <w:rPr>
                <w:rFonts w:asciiTheme="minorHAnsi" w:eastAsia="Times New Roman" w:hAnsiTheme="minorHAnsi"/>
                <w:iCs/>
                <w:color w:val="495965"/>
                <w:sz w:val="18"/>
                <w:szCs w:val="18"/>
              </w:rPr>
              <w:t xml:space="preserve">Seven of the nine key performance indicators </w:t>
            </w:r>
            <w:r>
              <w:rPr>
                <w:rFonts w:asciiTheme="minorHAnsi" w:eastAsia="Times New Roman" w:hAnsiTheme="minorHAnsi"/>
                <w:iCs/>
                <w:sz w:val="18"/>
                <w:szCs w:val="18"/>
              </w:rPr>
              <w:t>were f</w:t>
            </w:r>
            <w:r w:rsidRPr="00C62F90">
              <w:rPr>
                <w:rFonts w:asciiTheme="minorHAnsi" w:eastAsia="Times New Roman" w:hAnsiTheme="minorHAnsi"/>
                <w:iCs/>
                <w:sz w:val="18"/>
                <w:szCs w:val="18"/>
              </w:rPr>
              <w:t>ull</w:t>
            </w:r>
            <w:r>
              <w:rPr>
                <w:rFonts w:asciiTheme="minorHAnsi" w:eastAsia="Times New Roman" w:hAnsiTheme="minorHAnsi"/>
                <w:iCs/>
                <w:sz w:val="18"/>
                <w:szCs w:val="18"/>
              </w:rPr>
              <w:t>y</w:t>
            </w:r>
            <w:r w:rsidRPr="00C62F90">
              <w:rPr>
                <w:rFonts w:asciiTheme="minorHAnsi" w:eastAsia="Times New Roman" w:hAnsiTheme="minorHAnsi"/>
                <w:iCs/>
                <w:sz w:val="18"/>
                <w:szCs w:val="18"/>
              </w:rPr>
              <w:t xml:space="preserve"> or partial</w:t>
            </w:r>
            <w:r>
              <w:rPr>
                <w:rFonts w:asciiTheme="minorHAnsi" w:eastAsia="Times New Roman" w:hAnsiTheme="minorHAnsi"/>
                <w:iCs/>
                <w:sz w:val="18"/>
                <w:szCs w:val="18"/>
              </w:rPr>
              <w:t>ly</w:t>
            </w:r>
            <w:r w:rsidRPr="00C62F90">
              <w:rPr>
                <w:rFonts w:asciiTheme="minorHAnsi" w:eastAsia="Times New Roman" w:hAnsiTheme="minorHAnsi"/>
                <w:iCs/>
                <w:sz w:val="18"/>
                <w:szCs w:val="18"/>
              </w:rPr>
              <w:t xml:space="preserve"> achieve</w:t>
            </w:r>
            <w:r>
              <w:rPr>
                <w:rFonts w:asciiTheme="minorHAnsi" w:eastAsia="Times New Roman" w:hAnsiTheme="minorHAnsi"/>
                <w:iCs/>
                <w:sz w:val="18"/>
                <w:szCs w:val="18"/>
              </w:rPr>
              <w:t>d</w:t>
            </w:r>
          </w:p>
        </w:tc>
      </w:tr>
      <w:tr w:rsidR="00AB5CA5" w:rsidRPr="00C61187" w14:paraId="3C51CAFE" w14:textId="77777777" w:rsidTr="00290DBC">
        <w:trPr>
          <w:trHeight w:val="567"/>
          <w:jc w:val="center"/>
        </w:trPr>
        <w:tc>
          <w:tcPr>
            <w:tcW w:w="780" w:type="pct"/>
            <w:tcMar>
              <w:top w:w="57" w:type="dxa"/>
              <w:bottom w:w="57" w:type="dxa"/>
            </w:tcMar>
          </w:tcPr>
          <w:p w14:paraId="518AECC4" w14:textId="77777777" w:rsidR="00AB5CA5" w:rsidRPr="00C62F90" w:rsidRDefault="00AB5CA5" w:rsidP="00AB5CA5">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Progress health and education outcomes</w:t>
            </w:r>
          </w:p>
        </w:tc>
        <w:tc>
          <w:tcPr>
            <w:tcW w:w="1038" w:type="pct"/>
          </w:tcPr>
          <w:p w14:paraId="59A9F45E" w14:textId="5AA30CEB" w:rsidR="00AB5CA5" w:rsidRPr="00C62F90" w:rsidRDefault="00AB5CA5" w:rsidP="00AB5CA5">
            <w:pPr>
              <w:keepLines/>
              <w:spacing w:before="40" w:after="40" w:line="200" w:lineRule="atLeast"/>
              <w:rPr>
                <w:rFonts w:asciiTheme="minorHAnsi" w:eastAsia="Times New Roman" w:hAnsiTheme="minorHAnsi"/>
                <w:iCs/>
                <w:sz w:val="18"/>
                <w:szCs w:val="18"/>
              </w:rPr>
            </w:pPr>
            <w:r>
              <w:rPr>
                <w:rFonts w:asciiTheme="minorHAnsi" w:eastAsia="Times New Roman" w:hAnsiTheme="minorHAnsi"/>
                <w:iCs/>
                <w:sz w:val="18"/>
                <w:szCs w:val="18"/>
              </w:rPr>
              <w:t>Australia Awards targets health and education scholarships</w:t>
            </w:r>
          </w:p>
        </w:tc>
        <w:tc>
          <w:tcPr>
            <w:tcW w:w="505" w:type="pct"/>
            <w:shd w:val="clear" w:color="auto" w:fill="92D050"/>
          </w:tcPr>
          <w:p w14:paraId="681099D4" w14:textId="0BB73CF6" w:rsidR="00AB5CA5" w:rsidRPr="0017000B" w:rsidRDefault="00AB5CA5" w:rsidP="00AB5CA5">
            <w:pPr>
              <w:keepLines/>
              <w:spacing w:before="40" w:after="40" w:line="200" w:lineRule="atLeast"/>
              <w:jc w:val="center"/>
              <w:rPr>
                <w:rFonts w:asciiTheme="minorHAnsi" w:eastAsia="Times New Roman" w:hAnsiTheme="minorHAnsi"/>
                <w:iCs/>
                <w:color w:val="FFFFFF" w:themeColor="background1"/>
                <w:sz w:val="18"/>
                <w:szCs w:val="18"/>
              </w:rPr>
            </w:pPr>
            <w:r>
              <w:rPr>
                <w:rFonts w:asciiTheme="minorHAnsi" w:eastAsia="Times New Roman" w:hAnsiTheme="minorHAnsi"/>
                <w:iCs/>
                <w:color w:val="FFFFFF" w:themeColor="background1"/>
                <w:sz w:val="18"/>
                <w:szCs w:val="18"/>
              </w:rPr>
              <w:t>Achieved</w:t>
            </w:r>
          </w:p>
        </w:tc>
        <w:tc>
          <w:tcPr>
            <w:tcW w:w="2677" w:type="pct"/>
          </w:tcPr>
          <w:p w14:paraId="5FEA587E" w14:textId="18A6BF68" w:rsidR="00AB5CA5" w:rsidRPr="0097497B" w:rsidRDefault="00AB5CA5" w:rsidP="00AB5CA5">
            <w:pPr>
              <w:keepLines/>
              <w:spacing w:before="40" w:after="40" w:line="200" w:lineRule="atLeast"/>
              <w:rPr>
                <w:rFonts w:asciiTheme="minorHAnsi" w:eastAsia="Times New Roman" w:hAnsiTheme="minorHAnsi"/>
                <w:iCs/>
                <w:color w:val="495965"/>
                <w:sz w:val="18"/>
                <w:szCs w:val="18"/>
              </w:rPr>
            </w:pPr>
            <w:r>
              <w:rPr>
                <w:rFonts w:asciiTheme="minorHAnsi" w:eastAsia="Times New Roman" w:hAnsiTheme="minorHAnsi"/>
                <w:iCs/>
                <w:color w:val="495965"/>
                <w:sz w:val="18"/>
                <w:szCs w:val="18"/>
              </w:rPr>
              <w:t xml:space="preserve">Health and education scholarships prioritised in the allocation of Australia Awards </w:t>
            </w:r>
          </w:p>
        </w:tc>
      </w:tr>
      <w:tr w:rsidR="00AB5CA5" w:rsidRPr="00C61187" w14:paraId="633E1429" w14:textId="77777777" w:rsidTr="00290DBC">
        <w:trPr>
          <w:trHeight w:val="567"/>
          <w:jc w:val="center"/>
        </w:trPr>
        <w:tc>
          <w:tcPr>
            <w:tcW w:w="780" w:type="pct"/>
            <w:tcMar>
              <w:top w:w="57" w:type="dxa"/>
              <w:bottom w:w="57" w:type="dxa"/>
            </w:tcMar>
          </w:tcPr>
          <w:p w14:paraId="28E5375C" w14:textId="77777777" w:rsidR="00AB5CA5" w:rsidRPr="00C62F90" w:rsidRDefault="00AB5CA5" w:rsidP="00AB5CA5">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Progress health and education outcomes</w:t>
            </w:r>
          </w:p>
        </w:tc>
        <w:tc>
          <w:tcPr>
            <w:tcW w:w="1038" w:type="pct"/>
          </w:tcPr>
          <w:p w14:paraId="7C898A07" w14:textId="66FBFD96" w:rsidR="00AB5CA5" w:rsidRPr="00C62F90" w:rsidRDefault="00AB5CA5" w:rsidP="00AB5CA5">
            <w:pPr>
              <w:keepLines/>
              <w:spacing w:before="40" w:after="40" w:line="200" w:lineRule="atLeast"/>
              <w:rPr>
                <w:rFonts w:asciiTheme="minorHAnsi" w:eastAsia="Times New Roman" w:hAnsiTheme="minorHAnsi"/>
                <w:iCs/>
                <w:sz w:val="18"/>
                <w:szCs w:val="18"/>
              </w:rPr>
            </w:pPr>
            <w:r>
              <w:rPr>
                <w:rFonts w:asciiTheme="minorHAnsi" w:eastAsia="Times New Roman" w:hAnsiTheme="minorHAnsi"/>
                <w:iCs/>
                <w:sz w:val="18"/>
                <w:szCs w:val="18"/>
              </w:rPr>
              <w:t>R</w:t>
            </w:r>
            <w:r w:rsidRPr="00C62F90">
              <w:rPr>
                <w:rFonts w:asciiTheme="minorHAnsi" w:eastAsia="Times New Roman" w:hAnsiTheme="minorHAnsi"/>
                <w:iCs/>
                <w:sz w:val="18"/>
                <w:szCs w:val="18"/>
              </w:rPr>
              <w:t xml:space="preserve">eview </w:t>
            </w:r>
            <w:r>
              <w:rPr>
                <w:rFonts w:asciiTheme="minorHAnsi" w:eastAsia="Times New Roman" w:hAnsiTheme="minorHAnsi"/>
                <w:iCs/>
                <w:sz w:val="18"/>
                <w:szCs w:val="18"/>
              </w:rPr>
              <w:t>recommendations actioned</w:t>
            </w:r>
          </w:p>
        </w:tc>
        <w:tc>
          <w:tcPr>
            <w:tcW w:w="505" w:type="pct"/>
            <w:shd w:val="clear" w:color="auto" w:fill="FF0000"/>
          </w:tcPr>
          <w:p w14:paraId="438124EE" w14:textId="6DC6670A" w:rsidR="00AB5CA5" w:rsidRPr="0017000B" w:rsidRDefault="00AB5CA5" w:rsidP="00AB5CA5">
            <w:pPr>
              <w:keepLines/>
              <w:spacing w:before="40" w:after="40" w:line="200" w:lineRule="atLeast"/>
              <w:jc w:val="center"/>
              <w:rPr>
                <w:rFonts w:asciiTheme="minorHAnsi" w:hAnsiTheme="minorHAnsi"/>
                <w:color w:val="FFFFFF" w:themeColor="background1"/>
                <w:sz w:val="18"/>
              </w:rPr>
            </w:pPr>
            <w:r>
              <w:rPr>
                <w:rFonts w:asciiTheme="minorHAnsi" w:hAnsiTheme="minorHAnsi"/>
                <w:color w:val="FFFFFF" w:themeColor="background1"/>
                <w:sz w:val="18"/>
              </w:rPr>
              <w:t>Not achieved</w:t>
            </w:r>
          </w:p>
        </w:tc>
        <w:tc>
          <w:tcPr>
            <w:tcW w:w="2677" w:type="pct"/>
          </w:tcPr>
          <w:p w14:paraId="4C729800" w14:textId="0CC0EBE9" w:rsidR="00AB5CA5" w:rsidRPr="0097497B" w:rsidRDefault="00AB5CA5" w:rsidP="00AB5CA5">
            <w:pPr>
              <w:keepLines/>
              <w:spacing w:before="40" w:after="40" w:line="200" w:lineRule="atLeast"/>
              <w:rPr>
                <w:rFonts w:asciiTheme="minorHAnsi" w:eastAsia="Times New Roman" w:hAnsiTheme="minorHAnsi"/>
                <w:iCs/>
                <w:color w:val="495965"/>
                <w:sz w:val="18"/>
                <w:szCs w:val="18"/>
              </w:rPr>
            </w:pPr>
            <w:r>
              <w:rPr>
                <w:rFonts w:asciiTheme="minorHAnsi" w:eastAsia="Times New Roman" w:hAnsiTheme="minorHAnsi"/>
                <w:iCs/>
                <w:color w:val="495965"/>
                <w:sz w:val="18"/>
                <w:szCs w:val="18"/>
              </w:rPr>
              <w:t>The joint review of primary health care was deferred due to</w:t>
            </w:r>
            <w:r w:rsidR="00AD291D">
              <w:rPr>
                <w:rFonts w:asciiTheme="minorHAnsi" w:eastAsia="Times New Roman" w:hAnsiTheme="minorHAnsi"/>
                <w:iCs/>
                <w:color w:val="495965"/>
                <w:sz w:val="18"/>
                <w:szCs w:val="18"/>
              </w:rPr>
              <w:t xml:space="preserve"> the merger of the Ministry of H</w:t>
            </w:r>
            <w:r>
              <w:rPr>
                <w:rFonts w:asciiTheme="minorHAnsi" w:eastAsia="Times New Roman" w:hAnsiTheme="minorHAnsi"/>
                <w:iCs/>
                <w:color w:val="495965"/>
                <w:sz w:val="18"/>
                <w:szCs w:val="18"/>
              </w:rPr>
              <w:t>ealth and the National Health Service.</w:t>
            </w:r>
          </w:p>
        </w:tc>
      </w:tr>
      <w:tr w:rsidR="00AB5CA5" w:rsidRPr="00C61187" w14:paraId="4E735718" w14:textId="77777777" w:rsidTr="00290DBC">
        <w:trPr>
          <w:trHeight w:val="567"/>
          <w:jc w:val="center"/>
        </w:trPr>
        <w:tc>
          <w:tcPr>
            <w:tcW w:w="780" w:type="pct"/>
            <w:tcMar>
              <w:top w:w="57" w:type="dxa"/>
              <w:bottom w:w="57" w:type="dxa"/>
            </w:tcMar>
          </w:tcPr>
          <w:p w14:paraId="5F9852C4" w14:textId="77777777" w:rsidR="00AB5CA5" w:rsidRPr="00C62F90" w:rsidRDefault="00AB5CA5" w:rsidP="00AB5CA5">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 xml:space="preserve">Progress health and education outcomes </w:t>
            </w:r>
          </w:p>
        </w:tc>
        <w:tc>
          <w:tcPr>
            <w:tcW w:w="1038" w:type="pct"/>
          </w:tcPr>
          <w:p w14:paraId="71AC1C4A" w14:textId="52FE583F" w:rsidR="00AB5CA5" w:rsidRPr="00C62F90" w:rsidRDefault="00AB5CA5" w:rsidP="00AB5CA5">
            <w:pPr>
              <w:keepLines/>
              <w:spacing w:before="40" w:after="40" w:line="200" w:lineRule="atLeast"/>
              <w:rPr>
                <w:rFonts w:asciiTheme="minorHAnsi" w:eastAsia="Times New Roman" w:hAnsiTheme="minorHAnsi"/>
                <w:iCs/>
                <w:sz w:val="18"/>
                <w:szCs w:val="18"/>
                <w:lang w:eastAsia="en-US"/>
              </w:rPr>
            </w:pPr>
            <w:r>
              <w:rPr>
                <w:rFonts w:asciiTheme="minorHAnsi" w:eastAsia="Times New Roman" w:hAnsiTheme="minorHAnsi"/>
                <w:iCs/>
                <w:sz w:val="18"/>
                <w:szCs w:val="18"/>
                <w:lang w:eastAsia="en-US"/>
              </w:rPr>
              <w:t>600 mobility devices provided to people with disabilities</w:t>
            </w:r>
            <w:r w:rsidRPr="00C62F90">
              <w:rPr>
                <w:rFonts w:asciiTheme="minorHAnsi" w:eastAsia="Times New Roman" w:hAnsiTheme="minorHAnsi"/>
                <w:iCs/>
                <w:sz w:val="18"/>
                <w:szCs w:val="18"/>
                <w:lang w:eastAsia="en-US"/>
              </w:rPr>
              <w:t xml:space="preserve">  </w:t>
            </w:r>
          </w:p>
        </w:tc>
        <w:tc>
          <w:tcPr>
            <w:tcW w:w="505" w:type="pct"/>
            <w:shd w:val="clear" w:color="auto" w:fill="92D050"/>
          </w:tcPr>
          <w:p w14:paraId="72C64315" w14:textId="616A0B4E" w:rsidR="00AB5CA5" w:rsidRPr="0017000B" w:rsidRDefault="00AB5CA5" w:rsidP="00AB5CA5">
            <w:pPr>
              <w:keepLines/>
              <w:spacing w:before="40" w:after="40" w:line="200" w:lineRule="atLeast"/>
              <w:jc w:val="center"/>
              <w:rPr>
                <w:rFonts w:asciiTheme="minorHAnsi" w:eastAsia="Times New Roman" w:hAnsiTheme="minorHAnsi"/>
                <w:iCs/>
                <w:sz w:val="18"/>
                <w:szCs w:val="18"/>
                <w:lang w:eastAsia="en-US"/>
              </w:rPr>
            </w:pPr>
            <w:r w:rsidRPr="0017000B">
              <w:rPr>
                <w:rFonts w:asciiTheme="minorHAnsi" w:eastAsia="Times New Roman" w:hAnsiTheme="minorHAnsi"/>
                <w:iCs/>
                <w:color w:val="FFFFFF" w:themeColor="background1"/>
                <w:sz w:val="18"/>
                <w:szCs w:val="18"/>
                <w:lang w:eastAsia="en-US"/>
              </w:rPr>
              <w:t>Achieved</w:t>
            </w:r>
          </w:p>
        </w:tc>
        <w:tc>
          <w:tcPr>
            <w:tcW w:w="2677" w:type="pct"/>
          </w:tcPr>
          <w:p w14:paraId="3B0874BD" w14:textId="053F1615" w:rsidR="00AB5CA5" w:rsidRPr="0097497B" w:rsidRDefault="00AB5CA5" w:rsidP="00AB5CA5">
            <w:pPr>
              <w:keepLines/>
              <w:spacing w:before="40" w:after="40" w:line="200" w:lineRule="atLeast"/>
              <w:rPr>
                <w:rFonts w:asciiTheme="minorHAnsi" w:eastAsia="Times New Roman" w:hAnsiTheme="minorHAnsi"/>
                <w:b/>
                <w:iCs/>
                <w:color w:val="495965"/>
                <w:sz w:val="18"/>
                <w:szCs w:val="18"/>
                <w:lang w:eastAsia="en-US"/>
              </w:rPr>
            </w:pPr>
            <w:r w:rsidRPr="0097497B">
              <w:rPr>
                <w:rFonts w:asciiTheme="minorHAnsi" w:eastAsia="Times New Roman" w:hAnsiTheme="minorHAnsi"/>
                <w:iCs/>
                <w:color w:val="495965"/>
                <w:sz w:val="18"/>
                <w:szCs w:val="18"/>
                <w:lang w:eastAsia="en-US"/>
              </w:rPr>
              <w:t>Completed.</w:t>
            </w:r>
          </w:p>
        </w:tc>
      </w:tr>
      <w:tr w:rsidR="00AB5CA5" w:rsidRPr="00C61187" w14:paraId="47627B59" w14:textId="77777777" w:rsidTr="00290DBC">
        <w:trPr>
          <w:trHeight w:val="567"/>
          <w:jc w:val="center"/>
        </w:trPr>
        <w:tc>
          <w:tcPr>
            <w:tcW w:w="780" w:type="pct"/>
            <w:tcMar>
              <w:top w:w="57" w:type="dxa"/>
              <w:bottom w:w="57" w:type="dxa"/>
            </w:tcMar>
          </w:tcPr>
          <w:p w14:paraId="39E104CB" w14:textId="77777777" w:rsidR="00AB5CA5" w:rsidRPr="00C62F90" w:rsidRDefault="00AB5CA5" w:rsidP="00AB5CA5">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Progress health and education outcomes</w:t>
            </w:r>
          </w:p>
        </w:tc>
        <w:tc>
          <w:tcPr>
            <w:tcW w:w="1038" w:type="pct"/>
          </w:tcPr>
          <w:p w14:paraId="0881A7C2" w14:textId="58F1A823" w:rsidR="00AB5CA5" w:rsidRPr="00C62F90" w:rsidRDefault="00AB5CA5" w:rsidP="00AB5CA5">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National Strategy for Ending Violence</w:t>
            </w:r>
            <w:r>
              <w:rPr>
                <w:rFonts w:asciiTheme="minorHAnsi" w:eastAsia="Times New Roman" w:hAnsiTheme="minorHAnsi"/>
                <w:iCs/>
                <w:sz w:val="18"/>
                <w:szCs w:val="18"/>
              </w:rPr>
              <w:t xml:space="preserve"> developed</w:t>
            </w:r>
          </w:p>
        </w:tc>
        <w:tc>
          <w:tcPr>
            <w:tcW w:w="505" w:type="pct"/>
            <w:shd w:val="clear" w:color="auto" w:fill="FFC000"/>
          </w:tcPr>
          <w:p w14:paraId="710D5FF1" w14:textId="754E8F1D" w:rsidR="00AB5CA5" w:rsidRPr="00C62F90" w:rsidRDefault="00AB5CA5" w:rsidP="00AB5CA5">
            <w:pPr>
              <w:keepLines/>
              <w:spacing w:before="40" w:after="40" w:line="200" w:lineRule="atLeast"/>
              <w:jc w:val="center"/>
              <w:rPr>
                <w:rFonts w:eastAsia="Times New Roman"/>
                <w:iCs/>
                <w:color w:val="FFFFFF" w:themeColor="background1"/>
                <w:sz w:val="18"/>
                <w:szCs w:val="18"/>
              </w:rPr>
            </w:pPr>
            <w:r>
              <w:rPr>
                <w:rFonts w:asciiTheme="minorHAnsi" w:eastAsia="Times New Roman" w:hAnsiTheme="minorHAnsi"/>
                <w:iCs/>
                <w:color w:val="FFFFFF" w:themeColor="background1"/>
                <w:sz w:val="18"/>
                <w:szCs w:val="18"/>
              </w:rPr>
              <w:t xml:space="preserve">Partly </w:t>
            </w:r>
            <w:r w:rsidRPr="00C62F90">
              <w:rPr>
                <w:rFonts w:asciiTheme="minorHAnsi" w:eastAsia="Times New Roman" w:hAnsiTheme="minorHAnsi"/>
                <w:iCs/>
                <w:color w:val="FFFFFF" w:themeColor="background1"/>
                <w:sz w:val="18"/>
                <w:szCs w:val="18"/>
              </w:rPr>
              <w:t>Achieved</w:t>
            </w:r>
          </w:p>
        </w:tc>
        <w:tc>
          <w:tcPr>
            <w:tcW w:w="2677" w:type="pct"/>
          </w:tcPr>
          <w:p w14:paraId="29268FAC" w14:textId="5D6EE1B5" w:rsidR="00AB5CA5" w:rsidRPr="0097497B" w:rsidRDefault="00AB5CA5" w:rsidP="00AB5CA5">
            <w:pPr>
              <w:keepLines/>
              <w:spacing w:before="40" w:after="40" w:line="200" w:lineRule="atLeast"/>
              <w:rPr>
                <w:rFonts w:eastAsia="Times New Roman"/>
                <w:iCs/>
                <w:color w:val="495965"/>
                <w:sz w:val="18"/>
                <w:szCs w:val="18"/>
              </w:rPr>
            </w:pPr>
            <w:r w:rsidRPr="00C62F90">
              <w:rPr>
                <w:rFonts w:asciiTheme="minorHAnsi" w:eastAsia="Times New Roman" w:hAnsiTheme="minorHAnsi"/>
                <w:iCs/>
                <w:sz w:val="18"/>
                <w:szCs w:val="18"/>
              </w:rPr>
              <w:t>National Strategy for Ending Violence</w:t>
            </w:r>
            <w:r>
              <w:rPr>
                <w:rFonts w:asciiTheme="minorHAnsi" w:eastAsia="Times New Roman" w:hAnsiTheme="minorHAnsi"/>
                <w:iCs/>
                <w:sz w:val="18"/>
                <w:szCs w:val="18"/>
              </w:rPr>
              <w:t xml:space="preserve"> is currently being developed.</w:t>
            </w:r>
          </w:p>
        </w:tc>
      </w:tr>
      <w:tr w:rsidR="00AB5CA5" w:rsidRPr="00C61187" w14:paraId="0D65AADD" w14:textId="77777777" w:rsidTr="00290DBC">
        <w:trPr>
          <w:trHeight w:val="567"/>
          <w:jc w:val="center"/>
        </w:trPr>
        <w:tc>
          <w:tcPr>
            <w:tcW w:w="780" w:type="pct"/>
            <w:tcMar>
              <w:top w:w="57" w:type="dxa"/>
              <w:bottom w:w="57" w:type="dxa"/>
            </w:tcMar>
          </w:tcPr>
          <w:p w14:paraId="2822D236" w14:textId="77777777" w:rsidR="00AB5CA5" w:rsidRPr="00C62F90" w:rsidRDefault="00AB5CA5" w:rsidP="00AB5CA5">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Strengthen governance</w:t>
            </w:r>
          </w:p>
        </w:tc>
        <w:tc>
          <w:tcPr>
            <w:tcW w:w="1038" w:type="pct"/>
          </w:tcPr>
          <w:p w14:paraId="5AE72307" w14:textId="45F91B5A" w:rsidR="00AB5CA5" w:rsidRPr="00C62F90" w:rsidRDefault="00AB5CA5" w:rsidP="00AB5CA5">
            <w:pPr>
              <w:keepLines/>
              <w:spacing w:before="40" w:after="40" w:line="200" w:lineRule="atLeast"/>
              <w:rPr>
                <w:rFonts w:asciiTheme="minorHAnsi" w:eastAsia="Times New Roman" w:hAnsiTheme="minorHAnsi"/>
                <w:iCs/>
                <w:sz w:val="18"/>
                <w:szCs w:val="18"/>
              </w:rPr>
            </w:pPr>
            <w:r>
              <w:rPr>
                <w:rFonts w:asciiTheme="minorHAnsi" w:eastAsia="Times New Roman" w:hAnsiTheme="minorHAnsi"/>
                <w:iCs/>
                <w:sz w:val="18"/>
                <w:szCs w:val="18"/>
              </w:rPr>
              <w:t>Updated Assessment of National Systems</w:t>
            </w:r>
          </w:p>
        </w:tc>
        <w:tc>
          <w:tcPr>
            <w:tcW w:w="505" w:type="pct"/>
            <w:shd w:val="clear" w:color="auto" w:fill="FFC000"/>
          </w:tcPr>
          <w:p w14:paraId="7037B355" w14:textId="44AAEA4D" w:rsidR="00AB5CA5" w:rsidRPr="00C62F90" w:rsidRDefault="00AB5CA5" w:rsidP="00AB5CA5">
            <w:pPr>
              <w:keepLines/>
              <w:spacing w:before="40" w:after="40" w:line="200" w:lineRule="atLeast"/>
              <w:jc w:val="center"/>
              <w:rPr>
                <w:rFonts w:eastAsia="Times New Roman"/>
                <w:iCs/>
                <w:color w:val="FFFFFF" w:themeColor="background1"/>
                <w:sz w:val="18"/>
                <w:szCs w:val="18"/>
              </w:rPr>
            </w:pPr>
            <w:r>
              <w:rPr>
                <w:rFonts w:asciiTheme="minorHAnsi" w:eastAsia="Times New Roman" w:hAnsiTheme="minorHAnsi"/>
                <w:iCs/>
                <w:color w:val="FFFFFF" w:themeColor="background1"/>
                <w:sz w:val="18"/>
                <w:szCs w:val="18"/>
              </w:rPr>
              <w:t xml:space="preserve">Partly </w:t>
            </w:r>
            <w:r w:rsidRPr="00C62F90">
              <w:rPr>
                <w:rFonts w:asciiTheme="minorHAnsi" w:eastAsia="Times New Roman" w:hAnsiTheme="minorHAnsi"/>
                <w:iCs/>
                <w:color w:val="FFFFFF" w:themeColor="background1"/>
                <w:sz w:val="18"/>
                <w:szCs w:val="18"/>
              </w:rPr>
              <w:t>Achieved</w:t>
            </w:r>
          </w:p>
        </w:tc>
        <w:tc>
          <w:tcPr>
            <w:tcW w:w="2677" w:type="pct"/>
          </w:tcPr>
          <w:p w14:paraId="23E7C462" w14:textId="70CDFFCC" w:rsidR="00AB5CA5" w:rsidRPr="0097497B" w:rsidRDefault="00AB5CA5" w:rsidP="00AB5CA5">
            <w:pPr>
              <w:pStyle w:val="TableTextEntries"/>
              <w:keepNext/>
              <w:rPr>
                <w:rFonts w:asciiTheme="minorHAnsi" w:hAnsiTheme="minorHAnsi"/>
                <w:iCs w:val="0"/>
                <w:color w:val="495965"/>
                <w:sz w:val="18"/>
                <w:szCs w:val="18"/>
              </w:rPr>
            </w:pPr>
            <w:r>
              <w:rPr>
                <w:rFonts w:asciiTheme="minorHAnsi" w:hAnsiTheme="minorHAnsi"/>
                <w:iCs w:val="0"/>
                <w:color w:val="495965"/>
                <w:sz w:val="18"/>
                <w:szCs w:val="18"/>
              </w:rPr>
              <w:t xml:space="preserve">Assessment of National Systems deferred until August 2018, to follow PEFA Assessment. </w:t>
            </w:r>
            <w:r w:rsidRPr="0097497B">
              <w:rPr>
                <w:rFonts w:asciiTheme="minorHAnsi" w:hAnsiTheme="minorHAnsi"/>
                <w:iCs w:val="0"/>
                <w:color w:val="495965"/>
                <w:sz w:val="18"/>
                <w:szCs w:val="18"/>
              </w:rPr>
              <w:t xml:space="preserve"> </w:t>
            </w:r>
          </w:p>
        </w:tc>
      </w:tr>
      <w:tr w:rsidR="00AB5CA5" w:rsidRPr="00C61187" w14:paraId="4C6881D2" w14:textId="77777777" w:rsidTr="00290DBC">
        <w:trPr>
          <w:trHeight w:val="567"/>
          <w:jc w:val="center"/>
        </w:trPr>
        <w:tc>
          <w:tcPr>
            <w:tcW w:w="780" w:type="pct"/>
            <w:tcMar>
              <w:top w:w="57" w:type="dxa"/>
              <w:bottom w:w="57" w:type="dxa"/>
            </w:tcMar>
          </w:tcPr>
          <w:p w14:paraId="105889CC" w14:textId="77777777" w:rsidR="00AB5CA5" w:rsidRPr="00C62F90" w:rsidRDefault="00AB5CA5" w:rsidP="00AB5CA5">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lastRenderedPageBreak/>
              <w:t>Strengthen governance</w:t>
            </w:r>
          </w:p>
        </w:tc>
        <w:tc>
          <w:tcPr>
            <w:tcW w:w="1038" w:type="pct"/>
          </w:tcPr>
          <w:p w14:paraId="2FAB22B7" w14:textId="389A7F8D" w:rsidR="00AB5CA5" w:rsidRPr="00C62F90" w:rsidRDefault="00AB5CA5" w:rsidP="00AB5CA5">
            <w:pPr>
              <w:keepLines/>
              <w:spacing w:before="40" w:after="40" w:line="200" w:lineRule="atLeast"/>
              <w:rPr>
                <w:rFonts w:asciiTheme="minorHAnsi" w:eastAsia="Times New Roman" w:hAnsiTheme="minorHAnsi"/>
                <w:iCs/>
                <w:sz w:val="18"/>
                <w:szCs w:val="18"/>
              </w:rPr>
            </w:pPr>
            <w:r>
              <w:rPr>
                <w:rFonts w:asciiTheme="minorHAnsi" w:eastAsia="Times New Roman" w:hAnsiTheme="minorHAnsi"/>
                <w:iCs/>
                <w:sz w:val="18"/>
                <w:szCs w:val="18"/>
              </w:rPr>
              <w:t>Parliament House Completed</w:t>
            </w:r>
          </w:p>
        </w:tc>
        <w:tc>
          <w:tcPr>
            <w:tcW w:w="505" w:type="pct"/>
            <w:shd w:val="clear" w:color="auto" w:fill="FFC000"/>
          </w:tcPr>
          <w:p w14:paraId="535F8485" w14:textId="2EEEA9C1" w:rsidR="00AB5CA5" w:rsidRPr="00C62F90" w:rsidRDefault="00AB5CA5" w:rsidP="00AB5CA5">
            <w:pPr>
              <w:keepLines/>
              <w:spacing w:before="40" w:after="40" w:line="200" w:lineRule="atLeast"/>
              <w:jc w:val="center"/>
              <w:rPr>
                <w:rFonts w:eastAsia="Times New Roman"/>
                <w:iCs/>
                <w:color w:val="FFFFFF" w:themeColor="background1"/>
                <w:sz w:val="18"/>
                <w:szCs w:val="18"/>
              </w:rPr>
            </w:pPr>
            <w:r>
              <w:rPr>
                <w:rFonts w:asciiTheme="minorHAnsi" w:eastAsia="Times New Roman" w:hAnsiTheme="minorHAnsi"/>
                <w:iCs/>
                <w:color w:val="FFFFFF" w:themeColor="background1"/>
                <w:sz w:val="18"/>
                <w:szCs w:val="18"/>
              </w:rPr>
              <w:t xml:space="preserve">Partly </w:t>
            </w:r>
            <w:r w:rsidRPr="00C62F90">
              <w:rPr>
                <w:rFonts w:asciiTheme="minorHAnsi" w:eastAsia="Times New Roman" w:hAnsiTheme="minorHAnsi"/>
                <w:iCs/>
                <w:color w:val="FFFFFF" w:themeColor="background1"/>
                <w:sz w:val="18"/>
                <w:szCs w:val="18"/>
              </w:rPr>
              <w:t>Achieved</w:t>
            </w:r>
          </w:p>
        </w:tc>
        <w:tc>
          <w:tcPr>
            <w:tcW w:w="2677" w:type="pct"/>
          </w:tcPr>
          <w:p w14:paraId="126BCB72" w14:textId="75167EA4" w:rsidR="00AB5CA5" w:rsidRPr="0097497B" w:rsidRDefault="00AB5CA5" w:rsidP="00AB5CA5">
            <w:pPr>
              <w:pStyle w:val="TableTextEntries"/>
              <w:keepNext/>
              <w:rPr>
                <w:rFonts w:asciiTheme="minorHAnsi" w:hAnsiTheme="minorHAnsi"/>
                <w:iCs w:val="0"/>
                <w:color w:val="495965"/>
                <w:sz w:val="18"/>
                <w:szCs w:val="18"/>
              </w:rPr>
            </w:pPr>
            <w:r>
              <w:rPr>
                <w:rFonts w:asciiTheme="minorHAnsi" w:hAnsiTheme="minorHAnsi"/>
                <w:iCs w:val="0"/>
                <w:color w:val="495965"/>
                <w:sz w:val="18"/>
                <w:szCs w:val="18"/>
              </w:rPr>
              <w:t>Construction near completion, but not quite finished. Expected to be completed in December 2018.</w:t>
            </w:r>
            <w:r w:rsidRPr="0097497B">
              <w:rPr>
                <w:rFonts w:asciiTheme="minorHAnsi" w:hAnsiTheme="minorHAnsi"/>
                <w:iCs w:val="0"/>
                <w:color w:val="495965"/>
                <w:sz w:val="18"/>
                <w:szCs w:val="18"/>
              </w:rPr>
              <w:t xml:space="preserve"> </w:t>
            </w:r>
          </w:p>
        </w:tc>
      </w:tr>
      <w:tr w:rsidR="00AB5CA5" w:rsidRPr="00C61187" w14:paraId="569B2AE4" w14:textId="77777777" w:rsidTr="00290DBC">
        <w:trPr>
          <w:trHeight w:val="567"/>
          <w:jc w:val="center"/>
        </w:trPr>
        <w:tc>
          <w:tcPr>
            <w:tcW w:w="780" w:type="pct"/>
            <w:tcMar>
              <w:top w:w="57" w:type="dxa"/>
              <w:bottom w:w="57" w:type="dxa"/>
            </w:tcMar>
          </w:tcPr>
          <w:p w14:paraId="604931F9" w14:textId="77777777" w:rsidR="00AB5CA5" w:rsidRPr="00C62F90" w:rsidRDefault="00AB5CA5" w:rsidP="00AB5CA5">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Strengthen governance</w:t>
            </w:r>
          </w:p>
        </w:tc>
        <w:tc>
          <w:tcPr>
            <w:tcW w:w="1038" w:type="pct"/>
          </w:tcPr>
          <w:p w14:paraId="730F11BE" w14:textId="77777777" w:rsidR="00AB5CA5" w:rsidRPr="00C62F90" w:rsidRDefault="00AB5CA5" w:rsidP="00AB5CA5">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 xml:space="preserve">Increased number of women in leadership positions </w:t>
            </w:r>
          </w:p>
        </w:tc>
        <w:tc>
          <w:tcPr>
            <w:tcW w:w="505" w:type="pct"/>
            <w:shd w:val="clear" w:color="auto" w:fill="92D050"/>
          </w:tcPr>
          <w:p w14:paraId="2428A2A2" w14:textId="0324B84B" w:rsidR="00AB5CA5" w:rsidRPr="00C62F90" w:rsidRDefault="00AB5CA5" w:rsidP="00AB5CA5">
            <w:pPr>
              <w:keepLines/>
              <w:spacing w:before="40" w:after="40" w:line="200" w:lineRule="atLeast"/>
              <w:jc w:val="center"/>
              <w:rPr>
                <w:rFonts w:asciiTheme="minorHAnsi" w:eastAsia="Times New Roman" w:hAnsiTheme="minorHAnsi"/>
                <w:iCs/>
                <w:sz w:val="18"/>
                <w:szCs w:val="18"/>
                <w:lang w:eastAsia="en-US"/>
              </w:rPr>
            </w:pPr>
            <w:r w:rsidRPr="005C4A13">
              <w:rPr>
                <w:rFonts w:asciiTheme="minorHAnsi" w:eastAsia="Times New Roman" w:hAnsiTheme="minorHAnsi"/>
                <w:iCs/>
                <w:color w:val="FFFFFF" w:themeColor="background1"/>
                <w:sz w:val="18"/>
                <w:szCs w:val="18"/>
              </w:rPr>
              <w:t>Achieved</w:t>
            </w:r>
          </w:p>
        </w:tc>
        <w:tc>
          <w:tcPr>
            <w:tcW w:w="2677" w:type="pct"/>
          </w:tcPr>
          <w:p w14:paraId="45F3D706" w14:textId="76EE8512" w:rsidR="00AB5CA5" w:rsidRPr="005C4A13" w:rsidRDefault="008C2AC6" w:rsidP="00AB5CA5">
            <w:pPr>
              <w:pStyle w:val="TableTextEntries"/>
              <w:keepNext/>
              <w:rPr>
                <w:rFonts w:asciiTheme="minorHAnsi" w:hAnsiTheme="minorHAnsi"/>
                <w:iCs w:val="0"/>
                <w:color w:val="495965"/>
                <w:sz w:val="18"/>
                <w:szCs w:val="18"/>
              </w:rPr>
            </w:pPr>
            <w:r>
              <w:rPr>
                <w:rFonts w:asciiTheme="minorHAnsi" w:hAnsiTheme="minorHAnsi"/>
                <w:iCs w:val="0"/>
                <w:color w:val="495965"/>
                <w:sz w:val="18"/>
                <w:szCs w:val="18"/>
              </w:rPr>
              <w:t>There is</w:t>
            </w:r>
            <w:r w:rsidR="00AB5CA5">
              <w:rPr>
                <w:rFonts w:asciiTheme="minorHAnsi" w:hAnsiTheme="minorHAnsi"/>
                <w:iCs w:val="0"/>
                <w:color w:val="495965"/>
                <w:sz w:val="18"/>
                <w:szCs w:val="18"/>
              </w:rPr>
              <w:t xml:space="preserve"> a</w:t>
            </w:r>
            <w:r w:rsidR="00AB5CA5" w:rsidRPr="00412202">
              <w:rPr>
                <w:rFonts w:asciiTheme="minorHAnsi" w:hAnsiTheme="minorHAnsi"/>
                <w:iCs w:val="0"/>
                <w:color w:val="495965"/>
                <w:sz w:val="18"/>
                <w:szCs w:val="18"/>
              </w:rPr>
              <w:t xml:space="preserve"> significant number of women in leadership roles in Samoa notable in the public sector: where women make up about 30 per cent of Chief Executive Officers (CEOs) positions (12 out of 38), and about 71 per cent of assistant CEOs (79 out of 128).  Women in executive decision-making bodies constitute 20 per cent of Government board members, while 8 per cent are appointed Chairs. </w:t>
            </w:r>
          </w:p>
          <w:p w14:paraId="368CE788" w14:textId="77777777" w:rsidR="00AB5CA5" w:rsidRPr="0097497B" w:rsidRDefault="00AB5CA5" w:rsidP="00AB5CA5">
            <w:pPr>
              <w:pStyle w:val="TableTextEntries"/>
              <w:keepNext/>
              <w:rPr>
                <w:rFonts w:asciiTheme="minorHAnsi" w:hAnsiTheme="minorHAnsi"/>
                <w:iCs w:val="0"/>
                <w:color w:val="495965"/>
                <w:sz w:val="18"/>
                <w:szCs w:val="18"/>
                <w:lang w:eastAsia="en-US"/>
              </w:rPr>
            </w:pPr>
          </w:p>
        </w:tc>
      </w:tr>
    </w:tbl>
    <w:p w14:paraId="19C9488B"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59F0BC8F"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037E9F68"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2BB60A03"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01AAD588" w14:textId="77777777" w:rsidR="00BE1BEB" w:rsidRDefault="00BE1BEB" w:rsidP="00184F1E">
      <w:pPr>
        <w:rPr>
          <w:rFonts w:ascii="Franklin Gothic Book" w:eastAsia="Times New Roman" w:hAnsi="Franklin Gothic Book"/>
          <w:b/>
          <w:sz w:val="24"/>
          <w:szCs w:val="24"/>
        </w:rPr>
      </w:pPr>
    </w:p>
    <w:p w14:paraId="11CE7DFA" w14:textId="77777777" w:rsidR="00D25D6A" w:rsidRDefault="00D25D6A" w:rsidP="00184F1E">
      <w:pPr>
        <w:rPr>
          <w:rFonts w:ascii="Franklin Gothic Book" w:eastAsia="Times New Roman" w:hAnsi="Franklin Gothic Book"/>
          <w:b/>
          <w:sz w:val="24"/>
          <w:szCs w:val="24"/>
        </w:rPr>
      </w:pPr>
    </w:p>
    <w:p w14:paraId="39C3A2CF" w14:textId="77777777" w:rsidR="00D25D6A" w:rsidRDefault="00D25D6A" w:rsidP="00184F1E">
      <w:pPr>
        <w:rPr>
          <w:rFonts w:ascii="Franklin Gothic Book" w:eastAsia="Times New Roman" w:hAnsi="Franklin Gothic Book"/>
          <w:b/>
          <w:sz w:val="24"/>
          <w:szCs w:val="24"/>
        </w:rPr>
      </w:pPr>
    </w:p>
    <w:p w14:paraId="2149B884" w14:textId="77777777" w:rsidR="00D25D6A" w:rsidRDefault="00D25D6A" w:rsidP="00184F1E">
      <w:pPr>
        <w:rPr>
          <w:rFonts w:ascii="Franklin Gothic Book" w:eastAsia="Times New Roman" w:hAnsi="Franklin Gothic Book"/>
          <w:b/>
          <w:sz w:val="24"/>
          <w:szCs w:val="24"/>
        </w:rPr>
      </w:pPr>
    </w:p>
    <w:p w14:paraId="24386736" w14:textId="77777777" w:rsidR="00764034" w:rsidRDefault="00764034" w:rsidP="00184F1E">
      <w:pPr>
        <w:rPr>
          <w:rFonts w:ascii="Franklin Gothic Book" w:eastAsia="Times New Roman" w:hAnsi="Franklin Gothic Book"/>
          <w:b/>
          <w:sz w:val="24"/>
          <w:szCs w:val="24"/>
        </w:rPr>
      </w:pPr>
    </w:p>
    <w:p w14:paraId="22DC527E" w14:textId="77777777" w:rsidR="00764034" w:rsidRDefault="00764034" w:rsidP="00184F1E">
      <w:pPr>
        <w:rPr>
          <w:rFonts w:ascii="Franklin Gothic Book" w:eastAsia="Times New Roman" w:hAnsi="Franklin Gothic Book"/>
          <w:b/>
          <w:sz w:val="24"/>
          <w:szCs w:val="24"/>
        </w:rPr>
      </w:pPr>
    </w:p>
    <w:p w14:paraId="7955775F" w14:textId="77777777" w:rsidR="00764034" w:rsidRDefault="00764034" w:rsidP="00184F1E">
      <w:pPr>
        <w:rPr>
          <w:rFonts w:ascii="Franklin Gothic Book" w:eastAsia="Times New Roman" w:hAnsi="Franklin Gothic Book"/>
          <w:b/>
          <w:sz w:val="24"/>
          <w:szCs w:val="24"/>
        </w:rPr>
      </w:pPr>
    </w:p>
    <w:p w14:paraId="532C8E93" w14:textId="77777777" w:rsidR="00A2112E" w:rsidRDefault="00A2112E" w:rsidP="000D6A7D">
      <w:pPr>
        <w:spacing w:before="0" w:line="240" w:lineRule="auto"/>
        <w:rPr>
          <w:rFonts w:ascii="Franklin Gothic Book" w:eastAsia="Times New Roman" w:hAnsi="Franklin Gothic Book"/>
          <w:b/>
          <w:sz w:val="24"/>
          <w:szCs w:val="24"/>
        </w:rPr>
      </w:pPr>
    </w:p>
    <w:p w14:paraId="4C4F10C9" w14:textId="77777777" w:rsidR="00A2112E" w:rsidRDefault="00A2112E" w:rsidP="000D6A7D">
      <w:pPr>
        <w:spacing w:before="0" w:line="240" w:lineRule="auto"/>
        <w:rPr>
          <w:rFonts w:ascii="Franklin Gothic Book" w:eastAsia="Times New Roman" w:hAnsi="Franklin Gothic Book"/>
          <w:b/>
          <w:sz w:val="24"/>
          <w:szCs w:val="24"/>
        </w:rPr>
      </w:pPr>
    </w:p>
    <w:p w14:paraId="13FBEBE8" w14:textId="77777777" w:rsidR="00A2112E" w:rsidRDefault="00A2112E" w:rsidP="000D6A7D">
      <w:pPr>
        <w:spacing w:before="0" w:line="240" w:lineRule="auto"/>
        <w:rPr>
          <w:rFonts w:ascii="Franklin Gothic Book" w:eastAsia="Times New Roman" w:hAnsi="Franklin Gothic Book"/>
          <w:b/>
          <w:sz w:val="24"/>
          <w:szCs w:val="24"/>
        </w:rPr>
      </w:pPr>
    </w:p>
    <w:p w14:paraId="0ADDD0D3" w14:textId="77777777" w:rsidR="00A2112E" w:rsidRDefault="00A2112E" w:rsidP="000D6A7D">
      <w:pPr>
        <w:spacing w:before="0" w:line="240" w:lineRule="auto"/>
        <w:rPr>
          <w:rFonts w:ascii="Franklin Gothic Book" w:eastAsia="Times New Roman" w:hAnsi="Franklin Gothic Book"/>
          <w:b/>
          <w:sz w:val="24"/>
          <w:szCs w:val="24"/>
        </w:rPr>
      </w:pPr>
    </w:p>
    <w:p w14:paraId="06B9F890" w14:textId="77777777" w:rsidR="00A2112E" w:rsidRDefault="00A2112E" w:rsidP="000D6A7D">
      <w:pPr>
        <w:spacing w:before="0" w:line="240" w:lineRule="auto"/>
        <w:rPr>
          <w:rFonts w:ascii="Franklin Gothic Book" w:eastAsia="Times New Roman" w:hAnsi="Franklin Gothic Book"/>
          <w:b/>
          <w:sz w:val="24"/>
          <w:szCs w:val="24"/>
        </w:rPr>
      </w:pPr>
    </w:p>
    <w:p w14:paraId="2B3303D0" w14:textId="77777777" w:rsidR="00A2112E" w:rsidRDefault="00A2112E" w:rsidP="000D6A7D">
      <w:pPr>
        <w:spacing w:before="0" w:line="240" w:lineRule="auto"/>
        <w:rPr>
          <w:rFonts w:ascii="Franklin Gothic Book" w:eastAsia="Times New Roman" w:hAnsi="Franklin Gothic Book"/>
          <w:b/>
          <w:sz w:val="24"/>
          <w:szCs w:val="24"/>
        </w:rPr>
      </w:pPr>
    </w:p>
    <w:p w14:paraId="514DCD6C" w14:textId="77777777" w:rsidR="00A2112E" w:rsidRDefault="00A2112E" w:rsidP="000D6A7D">
      <w:pPr>
        <w:spacing w:before="0" w:line="240" w:lineRule="auto"/>
        <w:rPr>
          <w:rFonts w:ascii="Franklin Gothic Book" w:eastAsia="Times New Roman" w:hAnsi="Franklin Gothic Book"/>
          <w:b/>
          <w:sz w:val="24"/>
          <w:szCs w:val="24"/>
        </w:rPr>
      </w:pPr>
    </w:p>
    <w:p w14:paraId="7C7AEEEB" w14:textId="77777777" w:rsidR="00A2112E" w:rsidRDefault="00A2112E" w:rsidP="000D6A7D">
      <w:pPr>
        <w:spacing w:before="0" w:line="240" w:lineRule="auto"/>
        <w:rPr>
          <w:rFonts w:ascii="Franklin Gothic Book" w:eastAsia="Times New Roman" w:hAnsi="Franklin Gothic Book"/>
          <w:b/>
          <w:sz w:val="24"/>
          <w:szCs w:val="24"/>
        </w:rPr>
      </w:pPr>
    </w:p>
    <w:p w14:paraId="31A48DD3" w14:textId="77777777" w:rsidR="00A2112E" w:rsidRDefault="00A2112E" w:rsidP="000D6A7D">
      <w:pPr>
        <w:spacing w:before="0" w:line="240" w:lineRule="auto"/>
        <w:rPr>
          <w:rFonts w:ascii="Franklin Gothic Book" w:eastAsia="Times New Roman" w:hAnsi="Franklin Gothic Book"/>
          <w:b/>
          <w:sz w:val="24"/>
          <w:szCs w:val="24"/>
        </w:rPr>
      </w:pPr>
    </w:p>
    <w:p w14:paraId="0EFEF925" w14:textId="7E5C6FF2" w:rsidR="00184F1E" w:rsidRDefault="00184F1E" w:rsidP="000D6A7D">
      <w:pPr>
        <w:spacing w:before="0" w:line="240" w:lineRule="auto"/>
        <w:rPr>
          <w:rFonts w:ascii="Franklin Gothic Book" w:eastAsia="Times New Roman" w:hAnsi="Franklin Gothic Book"/>
          <w:b/>
          <w:sz w:val="24"/>
          <w:szCs w:val="24"/>
        </w:rPr>
      </w:pPr>
      <w:r w:rsidRPr="007B4865">
        <w:rPr>
          <w:rFonts w:ascii="Franklin Gothic Book" w:eastAsia="Times New Roman" w:hAnsi="Franklin Gothic Book"/>
          <w:b/>
          <w:sz w:val="24"/>
          <w:szCs w:val="24"/>
        </w:rPr>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W w:w="14580" w:type="dxa"/>
        <w:jc w:val="center"/>
        <w:tblLook w:val="04A0" w:firstRow="1" w:lastRow="0" w:firstColumn="1" w:lastColumn="0" w:noHBand="0" w:noVBand="1"/>
      </w:tblPr>
      <w:tblGrid>
        <w:gridCol w:w="2880"/>
        <w:gridCol w:w="4680"/>
        <w:gridCol w:w="7020"/>
      </w:tblGrid>
      <w:tr w:rsidR="00CF4161" w:rsidRPr="004F595D" w14:paraId="6DE330AB" w14:textId="77777777" w:rsidTr="00290DBC">
        <w:trPr>
          <w:trHeight w:val="3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5E0D" w14:textId="77777777" w:rsidR="00CF4161" w:rsidRPr="004F595D" w:rsidRDefault="00CF4161" w:rsidP="004F595D">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F595D">
              <w:rPr>
                <w:rFonts w:ascii="Calibri Light" w:eastAsia="Times New Roman" w:hAnsi="Calibri Light" w:cs="Times New Roman"/>
                <w:b/>
                <w:bCs/>
                <w:iCs/>
                <w:color w:val="495965"/>
                <w:sz w:val="17"/>
                <w:szCs w:val="17"/>
                <w:lang w:eastAsia="en-AU"/>
              </w:rPr>
              <w:t>Aid objective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7941F5A1" w14:textId="77777777" w:rsidR="00CF4161" w:rsidRPr="004F595D" w:rsidRDefault="00CF4161" w:rsidP="004F595D">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F595D">
              <w:rPr>
                <w:rFonts w:ascii="Calibri Light" w:eastAsia="Times New Roman" w:hAnsi="Calibri Light" w:cs="Times New Roman"/>
                <w:b/>
                <w:bCs/>
                <w:iCs/>
                <w:color w:val="495965"/>
                <w:sz w:val="17"/>
                <w:szCs w:val="17"/>
                <w:lang w:eastAsia="en-AU"/>
              </w:rPr>
              <w:t xml:space="preserve">Performance Benchmark </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14:paraId="2D674588" w14:textId="77777777" w:rsidR="00CF4161" w:rsidRPr="004F595D" w:rsidRDefault="00CF4161" w:rsidP="004F595D">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F595D">
              <w:rPr>
                <w:rFonts w:ascii="Calibri Light" w:eastAsia="Times New Roman" w:hAnsi="Calibri Light" w:cs="Times New Roman"/>
                <w:b/>
                <w:bCs/>
                <w:color w:val="495965"/>
                <w:sz w:val="17"/>
                <w:lang w:eastAsia="en-AU"/>
              </w:rPr>
              <w:t>2018-19</w:t>
            </w:r>
          </w:p>
        </w:tc>
      </w:tr>
      <w:tr w:rsidR="00CF4161" w:rsidRPr="004F595D" w14:paraId="4A32422A" w14:textId="77777777" w:rsidTr="00290DBC">
        <w:trPr>
          <w:trHeight w:val="675"/>
          <w:jc w:val="center"/>
        </w:trPr>
        <w:tc>
          <w:tcPr>
            <w:tcW w:w="2880" w:type="dxa"/>
            <w:tcBorders>
              <w:top w:val="nil"/>
              <w:left w:val="single" w:sz="4" w:space="0" w:color="auto"/>
              <w:bottom w:val="nil"/>
              <w:right w:val="single" w:sz="4" w:space="0" w:color="auto"/>
            </w:tcBorders>
            <w:shd w:val="clear" w:color="auto" w:fill="auto"/>
            <w:hideMark/>
          </w:tcPr>
          <w:p w14:paraId="3FCF0E27"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Enable economic growth</w:t>
            </w:r>
          </w:p>
        </w:tc>
        <w:tc>
          <w:tcPr>
            <w:tcW w:w="4680" w:type="dxa"/>
            <w:tcBorders>
              <w:top w:val="nil"/>
              <w:left w:val="nil"/>
              <w:bottom w:val="nil"/>
              <w:right w:val="single" w:sz="4" w:space="0" w:color="auto"/>
            </w:tcBorders>
            <w:shd w:val="clear" w:color="auto" w:fill="auto"/>
            <w:hideMark/>
          </w:tcPr>
          <w:p w14:paraId="055EB5BA"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Economic reform priorities progressed to strengthen environment for economic growth</w:t>
            </w:r>
          </w:p>
        </w:tc>
        <w:tc>
          <w:tcPr>
            <w:tcW w:w="7020" w:type="dxa"/>
            <w:tcBorders>
              <w:top w:val="nil"/>
              <w:left w:val="nil"/>
              <w:bottom w:val="single" w:sz="4" w:space="0" w:color="auto"/>
              <w:right w:val="single" w:sz="4" w:space="0" w:color="auto"/>
            </w:tcBorders>
            <w:shd w:val="clear" w:color="auto" w:fill="auto"/>
            <w:hideMark/>
          </w:tcPr>
          <w:p w14:paraId="2F4A2320"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Achievement of all prior actions under the Joint Policy Action Matrix, triggers the release of budget support.</w:t>
            </w:r>
          </w:p>
        </w:tc>
      </w:tr>
      <w:tr w:rsidR="00CF4161" w:rsidRPr="004F595D" w14:paraId="558F3703" w14:textId="77777777" w:rsidTr="00290DBC">
        <w:trPr>
          <w:trHeight w:val="900"/>
          <w:jc w:val="center"/>
        </w:trPr>
        <w:tc>
          <w:tcPr>
            <w:tcW w:w="2880" w:type="dxa"/>
            <w:tcBorders>
              <w:top w:val="nil"/>
              <w:left w:val="single" w:sz="4" w:space="0" w:color="auto"/>
              <w:bottom w:val="single" w:sz="4" w:space="0" w:color="auto"/>
              <w:right w:val="single" w:sz="4" w:space="0" w:color="auto"/>
            </w:tcBorders>
            <w:shd w:val="clear" w:color="auto" w:fill="auto"/>
            <w:hideMark/>
          </w:tcPr>
          <w:p w14:paraId="0521204D"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val="en-AU" w:eastAsia="en-AU"/>
              </w:rPr>
              <w:t> </w:t>
            </w:r>
          </w:p>
        </w:tc>
        <w:tc>
          <w:tcPr>
            <w:tcW w:w="4680" w:type="dxa"/>
            <w:tcBorders>
              <w:top w:val="nil"/>
              <w:left w:val="nil"/>
              <w:bottom w:val="single" w:sz="4" w:space="0" w:color="auto"/>
              <w:right w:val="single" w:sz="4" w:space="0" w:color="auto"/>
            </w:tcBorders>
            <w:shd w:val="clear" w:color="auto" w:fill="auto"/>
            <w:hideMark/>
          </w:tcPr>
          <w:p w14:paraId="62E0D1AF"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val="en-AU" w:eastAsia="en-AU"/>
              </w:rPr>
              <w:t> </w:t>
            </w:r>
          </w:p>
        </w:tc>
        <w:tc>
          <w:tcPr>
            <w:tcW w:w="7020" w:type="dxa"/>
            <w:tcBorders>
              <w:top w:val="nil"/>
              <w:left w:val="nil"/>
              <w:bottom w:val="single" w:sz="4" w:space="0" w:color="auto"/>
              <w:right w:val="single" w:sz="4" w:space="0" w:color="auto"/>
            </w:tcBorders>
            <w:shd w:val="clear" w:color="auto" w:fill="auto"/>
            <w:hideMark/>
          </w:tcPr>
          <w:p w14:paraId="527E6255"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Contribution of Australian funded technical assistance (including to progressing economic reform priorities) is mutually assessed as being effective.</w:t>
            </w:r>
          </w:p>
        </w:tc>
      </w:tr>
      <w:tr w:rsidR="00CF4161" w:rsidRPr="004F595D" w14:paraId="3F978D61" w14:textId="77777777" w:rsidTr="00290DBC">
        <w:trPr>
          <w:trHeight w:val="450"/>
          <w:jc w:val="center"/>
        </w:trPr>
        <w:tc>
          <w:tcPr>
            <w:tcW w:w="2880" w:type="dxa"/>
            <w:tcBorders>
              <w:top w:val="nil"/>
              <w:left w:val="single" w:sz="4" w:space="0" w:color="auto"/>
              <w:bottom w:val="single" w:sz="4" w:space="0" w:color="auto"/>
              <w:right w:val="single" w:sz="4" w:space="0" w:color="auto"/>
            </w:tcBorders>
            <w:shd w:val="clear" w:color="auto" w:fill="auto"/>
            <w:hideMark/>
          </w:tcPr>
          <w:p w14:paraId="723E49A6"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Enable economic growth</w:t>
            </w:r>
          </w:p>
        </w:tc>
        <w:tc>
          <w:tcPr>
            <w:tcW w:w="4680" w:type="dxa"/>
            <w:tcBorders>
              <w:top w:val="nil"/>
              <w:left w:val="nil"/>
              <w:bottom w:val="single" w:sz="4" w:space="0" w:color="auto"/>
              <w:right w:val="single" w:sz="4" w:space="0" w:color="auto"/>
            </w:tcBorders>
            <w:shd w:val="clear" w:color="auto" w:fill="auto"/>
            <w:hideMark/>
          </w:tcPr>
          <w:p w14:paraId="5A9C6428"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Improved economic infrastructure</w:t>
            </w:r>
          </w:p>
        </w:tc>
        <w:tc>
          <w:tcPr>
            <w:tcW w:w="7020" w:type="dxa"/>
            <w:tcBorders>
              <w:top w:val="nil"/>
              <w:left w:val="nil"/>
              <w:bottom w:val="single" w:sz="4" w:space="0" w:color="auto"/>
              <w:right w:val="single" w:sz="4" w:space="0" w:color="auto"/>
            </w:tcBorders>
            <w:shd w:val="clear" w:color="auto" w:fill="auto"/>
            <w:hideMark/>
          </w:tcPr>
          <w:p w14:paraId="769EA7C8"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proofErr w:type="spellStart"/>
            <w:r w:rsidRPr="004F595D">
              <w:rPr>
                <w:rFonts w:ascii="Calibri Light" w:eastAsia="Times New Roman" w:hAnsi="Calibri Light" w:cs="Times New Roman"/>
                <w:color w:val="495965"/>
                <w:sz w:val="17"/>
                <w:szCs w:val="17"/>
                <w:lang w:eastAsia="en-AU"/>
              </w:rPr>
              <w:t>Maliolio</w:t>
            </w:r>
            <w:proofErr w:type="spellEnd"/>
            <w:r w:rsidRPr="004F595D">
              <w:rPr>
                <w:rFonts w:ascii="Calibri Light" w:eastAsia="Times New Roman" w:hAnsi="Calibri Light" w:cs="Times New Roman"/>
                <w:color w:val="495965"/>
                <w:sz w:val="17"/>
                <w:szCs w:val="17"/>
                <w:lang w:eastAsia="en-AU"/>
              </w:rPr>
              <w:t xml:space="preserve"> Bridge constructed in accordance with climate resilient design.</w:t>
            </w:r>
          </w:p>
        </w:tc>
      </w:tr>
      <w:tr w:rsidR="00CF4161" w:rsidRPr="004F595D" w14:paraId="0366A71E" w14:textId="77777777" w:rsidTr="00290DBC">
        <w:trPr>
          <w:trHeight w:val="450"/>
          <w:jc w:val="center"/>
        </w:trPr>
        <w:tc>
          <w:tcPr>
            <w:tcW w:w="2880" w:type="dxa"/>
            <w:tcBorders>
              <w:top w:val="nil"/>
              <w:left w:val="single" w:sz="4" w:space="0" w:color="auto"/>
              <w:bottom w:val="single" w:sz="4" w:space="0" w:color="auto"/>
              <w:right w:val="single" w:sz="4" w:space="0" w:color="auto"/>
            </w:tcBorders>
            <w:shd w:val="clear" w:color="auto" w:fill="auto"/>
            <w:hideMark/>
          </w:tcPr>
          <w:p w14:paraId="3417A778"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Enable economic growth</w:t>
            </w:r>
          </w:p>
        </w:tc>
        <w:tc>
          <w:tcPr>
            <w:tcW w:w="4680" w:type="dxa"/>
            <w:tcBorders>
              <w:top w:val="nil"/>
              <w:left w:val="nil"/>
              <w:bottom w:val="single" w:sz="4" w:space="0" w:color="auto"/>
              <w:right w:val="single" w:sz="4" w:space="0" w:color="auto"/>
            </w:tcBorders>
            <w:shd w:val="clear" w:color="auto" w:fill="auto"/>
            <w:hideMark/>
          </w:tcPr>
          <w:p w14:paraId="0A806949"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Increased economic opportunities for women and people with disabilities</w:t>
            </w:r>
          </w:p>
        </w:tc>
        <w:tc>
          <w:tcPr>
            <w:tcW w:w="7020" w:type="dxa"/>
            <w:tcBorders>
              <w:top w:val="nil"/>
              <w:left w:val="nil"/>
              <w:bottom w:val="single" w:sz="4" w:space="0" w:color="auto"/>
              <w:right w:val="single" w:sz="4" w:space="0" w:color="auto"/>
            </w:tcBorders>
            <w:shd w:val="clear" w:color="auto" w:fill="auto"/>
            <w:hideMark/>
          </w:tcPr>
          <w:p w14:paraId="565E86CF"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Minimum 200 women and people with disability supported to establish businesses.</w:t>
            </w:r>
          </w:p>
        </w:tc>
      </w:tr>
      <w:tr w:rsidR="00CF4161" w:rsidRPr="004F595D" w14:paraId="24AED2B5" w14:textId="77777777" w:rsidTr="00290DBC">
        <w:trPr>
          <w:trHeight w:val="675"/>
          <w:jc w:val="center"/>
        </w:trPr>
        <w:tc>
          <w:tcPr>
            <w:tcW w:w="2880" w:type="dxa"/>
            <w:tcBorders>
              <w:top w:val="nil"/>
              <w:left w:val="single" w:sz="4" w:space="0" w:color="auto"/>
              <w:bottom w:val="single" w:sz="4" w:space="0" w:color="auto"/>
              <w:right w:val="single" w:sz="4" w:space="0" w:color="auto"/>
            </w:tcBorders>
            <w:shd w:val="clear" w:color="auto" w:fill="auto"/>
            <w:hideMark/>
          </w:tcPr>
          <w:p w14:paraId="1425DD4D"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Progress health and education outcomes</w:t>
            </w:r>
          </w:p>
        </w:tc>
        <w:tc>
          <w:tcPr>
            <w:tcW w:w="4680" w:type="dxa"/>
            <w:tcBorders>
              <w:top w:val="nil"/>
              <w:left w:val="nil"/>
              <w:bottom w:val="single" w:sz="4" w:space="0" w:color="auto"/>
              <w:right w:val="single" w:sz="4" w:space="0" w:color="auto"/>
            </w:tcBorders>
            <w:shd w:val="clear" w:color="auto" w:fill="auto"/>
            <w:hideMark/>
          </w:tcPr>
          <w:p w14:paraId="0BA79DAE"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Improving the quality of the education system through the Education Sector Support Program</w:t>
            </w:r>
          </w:p>
        </w:tc>
        <w:tc>
          <w:tcPr>
            <w:tcW w:w="7020" w:type="dxa"/>
            <w:tcBorders>
              <w:top w:val="nil"/>
              <w:left w:val="nil"/>
              <w:bottom w:val="single" w:sz="4" w:space="0" w:color="auto"/>
              <w:right w:val="single" w:sz="4" w:space="0" w:color="auto"/>
            </w:tcBorders>
            <w:shd w:val="clear" w:color="auto" w:fill="auto"/>
            <w:hideMark/>
          </w:tcPr>
          <w:p w14:paraId="42B13E46"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Full or partial achievement against nine key performance indicators triggers payment on results.</w:t>
            </w:r>
          </w:p>
        </w:tc>
      </w:tr>
      <w:tr w:rsidR="00CF4161" w:rsidRPr="004F595D" w14:paraId="47538005" w14:textId="77777777" w:rsidTr="00290DBC">
        <w:trPr>
          <w:trHeight w:val="675"/>
          <w:jc w:val="center"/>
        </w:trPr>
        <w:tc>
          <w:tcPr>
            <w:tcW w:w="2880" w:type="dxa"/>
            <w:tcBorders>
              <w:top w:val="nil"/>
              <w:left w:val="single" w:sz="4" w:space="0" w:color="auto"/>
              <w:bottom w:val="single" w:sz="4" w:space="0" w:color="auto"/>
              <w:right w:val="single" w:sz="4" w:space="0" w:color="auto"/>
            </w:tcBorders>
            <w:shd w:val="clear" w:color="auto" w:fill="auto"/>
            <w:hideMark/>
          </w:tcPr>
          <w:p w14:paraId="61D623F9"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Progress health and education outcomes</w:t>
            </w:r>
          </w:p>
        </w:tc>
        <w:tc>
          <w:tcPr>
            <w:tcW w:w="4680" w:type="dxa"/>
            <w:tcBorders>
              <w:top w:val="nil"/>
              <w:left w:val="nil"/>
              <w:bottom w:val="single" w:sz="4" w:space="0" w:color="auto"/>
              <w:right w:val="single" w:sz="4" w:space="0" w:color="auto"/>
            </w:tcBorders>
            <w:shd w:val="clear" w:color="auto" w:fill="auto"/>
            <w:hideMark/>
          </w:tcPr>
          <w:p w14:paraId="6F2EE677" w14:textId="0D1899DF"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Provide targeted scholarships with p</w:t>
            </w:r>
            <w:r w:rsidR="00AD291D">
              <w:rPr>
                <w:rFonts w:ascii="Calibri Light" w:eastAsia="Times New Roman" w:hAnsi="Calibri Light" w:cs="Times New Roman"/>
                <w:color w:val="495965"/>
                <w:sz w:val="17"/>
                <w:szCs w:val="17"/>
                <w:lang w:eastAsia="en-AU"/>
              </w:rPr>
              <w:t>riority on education and health</w:t>
            </w:r>
          </w:p>
        </w:tc>
        <w:tc>
          <w:tcPr>
            <w:tcW w:w="7020" w:type="dxa"/>
            <w:tcBorders>
              <w:top w:val="nil"/>
              <w:left w:val="nil"/>
              <w:bottom w:val="single" w:sz="4" w:space="0" w:color="auto"/>
              <w:right w:val="single" w:sz="4" w:space="0" w:color="auto"/>
            </w:tcBorders>
            <w:shd w:val="clear" w:color="auto" w:fill="auto"/>
            <w:hideMark/>
          </w:tcPr>
          <w:p w14:paraId="0AA71814"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Reintegration packages in place for returning targeted education and health graduates.</w:t>
            </w:r>
          </w:p>
        </w:tc>
      </w:tr>
      <w:tr w:rsidR="00CF4161" w:rsidRPr="004F595D" w14:paraId="448F8868" w14:textId="77777777" w:rsidTr="00290DBC">
        <w:trPr>
          <w:trHeight w:val="450"/>
          <w:jc w:val="center"/>
        </w:trPr>
        <w:tc>
          <w:tcPr>
            <w:tcW w:w="2880" w:type="dxa"/>
            <w:tcBorders>
              <w:top w:val="nil"/>
              <w:left w:val="single" w:sz="4" w:space="0" w:color="auto"/>
              <w:bottom w:val="nil"/>
              <w:right w:val="single" w:sz="4" w:space="0" w:color="auto"/>
            </w:tcBorders>
            <w:shd w:val="clear" w:color="auto" w:fill="auto"/>
            <w:hideMark/>
          </w:tcPr>
          <w:p w14:paraId="696327F7"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Progress health and education outcomes</w:t>
            </w:r>
          </w:p>
        </w:tc>
        <w:tc>
          <w:tcPr>
            <w:tcW w:w="4680" w:type="dxa"/>
            <w:tcBorders>
              <w:top w:val="nil"/>
              <w:left w:val="nil"/>
              <w:bottom w:val="nil"/>
              <w:right w:val="single" w:sz="4" w:space="0" w:color="auto"/>
            </w:tcBorders>
            <w:shd w:val="clear" w:color="auto" w:fill="auto"/>
            <w:hideMark/>
          </w:tcPr>
          <w:p w14:paraId="1C011B01"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Improve the quality of the health system</w:t>
            </w:r>
          </w:p>
        </w:tc>
        <w:tc>
          <w:tcPr>
            <w:tcW w:w="7020" w:type="dxa"/>
            <w:tcBorders>
              <w:top w:val="nil"/>
              <w:left w:val="nil"/>
              <w:bottom w:val="single" w:sz="4" w:space="0" w:color="auto"/>
              <w:right w:val="single" w:sz="4" w:space="0" w:color="auto"/>
            </w:tcBorders>
            <w:shd w:val="clear" w:color="auto" w:fill="auto"/>
            <w:hideMark/>
          </w:tcPr>
          <w:p w14:paraId="4C8FD29C"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Improved NCD services at district health centres.</w:t>
            </w:r>
          </w:p>
        </w:tc>
      </w:tr>
      <w:tr w:rsidR="00CF4161" w:rsidRPr="004F595D" w14:paraId="44596D6B" w14:textId="77777777" w:rsidTr="00290DBC">
        <w:trPr>
          <w:trHeight w:val="450"/>
          <w:jc w:val="center"/>
        </w:trPr>
        <w:tc>
          <w:tcPr>
            <w:tcW w:w="2880" w:type="dxa"/>
            <w:tcBorders>
              <w:top w:val="nil"/>
              <w:left w:val="single" w:sz="4" w:space="0" w:color="auto"/>
              <w:bottom w:val="single" w:sz="4" w:space="0" w:color="auto"/>
              <w:right w:val="single" w:sz="4" w:space="0" w:color="auto"/>
            </w:tcBorders>
            <w:shd w:val="clear" w:color="auto" w:fill="auto"/>
            <w:hideMark/>
          </w:tcPr>
          <w:p w14:paraId="5170E089"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val="en-AU" w:eastAsia="en-AU"/>
              </w:rPr>
              <w:t> </w:t>
            </w:r>
          </w:p>
        </w:tc>
        <w:tc>
          <w:tcPr>
            <w:tcW w:w="4680" w:type="dxa"/>
            <w:tcBorders>
              <w:top w:val="nil"/>
              <w:left w:val="nil"/>
              <w:bottom w:val="single" w:sz="4" w:space="0" w:color="auto"/>
              <w:right w:val="single" w:sz="4" w:space="0" w:color="auto"/>
            </w:tcBorders>
            <w:shd w:val="clear" w:color="auto" w:fill="auto"/>
            <w:hideMark/>
          </w:tcPr>
          <w:p w14:paraId="7262D10B"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val="en-AU" w:eastAsia="en-AU"/>
              </w:rPr>
              <w:t> </w:t>
            </w:r>
          </w:p>
        </w:tc>
        <w:tc>
          <w:tcPr>
            <w:tcW w:w="7020" w:type="dxa"/>
            <w:tcBorders>
              <w:top w:val="nil"/>
              <w:left w:val="nil"/>
              <w:bottom w:val="single" w:sz="4" w:space="0" w:color="auto"/>
              <w:right w:val="single" w:sz="4" w:space="0" w:color="auto"/>
            </w:tcBorders>
            <w:shd w:val="clear" w:color="auto" w:fill="auto"/>
            <w:hideMark/>
          </w:tcPr>
          <w:p w14:paraId="4A5BF1D6"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600 mobility devices provided to people with disabilities.</w:t>
            </w:r>
          </w:p>
        </w:tc>
      </w:tr>
      <w:tr w:rsidR="00CF4161" w:rsidRPr="004F595D" w14:paraId="7F7F11E2" w14:textId="77777777" w:rsidTr="00290DBC">
        <w:trPr>
          <w:trHeight w:val="900"/>
          <w:jc w:val="center"/>
        </w:trPr>
        <w:tc>
          <w:tcPr>
            <w:tcW w:w="2880" w:type="dxa"/>
            <w:tcBorders>
              <w:top w:val="nil"/>
              <w:left w:val="single" w:sz="4" w:space="0" w:color="auto"/>
              <w:bottom w:val="single" w:sz="4" w:space="0" w:color="auto"/>
              <w:right w:val="single" w:sz="4" w:space="0" w:color="auto"/>
            </w:tcBorders>
            <w:shd w:val="clear" w:color="auto" w:fill="auto"/>
            <w:hideMark/>
          </w:tcPr>
          <w:p w14:paraId="35C77112"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Progress health and education outcomes</w:t>
            </w:r>
          </w:p>
        </w:tc>
        <w:tc>
          <w:tcPr>
            <w:tcW w:w="4680" w:type="dxa"/>
            <w:tcBorders>
              <w:top w:val="nil"/>
              <w:left w:val="nil"/>
              <w:bottom w:val="single" w:sz="4" w:space="0" w:color="auto"/>
              <w:right w:val="single" w:sz="4" w:space="0" w:color="auto"/>
            </w:tcBorders>
            <w:shd w:val="clear" w:color="auto" w:fill="auto"/>
            <w:hideMark/>
          </w:tcPr>
          <w:p w14:paraId="3F499927"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Working with the police, courts and justice agencies, and NGOs to improve service delivery</w:t>
            </w:r>
          </w:p>
        </w:tc>
        <w:tc>
          <w:tcPr>
            <w:tcW w:w="7020" w:type="dxa"/>
            <w:tcBorders>
              <w:top w:val="nil"/>
              <w:left w:val="nil"/>
              <w:bottom w:val="single" w:sz="4" w:space="0" w:color="auto"/>
              <w:right w:val="single" w:sz="4" w:space="0" w:color="auto"/>
            </w:tcBorders>
            <w:shd w:val="clear" w:color="auto" w:fill="auto"/>
            <w:hideMark/>
          </w:tcPr>
          <w:p w14:paraId="6666595C"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Best practice initiatives to prevent violence implemented. Improved coordinated multi-sectoral approach to address all forms of VAW (i.e. good global practice for EVAW practice)</w:t>
            </w:r>
          </w:p>
        </w:tc>
      </w:tr>
      <w:tr w:rsidR="00CF4161" w:rsidRPr="004F595D" w14:paraId="1D60610A" w14:textId="77777777" w:rsidTr="00290DBC">
        <w:trPr>
          <w:trHeight w:val="450"/>
          <w:jc w:val="center"/>
        </w:trPr>
        <w:tc>
          <w:tcPr>
            <w:tcW w:w="2880" w:type="dxa"/>
            <w:tcBorders>
              <w:top w:val="nil"/>
              <w:left w:val="single" w:sz="4" w:space="0" w:color="auto"/>
              <w:bottom w:val="single" w:sz="4" w:space="0" w:color="auto"/>
              <w:right w:val="single" w:sz="4" w:space="0" w:color="auto"/>
            </w:tcBorders>
            <w:shd w:val="clear" w:color="auto" w:fill="auto"/>
            <w:hideMark/>
          </w:tcPr>
          <w:p w14:paraId="48DE07C8"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Strengthen governance</w:t>
            </w:r>
          </w:p>
        </w:tc>
        <w:tc>
          <w:tcPr>
            <w:tcW w:w="4680" w:type="dxa"/>
            <w:tcBorders>
              <w:top w:val="nil"/>
              <w:left w:val="nil"/>
              <w:bottom w:val="single" w:sz="4" w:space="0" w:color="auto"/>
              <w:right w:val="single" w:sz="4" w:space="0" w:color="auto"/>
            </w:tcBorders>
            <w:shd w:val="clear" w:color="auto" w:fill="auto"/>
            <w:hideMark/>
          </w:tcPr>
          <w:p w14:paraId="08DD6717"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Strengthened public sector, including Samoa’s Police Service, civil society and private sector.</w:t>
            </w:r>
          </w:p>
        </w:tc>
        <w:tc>
          <w:tcPr>
            <w:tcW w:w="7020" w:type="dxa"/>
            <w:tcBorders>
              <w:top w:val="nil"/>
              <w:left w:val="nil"/>
              <w:bottom w:val="single" w:sz="4" w:space="0" w:color="auto"/>
              <w:right w:val="single" w:sz="4" w:space="0" w:color="auto"/>
            </w:tcBorders>
            <w:shd w:val="clear" w:color="auto" w:fill="auto"/>
            <w:hideMark/>
          </w:tcPr>
          <w:p w14:paraId="199FAA99"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 xml:space="preserve">Assessment of National Systems recommendations implemented. </w:t>
            </w:r>
          </w:p>
        </w:tc>
      </w:tr>
      <w:tr w:rsidR="00CF4161" w:rsidRPr="004F595D" w14:paraId="58BF9F6B" w14:textId="77777777" w:rsidTr="00290DBC">
        <w:trPr>
          <w:trHeight w:val="675"/>
          <w:jc w:val="center"/>
        </w:trPr>
        <w:tc>
          <w:tcPr>
            <w:tcW w:w="2880" w:type="dxa"/>
            <w:tcBorders>
              <w:top w:val="nil"/>
              <w:left w:val="single" w:sz="4" w:space="0" w:color="auto"/>
              <w:bottom w:val="single" w:sz="4" w:space="0" w:color="auto"/>
              <w:right w:val="single" w:sz="4" w:space="0" w:color="auto"/>
            </w:tcBorders>
            <w:shd w:val="clear" w:color="auto" w:fill="auto"/>
            <w:hideMark/>
          </w:tcPr>
          <w:p w14:paraId="15776B9E"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Strengthen governance</w:t>
            </w:r>
          </w:p>
        </w:tc>
        <w:tc>
          <w:tcPr>
            <w:tcW w:w="4680" w:type="dxa"/>
            <w:tcBorders>
              <w:top w:val="nil"/>
              <w:left w:val="nil"/>
              <w:bottom w:val="single" w:sz="4" w:space="0" w:color="auto"/>
              <w:right w:val="single" w:sz="4" w:space="0" w:color="auto"/>
            </w:tcBorders>
            <w:shd w:val="clear" w:color="auto" w:fill="auto"/>
            <w:hideMark/>
          </w:tcPr>
          <w:p w14:paraId="21683B9B"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Building a quality and accessible parliament house</w:t>
            </w:r>
          </w:p>
        </w:tc>
        <w:tc>
          <w:tcPr>
            <w:tcW w:w="7020" w:type="dxa"/>
            <w:tcBorders>
              <w:top w:val="nil"/>
              <w:left w:val="nil"/>
              <w:bottom w:val="single" w:sz="4" w:space="0" w:color="auto"/>
              <w:right w:val="single" w:sz="4" w:space="0" w:color="auto"/>
            </w:tcBorders>
            <w:shd w:val="clear" w:color="auto" w:fill="auto"/>
            <w:hideMark/>
          </w:tcPr>
          <w:p w14:paraId="02497FFC"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New parliament house completed and incorporating accessible design standards and climate resilient features.</w:t>
            </w:r>
          </w:p>
        </w:tc>
      </w:tr>
      <w:tr w:rsidR="00CF4161" w:rsidRPr="004F595D" w14:paraId="4334F439" w14:textId="77777777" w:rsidTr="00290DBC">
        <w:trPr>
          <w:trHeight w:val="450"/>
          <w:jc w:val="center"/>
        </w:trPr>
        <w:tc>
          <w:tcPr>
            <w:tcW w:w="2880" w:type="dxa"/>
            <w:tcBorders>
              <w:top w:val="nil"/>
              <w:left w:val="single" w:sz="4" w:space="0" w:color="auto"/>
              <w:bottom w:val="single" w:sz="4" w:space="0" w:color="auto"/>
              <w:right w:val="single" w:sz="4" w:space="0" w:color="auto"/>
            </w:tcBorders>
            <w:shd w:val="clear" w:color="auto" w:fill="auto"/>
            <w:hideMark/>
          </w:tcPr>
          <w:p w14:paraId="4A53A08B"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Strengthen governance</w:t>
            </w:r>
          </w:p>
        </w:tc>
        <w:tc>
          <w:tcPr>
            <w:tcW w:w="4680" w:type="dxa"/>
            <w:tcBorders>
              <w:top w:val="nil"/>
              <w:left w:val="nil"/>
              <w:bottom w:val="single" w:sz="4" w:space="0" w:color="auto"/>
              <w:right w:val="single" w:sz="4" w:space="0" w:color="auto"/>
            </w:tcBorders>
            <w:shd w:val="clear" w:color="auto" w:fill="auto"/>
            <w:hideMark/>
          </w:tcPr>
          <w:p w14:paraId="0542C8B8"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Increasing leadership opportunities for women.</w:t>
            </w:r>
          </w:p>
        </w:tc>
        <w:tc>
          <w:tcPr>
            <w:tcW w:w="7020" w:type="dxa"/>
            <w:tcBorders>
              <w:top w:val="nil"/>
              <w:left w:val="nil"/>
              <w:bottom w:val="single" w:sz="4" w:space="0" w:color="auto"/>
              <w:right w:val="single" w:sz="4" w:space="0" w:color="auto"/>
            </w:tcBorders>
            <w:shd w:val="clear" w:color="auto" w:fill="auto"/>
            <w:hideMark/>
          </w:tcPr>
          <w:p w14:paraId="1B27069A" w14:textId="77777777" w:rsidR="00CF4161" w:rsidRPr="004F595D" w:rsidRDefault="00CF4161"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Increased number of women in leadership positions.</w:t>
            </w:r>
          </w:p>
        </w:tc>
      </w:tr>
    </w:tbl>
    <w:p w14:paraId="0DEFF2F5" w14:textId="77777777" w:rsidR="00AF1B85" w:rsidRPr="00A8197B" w:rsidRDefault="00184F1E" w:rsidP="00BE1BEB">
      <w:pPr>
        <w:pStyle w:val="Subtitle"/>
        <w:numPr>
          <w:ilvl w:val="0"/>
          <w:numId w:val="0"/>
        </w:numPr>
      </w:pPr>
      <w:r>
        <w:br w:type="page"/>
      </w:r>
      <w:r w:rsidR="00AF1B85" w:rsidRPr="00261CF2">
        <w:lastRenderedPageBreak/>
        <w:t xml:space="preserve">Annex </w:t>
      </w:r>
      <w:r w:rsidRPr="00261CF2">
        <w:t>C</w:t>
      </w:r>
      <w:r w:rsidR="00AF1B85" w:rsidRPr="00261CF2">
        <w:t xml:space="preserve"> - Evaluation Planning</w:t>
      </w:r>
    </w:p>
    <w:p w14:paraId="49486A5C"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Borders>
          <w:top w:val="none" w:sz="0" w:space="0" w:color="auto"/>
          <w:bottom w:val="none" w:sz="0" w:space="0" w:color="auto"/>
        </w:tblBorders>
        <w:tblLayout w:type="fixed"/>
        <w:tblLook w:val="04A0" w:firstRow="1" w:lastRow="0" w:firstColumn="1" w:lastColumn="0" w:noHBand="0" w:noVBand="1"/>
      </w:tblPr>
      <w:tblGrid>
        <w:gridCol w:w="3106"/>
        <w:gridCol w:w="3693"/>
        <w:gridCol w:w="1425"/>
        <w:gridCol w:w="1981"/>
        <w:gridCol w:w="1699"/>
        <w:gridCol w:w="2407"/>
      </w:tblGrid>
      <w:tr w:rsidR="00AF1B85" w:rsidRPr="00C61187" w14:paraId="5A257EFC" w14:textId="77777777" w:rsidTr="00712EAD">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14:paraId="7A251E97"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7D137885" w14:textId="77777777" w:rsidR="00AF1B85" w:rsidRPr="00812509" w:rsidRDefault="00AF1B85" w:rsidP="00D15A00">
            <w:pPr>
              <w:keepLines/>
              <w:spacing w:line="200" w:lineRule="atLeast"/>
              <w:rPr>
                <w:rFonts w:asciiTheme="minorHAnsi" w:eastAsia="Times New Roman" w:hAnsiTheme="minorHAnsi"/>
                <w:b w:val="0"/>
                <w:iCs/>
                <w:szCs w:val="17"/>
                <w:lang w:eastAsia="en-US"/>
              </w:rPr>
            </w:pPr>
          </w:p>
        </w:tc>
        <w:tc>
          <w:tcPr>
            <w:tcW w:w="3665" w:type="dxa"/>
            <w:tcBorders>
              <w:top w:val="none" w:sz="0" w:space="0" w:color="auto"/>
              <w:bottom w:val="none" w:sz="0" w:space="0" w:color="auto"/>
            </w:tcBorders>
          </w:tcPr>
          <w:p w14:paraId="6F03754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14:paraId="72B74BCE"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14:paraId="7CE41964"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14:paraId="55AEFF66"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Borders>
              <w:top w:val="none" w:sz="0" w:space="0" w:color="auto"/>
              <w:bottom w:val="none" w:sz="0" w:space="0" w:color="auto"/>
            </w:tcBorders>
          </w:tcPr>
          <w:p w14:paraId="3588BF73"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68FE3DC5" w14:textId="77777777" w:rsidTr="00712EAD">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6B856C13" w14:textId="360126B6" w:rsidR="00AF1B85" w:rsidRPr="00D44094" w:rsidRDefault="005C72E0" w:rsidP="005C72E0">
            <w:pPr>
              <w:keepLines/>
              <w:spacing w:before="40" w:after="40" w:line="200" w:lineRule="atLeast"/>
              <w:rPr>
                <w:rFonts w:asciiTheme="minorHAnsi" w:eastAsia="Times New Roman" w:hAnsiTheme="minorHAnsi"/>
                <w:b w:val="0"/>
                <w:iCs/>
                <w:szCs w:val="17"/>
                <w:lang w:eastAsia="en-US"/>
              </w:rPr>
            </w:pPr>
            <w:r w:rsidRPr="005C72E0">
              <w:rPr>
                <w:rFonts w:asciiTheme="minorHAnsi" w:eastAsia="Times New Roman" w:hAnsiTheme="minorHAnsi"/>
                <w:b w:val="0"/>
                <w:iCs/>
                <w:szCs w:val="17"/>
                <w:lang w:eastAsia="en-US"/>
              </w:rPr>
              <w:t>INK859 Samoa Disability Program</w:t>
            </w:r>
          </w:p>
        </w:tc>
        <w:tc>
          <w:tcPr>
            <w:tcW w:w="3665" w:type="dxa"/>
            <w:tcBorders>
              <w:bottom w:val="none" w:sz="0" w:space="0" w:color="auto"/>
            </w:tcBorders>
          </w:tcPr>
          <w:p w14:paraId="78900FA2" w14:textId="5A56CB75" w:rsidR="00AF1B85" w:rsidRPr="00D44094" w:rsidRDefault="005C72E0" w:rsidP="00D15A00">
            <w:pPr>
              <w:keepLines/>
              <w:spacing w:before="40" w:after="40" w:line="200" w:lineRule="atLeast"/>
              <w:rPr>
                <w:rFonts w:asciiTheme="minorHAnsi" w:eastAsia="Times New Roman" w:hAnsiTheme="minorHAnsi"/>
                <w:b w:val="0"/>
                <w:iCs/>
                <w:szCs w:val="17"/>
                <w:lang w:eastAsia="en-US"/>
              </w:rPr>
            </w:pPr>
            <w:r w:rsidRPr="005C72E0">
              <w:rPr>
                <w:rFonts w:asciiTheme="minorHAnsi" w:eastAsia="Times New Roman" w:hAnsiTheme="minorHAnsi"/>
                <w:b w:val="0"/>
                <w:iCs/>
                <w:szCs w:val="17"/>
                <w:lang w:eastAsia="en-US"/>
              </w:rPr>
              <w:t>Samoa Disability Program</w:t>
            </w:r>
            <w:r w:rsidR="00D63622" w:rsidRPr="00D44094">
              <w:rPr>
                <w:rFonts w:asciiTheme="minorHAnsi" w:eastAsia="Times New Roman" w:hAnsiTheme="minorHAnsi"/>
                <w:b w:val="0"/>
                <w:iCs/>
                <w:szCs w:val="17"/>
                <w:lang w:eastAsia="en-US"/>
              </w:rPr>
              <w:t xml:space="preserve"> Final Evaluation</w:t>
            </w:r>
          </w:p>
        </w:tc>
        <w:tc>
          <w:tcPr>
            <w:tcW w:w="1397" w:type="dxa"/>
            <w:tcBorders>
              <w:bottom w:val="none" w:sz="0" w:space="0" w:color="auto"/>
            </w:tcBorders>
          </w:tcPr>
          <w:p w14:paraId="49B4A812" w14:textId="660BDF31" w:rsidR="00AF1B85" w:rsidRPr="00D44094" w:rsidRDefault="005C72E0" w:rsidP="005C72E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December</w:t>
            </w:r>
            <w:r w:rsidR="00B353E0" w:rsidRPr="00D44094">
              <w:rPr>
                <w:rFonts w:asciiTheme="minorHAnsi" w:eastAsia="Times New Roman" w:hAnsiTheme="minorHAnsi"/>
                <w:b w:val="0"/>
                <w:iCs/>
                <w:szCs w:val="17"/>
                <w:lang w:eastAsia="en-US"/>
              </w:rPr>
              <w:t xml:space="preserve"> 2017</w:t>
            </w:r>
          </w:p>
        </w:tc>
        <w:tc>
          <w:tcPr>
            <w:tcW w:w="1953" w:type="dxa"/>
            <w:tcBorders>
              <w:bottom w:val="none" w:sz="0" w:space="0" w:color="auto"/>
            </w:tcBorders>
          </w:tcPr>
          <w:p w14:paraId="32A09BDF" w14:textId="16D56C17" w:rsidR="00AF1B85" w:rsidRPr="00D44094" w:rsidRDefault="005C72E0"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2018</w:t>
            </w:r>
          </w:p>
        </w:tc>
        <w:tc>
          <w:tcPr>
            <w:tcW w:w="1671" w:type="dxa"/>
            <w:tcBorders>
              <w:bottom w:val="none" w:sz="0" w:space="0" w:color="auto"/>
            </w:tcBorders>
          </w:tcPr>
          <w:p w14:paraId="568891FA" w14:textId="2925F555" w:rsidR="00AF1B85" w:rsidRPr="00D44094" w:rsidRDefault="005C72E0"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September 2018</w:t>
            </w:r>
          </w:p>
        </w:tc>
        <w:tc>
          <w:tcPr>
            <w:tcW w:w="2365" w:type="dxa"/>
            <w:tcBorders>
              <w:bottom w:val="none" w:sz="0" w:space="0" w:color="auto"/>
            </w:tcBorders>
          </w:tcPr>
          <w:p w14:paraId="5055071A" w14:textId="726457CD" w:rsidR="00AF1B85" w:rsidRPr="00D44094" w:rsidRDefault="005C72E0" w:rsidP="00CF416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Internal Do</w:t>
            </w:r>
            <w:r w:rsidR="00CF4161">
              <w:rPr>
                <w:rFonts w:asciiTheme="minorHAnsi" w:eastAsia="Times New Roman" w:hAnsiTheme="minorHAnsi"/>
                <w:b w:val="0"/>
                <w:iCs/>
                <w:szCs w:val="17"/>
                <w:lang w:eastAsia="en-US"/>
              </w:rPr>
              <w:t>c</w:t>
            </w:r>
            <w:r>
              <w:rPr>
                <w:rFonts w:asciiTheme="minorHAnsi" w:eastAsia="Times New Roman" w:hAnsiTheme="minorHAnsi"/>
                <w:b w:val="0"/>
                <w:iCs/>
                <w:szCs w:val="17"/>
                <w:lang w:eastAsia="en-US"/>
              </w:rPr>
              <w:t>um</w:t>
            </w:r>
            <w:r w:rsidR="00CF4161">
              <w:rPr>
                <w:rFonts w:asciiTheme="minorHAnsi" w:eastAsia="Times New Roman" w:hAnsiTheme="minorHAnsi"/>
                <w:b w:val="0"/>
                <w:iCs/>
                <w:szCs w:val="17"/>
                <w:lang w:eastAsia="en-US"/>
              </w:rPr>
              <w:t>e</w:t>
            </w:r>
            <w:r>
              <w:rPr>
                <w:rFonts w:asciiTheme="minorHAnsi" w:eastAsia="Times New Roman" w:hAnsiTheme="minorHAnsi"/>
                <w:b w:val="0"/>
                <w:iCs/>
                <w:szCs w:val="17"/>
                <w:lang w:eastAsia="en-US"/>
              </w:rPr>
              <w:t>nt</w:t>
            </w:r>
          </w:p>
        </w:tc>
      </w:tr>
      <w:tr w:rsidR="00D63622" w:rsidRPr="003B5EE5" w14:paraId="5E8CFD40" w14:textId="77777777" w:rsidTr="00712EAD">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7C9499C9" w14:textId="640A29B6" w:rsidR="00D63622" w:rsidRPr="00D44094" w:rsidRDefault="00D63622" w:rsidP="00D63622">
            <w:pPr>
              <w:keepLines/>
              <w:spacing w:before="40" w:after="40" w:line="200" w:lineRule="atLeast"/>
              <w:rPr>
                <w:rFonts w:asciiTheme="minorHAnsi" w:eastAsia="Times New Roman" w:hAnsiTheme="minorHAnsi"/>
                <w:b w:val="0"/>
                <w:iCs/>
                <w:szCs w:val="17"/>
              </w:rPr>
            </w:pPr>
          </w:p>
        </w:tc>
        <w:tc>
          <w:tcPr>
            <w:tcW w:w="3665" w:type="dxa"/>
            <w:tcBorders>
              <w:bottom w:val="none" w:sz="0" w:space="0" w:color="auto"/>
            </w:tcBorders>
          </w:tcPr>
          <w:p w14:paraId="6BDCB172" w14:textId="1CFAFEB5" w:rsidR="00D63622" w:rsidRPr="00D44094" w:rsidRDefault="00D63622" w:rsidP="00D63622">
            <w:pPr>
              <w:keepLines/>
              <w:spacing w:before="40" w:after="40" w:line="200" w:lineRule="atLeast"/>
              <w:rPr>
                <w:rFonts w:asciiTheme="minorHAnsi" w:eastAsia="Times New Roman" w:hAnsiTheme="minorHAnsi"/>
                <w:b w:val="0"/>
                <w:iCs/>
                <w:szCs w:val="17"/>
              </w:rPr>
            </w:pPr>
          </w:p>
        </w:tc>
        <w:tc>
          <w:tcPr>
            <w:tcW w:w="1397" w:type="dxa"/>
            <w:tcBorders>
              <w:bottom w:val="none" w:sz="0" w:space="0" w:color="auto"/>
            </w:tcBorders>
          </w:tcPr>
          <w:p w14:paraId="0C906551" w14:textId="2CDFB3A1" w:rsidR="00D63622" w:rsidRPr="00D44094" w:rsidRDefault="00D63622" w:rsidP="00D63622">
            <w:pPr>
              <w:keepLines/>
              <w:spacing w:before="40" w:after="40" w:line="200" w:lineRule="atLeast"/>
              <w:rPr>
                <w:rFonts w:asciiTheme="minorHAnsi" w:hAnsiTheme="minorHAnsi"/>
                <w:b w:val="0"/>
                <w:color w:val="auto"/>
              </w:rPr>
            </w:pPr>
          </w:p>
        </w:tc>
        <w:tc>
          <w:tcPr>
            <w:tcW w:w="1953" w:type="dxa"/>
            <w:tcBorders>
              <w:bottom w:val="none" w:sz="0" w:space="0" w:color="auto"/>
            </w:tcBorders>
          </w:tcPr>
          <w:p w14:paraId="1A8B947E" w14:textId="27777567" w:rsidR="00D63622" w:rsidRPr="00D44094" w:rsidRDefault="00D63622" w:rsidP="00D63622">
            <w:pPr>
              <w:keepLines/>
              <w:spacing w:before="40" w:after="40" w:line="200" w:lineRule="atLeast"/>
              <w:rPr>
                <w:rFonts w:asciiTheme="minorHAnsi" w:eastAsia="Times New Roman" w:hAnsiTheme="minorHAnsi"/>
                <w:b w:val="0"/>
                <w:iCs/>
                <w:szCs w:val="17"/>
              </w:rPr>
            </w:pPr>
          </w:p>
        </w:tc>
        <w:tc>
          <w:tcPr>
            <w:tcW w:w="1671" w:type="dxa"/>
            <w:tcBorders>
              <w:bottom w:val="none" w:sz="0" w:space="0" w:color="auto"/>
            </w:tcBorders>
          </w:tcPr>
          <w:p w14:paraId="77CC64DC" w14:textId="51438CA5" w:rsidR="00D63622" w:rsidRPr="00D44094" w:rsidRDefault="00D63622" w:rsidP="00B353E0">
            <w:pPr>
              <w:keepLines/>
              <w:spacing w:before="40" w:after="40" w:line="200" w:lineRule="atLeast"/>
              <w:rPr>
                <w:rFonts w:asciiTheme="minorHAnsi" w:eastAsia="Times New Roman" w:hAnsiTheme="minorHAnsi"/>
                <w:b w:val="0"/>
                <w:iCs/>
                <w:szCs w:val="17"/>
              </w:rPr>
            </w:pPr>
          </w:p>
        </w:tc>
        <w:tc>
          <w:tcPr>
            <w:tcW w:w="2365" w:type="dxa"/>
            <w:tcBorders>
              <w:bottom w:val="none" w:sz="0" w:space="0" w:color="auto"/>
            </w:tcBorders>
          </w:tcPr>
          <w:p w14:paraId="774649E0" w14:textId="51E820EA" w:rsidR="00D63622" w:rsidRPr="00D44094" w:rsidRDefault="00D63622" w:rsidP="00D63622">
            <w:pPr>
              <w:keepLines/>
              <w:spacing w:before="40" w:after="40" w:line="200" w:lineRule="atLeast"/>
              <w:rPr>
                <w:rFonts w:asciiTheme="minorHAnsi" w:eastAsia="Times New Roman" w:hAnsiTheme="minorHAnsi"/>
                <w:b w:val="0"/>
                <w:iCs/>
                <w:szCs w:val="17"/>
              </w:rPr>
            </w:pPr>
          </w:p>
        </w:tc>
      </w:tr>
      <w:tr w:rsidR="00D63622" w:rsidRPr="003B5EE5" w14:paraId="16E30657" w14:textId="77777777" w:rsidTr="00712EAD">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5EC30D03" w14:textId="667FF907" w:rsidR="001430EA" w:rsidRPr="00D44094" w:rsidRDefault="001430EA" w:rsidP="00D63622">
            <w:pPr>
              <w:keepLines/>
              <w:spacing w:before="40" w:after="40" w:line="200" w:lineRule="atLeast"/>
              <w:rPr>
                <w:rFonts w:asciiTheme="minorHAnsi" w:eastAsia="Times New Roman" w:hAnsiTheme="minorHAnsi"/>
                <w:b w:val="0"/>
                <w:iCs/>
                <w:szCs w:val="17"/>
              </w:rPr>
            </w:pPr>
          </w:p>
        </w:tc>
        <w:tc>
          <w:tcPr>
            <w:tcW w:w="3665" w:type="dxa"/>
            <w:tcBorders>
              <w:bottom w:val="none" w:sz="0" w:space="0" w:color="auto"/>
            </w:tcBorders>
          </w:tcPr>
          <w:p w14:paraId="39F207EC" w14:textId="6B5FB679" w:rsidR="001430EA" w:rsidRPr="00D44094" w:rsidRDefault="001430EA" w:rsidP="00D63622">
            <w:pPr>
              <w:keepLines/>
              <w:spacing w:before="40" w:after="40" w:line="200" w:lineRule="atLeast"/>
              <w:rPr>
                <w:rFonts w:asciiTheme="minorHAnsi" w:eastAsia="Times New Roman" w:hAnsiTheme="minorHAnsi"/>
                <w:b w:val="0"/>
                <w:iCs/>
                <w:szCs w:val="17"/>
              </w:rPr>
            </w:pPr>
          </w:p>
        </w:tc>
        <w:tc>
          <w:tcPr>
            <w:tcW w:w="1397" w:type="dxa"/>
            <w:tcBorders>
              <w:bottom w:val="none" w:sz="0" w:space="0" w:color="auto"/>
            </w:tcBorders>
          </w:tcPr>
          <w:p w14:paraId="0C969681" w14:textId="1E743C87" w:rsidR="00EA6738" w:rsidRPr="00D44094" w:rsidRDefault="00EA6738" w:rsidP="00D63622">
            <w:pPr>
              <w:keepLines/>
              <w:spacing w:before="40" w:after="40" w:line="200" w:lineRule="atLeast"/>
              <w:rPr>
                <w:rFonts w:asciiTheme="minorHAnsi" w:eastAsia="Times New Roman" w:hAnsiTheme="minorHAnsi"/>
                <w:b w:val="0"/>
                <w:iCs/>
                <w:szCs w:val="17"/>
              </w:rPr>
            </w:pPr>
          </w:p>
        </w:tc>
        <w:tc>
          <w:tcPr>
            <w:tcW w:w="1953" w:type="dxa"/>
            <w:tcBorders>
              <w:bottom w:val="none" w:sz="0" w:space="0" w:color="auto"/>
            </w:tcBorders>
          </w:tcPr>
          <w:p w14:paraId="6FDDBBBD" w14:textId="5D92FF79"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tc>
        <w:tc>
          <w:tcPr>
            <w:tcW w:w="1671" w:type="dxa"/>
            <w:tcBorders>
              <w:bottom w:val="none" w:sz="0" w:space="0" w:color="auto"/>
            </w:tcBorders>
          </w:tcPr>
          <w:p w14:paraId="4BB09D51" w14:textId="77777777" w:rsidR="00EA6738" w:rsidRPr="00D44094" w:rsidRDefault="00EA6738" w:rsidP="00D63622">
            <w:pPr>
              <w:keepLines/>
              <w:spacing w:before="40" w:after="40" w:line="200" w:lineRule="atLeast"/>
              <w:rPr>
                <w:rFonts w:asciiTheme="minorHAnsi" w:eastAsia="Times New Roman" w:hAnsiTheme="minorHAnsi"/>
                <w:b w:val="0"/>
                <w:iCs/>
                <w:szCs w:val="17"/>
              </w:rPr>
            </w:pPr>
          </w:p>
        </w:tc>
        <w:tc>
          <w:tcPr>
            <w:tcW w:w="2365" w:type="dxa"/>
            <w:tcBorders>
              <w:bottom w:val="none" w:sz="0" w:space="0" w:color="auto"/>
            </w:tcBorders>
          </w:tcPr>
          <w:p w14:paraId="45F9B008" w14:textId="77777777" w:rsidR="00ED6866" w:rsidRPr="00D44094" w:rsidRDefault="00ED6866" w:rsidP="00D63622">
            <w:pPr>
              <w:keepLines/>
              <w:spacing w:before="40" w:after="40" w:line="200" w:lineRule="atLeast"/>
              <w:rPr>
                <w:rFonts w:asciiTheme="minorHAnsi" w:eastAsia="Times New Roman" w:hAnsiTheme="minorHAnsi"/>
                <w:b w:val="0"/>
                <w:iCs/>
                <w:szCs w:val="17"/>
              </w:rPr>
            </w:pPr>
          </w:p>
        </w:tc>
      </w:tr>
    </w:tbl>
    <w:p w14:paraId="1E76EC82" w14:textId="77777777" w:rsidR="002F479A" w:rsidRDefault="002F479A"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656EE0AF" w14:textId="77777777" w:rsidR="004C17D1" w:rsidRDefault="004C17D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05E6C6AC" w14:textId="17C46BF9" w:rsidR="00AF1B85" w:rsidRPr="005E606B" w:rsidRDefault="00AF1B85" w:rsidP="00580AFD">
      <w:pPr>
        <w:pStyle w:val="ListBullet"/>
        <w:tabs>
          <w:tab w:val="clear" w:pos="284"/>
        </w:tabs>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lastRenderedPageBreak/>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79874AA2" w14:textId="77777777" w:rsidTr="005E606B">
        <w:tc>
          <w:tcPr>
            <w:tcW w:w="2444" w:type="dxa"/>
          </w:tcPr>
          <w:p w14:paraId="016062CB"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69BAC2F6"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3CD6409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0277E0E2"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4BFAE84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73AE1C7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D63622" w:rsidRPr="00C61187" w14:paraId="392DC15E" w14:textId="77777777" w:rsidTr="006424EE">
        <w:tc>
          <w:tcPr>
            <w:tcW w:w="2444" w:type="dxa"/>
            <w:shd w:val="clear" w:color="auto" w:fill="auto"/>
          </w:tcPr>
          <w:p w14:paraId="564732A5" w14:textId="09E37A97" w:rsidR="00D63622" w:rsidRPr="00D63622" w:rsidRDefault="005C4A13" w:rsidP="00D6362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Final</w:t>
            </w:r>
            <w:r w:rsidR="00712EAD">
              <w:rPr>
                <w:rFonts w:asciiTheme="minorHAnsi" w:eastAsia="Times New Roman" w:hAnsiTheme="minorHAnsi"/>
                <w:iCs/>
                <w:szCs w:val="17"/>
                <w:lang w:eastAsia="en-US"/>
              </w:rPr>
              <w:t xml:space="preserve"> Program Review</w:t>
            </w:r>
          </w:p>
        </w:tc>
        <w:tc>
          <w:tcPr>
            <w:tcW w:w="2356" w:type="dxa"/>
            <w:shd w:val="clear" w:color="auto" w:fill="auto"/>
          </w:tcPr>
          <w:p w14:paraId="046EBF48" w14:textId="13D89C85" w:rsidR="00D63622" w:rsidRPr="00712EAD" w:rsidRDefault="00F6416C" w:rsidP="00712EA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INH315 </w:t>
            </w:r>
            <w:r w:rsidRPr="00F6416C">
              <w:rPr>
                <w:rFonts w:asciiTheme="minorHAnsi" w:eastAsia="Times New Roman" w:hAnsiTheme="minorHAnsi"/>
                <w:iCs/>
                <w:szCs w:val="17"/>
                <w:lang w:eastAsia="en-US"/>
              </w:rPr>
              <w:t>Samoa Power Sector Expansion Program</w:t>
            </w:r>
          </w:p>
        </w:tc>
        <w:tc>
          <w:tcPr>
            <w:tcW w:w="2042" w:type="dxa"/>
            <w:shd w:val="clear" w:color="auto" w:fill="auto"/>
          </w:tcPr>
          <w:p w14:paraId="27ACF0BE" w14:textId="088EDB45" w:rsidR="00D63622" w:rsidRPr="000619CE" w:rsidRDefault="00F6416C" w:rsidP="002B53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April 201</w:t>
            </w:r>
            <w:r w:rsidR="002B5300">
              <w:rPr>
                <w:rFonts w:asciiTheme="minorHAnsi" w:eastAsia="Times New Roman" w:hAnsiTheme="minorHAnsi"/>
                <w:iCs/>
                <w:szCs w:val="17"/>
                <w:lang w:eastAsia="en-US"/>
              </w:rPr>
              <w:t>9</w:t>
            </w:r>
          </w:p>
        </w:tc>
        <w:tc>
          <w:tcPr>
            <w:tcW w:w="2208" w:type="dxa"/>
            <w:shd w:val="clear" w:color="auto" w:fill="auto"/>
          </w:tcPr>
          <w:p w14:paraId="309C7CB8" w14:textId="6F899DB7" w:rsidR="00D63622" w:rsidRPr="000619CE" w:rsidRDefault="00AD291D" w:rsidP="00D6362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June 2019</w:t>
            </w:r>
          </w:p>
        </w:tc>
        <w:tc>
          <w:tcPr>
            <w:tcW w:w="2325" w:type="dxa"/>
            <w:shd w:val="clear" w:color="auto" w:fill="auto"/>
          </w:tcPr>
          <w:p w14:paraId="7E69748F" w14:textId="52E538BB" w:rsidR="00D63622" w:rsidRPr="000619CE" w:rsidRDefault="00C03D45" w:rsidP="00F6416C">
            <w:pPr>
              <w:keepLines/>
              <w:spacing w:before="40" w:after="40" w:line="200" w:lineRule="atLeast"/>
              <w:rPr>
                <w:rFonts w:asciiTheme="minorHAnsi" w:eastAsia="Times New Roman" w:hAnsiTheme="minorHAnsi"/>
                <w:iCs/>
                <w:color w:val="000000" w:themeColor="text1" w:themeShade="BF"/>
                <w:szCs w:val="17"/>
                <w:lang w:eastAsia="en-US"/>
              </w:rPr>
            </w:pPr>
            <w:r w:rsidRPr="000619CE">
              <w:rPr>
                <w:rFonts w:asciiTheme="minorHAnsi" w:eastAsia="Times New Roman" w:hAnsiTheme="minorHAnsi"/>
                <w:iCs/>
                <w:szCs w:val="17"/>
                <w:lang w:eastAsia="en-US"/>
              </w:rPr>
              <w:t xml:space="preserve">To make an independent assessment of the performance of the </w:t>
            </w:r>
            <w:r w:rsidR="00F6416C" w:rsidRPr="00F6416C">
              <w:rPr>
                <w:rFonts w:asciiTheme="minorHAnsi" w:eastAsia="Times New Roman" w:hAnsiTheme="minorHAnsi"/>
                <w:iCs/>
                <w:szCs w:val="17"/>
                <w:lang w:eastAsia="en-US"/>
              </w:rPr>
              <w:t>Samoa Power Sector Expansion Program</w:t>
            </w:r>
            <w:r w:rsidR="00F6416C">
              <w:rPr>
                <w:rFonts w:asciiTheme="minorHAnsi" w:eastAsia="Times New Roman" w:hAnsiTheme="minorHAnsi"/>
                <w:iCs/>
                <w:szCs w:val="17"/>
                <w:lang w:eastAsia="en-US"/>
              </w:rPr>
              <w:t xml:space="preserve"> to inform future investments in the power sector</w:t>
            </w:r>
            <w:r w:rsidRPr="000619CE">
              <w:rPr>
                <w:rFonts w:asciiTheme="minorHAnsi" w:eastAsia="Times New Roman" w:hAnsiTheme="minorHAnsi"/>
                <w:iCs/>
                <w:szCs w:val="17"/>
                <w:lang w:eastAsia="en-US"/>
              </w:rPr>
              <w:t xml:space="preserve">. </w:t>
            </w:r>
          </w:p>
        </w:tc>
        <w:tc>
          <w:tcPr>
            <w:tcW w:w="2740" w:type="dxa"/>
            <w:shd w:val="clear" w:color="auto" w:fill="auto"/>
          </w:tcPr>
          <w:p w14:paraId="2EA98A5C" w14:textId="0B5CDD82" w:rsidR="00D63622" w:rsidRPr="00D63622" w:rsidRDefault="00F6416C" w:rsidP="00C03D4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w:t>
            </w:r>
            <w:r w:rsidR="00C03D45">
              <w:rPr>
                <w:rFonts w:asciiTheme="minorHAnsi" w:eastAsia="Times New Roman" w:hAnsiTheme="minorHAnsi"/>
                <w:iCs/>
                <w:szCs w:val="17"/>
                <w:lang w:eastAsia="en-US"/>
              </w:rPr>
              <w:t>ndependent evaluation</w:t>
            </w:r>
            <w:r>
              <w:rPr>
                <w:rFonts w:asciiTheme="minorHAnsi" w:eastAsia="Times New Roman" w:hAnsiTheme="minorHAnsi"/>
                <w:iCs/>
                <w:szCs w:val="17"/>
                <w:lang w:eastAsia="en-US"/>
              </w:rPr>
              <w:t xml:space="preserve"> lead by ADB</w:t>
            </w:r>
            <w:r w:rsidR="00C03D45">
              <w:rPr>
                <w:rFonts w:asciiTheme="minorHAnsi" w:eastAsia="Times New Roman" w:hAnsiTheme="minorHAnsi"/>
                <w:iCs/>
                <w:szCs w:val="17"/>
                <w:lang w:eastAsia="en-US"/>
              </w:rPr>
              <w:t>.</w:t>
            </w:r>
          </w:p>
        </w:tc>
      </w:tr>
      <w:tr w:rsidR="00EB3402" w:rsidRPr="00C61187" w14:paraId="0677EA3F" w14:textId="77777777" w:rsidTr="000C2BBF">
        <w:tc>
          <w:tcPr>
            <w:tcW w:w="2444" w:type="dxa"/>
            <w:shd w:val="clear" w:color="auto" w:fill="auto"/>
          </w:tcPr>
          <w:p w14:paraId="2B5FF3BD" w14:textId="77777777" w:rsidR="00EB3402" w:rsidRDefault="00EB3402" w:rsidP="00D63622">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Final Program Evaluation</w:t>
            </w:r>
          </w:p>
          <w:p w14:paraId="5129B3E8" w14:textId="61407A99" w:rsidR="00AC0006" w:rsidRDefault="00AC0006" w:rsidP="00D63622">
            <w:pPr>
              <w:keepLines/>
              <w:spacing w:before="40" w:after="40" w:line="200" w:lineRule="atLeast"/>
              <w:rPr>
                <w:rFonts w:eastAsia="Times New Roman"/>
                <w:iCs/>
                <w:szCs w:val="17"/>
              </w:rPr>
            </w:pPr>
          </w:p>
        </w:tc>
        <w:tc>
          <w:tcPr>
            <w:tcW w:w="2356" w:type="dxa"/>
            <w:shd w:val="clear" w:color="auto" w:fill="auto"/>
          </w:tcPr>
          <w:p w14:paraId="47E7A8A4" w14:textId="77777777" w:rsidR="00EB3402" w:rsidRDefault="00EB3402" w:rsidP="00712EAD">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INK887 Cyclone Evan Recovery Program</w:t>
            </w:r>
          </w:p>
          <w:p w14:paraId="70EADF4E" w14:textId="3D2477DF" w:rsidR="00AC0006" w:rsidRPr="00712EAD" w:rsidRDefault="00AC0006" w:rsidP="00F6416C">
            <w:pPr>
              <w:keepLines/>
              <w:spacing w:before="40" w:after="40" w:line="200" w:lineRule="atLeast"/>
              <w:rPr>
                <w:rFonts w:eastAsia="Times New Roman"/>
                <w:iCs/>
                <w:szCs w:val="17"/>
              </w:rPr>
            </w:pPr>
          </w:p>
        </w:tc>
        <w:tc>
          <w:tcPr>
            <w:tcW w:w="2042" w:type="dxa"/>
            <w:shd w:val="clear" w:color="auto" w:fill="auto"/>
          </w:tcPr>
          <w:p w14:paraId="7D859F87" w14:textId="3EF6ADED" w:rsidR="00EB3402" w:rsidRDefault="00F6416C" w:rsidP="00D6362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February 2018</w:t>
            </w:r>
          </w:p>
          <w:p w14:paraId="546D0BF2" w14:textId="3F22AB09" w:rsidR="00AC0006" w:rsidRPr="00D63622" w:rsidRDefault="00AC0006" w:rsidP="00D63622">
            <w:pPr>
              <w:keepLines/>
              <w:spacing w:before="40" w:after="40" w:line="200" w:lineRule="atLeast"/>
              <w:rPr>
                <w:rFonts w:eastAsia="Times New Roman"/>
                <w:iCs/>
                <w:szCs w:val="17"/>
              </w:rPr>
            </w:pPr>
          </w:p>
        </w:tc>
        <w:tc>
          <w:tcPr>
            <w:tcW w:w="2208" w:type="dxa"/>
            <w:shd w:val="clear" w:color="auto" w:fill="auto"/>
          </w:tcPr>
          <w:p w14:paraId="76701ED9" w14:textId="159DEC53" w:rsidR="00EB3402" w:rsidRDefault="00F6416C" w:rsidP="00D6362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December</w:t>
            </w:r>
            <w:r w:rsidR="00EB3402" w:rsidRPr="000619CE">
              <w:rPr>
                <w:rFonts w:asciiTheme="minorHAnsi" w:eastAsia="Times New Roman" w:hAnsiTheme="minorHAnsi"/>
                <w:iCs/>
                <w:szCs w:val="17"/>
                <w:lang w:eastAsia="en-US"/>
              </w:rPr>
              <w:t xml:space="preserve"> </w:t>
            </w:r>
            <w:r w:rsidR="0017000B" w:rsidRPr="000619CE">
              <w:rPr>
                <w:rFonts w:asciiTheme="minorHAnsi" w:eastAsia="Times New Roman" w:hAnsiTheme="minorHAnsi"/>
                <w:iCs/>
                <w:szCs w:val="17"/>
                <w:lang w:eastAsia="en-US"/>
              </w:rPr>
              <w:t>201</w:t>
            </w:r>
            <w:r w:rsidR="0017000B">
              <w:rPr>
                <w:rFonts w:asciiTheme="minorHAnsi" w:eastAsia="Times New Roman" w:hAnsiTheme="minorHAnsi"/>
                <w:iCs/>
                <w:szCs w:val="17"/>
                <w:lang w:eastAsia="en-US"/>
              </w:rPr>
              <w:t>8</w:t>
            </w:r>
          </w:p>
          <w:p w14:paraId="13EE5A29" w14:textId="14DA4FEE" w:rsidR="00AC0006" w:rsidRPr="00D63622" w:rsidRDefault="00AC0006" w:rsidP="00F6416C">
            <w:pPr>
              <w:keepLines/>
              <w:spacing w:before="40" w:after="40" w:line="200" w:lineRule="atLeast"/>
              <w:rPr>
                <w:rFonts w:eastAsia="Times New Roman"/>
                <w:iCs/>
                <w:szCs w:val="17"/>
              </w:rPr>
            </w:pPr>
          </w:p>
        </w:tc>
        <w:tc>
          <w:tcPr>
            <w:tcW w:w="2325" w:type="dxa"/>
            <w:shd w:val="clear" w:color="auto" w:fill="auto"/>
          </w:tcPr>
          <w:p w14:paraId="5C23AE12" w14:textId="513020D7" w:rsidR="007679D3" w:rsidRPr="00F6416C" w:rsidRDefault="00EB3402" w:rsidP="00F6416C">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To evaluate Australia’s budget support contribution towards the implementation of Samoa’s Cyclone Evan Recovery Plan.</w:t>
            </w:r>
          </w:p>
        </w:tc>
        <w:tc>
          <w:tcPr>
            <w:tcW w:w="2740" w:type="dxa"/>
            <w:shd w:val="clear" w:color="auto" w:fill="auto"/>
          </w:tcPr>
          <w:p w14:paraId="5FD9D0C4" w14:textId="77777777" w:rsidR="00EB3402" w:rsidRDefault="00EB3402" w:rsidP="00C03D45">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End of Program Independent Evaluation (jointly with NZ)</w:t>
            </w:r>
          </w:p>
          <w:p w14:paraId="042E7CD7" w14:textId="6C460BE0" w:rsidR="007679D3" w:rsidRPr="000619CE" w:rsidRDefault="007679D3" w:rsidP="003B79E5">
            <w:pPr>
              <w:keepLines/>
              <w:spacing w:before="40" w:after="40" w:line="200" w:lineRule="atLeast"/>
              <w:rPr>
                <w:rFonts w:asciiTheme="minorHAnsi" w:eastAsia="Times New Roman" w:hAnsiTheme="minorHAnsi"/>
                <w:iCs/>
                <w:szCs w:val="17"/>
                <w:lang w:eastAsia="en-US"/>
              </w:rPr>
            </w:pPr>
          </w:p>
        </w:tc>
      </w:tr>
      <w:tr w:rsidR="008D6387" w:rsidRPr="00A2112E" w14:paraId="17F44615" w14:textId="77777777" w:rsidTr="000C2BBF">
        <w:tc>
          <w:tcPr>
            <w:tcW w:w="2444" w:type="dxa"/>
            <w:shd w:val="clear" w:color="auto" w:fill="auto"/>
          </w:tcPr>
          <w:p w14:paraId="084EF9FB" w14:textId="77777777" w:rsidR="008D6387" w:rsidRDefault="008D6387" w:rsidP="008D6387">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Final Program Evaluation</w:t>
            </w:r>
          </w:p>
          <w:p w14:paraId="357C2FFD" w14:textId="77777777" w:rsidR="008D6387" w:rsidRPr="00A2112E" w:rsidRDefault="008D6387" w:rsidP="00D63622">
            <w:pPr>
              <w:keepLines/>
              <w:spacing w:before="40" w:after="40" w:line="200" w:lineRule="atLeast"/>
              <w:rPr>
                <w:rFonts w:asciiTheme="minorHAnsi" w:eastAsia="Times New Roman" w:hAnsiTheme="minorHAnsi"/>
                <w:iCs/>
                <w:szCs w:val="17"/>
                <w:lang w:eastAsia="en-US"/>
              </w:rPr>
            </w:pPr>
          </w:p>
        </w:tc>
        <w:tc>
          <w:tcPr>
            <w:tcW w:w="2356" w:type="dxa"/>
            <w:shd w:val="clear" w:color="auto" w:fill="auto"/>
          </w:tcPr>
          <w:p w14:paraId="7849E043" w14:textId="7AA02567" w:rsidR="008D6387" w:rsidRPr="00A2112E" w:rsidRDefault="008D6387" w:rsidP="00712EAD">
            <w:pPr>
              <w:keepLines/>
              <w:spacing w:before="40" w:after="40" w:line="200" w:lineRule="atLeast"/>
              <w:rPr>
                <w:rFonts w:asciiTheme="minorHAnsi" w:eastAsia="Times New Roman" w:hAnsiTheme="minorHAnsi"/>
                <w:iCs/>
                <w:szCs w:val="17"/>
                <w:lang w:eastAsia="en-US"/>
              </w:rPr>
            </w:pPr>
            <w:r w:rsidRPr="00A2112E">
              <w:rPr>
                <w:rFonts w:asciiTheme="minorHAnsi" w:eastAsia="Times New Roman" w:hAnsiTheme="minorHAnsi"/>
                <w:iCs/>
                <w:szCs w:val="17"/>
                <w:lang w:eastAsia="en-US"/>
              </w:rPr>
              <w:t>Education Sector Support Program Evaluation</w:t>
            </w:r>
          </w:p>
        </w:tc>
        <w:tc>
          <w:tcPr>
            <w:tcW w:w="2042" w:type="dxa"/>
            <w:shd w:val="clear" w:color="auto" w:fill="auto"/>
          </w:tcPr>
          <w:p w14:paraId="452D64FF" w14:textId="190D5EEC" w:rsidR="008D6387" w:rsidRPr="00A2112E" w:rsidRDefault="008D6387" w:rsidP="00D63622">
            <w:pPr>
              <w:keepLines/>
              <w:spacing w:before="40" w:after="40" w:line="200" w:lineRule="atLeast"/>
              <w:rPr>
                <w:rFonts w:asciiTheme="minorHAnsi" w:eastAsia="Times New Roman" w:hAnsiTheme="minorHAnsi"/>
                <w:iCs/>
                <w:szCs w:val="17"/>
                <w:lang w:eastAsia="en-US"/>
              </w:rPr>
            </w:pPr>
            <w:r w:rsidRPr="00A2112E">
              <w:rPr>
                <w:rFonts w:asciiTheme="minorHAnsi" w:eastAsia="Times New Roman" w:hAnsiTheme="minorHAnsi"/>
                <w:iCs/>
                <w:szCs w:val="17"/>
                <w:lang w:eastAsia="en-US"/>
              </w:rPr>
              <w:t>August 2018</w:t>
            </w:r>
          </w:p>
        </w:tc>
        <w:tc>
          <w:tcPr>
            <w:tcW w:w="2208" w:type="dxa"/>
            <w:shd w:val="clear" w:color="auto" w:fill="auto"/>
          </w:tcPr>
          <w:p w14:paraId="798871CF" w14:textId="45495600" w:rsidR="008D6387" w:rsidRPr="00A2112E" w:rsidRDefault="008D6387" w:rsidP="00D63622">
            <w:pPr>
              <w:keepLines/>
              <w:spacing w:before="40" w:after="40" w:line="200" w:lineRule="atLeast"/>
              <w:rPr>
                <w:rFonts w:asciiTheme="minorHAnsi" w:eastAsia="Times New Roman" w:hAnsiTheme="minorHAnsi"/>
                <w:iCs/>
                <w:szCs w:val="17"/>
                <w:lang w:eastAsia="en-US"/>
              </w:rPr>
            </w:pPr>
            <w:r w:rsidRPr="00A2112E">
              <w:rPr>
                <w:rFonts w:asciiTheme="minorHAnsi" w:eastAsia="Times New Roman" w:hAnsiTheme="minorHAnsi"/>
                <w:iCs/>
                <w:szCs w:val="17"/>
                <w:lang w:eastAsia="en-US"/>
              </w:rPr>
              <w:t>December 2018</w:t>
            </w:r>
          </w:p>
        </w:tc>
        <w:tc>
          <w:tcPr>
            <w:tcW w:w="2325" w:type="dxa"/>
            <w:shd w:val="clear" w:color="auto" w:fill="auto"/>
          </w:tcPr>
          <w:p w14:paraId="028316FA" w14:textId="661B62B8" w:rsidR="008D6387" w:rsidRPr="00A2112E" w:rsidRDefault="008D6387" w:rsidP="008D6387">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 xml:space="preserve">To evaluate </w:t>
            </w:r>
            <w:r>
              <w:rPr>
                <w:rFonts w:asciiTheme="minorHAnsi" w:eastAsia="Times New Roman" w:hAnsiTheme="minorHAnsi"/>
                <w:iCs/>
                <w:szCs w:val="17"/>
                <w:lang w:eastAsia="en-US"/>
              </w:rPr>
              <w:t>the Education Sector Support Program</w:t>
            </w:r>
          </w:p>
        </w:tc>
        <w:tc>
          <w:tcPr>
            <w:tcW w:w="2740" w:type="dxa"/>
            <w:shd w:val="clear" w:color="auto" w:fill="auto"/>
          </w:tcPr>
          <w:p w14:paraId="7A152333" w14:textId="6A054F0B" w:rsidR="008D6387" w:rsidRPr="00A2112E" w:rsidRDefault="008D6387" w:rsidP="008D6387">
            <w:pPr>
              <w:keepLines/>
              <w:spacing w:before="40" w:after="40" w:line="200" w:lineRule="atLeast"/>
              <w:rPr>
                <w:rFonts w:asciiTheme="minorHAnsi" w:eastAsia="Times New Roman" w:hAnsiTheme="minorHAnsi"/>
                <w:iCs/>
                <w:szCs w:val="17"/>
                <w:lang w:eastAsia="en-US"/>
              </w:rPr>
            </w:pPr>
            <w:r w:rsidRPr="00A2112E">
              <w:rPr>
                <w:rFonts w:asciiTheme="minorHAnsi" w:eastAsia="Times New Roman" w:hAnsiTheme="minorHAnsi"/>
                <w:iCs/>
                <w:szCs w:val="17"/>
                <w:lang w:eastAsia="en-US"/>
              </w:rPr>
              <w:t>Joint Independent Evaluation with New Zealand</w:t>
            </w:r>
          </w:p>
        </w:tc>
      </w:tr>
    </w:tbl>
    <w:p w14:paraId="76266821" w14:textId="77777777" w:rsidR="0059146A" w:rsidRPr="00A2112E" w:rsidRDefault="0059146A" w:rsidP="00A2112E">
      <w:pPr>
        <w:keepLines/>
        <w:spacing w:before="40" w:after="40" w:line="200" w:lineRule="atLeast"/>
        <w:rPr>
          <w:rFonts w:eastAsia="Times New Roman"/>
          <w:iCs/>
          <w:sz w:val="17"/>
          <w:szCs w:val="17"/>
        </w:rPr>
      </w:pPr>
    </w:p>
    <w:p w14:paraId="3A75C0DC" w14:textId="77777777" w:rsidR="0059146A" w:rsidRDefault="0059146A" w:rsidP="005B5769">
      <w:pPr>
        <w:pStyle w:val="ListBullet"/>
        <w:tabs>
          <w:tab w:val="clear" w:pos="284"/>
        </w:tabs>
      </w:pPr>
    </w:p>
    <w:p w14:paraId="52748FF6" w14:textId="77777777" w:rsidR="005E606B" w:rsidRDefault="005E606B" w:rsidP="005B5769">
      <w:pPr>
        <w:pStyle w:val="ListBullet"/>
        <w:tabs>
          <w:tab w:val="clear" w:pos="284"/>
        </w:tabs>
        <w:sectPr w:rsidR="005E606B" w:rsidSect="00D2653F">
          <w:headerReference w:type="default" r:id="rId30"/>
          <w:headerReference w:type="first" r:id="rId31"/>
          <w:pgSz w:w="16838" w:h="11906" w:orient="landscape" w:code="9"/>
          <w:pgMar w:top="1134" w:right="1952" w:bottom="1134" w:left="851" w:header="1107" w:footer="567" w:gutter="0"/>
          <w:cols w:space="397"/>
          <w:docGrid w:linePitch="360"/>
        </w:sectPr>
      </w:pPr>
    </w:p>
    <w:p w14:paraId="5CC3BA9D" w14:textId="77777777" w:rsidR="005E606B" w:rsidRPr="00A8197B" w:rsidRDefault="005E606B" w:rsidP="00A8197B">
      <w:pPr>
        <w:pStyle w:val="Subtitle"/>
      </w:pPr>
      <w:r w:rsidRPr="00A8197B">
        <w:lastRenderedPageBreak/>
        <w:t xml:space="preserve">Annex </w:t>
      </w:r>
      <w:r w:rsidR="00184F1E">
        <w:t>D</w:t>
      </w:r>
      <w:r w:rsidRPr="00A8197B">
        <w:t xml:space="preserve"> - Aid Quality Check ratings</w:t>
      </w:r>
    </w:p>
    <w:p w14:paraId="5BDB089A"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7CE5E78A" w14:textId="77777777" w:rsidR="005E606B" w:rsidRPr="00C61187" w:rsidRDefault="005E606B" w:rsidP="00A8197B">
      <w:r w:rsidRPr="00C61187">
        <w:t>AQC investment performance over the previous 12 months and where available last</w:t>
      </w:r>
      <w:r>
        <w:t xml:space="preserve"> year’s AQC ratings</w:t>
      </w:r>
      <w:r w:rsidRPr="00C61187">
        <w:t>.</w:t>
      </w:r>
    </w:p>
    <w:tbl>
      <w:tblPr>
        <w:tblW w:w="9400" w:type="dxa"/>
        <w:tblLook w:val="04A0" w:firstRow="1" w:lastRow="0" w:firstColumn="1" w:lastColumn="0" w:noHBand="0" w:noVBand="1"/>
      </w:tblPr>
      <w:tblGrid>
        <w:gridCol w:w="1720"/>
        <w:gridCol w:w="960"/>
        <w:gridCol w:w="960"/>
        <w:gridCol w:w="960"/>
        <w:gridCol w:w="960"/>
        <w:gridCol w:w="960"/>
        <w:gridCol w:w="960"/>
        <w:gridCol w:w="960"/>
        <w:gridCol w:w="960"/>
      </w:tblGrid>
      <w:tr w:rsidR="004752CC" w:rsidRPr="004752CC" w14:paraId="5917A2B1" w14:textId="77777777" w:rsidTr="004752CC">
        <w:trPr>
          <w:trHeight w:val="1245"/>
        </w:trPr>
        <w:tc>
          <w:tcPr>
            <w:tcW w:w="1720" w:type="dxa"/>
            <w:tcBorders>
              <w:top w:val="single" w:sz="8" w:space="0" w:color="auto"/>
              <w:left w:val="nil"/>
              <w:bottom w:val="single" w:sz="8" w:space="0" w:color="auto"/>
              <w:right w:val="nil"/>
            </w:tcBorders>
            <w:shd w:val="clear" w:color="auto" w:fill="auto"/>
            <w:vAlign w:val="center"/>
            <w:hideMark/>
          </w:tcPr>
          <w:p w14:paraId="31BF29C8" w14:textId="0144ED32"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96128" behindDoc="0" locked="0" layoutInCell="1" allowOverlap="1" wp14:anchorId="286B26E0" wp14:editId="517143DA">
                  <wp:simplePos x="0" y="0"/>
                  <wp:positionH relativeFrom="column">
                    <wp:posOffset>0</wp:posOffset>
                  </wp:positionH>
                  <wp:positionV relativeFrom="paragraph">
                    <wp:posOffset>0</wp:posOffset>
                  </wp:positionV>
                  <wp:extent cx="2333625" cy="228600"/>
                  <wp:effectExtent l="0" t="0" r="0" b="0"/>
                  <wp:wrapNone/>
                  <wp:docPr id="5" name="Picture 5"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4752CC">
              <w:rPr>
                <w:rFonts w:ascii="Calibri Light" w:eastAsia="Times New Roman" w:hAnsi="Calibri Light" w:cs="Times New Roman"/>
                <w:b/>
                <w:bCs/>
                <w:iCs/>
                <w:color w:val="495965"/>
                <w:sz w:val="17"/>
                <w:szCs w:val="17"/>
                <w:lang w:eastAsia="en-AU"/>
              </w:rPr>
              <w:t>Investment name</w:t>
            </w:r>
          </w:p>
        </w:tc>
        <w:tc>
          <w:tcPr>
            <w:tcW w:w="960" w:type="dxa"/>
            <w:tcBorders>
              <w:top w:val="single" w:sz="8" w:space="0" w:color="auto"/>
              <w:left w:val="nil"/>
              <w:bottom w:val="single" w:sz="8" w:space="0" w:color="auto"/>
              <w:right w:val="nil"/>
            </w:tcBorders>
            <w:shd w:val="clear" w:color="auto" w:fill="auto"/>
            <w:vAlign w:val="center"/>
            <w:hideMark/>
          </w:tcPr>
          <w:p w14:paraId="0DB2AACC" w14:textId="77777777" w:rsidR="004752CC" w:rsidRPr="004752CC" w:rsidRDefault="004752CC" w:rsidP="004752CC">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8" w:space="0" w:color="auto"/>
              <w:left w:val="nil"/>
              <w:bottom w:val="single" w:sz="8" w:space="0" w:color="auto"/>
              <w:right w:val="nil"/>
            </w:tcBorders>
            <w:shd w:val="clear" w:color="auto" w:fill="auto"/>
            <w:vAlign w:val="center"/>
            <w:hideMark/>
          </w:tcPr>
          <w:p w14:paraId="1A4F1ABB" w14:textId="77777777" w:rsidR="004752CC" w:rsidRPr="004752CC" w:rsidRDefault="004752CC" w:rsidP="004752CC">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year on year</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7C1461F"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Relevance</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7CABEEB5"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Effectiveness</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AF19D5F"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Efficiency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522F3D06"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Monitoring and Evaluation</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7944DE3A"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Sustainability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20E491C"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Gender equality</w:t>
            </w:r>
          </w:p>
        </w:tc>
      </w:tr>
      <w:tr w:rsidR="004752CC" w:rsidRPr="004752CC" w14:paraId="73215870" w14:textId="77777777" w:rsidTr="005364A2">
        <w:trPr>
          <w:trHeight w:val="450"/>
        </w:trPr>
        <w:tc>
          <w:tcPr>
            <w:tcW w:w="1720" w:type="dxa"/>
            <w:tcBorders>
              <w:top w:val="nil"/>
              <w:left w:val="nil"/>
              <w:bottom w:val="nil"/>
              <w:right w:val="nil"/>
            </w:tcBorders>
            <w:shd w:val="clear" w:color="auto" w:fill="auto"/>
            <w:vAlign w:val="center"/>
            <w:hideMark/>
          </w:tcPr>
          <w:p w14:paraId="7AC9533D"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Women Shaping Development Initiative</w:t>
            </w:r>
          </w:p>
        </w:tc>
        <w:tc>
          <w:tcPr>
            <w:tcW w:w="960" w:type="dxa"/>
            <w:tcBorders>
              <w:top w:val="nil"/>
              <w:left w:val="nil"/>
              <w:bottom w:val="nil"/>
              <w:right w:val="nil"/>
            </w:tcBorders>
            <w:shd w:val="clear" w:color="auto" w:fill="auto"/>
            <w:vAlign w:val="center"/>
            <w:hideMark/>
          </w:tcPr>
          <w:p w14:paraId="188B3D6E" w14:textId="39A585E0" w:rsidR="004752CC" w:rsidRPr="004752CC" w:rsidRDefault="004752CC" w:rsidP="002038FD">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w:t>
            </w:r>
            <w:r w:rsidR="002038FD">
              <w:rPr>
                <w:rFonts w:ascii="Calibri Light" w:eastAsia="Times New Roman" w:hAnsi="Calibri Light" w:cs="Times New Roman"/>
                <w:color w:val="000000"/>
                <w:sz w:val="17"/>
                <w:szCs w:val="17"/>
                <w:lang w:eastAsia="en-AU"/>
              </w:rPr>
              <w:t>2.8</w:t>
            </w:r>
            <w:r w:rsidRPr="004752CC">
              <w:rPr>
                <w:rFonts w:ascii="Calibri Light" w:eastAsia="Times New Roman" w:hAnsi="Calibri Light" w:cs="Times New Roman"/>
                <w:color w:val="000000"/>
                <w:sz w:val="17"/>
                <w:szCs w:val="17"/>
                <w:lang w:eastAsia="en-AU"/>
              </w:rPr>
              <w:t xml:space="preserve">m </w:t>
            </w:r>
          </w:p>
        </w:tc>
        <w:tc>
          <w:tcPr>
            <w:tcW w:w="960" w:type="dxa"/>
            <w:tcBorders>
              <w:top w:val="nil"/>
              <w:left w:val="nil"/>
              <w:bottom w:val="nil"/>
              <w:right w:val="nil"/>
            </w:tcBorders>
            <w:shd w:val="clear" w:color="auto" w:fill="auto"/>
            <w:vAlign w:val="center"/>
            <w:hideMark/>
          </w:tcPr>
          <w:p w14:paraId="30C05896" w14:textId="1D7D456B" w:rsidR="004752CC" w:rsidRPr="004752CC" w:rsidRDefault="004752CC"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w:t>
            </w:r>
            <w:r w:rsidR="00C7104E">
              <w:rPr>
                <w:rFonts w:ascii="Calibri Light" w:eastAsia="Times New Roman" w:hAnsi="Calibri Light" w:cs="Times New Roman"/>
                <w:iCs/>
                <w:color w:val="495965"/>
                <w:sz w:val="17"/>
                <w:szCs w:val="17"/>
                <w:lang w:eastAsia="en-AU"/>
              </w:rPr>
              <w:t>8</w:t>
            </w:r>
            <w:r w:rsidRPr="004752CC">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nil"/>
              <w:right w:val="nil"/>
            </w:tcBorders>
            <w:shd w:val="clear" w:color="auto" w:fill="FFC000"/>
            <w:noWrap/>
            <w:vAlign w:val="center"/>
          </w:tcPr>
          <w:p w14:paraId="5E135219" w14:textId="1E0DA537"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3</w:t>
            </w:r>
          </w:p>
        </w:tc>
        <w:tc>
          <w:tcPr>
            <w:tcW w:w="960" w:type="dxa"/>
            <w:tcBorders>
              <w:top w:val="nil"/>
              <w:left w:val="nil"/>
              <w:bottom w:val="nil"/>
              <w:right w:val="nil"/>
            </w:tcBorders>
            <w:shd w:val="clear" w:color="auto" w:fill="FFC000"/>
            <w:noWrap/>
            <w:vAlign w:val="center"/>
          </w:tcPr>
          <w:p w14:paraId="26418098" w14:textId="0C87EED3"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3</w:t>
            </w:r>
          </w:p>
        </w:tc>
        <w:tc>
          <w:tcPr>
            <w:tcW w:w="960" w:type="dxa"/>
            <w:tcBorders>
              <w:top w:val="nil"/>
              <w:left w:val="nil"/>
              <w:bottom w:val="nil"/>
              <w:right w:val="nil"/>
            </w:tcBorders>
            <w:shd w:val="clear" w:color="auto" w:fill="FFFF00"/>
            <w:noWrap/>
            <w:vAlign w:val="center"/>
          </w:tcPr>
          <w:p w14:paraId="39EF1632" w14:textId="55E1BED6"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nil"/>
              <w:left w:val="nil"/>
              <w:bottom w:val="nil"/>
              <w:right w:val="nil"/>
            </w:tcBorders>
            <w:shd w:val="clear" w:color="auto" w:fill="FFFF00"/>
            <w:noWrap/>
            <w:vAlign w:val="center"/>
          </w:tcPr>
          <w:p w14:paraId="243340E0" w14:textId="5062FBB2"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nil"/>
              <w:left w:val="nil"/>
              <w:bottom w:val="nil"/>
              <w:right w:val="nil"/>
            </w:tcBorders>
            <w:shd w:val="clear" w:color="auto" w:fill="FFFF00"/>
            <w:noWrap/>
            <w:vAlign w:val="center"/>
          </w:tcPr>
          <w:p w14:paraId="5D4C9A81" w14:textId="005EC159"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nil"/>
              <w:left w:val="nil"/>
              <w:bottom w:val="nil"/>
              <w:right w:val="nil"/>
            </w:tcBorders>
            <w:shd w:val="clear" w:color="auto" w:fill="FFC000"/>
            <w:noWrap/>
            <w:vAlign w:val="center"/>
          </w:tcPr>
          <w:p w14:paraId="5ED02B7E" w14:textId="4E2C131A"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3</w:t>
            </w:r>
          </w:p>
        </w:tc>
      </w:tr>
      <w:tr w:rsidR="00C7104E" w:rsidRPr="004752CC" w14:paraId="6E184CD9" w14:textId="77777777" w:rsidTr="005364A2">
        <w:trPr>
          <w:trHeight w:val="315"/>
        </w:trPr>
        <w:tc>
          <w:tcPr>
            <w:tcW w:w="1720" w:type="dxa"/>
            <w:tcBorders>
              <w:top w:val="nil"/>
              <w:left w:val="nil"/>
              <w:bottom w:val="single" w:sz="8" w:space="0" w:color="auto"/>
              <w:right w:val="nil"/>
            </w:tcBorders>
            <w:shd w:val="clear" w:color="auto" w:fill="auto"/>
            <w:vAlign w:val="center"/>
            <w:hideMark/>
          </w:tcPr>
          <w:p w14:paraId="614AAE75" w14:textId="77777777"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09139C65" w14:textId="7437889E"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2013-</w:t>
            </w:r>
            <w:r>
              <w:rPr>
                <w:rFonts w:ascii="Calibri Light" w:eastAsia="Times New Roman" w:hAnsi="Calibri Light" w:cs="Times New Roman"/>
                <w:iCs/>
                <w:color w:val="495965"/>
                <w:sz w:val="17"/>
                <w:szCs w:val="17"/>
                <w:lang w:eastAsia="en-AU"/>
              </w:rPr>
              <w:t>19</w:t>
            </w:r>
          </w:p>
        </w:tc>
        <w:tc>
          <w:tcPr>
            <w:tcW w:w="960" w:type="dxa"/>
            <w:tcBorders>
              <w:top w:val="nil"/>
              <w:left w:val="nil"/>
              <w:bottom w:val="single" w:sz="8" w:space="0" w:color="auto"/>
              <w:right w:val="nil"/>
            </w:tcBorders>
            <w:shd w:val="clear" w:color="auto" w:fill="auto"/>
            <w:vAlign w:val="center"/>
            <w:hideMark/>
          </w:tcPr>
          <w:p w14:paraId="506372A8" w14:textId="5B678B55"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w:t>
            </w:r>
            <w:r>
              <w:rPr>
                <w:rFonts w:ascii="Calibri Light" w:eastAsia="Times New Roman" w:hAnsi="Calibri Light" w:cs="Times New Roman"/>
                <w:iCs/>
                <w:color w:val="495965"/>
                <w:sz w:val="17"/>
                <w:szCs w:val="17"/>
                <w:lang w:eastAsia="en-AU"/>
              </w:rPr>
              <w:t>7</w:t>
            </w:r>
            <w:r w:rsidRPr="004752CC">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single" w:sz="8" w:space="0" w:color="auto"/>
              <w:right w:val="nil"/>
            </w:tcBorders>
            <w:shd w:val="clear" w:color="auto" w:fill="FFC000"/>
            <w:noWrap/>
            <w:vAlign w:val="center"/>
            <w:hideMark/>
          </w:tcPr>
          <w:p w14:paraId="12327811" w14:textId="094AED38"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3</w:t>
            </w:r>
          </w:p>
        </w:tc>
        <w:tc>
          <w:tcPr>
            <w:tcW w:w="960" w:type="dxa"/>
            <w:tcBorders>
              <w:top w:val="nil"/>
              <w:left w:val="nil"/>
              <w:bottom w:val="single" w:sz="8" w:space="0" w:color="auto"/>
              <w:right w:val="nil"/>
            </w:tcBorders>
            <w:shd w:val="clear" w:color="auto" w:fill="FF0000"/>
            <w:noWrap/>
            <w:vAlign w:val="center"/>
            <w:hideMark/>
          </w:tcPr>
          <w:p w14:paraId="3534E045" w14:textId="01B9A038"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w:t>
            </w:r>
          </w:p>
        </w:tc>
        <w:tc>
          <w:tcPr>
            <w:tcW w:w="960" w:type="dxa"/>
            <w:tcBorders>
              <w:top w:val="nil"/>
              <w:left w:val="nil"/>
              <w:bottom w:val="single" w:sz="8" w:space="0" w:color="auto"/>
              <w:right w:val="nil"/>
            </w:tcBorders>
            <w:shd w:val="clear" w:color="auto" w:fill="FF0000"/>
            <w:noWrap/>
            <w:vAlign w:val="center"/>
            <w:hideMark/>
          </w:tcPr>
          <w:p w14:paraId="488C8478" w14:textId="594AD2F5"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w:t>
            </w:r>
          </w:p>
        </w:tc>
        <w:tc>
          <w:tcPr>
            <w:tcW w:w="960" w:type="dxa"/>
            <w:tcBorders>
              <w:top w:val="nil"/>
              <w:left w:val="nil"/>
              <w:bottom w:val="single" w:sz="8" w:space="0" w:color="auto"/>
              <w:right w:val="nil"/>
            </w:tcBorders>
            <w:shd w:val="clear" w:color="auto" w:fill="FFC000"/>
            <w:noWrap/>
            <w:vAlign w:val="center"/>
            <w:hideMark/>
          </w:tcPr>
          <w:p w14:paraId="51C2BB6C" w14:textId="60C44634"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3</w:t>
            </w:r>
          </w:p>
        </w:tc>
        <w:tc>
          <w:tcPr>
            <w:tcW w:w="960" w:type="dxa"/>
            <w:tcBorders>
              <w:top w:val="nil"/>
              <w:left w:val="nil"/>
              <w:bottom w:val="single" w:sz="8" w:space="0" w:color="auto"/>
              <w:right w:val="nil"/>
            </w:tcBorders>
            <w:shd w:val="clear" w:color="auto" w:fill="FFC000"/>
            <w:noWrap/>
            <w:vAlign w:val="center"/>
            <w:hideMark/>
          </w:tcPr>
          <w:p w14:paraId="369CF12E" w14:textId="224CED9E"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3</w:t>
            </w:r>
          </w:p>
        </w:tc>
        <w:tc>
          <w:tcPr>
            <w:tcW w:w="960" w:type="dxa"/>
            <w:tcBorders>
              <w:top w:val="nil"/>
              <w:left w:val="nil"/>
              <w:bottom w:val="single" w:sz="8" w:space="0" w:color="auto"/>
              <w:right w:val="nil"/>
            </w:tcBorders>
            <w:shd w:val="clear" w:color="auto" w:fill="FF0000"/>
            <w:noWrap/>
            <w:vAlign w:val="center"/>
            <w:hideMark/>
          </w:tcPr>
          <w:p w14:paraId="3DDD4E79" w14:textId="6EA4A2C3"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w:t>
            </w:r>
          </w:p>
        </w:tc>
      </w:tr>
      <w:tr w:rsidR="004752CC" w:rsidRPr="004752CC" w14:paraId="67970166" w14:textId="77777777" w:rsidTr="00C7104E">
        <w:trPr>
          <w:trHeight w:val="450"/>
        </w:trPr>
        <w:tc>
          <w:tcPr>
            <w:tcW w:w="1720" w:type="dxa"/>
            <w:tcBorders>
              <w:top w:val="nil"/>
              <w:left w:val="nil"/>
              <w:bottom w:val="nil"/>
              <w:right w:val="nil"/>
            </w:tcBorders>
            <w:shd w:val="clear" w:color="auto" w:fill="auto"/>
            <w:vAlign w:val="center"/>
            <w:hideMark/>
          </w:tcPr>
          <w:p w14:paraId="35491951"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Power Sector Expansion Program</w:t>
            </w:r>
          </w:p>
        </w:tc>
        <w:tc>
          <w:tcPr>
            <w:tcW w:w="960" w:type="dxa"/>
            <w:tcBorders>
              <w:top w:val="nil"/>
              <w:left w:val="nil"/>
              <w:bottom w:val="nil"/>
              <w:right w:val="nil"/>
            </w:tcBorders>
            <w:shd w:val="clear" w:color="auto" w:fill="auto"/>
            <w:vAlign w:val="center"/>
            <w:hideMark/>
          </w:tcPr>
          <w:p w14:paraId="505D1543"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 xml:space="preserve">$15m </w:t>
            </w:r>
          </w:p>
        </w:tc>
        <w:tc>
          <w:tcPr>
            <w:tcW w:w="960" w:type="dxa"/>
            <w:tcBorders>
              <w:top w:val="nil"/>
              <w:left w:val="nil"/>
              <w:bottom w:val="nil"/>
              <w:right w:val="nil"/>
            </w:tcBorders>
            <w:shd w:val="clear" w:color="auto" w:fill="auto"/>
            <w:vAlign w:val="center"/>
            <w:hideMark/>
          </w:tcPr>
          <w:p w14:paraId="1E058734" w14:textId="0822A417" w:rsidR="004752CC" w:rsidRPr="004752CC" w:rsidRDefault="00C7104E"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2018</w:t>
            </w:r>
            <w:r w:rsidR="004752CC" w:rsidRPr="004752CC">
              <w:rPr>
                <w:rFonts w:ascii="Calibri Light" w:eastAsia="Times New Roman" w:hAnsi="Calibri Light" w:cs="Times New Roman"/>
                <w:iCs/>
                <w:color w:val="495965"/>
                <w:sz w:val="17"/>
                <w:szCs w:val="17"/>
                <w:lang w:eastAsia="en-AU"/>
              </w:rPr>
              <w:t xml:space="preserve"> AQC</w:t>
            </w:r>
          </w:p>
        </w:tc>
        <w:tc>
          <w:tcPr>
            <w:tcW w:w="960" w:type="dxa"/>
            <w:tcBorders>
              <w:top w:val="single" w:sz="8" w:space="0" w:color="auto"/>
              <w:left w:val="nil"/>
              <w:bottom w:val="single" w:sz="8" w:space="0" w:color="FFFFFF" w:themeColor="background1"/>
              <w:right w:val="nil"/>
            </w:tcBorders>
            <w:shd w:val="clear" w:color="000000" w:fill="92D050"/>
            <w:noWrap/>
            <w:vAlign w:val="center"/>
          </w:tcPr>
          <w:p w14:paraId="5520A3E4" w14:textId="0BE5A6E4"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5</w:t>
            </w:r>
          </w:p>
        </w:tc>
        <w:tc>
          <w:tcPr>
            <w:tcW w:w="960" w:type="dxa"/>
            <w:tcBorders>
              <w:top w:val="single" w:sz="8" w:space="0" w:color="auto"/>
              <w:left w:val="nil"/>
              <w:bottom w:val="single" w:sz="8" w:space="0" w:color="FFFFFF" w:themeColor="background1"/>
              <w:right w:val="nil"/>
            </w:tcBorders>
            <w:shd w:val="clear" w:color="000000" w:fill="92D050"/>
            <w:noWrap/>
            <w:vAlign w:val="center"/>
          </w:tcPr>
          <w:p w14:paraId="603C3F0A" w14:textId="04401D8C"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5</w:t>
            </w:r>
          </w:p>
        </w:tc>
        <w:tc>
          <w:tcPr>
            <w:tcW w:w="960" w:type="dxa"/>
            <w:tcBorders>
              <w:top w:val="single" w:sz="8" w:space="0" w:color="auto"/>
              <w:left w:val="nil"/>
              <w:bottom w:val="single" w:sz="8" w:space="0" w:color="FFFFFF" w:themeColor="background1"/>
              <w:right w:val="nil"/>
            </w:tcBorders>
            <w:shd w:val="clear" w:color="000000" w:fill="92D050"/>
            <w:noWrap/>
            <w:vAlign w:val="center"/>
          </w:tcPr>
          <w:p w14:paraId="024B3AFA" w14:textId="2ABA377D"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5</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1B224238" w14:textId="44EF6FA8"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0C531712" w14:textId="309B512E"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6AA8C4E9" w14:textId="518620AF"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r>
      <w:tr w:rsidR="00C7104E" w:rsidRPr="004752CC" w14:paraId="2558A69C" w14:textId="77777777" w:rsidTr="005364A2">
        <w:trPr>
          <w:trHeight w:val="315"/>
        </w:trPr>
        <w:tc>
          <w:tcPr>
            <w:tcW w:w="1720" w:type="dxa"/>
            <w:tcBorders>
              <w:top w:val="nil"/>
              <w:left w:val="nil"/>
              <w:bottom w:val="single" w:sz="8" w:space="0" w:color="auto"/>
              <w:right w:val="nil"/>
            </w:tcBorders>
            <w:shd w:val="clear" w:color="auto" w:fill="auto"/>
            <w:vAlign w:val="center"/>
            <w:hideMark/>
          </w:tcPr>
          <w:p w14:paraId="271D8F55" w14:textId="77777777"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nil"/>
              <w:right w:val="nil"/>
            </w:tcBorders>
            <w:shd w:val="clear" w:color="auto" w:fill="auto"/>
            <w:vAlign w:val="center"/>
            <w:hideMark/>
          </w:tcPr>
          <w:p w14:paraId="34106B39"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2007-18</w:t>
            </w:r>
          </w:p>
        </w:tc>
        <w:tc>
          <w:tcPr>
            <w:tcW w:w="960" w:type="dxa"/>
            <w:tcBorders>
              <w:top w:val="nil"/>
              <w:left w:val="nil"/>
              <w:bottom w:val="nil"/>
              <w:right w:val="nil"/>
            </w:tcBorders>
            <w:shd w:val="clear" w:color="auto" w:fill="auto"/>
            <w:vAlign w:val="center"/>
            <w:hideMark/>
          </w:tcPr>
          <w:p w14:paraId="74EE3E26" w14:textId="2DDED615"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72D32CD7" w14:textId="01047E8C"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2A6C29D2" w14:textId="14EDA1F9"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128D1E8E" w14:textId="6522FF3C"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4AD9E914" w14:textId="30230C3B"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24CF86A6" w14:textId="4A514015"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486D54BD" w14:textId="67B69A89"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r>
      <w:tr w:rsidR="004752CC" w:rsidRPr="004752CC" w14:paraId="73134A86" w14:textId="77777777" w:rsidTr="005364A2">
        <w:trPr>
          <w:trHeight w:val="450"/>
        </w:trPr>
        <w:tc>
          <w:tcPr>
            <w:tcW w:w="1720" w:type="dxa"/>
            <w:tcBorders>
              <w:top w:val="nil"/>
              <w:left w:val="nil"/>
              <w:bottom w:val="nil"/>
              <w:right w:val="nil"/>
            </w:tcBorders>
            <w:shd w:val="clear" w:color="auto" w:fill="auto"/>
            <w:vAlign w:val="center"/>
            <w:hideMark/>
          </w:tcPr>
          <w:p w14:paraId="54FC813E"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Economic Infrastructure Program</w:t>
            </w:r>
          </w:p>
        </w:tc>
        <w:tc>
          <w:tcPr>
            <w:tcW w:w="960" w:type="dxa"/>
            <w:tcBorders>
              <w:top w:val="single" w:sz="8" w:space="0" w:color="auto"/>
              <w:left w:val="nil"/>
              <w:bottom w:val="nil"/>
              <w:right w:val="nil"/>
            </w:tcBorders>
            <w:shd w:val="clear" w:color="auto" w:fill="auto"/>
            <w:vAlign w:val="center"/>
            <w:hideMark/>
          </w:tcPr>
          <w:p w14:paraId="75F707CE" w14:textId="6AD0029E" w:rsidR="004752CC" w:rsidRPr="004752CC" w:rsidRDefault="004752CC" w:rsidP="002038FD">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w:t>
            </w:r>
            <w:r w:rsidR="002038FD">
              <w:rPr>
                <w:rFonts w:ascii="Calibri Light" w:eastAsia="Times New Roman" w:hAnsi="Calibri Light" w:cs="Times New Roman"/>
                <w:color w:val="000000"/>
                <w:sz w:val="17"/>
                <w:szCs w:val="17"/>
                <w:lang w:eastAsia="en-AU"/>
              </w:rPr>
              <w:t>19.2</w:t>
            </w:r>
            <w:r w:rsidRPr="004752CC">
              <w:rPr>
                <w:rFonts w:ascii="Calibri Light" w:eastAsia="Times New Roman" w:hAnsi="Calibri Light" w:cs="Times New Roman"/>
                <w:color w:val="000000"/>
                <w:sz w:val="17"/>
                <w:szCs w:val="17"/>
                <w:lang w:eastAsia="en-AU"/>
              </w:rPr>
              <w:t xml:space="preserve">m </w:t>
            </w:r>
          </w:p>
        </w:tc>
        <w:tc>
          <w:tcPr>
            <w:tcW w:w="960" w:type="dxa"/>
            <w:tcBorders>
              <w:top w:val="single" w:sz="8" w:space="0" w:color="auto"/>
              <w:left w:val="nil"/>
              <w:bottom w:val="nil"/>
              <w:right w:val="nil"/>
            </w:tcBorders>
            <w:shd w:val="clear" w:color="auto" w:fill="auto"/>
            <w:vAlign w:val="center"/>
            <w:hideMark/>
          </w:tcPr>
          <w:p w14:paraId="20F35356" w14:textId="645C7143" w:rsidR="004752CC" w:rsidRPr="004752CC" w:rsidRDefault="00C7104E"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2018</w:t>
            </w:r>
            <w:r w:rsidR="004752CC" w:rsidRPr="004752CC">
              <w:rPr>
                <w:rFonts w:ascii="Calibri Light" w:eastAsia="Times New Roman" w:hAnsi="Calibri Light" w:cs="Times New Roman"/>
                <w:iCs/>
                <w:color w:val="495965"/>
                <w:sz w:val="17"/>
                <w:szCs w:val="17"/>
                <w:lang w:eastAsia="en-AU"/>
              </w:rPr>
              <w:t xml:space="preserve"> AQC</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31D0DA7E" w14:textId="4901511F"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345ADBDB" w14:textId="5291F77D"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1CB1305C" w14:textId="44D05F76"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5498FE0E" w14:textId="08EAFEAC"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0C57479D" w14:textId="3A38C6EE"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0B63146D" w14:textId="2F346603" w:rsidR="004752CC"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r>
      <w:tr w:rsidR="00C7104E" w:rsidRPr="004752CC" w14:paraId="61B9F25A" w14:textId="77777777" w:rsidTr="005364A2">
        <w:trPr>
          <w:trHeight w:val="315"/>
        </w:trPr>
        <w:tc>
          <w:tcPr>
            <w:tcW w:w="1720" w:type="dxa"/>
            <w:tcBorders>
              <w:top w:val="nil"/>
              <w:left w:val="nil"/>
              <w:bottom w:val="nil"/>
              <w:right w:val="nil"/>
            </w:tcBorders>
            <w:shd w:val="clear" w:color="auto" w:fill="auto"/>
            <w:vAlign w:val="center"/>
            <w:hideMark/>
          </w:tcPr>
          <w:p w14:paraId="461EE7F9"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p>
        </w:tc>
        <w:tc>
          <w:tcPr>
            <w:tcW w:w="960" w:type="dxa"/>
            <w:tcBorders>
              <w:top w:val="nil"/>
              <w:left w:val="nil"/>
              <w:bottom w:val="nil"/>
              <w:right w:val="nil"/>
            </w:tcBorders>
            <w:shd w:val="clear" w:color="auto" w:fill="auto"/>
            <w:vAlign w:val="center"/>
            <w:hideMark/>
          </w:tcPr>
          <w:p w14:paraId="2AB60783"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2012-18</w:t>
            </w:r>
          </w:p>
        </w:tc>
        <w:tc>
          <w:tcPr>
            <w:tcW w:w="960" w:type="dxa"/>
            <w:tcBorders>
              <w:top w:val="nil"/>
              <w:left w:val="nil"/>
              <w:bottom w:val="nil"/>
              <w:right w:val="nil"/>
            </w:tcBorders>
            <w:shd w:val="clear" w:color="auto" w:fill="auto"/>
            <w:vAlign w:val="center"/>
            <w:hideMark/>
          </w:tcPr>
          <w:p w14:paraId="244AEE14" w14:textId="6A259A95"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2017</w:t>
            </w:r>
            <w:r w:rsidRPr="004752CC">
              <w:rPr>
                <w:rFonts w:ascii="Calibri Light" w:eastAsia="Times New Roman" w:hAnsi="Calibri Light" w:cs="Times New Roman"/>
                <w:iCs/>
                <w:color w:val="495965"/>
                <w:sz w:val="17"/>
                <w:szCs w:val="17"/>
                <w:lang w:eastAsia="en-AU"/>
              </w:rPr>
              <w:t xml:space="preserve"> AQC</w:t>
            </w:r>
          </w:p>
        </w:tc>
        <w:tc>
          <w:tcPr>
            <w:tcW w:w="960" w:type="dxa"/>
            <w:tcBorders>
              <w:top w:val="single" w:sz="8" w:space="0" w:color="FFFFFF" w:themeColor="background1"/>
              <w:left w:val="nil"/>
              <w:bottom w:val="single" w:sz="8" w:space="0" w:color="auto"/>
              <w:right w:val="nil"/>
            </w:tcBorders>
            <w:shd w:val="clear" w:color="auto" w:fill="FFC000"/>
            <w:noWrap/>
            <w:vAlign w:val="center"/>
            <w:hideMark/>
          </w:tcPr>
          <w:p w14:paraId="699C45A9" w14:textId="7E6E0278" w:rsidR="00C7104E"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auto" w:fill="FFC000"/>
            <w:noWrap/>
            <w:vAlign w:val="center"/>
            <w:hideMark/>
          </w:tcPr>
          <w:p w14:paraId="2B2960C7" w14:textId="2567C9C3"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6D7279D9" w14:textId="650C0F31" w:rsidR="00C7104E"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FFC000"/>
            <w:noWrap/>
            <w:vAlign w:val="center"/>
            <w:hideMark/>
          </w:tcPr>
          <w:p w14:paraId="5BB96594" w14:textId="7511066B"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auto" w:fill="FFC000"/>
            <w:noWrap/>
            <w:vAlign w:val="center"/>
            <w:hideMark/>
          </w:tcPr>
          <w:p w14:paraId="727AC065" w14:textId="38B96860" w:rsidR="00C7104E"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6A33D687" w14:textId="00C30401" w:rsidR="00C7104E"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r>
      <w:tr w:rsidR="002038FD" w:rsidRPr="004752CC" w14:paraId="697835FB" w14:textId="77777777" w:rsidTr="005364A2">
        <w:trPr>
          <w:trHeight w:val="675"/>
        </w:trPr>
        <w:tc>
          <w:tcPr>
            <w:tcW w:w="1720" w:type="dxa"/>
            <w:tcBorders>
              <w:top w:val="single" w:sz="8" w:space="0" w:color="auto"/>
              <w:left w:val="nil"/>
              <w:bottom w:val="nil"/>
              <w:right w:val="nil"/>
            </w:tcBorders>
            <w:shd w:val="clear" w:color="auto" w:fill="auto"/>
            <w:vAlign w:val="center"/>
            <w:hideMark/>
          </w:tcPr>
          <w:p w14:paraId="35934375" w14:textId="77777777" w:rsidR="002038FD" w:rsidRPr="004752CC" w:rsidRDefault="002038FD" w:rsidP="002038FD">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Parliament Complex Redevelopment</w:t>
            </w:r>
          </w:p>
        </w:tc>
        <w:tc>
          <w:tcPr>
            <w:tcW w:w="960" w:type="dxa"/>
            <w:tcBorders>
              <w:top w:val="single" w:sz="8" w:space="0" w:color="auto"/>
              <w:left w:val="nil"/>
              <w:bottom w:val="nil"/>
              <w:right w:val="nil"/>
            </w:tcBorders>
            <w:shd w:val="clear" w:color="auto" w:fill="auto"/>
            <w:vAlign w:val="center"/>
            <w:hideMark/>
          </w:tcPr>
          <w:p w14:paraId="6D8FB465" w14:textId="77777777" w:rsidR="002038FD" w:rsidRPr="004752CC" w:rsidRDefault="002038FD" w:rsidP="002038FD">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 xml:space="preserve">$13m </w:t>
            </w:r>
          </w:p>
        </w:tc>
        <w:tc>
          <w:tcPr>
            <w:tcW w:w="960" w:type="dxa"/>
            <w:tcBorders>
              <w:top w:val="single" w:sz="8" w:space="0" w:color="auto"/>
              <w:left w:val="nil"/>
              <w:bottom w:val="nil"/>
              <w:right w:val="nil"/>
            </w:tcBorders>
            <w:shd w:val="clear" w:color="auto" w:fill="auto"/>
            <w:vAlign w:val="center"/>
            <w:hideMark/>
          </w:tcPr>
          <w:p w14:paraId="3D087F2D" w14:textId="2FAB58E3" w:rsidR="002038FD" w:rsidRPr="004752CC" w:rsidRDefault="002038FD" w:rsidP="002038FD">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2018</w:t>
            </w:r>
            <w:r w:rsidRPr="004752CC">
              <w:rPr>
                <w:rFonts w:ascii="Calibri Light" w:eastAsia="Times New Roman" w:hAnsi="Calibri Light" w:cs="Times New Roman"/>
                <w:iCs/>
                <w:color w:val="495965"/>
                <w:sz w:val="17"/>
                <w:szCs w:val="17"/>
                <w:lang w:eastAsia="en-AU"/>
              </w:rPr>
              <w:t xml:space="preserve"> AQC</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0A03BE30" w14:textId="356D482E" w:rsidR="002038FD"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4CA3ECF0" w14:textId="3C76D29F" w:rsidR="002038FD"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47C58130" w14:textId="357AE34C" w:rsidR="002038FD"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7EF9EBA5" w14:textId="466EA3AA" w:rsidR="002038FD"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54D217A5" w14:textId="1D898E6C" w:rsidR="002038FD"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1AE1F4C7" w14:textId="41297AA9" w:rsidR="002038FD"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r>
      <w:tr w:rsidR="00C7104E" w:rsidRPr="004752CC" w14:paraId="443C17A3" w14:textId="77777777" w:rsidTr="005364A2">
        <w:trPr>
          <w:trHeight w:val="315"/>
        </w:trPr>
        <w:tc>
          <w:tcPr>
            <w:tcW w:w="1720" w:type="dxa"/>
            <w:tcBorders>
              <w:top w:val="nil"/>
              <w:left w:val="nil"/>
              <w:bottom w:val="nil"/>
              <w:right w:val="nil"/>
            </w:tcBorders>
            <w:shd w:val="clear" w:color="auto" w:fill="auto"/>
            <w:vAlign w:val="center"/>
            <w:hideMark/>
          </w:tcPr>
          <w:p w14:paraId="43BBC729"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p>
        </w:tc>
        <w:tc>
          <w:tcPr>
            <w:tcW w:w="960" w:type="dxa"/>
            <w:tcBorders>
              <w:top w:val="nil"/>
              <w:left w:val="nil"/>
              <w:bottom w:val="nil"/>
              <w:right w:val="nil"/>
            </w:tcBorders>
            <w:shd w:val="clear" w:color="auto" w:fill="auto"/>
            <w:vAlign w:val="center"/>
            <w:hideMark/>
          </w:tcPr>
          <w:p w14:paraId="15D435BB"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2012-20</w:t>
            </w:r>
          </w:p>
        </w:tc>
        <w:tc>
          <w:tcPr>
            <w:tcW w:w="960" w:type="dxa"/>
            <w:tcBorders>
              <w:top w:val="nil"/>
              <w:left w:val="nil"/>
              <w:bottom w:val="nil"/>
              <w:right w:val="nil"/>
            </w:tcBorders>
            <w:shd w:val="clear" w:color="auto" w:fill="auto"/>
            <w:vAlign w:val="center"/>
            <w:hideMark/>
          </w:tcPr>
          <w:p w14:paraId="091E0581" w14:textId="0E04E1AF"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FFFFFF" w:themeColor="background1"/>
              <w:left w:val="nil"/>
              <w:bottom w:val="single" w:sz="8" w:space="0" w:color="auto"/>
              <w:right w:val="nil"/>
            </w:tcBorders>
            <w:shd w:val="clear" w:color="auto" w:fill="FFC000"/>
            <w:noWrap/>
            <w:vAlign w:val="center"/>
            <w:hideMark/>
          </w:tcPr>
          <w:p w14:paraId="5FC5CCAD" w14:textId="6E7372ED" w:rsidR="00C7104E"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auto" w:fill="FFC000"/>
            <w:noWrap/>
            <w:vAlign w:val="center"/>
            <w:hideMark/>
          </w:tcPr>
          <w:p w14:paraId="4249E622" w14:textId="7426E795"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280E85AA" w14:textId="30D9D4D3" w:rsidR="00C7104E"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FFC000"/>
            <w:noWrap/>
            <w:vAlign w:val="center"/>
            <w:hideMark/>
          </w:tcPr>
          <w:p w14:paraId="502A8008" w14:textId="6B2FF020" w:rsidR="00C7104E"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auto" w:fill="FFC000"/>
            <w:noWrap/>
            <w:vAlign w:val="center"/>
            <w:hideMark/>
          </w:tcPr>
          <w:p w14:paraId="097E925E" w14:textId="09BE96E5" w:rsidR="00C7104E"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57C1E35C" w14:textId="30B5AFE8" w:rsidR="00C7104E" w:rsidRPr="004752CC" w:rsidRDefault="002038FD"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r>
      <w:tr w:rsidR="004752CC" w:rsidRPr="004752CC" w14:paraId="06FA7E2E" w14:textId="77777777" w:rsidTr="005364A2">
        <w:trPr>
          <w:trHeight w:val="675"/>
        </w:trPr>
        <w:tc>
          <w:tcPr>
            <w:tcW w:w="1720" w:type="dxa"/>
            <w:tcBorders>
              <w:top w:val="single" w:sz="8" w:space="0" w:color="auto"/>
              <w:left w:val="nil"/>
              <w:bottom w:val="nil"/>
              <w:right w:val="nil"/>
            </w:tcBorders>
            <w:shd w:val="clear" w:color="auto" w:fill="auto"/>
            <w:vAlign w:val="center"/>
            <w:hideMark/>
          </w:tcPr>
          <w:p w14:paraId="5063B28A"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Education Sector Support Program</w:t>
            </w:r>
          </w:p>
        </w:tc>
        <w:tc>
          <w:tcPr>
            <w:tcW w:w="960" w:type="dxa"/>
            <w:tcBorders>
              <w:top w:val="single" w:sz="8" w:space="0" w:color="auto"/>
              <w:left w:val="nil"/>
              <w:bottom w:val="nil"/>
              <w:right w:val="nil"/>
            </w:tcBorders>
            <w:shd w:val="clear" w:color="auto" w:fill="auto"/>
            <w:vAlign w:val="center"/>
            <w:hideMark/>
          </w:tcPr>
          <w:p w14:paraId="1BC5284F"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 xml:space="preserve">$16.8m </w:t>
            </w:r>
          </w:p>
        </w:tc>
        <w:tc>
          <w:tcPr>
            <w:tcW w:w="960" w:type="dxa"/>
            <w:tcBorders>
              <w:top w:val="single" w:sz="8" w:space="0" w:color="auto"/>
              <w:left w:val="nil"/>
              <w:bottom w:val="nil"/>
              <w:right w:val="nil"/>
            </w:tcBorders>
            <w:shd w:val="clear" w:color="auto" w:fill="auto"/>
            <w:vAlign w:val="center"/>
            <w:hideMark/>
          </w:tcPr>
          <w:p w14:paraId="75A81FCF" w14:textId="2DB16D7D" w:rsidR="004752CC" w:rsidRPr="004752CC" w:rsidRDefault="00C7104E"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2018</w:t>
            </w:r>
            <w:r w:rsidR="004752CC" w:rsidRPr="004752CC">
              <w:rPr>
                <w:rFonts w:ascii="Calibri Light" w:eastAsia="Times New Roman" w:hAnsi="Calibri Light" w:cs="Times New Roman"/>
                <w:iCs/>
                <w:color w:val="495965"/>
                <w:sz w:val="17"/>
                <w:szCs w:val="17"/>
                <w:lang w:eastAsia="en-AU"/>
              </w:rPr>
              <w:t xml:space="preserve"> AQC</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4DD9427B" w14:textId="651347B7"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92D050"/>
            <w:noWrap/>
            <w:vAlign w:val="center"/>
          </w:tcPr>
          <w:p w14:paraId="22D8534F" w14:textId="2FB312D2"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5</w:t>
            </w:r>
          </w:p>
        </w:tc>
        <w:tc>
          <w:tcPr>
            <w:tcW w:w="960" w:type="dxa"/>
            <w:tcBorders>
              <w:top w:val="single" w:sz="8" w:space="0" w:color="auto"/>
              <w:left w:val="nil"/>
              <w:bottom w:val="single" w:sz="8" w:space="0" w:color="FFFFFF" w:themeColor="background1"/>
              <w:right w:val="nil"/>
            </w:tcBorders>
            <w:shd w:val="clear" w:color="auto" w:fill="92D050"/>
            <w:noWrap/>
            <w:vAlign w:val="center"/>
          </w:tcPr>
          <w:p w14:paraId="6000C362" w14:textId="03E5C5E1"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5</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18545D99" w14:textId="20E4F612"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tcPr>
          <w:p w14:paraId="779765A2" w14:textId="0AC0E643"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92D050"/>
            <w:noWrap/>
            <w:vAlign w:val="center"/>
          </w:tcPr>
          <w:p w14:paraId="0622FAC1" w14:textId="254E4406"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5</w:t>
            </w:r>
          </w:p>
        </w:tc>
      </w:tr>
      <w:tr w:rsidR="00C7104E" w:rsidRPr="004752CC" w14:paraId="46354C99" w14:textId="77777777" w:rsidTr="005364A2">
        <w:trPr>
          <w:trHeight w:val="315"/>
        </w:trPr>
        <w:tc>
          <w:tcPr>
            <w:tcW w:w="1720" w:type="dxa"/>
            <w:tcBorders>
              <w:top w:val="nil"/>
              <w:left w:val="nil"/>
              <w:bottom w:val="nil"/>
              <w:right w:val="nil"/>
            </w:tcBorders>
            <w:shd w:val="clear" w:color="auto" w:fill="auto"/>
            <w:vAlign w:val="center"/>
            <w:hideMark/>
          </w:tcPr>
          <w:p w14:paraId="52C769CD"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p>
        </w:tc>
        <w:tc>
          <w:tcPr>
            <w:tcW w:w="960" w:type="dxa"/>
            <w:tcBorders>
              <w:top w:val="nil"/>
              <w:left w:val="nil"/>
              <w:bottom w:val="nil"/>
              <w:right w:val="nil"/>
            </w:tcBorders>
            <w:shd w:val="clear" w:color="auto" w:fill="auto"/>
            <w:vAlign w:val="center"/>
            <w:hideMark/>
          </w:tcPr>
          <w:p w14:paraId="4732B510"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2011-19</w:t>
            </w:r>
          </w:p>
        </w:tc>
        <w:tc>
          <w:tcPr>
            <w:tcW w:w="960" w:type="dxa"/>
            <w:tcBorders>
              <w:top w:val="nil"/>
              <w:left w:val="nil"/>
              <w:bottom w:val="nil"/>
              <w:right w:val="nil"/>
            </w:tcBorders>
            <w:shd w:val="clear" w:color="auto" w:fill="auto"/>
            <w:vAlign w:val="center"/>
            <w:hideMark/>
          </w:tcPr>
          <w:p w14:paraId="7F590D9C" w14:textId="52188CFE"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166C21F8" w14:textId="12392BDE"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92D050"/>
            <w:noWrap/>
            <w:vAlign w:val="center"/>
            <w:hideMark/>
          </w:tcPr>
          <w:p w14:paraId="4D5FEA27" w14:textId="11CEEBF3" w:rsidR="00C7104E" w:rsidRPr="004752CC" w:rsidRDefault="005364A2"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auto" w:fill="92D050"/>
            <w:noWrap/>
            <w:vAlign w:val="center"/>
            <w:hideMark/>
          </w:tcPr>
          <w:p w14:paraId="73A6C9CF" w14:textId="5D8C2405" w:rsidR="00C7104E" w:rsidRPr="004752CC" w:rsidRDefault="005364A2"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6098FCC3" w14:textId="711DB478"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6825BAB3" w14:textId="196EE0A7"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92D050"/>
            <w:noWrap/>
            <w:vAlign w:val="center"/>
            <w:hideMark/>
          </w:tcPr>
          <w:p w14:paraId="0A785A85" w14:textId="3CFAEE94" w:rsidR="00C7104E" w:rsidRPr="004752CC" w:rsidRDefault="005364A2"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5</w:t>
            </w:r>
          </w:p>
        </w:tc>
      </w:tr>
      <w:tr w:rsidR="004752CC" w:rsidRPr="004752CC" w14:paraId="7152F982" w14:textId="77777777" w:rsidTr="005364A2">
        <w:trPr>
          <w:trHeight w:val="300"/>
        </w:trPr>
        <w:tc>
          <w:tcPr>
            <w:tcW w:w="1720" w:type="dxa"/>
            <w:tcBorders>
              <w:top w:val="single" w:sz="8" w:space="0" w:color="auto"/>
              <w:left w:val="nil"/>
              <w:bottom w:val="nil"/>
              <w:right w:val="nil"/>
            </w:tcBorders>
            <w:shd w:val="clear" w:color="auto" w:fill="auto"/>
            <w:vAlign w:val="center"/>
            <w:hideMark/>
          </w:tcPr>
          <w:p w14:paraId="05C870D6"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Health Program</w:t>
            </w:r>
          </w:p>
        </w:tc>
        <w:tc>
          <w:tcPr>
            <w:tcW w:w="960" w:type="dxa"/>
            <w:tcBorders>
              <w:top w:val="single" w:sz="8" w:space="0" w:color="auto"/>
              <w:left w:val="nil"/>
              <w:bottom w:val="nil"/>
              <w:right w:val="nil"/>
            </w:tcBorders>
            <w:shd w:val="clear" w:color="auto" w:fill="auto"/>
            <w:vAlign w:val="center"/>
            <w:hideMark/>
          </w:tcPr>
          <w:p w14:paraId="759D80C1"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$9.2m</w:t>
            </w:r>
          </w:p>
        </w:tc>
        <w:tc>
          <w:tcPr>
            <w:tcW w:w="960" w:type="dxa"/>
            <w:tcBorders>
              <w:top w:val="single" w:sz="8" w:space="0" w:color="auto"/>
              <w:left w:val="nil"/>
              <w:bottom w:val="nil"/>
              <w:right w:val="nil"/>
            </w:tcBorders>
            <w:shd w:val="clear" w:color="auto" w:fill="auto"/>
            <w:vAlign w:val="center"/>
            <w:hideMark/>
          </w:tcPr>
          <w:p w14:paraId="3661631A" w14:textId="7143C1A9" w:rsidR="004752CC" w:rsidRPr="004752CC" w:rsidRDefault="00C7104E"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2018</w:t>
            </w:r>
            <w:r w:rsidR="004752CC" w:rsidRPr="004752CC">
              <w:rPr>
                <w:rFonts w:ascii="Calibri Light" w:eastAsia="Times New Roman" w:hAnsi="Calibri Light" w:cs="Times New Roman"/>
                <w:iCs/>
                <w:color w:val="495965"/>
                <w:sz w:val="17"/>
                <w:szCs w:val="17"/>
                <w:lang w:eastAsia="en-AU"/>
              </w:rPr>
              <w:t xml:space="preserve"> AQC</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5123A101" w14:textId="4694700C"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5EE484EB" w14:textId="479B5C58"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tcPr>
          <w:p w14:paraId="7FCC183D" w14:textId="2E326999"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5</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53CAD970" w14:textId="5F09CCF3"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28049281" w14:textId="1608733A"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52751928" w14:textId="5D392F97"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r>
      <w:tr w:rsidR="00C7104E" w:rsidRPr="004752CC" w14:paraId="3A2A7700" w14:textId="77777777" w:rsidTr="005364A2">
        <w:trPr>
          <w:trHeight w:val="315"/>
        </w:trPr>
        <w:tc>
          <w:tcPr>
            <w:tcW w:w="1720" w:type="dxa"/>
            <w:tcBorders>
              <w:top w:val="nil"/>
              <w:left w:val="nil"/>
              <w:bottom w:val="single" w:sz="8" w:space="0" w:color="auto"/>
              <w:right w:val="nil"/>
            </w:tcBorders>
            <w:shd w:val="clear" w:color="auto" w:fill="auto"/>
            <w:vAlign w:val="center"/>
            <w:hideMark/>
          </w:tcPr>
          <w:p w14:paraId="173AD23C" w14:textId="77777777"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nil"/>
              <w:right w:val="nil"/>
            </w:tcBorders>
            <w:shd w:val="clear" w:color="auto" w:fill="auto"/>
            <w:vAlign w:val="center"/>
            <w:hideMark/>
          </w:tcPr>
          <w:p w14:paraId="46A011C0"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2013-2022</w:t>
            </w:r>
          </w:p>
        </w:tc>
        <w:tc>
          <w:tcPr>
            <w:tcW w:w="960" w:type="dxa"/>
            <w:tcBorders>
              <w:top w:val="nil"/>
              <w:left w:val="nil"/>
              <w:bottom w:val="nil"/>
              <w:right w:val="nil"/>
            </w:tcBorders>
            <w:shd w:val="clear" w:color="auto" w:fill="auto"/>
            <w:vAlign w:val="center"/>
            <w:hideMark/>
          </w:tcPr>
          <w:p w14:paraId="05D5D74F" w14:textId="66605CE4"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77B19C08" w14:textId="24100C20"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73BBD0CB" w14:textId="29140B17"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0745FF8C" w14:textId="1A7A4D7D"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236964D2" w14:textId="2A5F8F06"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1D4D804B" w14:textId="7AD6479E"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auto" w:fill="FFFF00"/>
            <w:noWrap/>
            <w:vAlign w:val="center"/>
            <w:hideMark/>
          </w:tcPr>
          <w:p w14:paraId="413F72F8" w14:textId="0440FAFA"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r>
      <w:tr w:rsidR="004752CC" w:rsidRPr="004752CC" w14:paraId="2E8437FF" w14:textId="77777777" w:rsidTr="005364A2">
        <w:trPr>
          <w:trHeight w:val="450"/>
        </w:trPr>
        <w:tc>
          <w:tcPr>
            <w:tcW w:w="1720" w:type="dxa"/>
            <w:tcBorders>
              <w:top w:val="nil"/>
              <w:left w:val="nil"/>
              <w:bottom w:val="nil"/>
              <w:right w:val="nil"/>
            </w:tcBorders>
            <w:shd w:val="clear" w:color="auto" w:fill="auto"/>
            <w:vAlign w:val="center"/>
            <w:hideMark/>
          </w:tcPr>
          <w:p w14:paraId="0A240BDA"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Disability Program</w:t>
            </w:r>
          </w:p>
        </w:tc>
        <w:tc>
          <w:tcPr>
            <w:tcW w:w="960" w:type="dxa"/>
            <w:tcBorders>
              <w:top w:val="single" w:sz="8" w:space="0" w:color="auto"/>
              <w:left w:val="nil"/>
              <w:bottom w:val="nil"/>
              <w:right w:val="nil"/>
            </w:tcBorders>
            <w:shd w:val="clear" w:color="auto" w:fill="auto"/>
            <w:vAlign w:val="center"/>
            <w:hideMark/>
          </w:tcPr>
          <w:p w14:paraId="23E75D4C"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$5.5m</w:t>
            </w:r>
          </w:p>
        </w:tc>
        <w:tc>
          <w:tcPr>
            <w:tcW w:w="960" w:type="dxa"/>
            <w:tcBorders>
              <w:top w:val="single" w:sz="8" w:space="0" w:color="auto"/>
              <w:left w:val="nil"/>
              <w:bottom w:val="nil"/>
              <w:right w:val="nil"/>
            </w:tcBorders>
            <w:shd w:val="clear" w:color="auto" w:fill="auto"/>
            <w:vAlign w:val="center"/>
            <w:hideMark/>
          </w:tcPr>
          <w:p w14:paraId="7DF301CD" w14:textId="195F21FF" w:rsidR="004752CC" w:rsidRPr="004752CC" w:rsidRDefault="00C7104E"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2018</w:t>
            </w:r>
            <w:r w:rsidR="004752CC" w:rsidRPr="004752CC">
              <w:rPr>
                <w:rFonts w:ascii="Calibri Light" w:eastAsia="Times New Roman" w:hAnsi="Calibri Light" w:cs="Times New Roman"/>
                <w:iCs/>
                <w:color w:val="495965"/>
                <w:sz w:val="17"/>
                <w:szCs w:val="17"/>
                <w:lang w:eastAsia="en-AU"/>
              </w:rPr>
              <w:t xml:space="preserve"> AQC</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6E990377" w14:textId="75E3A48B"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7F26DEF1" w14:textId="392C6FE4"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1143C75A" w14:textId="78CD605B"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70438EA6" w14:textId="79F67DCA"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6AC47707" w14:textId="00449C9B"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c>
          <w:tcPr>
            <w:tcW w:w="960" w:type="dxa"/>
            <w:tcBorders>
              <w:top w:val="single" w:sz="8" w:space="0" w:color="auto"/>
              <w:left w:val="nil"/>
              <w:bottom w:val="single" w:sz="8" w:space="0" w:color="FFFFFF" w:themeColor="background1"/>
              <w:right w:val="nil"/>
            </w:tcBorders>
            <w:shd w:val="clear" w:color="auto" w:fill="FFFF00"/>
            <w:noWrap/>
            <w:vAlign w:val="center"/>
          </w:tcPr>
          <w:p w14:paraId="0E174A25" w14:textId="6338A146" w:rsidR="004752CC"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4</w:t>
            </w:r>
          </w:p>
        </w:tc>
      </w:tr>
      <w:tr w:rsidR="00C7104E" w:rsidRPr="004752CC" w14:paraId="0E62F21E" w14:textId="77777777" w:rsidTr="005364A2">
        <w:trPr>
          <w:trHeight w:val="315"/>
        </w:trPr>
        <w:tc>
          <w:tcPr>
            <w:tcW w:w="1720" w:type="dxa"/>
            <w:tcBorders>
              <w:top w:val="nil"/>
              <w:left w:val="nil"/>
              <w:bottom w:val="single" w:sz="4" w:space="0" w:color="auto"/>
              <w:right w:val="nil"/>
            </w:tcBorders>
            <w:shd w:val="clear" w:color="auto" w:fill="auto"/>
            <w:vAlign w:val="center"/>
            <w:hideMark/>
          </w:tcPr>
          <w:p w14:paraId="21650136" w14:textId="77777777"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4" w:space="0" w:color="auto"/>
              <w:right w:val="nil"/>
            </w:tcBorders>
            <w:shd w:val="clear" w:color="auto" w:fill="auto"/>
            <w:vAlign w:val="center"/>
            <w:hideMark/>
          </w:tcPr>
          <w:p w14:paraId="3AEC4AB6" w14:textId="77777777" w:rsidR="00C7104E" w:rsidRPr="004752CC" w:rsidRDefault="00C7104E" w:rsidP="00C7104E">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2012-2018</w:t>
            </w:r>
          </w:p>
        </w:tc>
        <w:tc>
          <w:tcPr>
            <w:tcW w:w="960" w:type="dxa"/>
            <w:tcBorders>
              <w:top w:val="nil"/>
              <w:left w:val="nil"/>
              <w:bottom w:val="single" w:sz="4" w:space="0" w:color="auto"/>
              <w:right w:val="nil"/>
            </w:tcBorders>
            <w:shd w:val="clear" w:color="auto" w:fill="auto"/>
            <w:vAlign w:val="center"/>
            <w:hideMark/>
          </w:tcPr>
          <w:p w14:paraId="15FAF6A5" w14:textId="008684FA" w:rsidR="00C7104E" w:rsidRPr="004752CC" w:rsidRDefault="00C7104E" w:rsidP="00C7104E">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FFFFFF" w:themeColor="background1"/>
              <w:left w:val="nil"/>
              <w:bottom w:val="single" w:sz="4" w:space="0" w:color="auto"/>
              <w:right w:val="nil"/>
            </w:tcBorders>
            <w:shd w:val="clear" w:color="auto" w:fill="FFFF00"/>
            <w:noWrap/>
            <w:vAlign w:val="center"/>
            <w:hideMark/>
          </w:tcPr>
          <w:p w14:paraId="57D4D934" w14:textId="5DA5805C" w:rsidR="00C7104E" w:rsidRPr="004752CC" w:rsidRDefault="005364A2"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4" w:space="0" w:color="auto"/>
              <w:right w:val="nil"/>
            </w:tcBorders>
            <w:shd w:val="clear" w:color="auto" w:fill="FFFF00"/>
            <w:noWrap/>
            <w:vAlign w:val="center"/>
            <w:hideMark/>
          </w:tcPr>
          <w:p w14:paraId="1B9D81C0" w14:textId="44471C25" w:rsidR="00C7104E"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4" w:space="0" w:color="auto"/>
              <w:right w:val="nil"/>
            </w:tcBorders>
            <w:shd w:val="clear" w:color="auto" w:fill="FFFF00"/>
            <w:noWrap/>
            <w:vAlign w:val="center"/>
            <w:hideMark/>
          </w:tcPr>
          <w:p w14:paraId="04875EC6" w14:textId="20F14140" w:rsidR="00C7104E" w:rsidRPr="004752CC" w:rsidRDefault="005364A2"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4" w:space="0" w:color="auto"/>
              <w:right w:val="nil"/>
            </w:tcBorders>
            <w:shd w:val="clear" w:color="auto" w:fill="FFFF00"/>
            <w:noWrap/>
            <w:vAlign w:val="center"/>
            <w:hideMark/>
          </w:tcPr>
          <w:p w14:paraId="584B71FF" w14:textId="3D895B02" w:rsidR="00C7104E" w:rsidRPr="004752CC" w:rsidRDefault="005364A2"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4" w:space="0" w:color="auto"/>
              <w:right w:val="nil"/>
            </w:tcBorders>
            <w:shd w:val="clear" w:color="auto" w:fill="FFFF00"/>
            <w:noWrap/>
            <w:vAlign w:val="center"/>
            <w:hideMark/>
          </w:tcPr>
          <w:p w14:paraId="616139F2" w14:textId="7E43A91E" w:rsidR="00C7104E" w:rsidRPr="004752CC" w:rsidRDefault="00C7104E"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4" w:space="0" w:color="auto"/>
              <w:right w:val="nil"/>
            </w:tcBorders>
            <w:shd w:val="clear" w:color="auto" w:fill="FFFF00"/>
            <w:noWrap/>
            <w:vAlign w:val="center"/>
            <w:hideMark/>
          </w:tcPr>
          <w:p w14:paraId="69F8F1D9" w14:textId="3B6C458D" w:rsidR="00C7104E" w:rsidRPr="004752CC" w:rsidRDefault="00C74F03" w:rsidP="00290DB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eastAsia="en-AU"/>
              </w:rPr>
              <w:t>4</w:t>
            </w:r>
          </w:p>
        </w:tc>
      </w:tr>
      <w:tr w:rsidR="00086C21" w:rsidRPr="004752CC" w14:paraId="5FA041CA" w14:textId="77777777" w:rsidTr="005364A2">
        <w:trPr>
          <w:trHeight w:val="315"/>
        </w:trPr>
        <w:tc>
          <w:tcPr>
            <w:tcW w:w="1720" w:type="dxa"/>
            <w:tcBorders>
              <w:top w:val="single" w:sz="4" w:space="0" w:color="auto"/>
              <w:left w:val="nil"/>
              <w:bottom w:val="nil"/>
              <w:right w:val="nil"/>
            </w:tcBorders>
            <w:shd w:val="clear" w:color="auto" w:fill="auto"/>
            <w:vAlign w:val="center"/>
          </w:tcPr>
          <w:p w14:paraId="626EF620" w14:textId="317341D5" w:rsidR="00086C21" w:rsidRPr="004752CC" w:rsidRDefault="00086C21" w:rsidP="00086C21">
            <w:pPr>
              <w:suppressAutoHyphens w:val="0"/>
              <w:spacing w:before="0" w:after="0" w:line="240" w:lineRule="auto"/>
              <w:rPr>
                <w:rFonts w:ascii="Calibri Light" w:eastAsia="Times New Roman" w:hAnsi="Calibri Light" w:cs="Times New Roman"/>
                <w:color w:val="495965"/>
                <w:sz w:val="17"/>
                <w:szCs w:val="17"/>
                <w:lang w:val="en-AU" w:eastAsia="en-AU"/>
              </w:rPr>
            </w:pPr>
            <w:r w:rsidRPr="00086C21">
              <w:rPr>
                <w:rFonts w:ascii="Calibri Light" w:eastAsia="Times New Roman" w:hAnsi="Calibri Light" w:cs="Times New Roman"/>
                <w:iCs/>
                <w:color w:val="495965"/>
                <w:sz w:val="17"/>
                <w:szCs w:val="17"/>
                <w:lang w:eastAsia="en-AU"/>
              </w:rPr>
              <w:t>Samoa Cyclone Evan Response &amp; Recovery Program</w:t>
            </w:r>
          </w:p>
        </w:tc>
        <w:tc>
          <w:tcPr>
            <w:tcW w:w="960" w:type="dxa"/>
            <w:tcBorders>
              <w:top w:val="single" w:sz="4" w:space="0" w:color="auto"/>
              <w:left w:val="nil"/>
              <w:bottom w:val="nil"/>
              <w:right w:val="nil"/>
            </w:tcBorders>
            <w:shd w:val="clear" w:color="auto" w:fill="auto"/>
            <w:vAlign w:val="center"/>
          </w:tcPr>
          <w:p w14:paraId="55E516DF" w14:textId="21BCDB4E" w:rsidR="00086C21" w:rsidRPr="004752CC" w:rsidRDefault="00086C21" w:rsidP="00086C21">
            <w:pPr>
              <w:suppressAutoHyphens w:val="0"/>
              <w:spacing w:before="0" w:after="0" w:line="240" w:lineRule="auto"/>
              <w:jc w:val="right"/>
              <w:rPr>
                <w:rFonts w:ascii="Calibri Light" w:eastAsia="Times New Roman" w:hAnsi="Calibri Light" w:cs="Times New Roman"/>
                <w:color w:val="000000"/>
                <w:sz w:val="17"/>
                <w:szCs w:val="17"/>
                <w:lang w:eastAsia="en-AU"/>
              </w:rPr>
            </w:pPr>
            <w:r w:rsidRPr="004752CC">
              <w:rPr>
                <w:rFonts w:ascii="Calibri Light" w:eastAsia="Times New Roman" w:hAnsi="Calibri Light" w:cs="Times New Roman"/>
                <w:color w:val="000000"/>
                <w:sz w:val="17"/>
                <w:szCs w:val="17"/>
                <w:lang w:eastAsia="en-AU"/>
              </w:rPr>
              <w:t>$</w:t>
            </w:r>
            <w:r>
              <w:rPr>
                <w:rFonts w:ascii="Calibri Light" w:eastAsia="Times New Roman" w:hAnsi="Calibri Light" w:cs="Times New Roman"/>
                <w:color w:val="000000"/>
                <w:sz w:val="17"/>
                <w:szCs w:val="17"/>
                <w:lang w:eastAsia="en-AU"/>
              </w:rPr>
              <w:t>8</w:t>
            </w:r>
            <w:r w:rsidRPr="004752CC">
              <w:rPr>
                <w:rFonts w:ascii="Calibri Light" w:eastAsia="Times New Roman" w:hAnsi="Calibri Light" w:cs="Times New Roman"/>
                <w:color w:val="000000"/>
                <w:sz w:val="17"/>
                <w:szCs w:val="17"/>
                <w:lang w:eastAsia="en-AU"/>
              </w:rPr>
              <w:t>.</w:t>
            </w:r>
            <w:r>
              <w:rPr>
                <w:rFonts w:ascii="Calibri Light" w:eastAsia="Times New Roman" w:hAnsi="Calibri Light" w:cs="Times New Roman"/>
                <w:color w:val="000000"/>
                <w:sz w:val="17"/>
                <w:szCs w:val="17"/>
                <w:lang w:eastAsia="en-AU"/>
              </w:rPr>
              <w:t>1</w:t>
            </w:r>
            <w:r w:rsidRPr="004752CC">
              <w:rPr>
                <w:rFonts w:ascii="Calibri Light" w:eastAsia="Times New Roman" w:hAnsi="Calibri Light" w:cs="Times New Roman"/>
                <w:color w:val="000000"/>
                <w:sz w:val="17"/>
                <w:szCs w:val="17"/>
                <w:lang w:eastAsia="en-AU"/>
              </w:rPr>
              <w:t>m</w:t>
            </w:r>
          </w:p>
        </w:tc>
        <w:tc>
          <w:tcPr>
            <w:tcW w:w="960" w:type="dxa"/>
            <w:tcBorders>
              <w:top w:val="single" w:sz="4" w:space="0" w:color="auto"/>
              <w:left w:val="nil"/>
              <w:bottom w:val="nil"/>
              <w:right w:val="nil"/>
            </w:tcBorders>
            <w:shd w:val="clear" w:color="auto" w:fill="auto"/>
            <w:vAlign w:val="center"/>
          </w:tcPr>
          <w:p w14:paraId="50AB3C68" w14:textId="50C86E28" w:rsidR="00086C21" w:rsidRPr="004752CC" w:rsidRDefault="00086C21" w:rsidP="00086C21">
            <w:pPr>
              <w:suppressAutoHyphens w:val="0"/>
              <w:spacing w:before="0" w:after="0" w:line="240" w:lineRule="auto"/>
              <w:rPr>
                <w:rFonts w:ascii="Calibri Light" w:eastAsia="Times New Roman" w:hAnsi="Calibri Light" w:cs="Times New Roman"/>
                <w:iCs/>
                <w:color w:val="495965"/>
                <w:sz w:val="17"/>
                <w:szCs w:val="17"/>
                <w:lang w:eastAsia="en-AU"/>
              </w:rPr>
            </w:pPr>
            <w:r>
              <w:rPr>
                <w:rFonts w:ascii="Calibri Light" w:eastAsia="Times New Roman" w:hAnsi="Calibri Light" w:cs="Times New Roman"/>
                <w:iCs/>
                <w:color w:val="495965"/>
                <w:sz w:val="17"/>
                <w:szCs w:val="17"/>
                <w:lang w:eastAsia="en-AU"/>
              </w:rPr>
              <w:t>2018</w:t>
            </w:r>
            <w:r w:rsidRPr="004752CC">
              <w:rPr>
                <w:rFonts w:ascii="Calibri Light" w:eastAsia="Times New Roman" w:hAnsi="Calibri Light" w:cs="Times New Roman"/>
                <w:iCs/>
                <w:color w:val="495965"/>
                <w:sz w:val="17"/>
                <w:szCs w:val="17"/>
                <w:lang w:eastAsia="en-AU"/>
              </w:rPr>
              <w:t xml:space="preserve"> AQC</w:t>
            </w:r>
          </w:p>
        </w:tc>
        <w:tc>
          <w:tcPr>
            <w:tcW w:w="960" w:type="dxa"/>
            <w:tcBorders>
              <w:top w:val="single" w:sz="4" w:space="0" w:color="auto"/>
              <w:left w:val="nil"/>
              <w:bottom w:val="single" w:sz="8" w:space="0" w:color="FFFFFF" w:themeColor="background1"/>
              <w:right w:val="nil"/>
            </w:tcBorders>
            <w:shd w:val="clear" w:color="auto" w:fill="FFFF00"/>
            <w:noWrap/>
            <w:vAlign w:val="center"/>
          </w:tcPr>
          <w:p w14:paraId="543941FD" w14:textId="3436E347" w:rsidR="00086C21"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val="en-AU" w:eastAsia="en-AU"/>
              </w:rPr>
              <w:t>4</w:t>
            </w:r>
          </w:p>
        </w:tc>
        <w:tc>
          <w:tcPr>
            <w:tcW w:w="960" w:type="dxa"/>
            <w:tcBorders>
              <w:top w:val="single" w:sz="4" w:space="0" w:color="auto"/>
              <w:left w:val="nil"/>
              <w:bottom w:val="single" w:sz="8" w:space="0" w:color="FFFFFF" w:themeColor="background1"/>
              <w:right w:val="nil"/>
            </w:tcBorders>
            <w:shd w:val="clear" w:color="auto" w:fill="FFFF00"/>
            <w:noWrap/>
            <w:vAlign w:val="center"/>
          </w:tcPr>
          <w:p w14:paraId="33A56971" w14:textId="38B9E01A" w:rsidR="00086C21"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val="en-AU" w:eastAsia="en-AU"/>
              </w:rPr>
              <w:t>4</w:t>
            </w:r>
          </w:p>
        </w:tc>
        <w:tc>
          <w:tcPr>
            <w:tcW w:w="960" w:type="dxa"/>
            <w:tcBorders>
              <w:top w:val="single" w:sz="4" w:space="0" w:color="auto"/>
              <w:left w:val="nil"/>
              <w:bottom w:val="single" w:sz="8" w:space="0" w:color="FFFFFF" w:themeColor="background1"/>
              <w:right w:val="nil"/>
            </w:tcBorders>
            <w:shd w:val="clear" w:color="000000" w:fill="92D050"/>
            <w:noWrap/>
            <w:vAlign w:val="center"/>
          </w:tcPr>
          <w:p w14:paraId="6BCAE86B" w14:textId="2BB1F675" w:rsidR="00086C21"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val="en-AU" w:eastAsia="en-AU"/>
              </w:rPr>
              <w:t>5</w:t>
            </w:r>
          </w:p>
        </w:tc>
        <w:tc>
          <w:tcPr>
            <w:tcW w:w="960" w:type="dxa"/>
            <w:tcBorders>
              <w:top w:val="single" w:sz="4" w:space="0" w:color="auto"/>
              <w:left w:val="nil"/>
              <w:bottom w:val="single" w:sz="8" w:space="0" w:color="FFFFFF" w:themeColor="background1"/>
              <w:right w:val="nil"/>
            </w:tcBorders>
            <w:shd w:val="clear" w:color="auto" w:fill="FFFF00"/>
            <w:noWrap/>
            <w:vAlign w:val="center"/>
          </w:tcPr>
          <w:p w14:paraId="62433EF0" w14:textId="50F1E407" w:rsidR="00086C21"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val="en-AU" w:eastAsia="en-AU"/>
              </w:rPr>
              <w:t>4</w:t>
            </w:r>
          </w:p>
        </w:tc>
        <w:tc>
          <w:tcPr>
            <w:tcW w:w="960" w:type="dxa"/>
            <w:tcBorders>
              <w:top w:val="single" w:sz="4" w:space="0" w:color="auto"/>
              <w:left w:val="nil"/>
              <w:bottom w:val="single" w:sz="8" w:space="0" w:color="FFFFFF" w:themeColor="background1"/>
              <w:right w:val="nil"/>
            </w:tcBorders>
            <w:shd w:val="clear" w:color="auto" w:fill="FFFF00"/>
            <w:noWrap/>
            <w:vAlign w:val="center"/>
          </w:tcPr>
          <w:p w14:paraId="48D276F2" w14:textId="6AC5BB34" w:rsidR="00086C21"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val="en-AU" w:eastAsia="en-AU"/>
              </w:rPr>
              <w:t>4</w:t>
            </w:r>
          </w:p>
        </w:tc>
        <w:tc>
          <w:tcPr>
            <w:tcW w:w="960" w:type="dxa"/>
            <w:tcBorders>
              <w:top w:val="single" w:sz="4" w:space="0" w:color="auto"/>
              <w:left w:val="nil"/>
              <w:bottom w:val="single" w:sz="8" w:space="0" w:color="FFFFFF" w:themeColor="background1"/>
              <w:right w:val="nil"/>
            </w:tcBorders>
            <w:shd w:val="clear" w:color="auto" w:fill="FFFF00"/>
            <w:noWrap/>
            <w:vAlign w:val="center"/>
          </w:tcPr>
          <w:p w14:paraId="4D2A021F" w14:textId="3EABB1DA" w:rsidR="00086C21"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val="en-AU" w:eastAsia="en-AU"/>
              </w:rPr>
              <w:t>4</w:t>
            </w:r>
          </w:p>
        </w:tc>
      </w:tr>
      <w:tr w:rsidR="00086C21" w:rsidRPr="004752CC" w14:paraId="16C36E66" w14:textId="77777777" w:rsidTr="005364A2">
        <w:trPr>
          <w:trHeight w:val="315"/>
        </w:trPr>
        <w:tc>
          <w:tcPr>
            <w:tcW w:w="1720" w:type="dxa"/>
            <w:tcBorders>
              <w:top w:val="nil"/>
              <w:left w:val="nil"/>
              <w:bottom w:val="single" w:sz="12" w:space="0" w:color="000000"/>
              <w:right w:val="nil"/>
            </w:tcBorders>
            <w:shd w:val="clear" w:color="auto" w:fill="auto"/>
            <w:vAlign w:val="center"/>
          </w:tcPr>
          <w:p w14:paraId="07F3AE0B" w14:textId="5BD2CAB1" w:rsidR="00086C21" w:rsidRPr="004752CC" w:rsidRDefault="00086C21" w:rsidP="00086C21">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tcPr>
          <w:p w14:paraId="2A68A1C2" w14:textId="634914DE" w:rsidR="00086C21" w:rsidRPr="004752CC" w:rsidRDefault="00086C21" w:rsidP="00086C21">
            <w:pPr>
              <w:suppressAutoHyphens w:val="0"/>
              <w:spacing w:before="0" w:after="0" w:line="240" w:lineRule="auto"/>
              <w:jc w:val="right"/>
              <w:rPr>
                <w:rFonts w:ascii="Calibri Light" w:eastAsia="Times New Roman" w:hAnsi="Calibri Light" w:cs="Times New Roman"/>
                <w:color w:val="000000"/>
                <w:sz w:val="17"/>
                <w:szCs w:val="17"/>
                <w:lang w:eastAsia="en-AU"/>
              </w:rPr>
            </w:pPr>
            <w:r w:rsidRPr="004752CC">
              <w:rPr>
                <w:rFonts w:ascii="Calibri Light" w:eastAsia="Times New Roman" w:hAnsi="Calibri Light" w:cs="Times New Roman"/>
                <w:color w:val="000000"/>
                <w:sz w:val="17"/>
                <w:szCs w:val="17"/>
                <w:lang w:eastAsia="en-AU"/>
              </w:rPr>
              <w:t>2012-201</w:t>
            </w:r>
            <w:r>
              <w:rPr>
                <w:rFonts w:ascii="Calibri Light" w:eastAsia="Times New Roman" w:hAnsi="Calibri Light" w:cs="Times New Roman"/>
                <w:color w:val="000000"/>
                <w:sz w:val="17"/>
                <w:szCs w:val="17"/>
                <w:lang w:eastAsia="en-AU"/>
              </w:rPr>
              <w:t>7</w:t>
            </w:r>
          </w:p>
        </w:tc>
        <w:tc>
          <w:tcPr>
            <w:tcW w:w="960" w:type="dxa"/>
            <w:tcBorders>
              <w:top w:val="nil"/>
              <w:left w:val="nil"/>
              <w:bottom w:val="single" w:sz="12" w:space="0" w:color="000000"/>
              <w:right w:val="nil"/>
            </w:tcBorders>
            <w:shd w:val="clear" w:color="auto" w:fill="auto"/>
            <w:vAlign w:val="center"/>
          </w:tcPr>
          <w:p w14:paraId="0B124714" w14:textId="3E2E91A8" w:rsidR="00086C21" w:rsidRPr="004752CC" w:rsidRDefault="00086C21" w:rsidP="00086C21">
            <w:pPr>
              <w:suppressAutoHyphens w:val="0"/>
              <w:spacing w:before="0" w:after="0" w:line="240" w:lineRule="auto"/>
              <w:rPr>
                <w:rFonts w:ascii="Calibri Light" w:eastAsia="Times New Roman" w:hAnsi="Calibri Light" w:cs="Times New Roman"/>
                <w:iCs/>
                <w:color w:val="495965"/>
                <w:sz w:val="17"/>
                <w:szCs w:val="17"/>
                <w:lang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FFFFFF" w:themeColor="background1"/>
              <w:left w:val="nil"/>
              <w:bottom w:val="single" w:sz="12" w:space="0" w:color="000000"/>
              <w:right w:val="nil"/>
            </w:tcBorders>
            <w:shd w:val="clear" w:color="auto" w:fill="FFFF00"/>
            <w:noWrap/>
            <w:vAlign w:val="center"/>
          </w:tcPr>
          <w:p w14:paraId="573D7533" w14:textId="30B79C48" w:rsidR="00086C21"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12" w:space="0" w:color="000000"/>
              <w:right w:val="nil"/>
            </w:tcBorders>
            <w:shd w:val="clear" w:color="auto" w:fill="FFC000"/>
            <w:noWrap/>
            <w:vAlign w:val="center"/>
          </w:tcPr>
          <w:p w14:paraId="6BC60270" w14:textId="27FD338D" w:rsidR="00086C21"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12" w:space="0" w:color="000000"/>
              <w:right w:val="nil"/>
            </w:tcBorders>
            <w:shd w:val="clear" w:color="auto" w:fill="FFFF00"/>
            <w:noWrap/>
            <w:vAlign w:val="center"/>
          </w:tcPr>
          <w:p w14:paraId="26586585" w14:textId="607CCFBF" w:rsidR="00086C21"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12" w:space="0" w:color="000000"/>
              <w:right w:val="nil"/>
            </w:tcBorders>
            <w:shd w:val="clear" w:color="auto" w:fill="FFC000"/>
            <w:noWrap/>
            <w:vAlign w:val="center"/>
          </w:tcPr>
          <w:p w14:paraId="283B6946" w14:textId="79A5F676" w:rsidR="00086C21"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12" w:space="0" w:color="000000"/>
              <w:right w:val="nil"/>
            </w:tcBorders>
            <w:shd w:val="clear" w:color="auto" w:fill="FFC000"/>
            <w:noWrap/>
            <w:vAlign w:val="center"/>
          </w:tcPr>
          <w:p w14:paraId="0A4260A0" w14:textId="17C1F5CA" w:rsidR="00086C21" w:rsidRPr="004752CC" w:rsidRDefault="00086C21" w:rsidP="00290DBC">
            <w:pPr>
              <w:suppressAutoHyphens w:val="0"/>
              <w:spacing w:before="0" w:after="0" w:line="240" w:lineRule="auto"/>
              <w:jc w:val="center"/>
              <w:rPr>
                <w:rFonts w:ascii="Calibri Light" w:eastAsia="Times New Roman" w:hAnsi="Calibri Light" w:cs="Times New Roman"/>
                <w:color w:val="495965"/>
                <w:sz w:val="17"/>
                <w:szCs w:val="17"/>
                <w:lang w:eastAsia="en-AU"/>
              </w:rPr>
            </w:pPr>
            <w:r>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12" w:space="0" w:color="000000"/>
              <w:right w:val="nil"/>
            </w:tcBorders>
            <w:shd w:val="clear" w:color="auto" w:fill="FFFF00"/>
            <w:noWrap/>
            <w:vAlign w:val="center"/>
          </w:tcPr>
          <w:p w14:paraId="2F818476" w14:textId="57697BE5" w:rsidR="00086C21" w:rsidRPr="005364A2" w:rsidRDefault="00086C21" w:rsidP="00290DBC">
            <w:pPr>
              <w:suppressAutoHyphens w:val="0"/>
              <w:spacing w:before="0" w:after="0" w:line="240" w:lineRule="auto"/>
              <w:jc w:val="center"/>
              <w:rPr>
                <w:rFonts w:ascii="Calibri Light" w:eastAsia="Times New Roman" w:hAnsi="Calibri Light" w:cs="Times New Roman"/>
                <w:color w:val="495965"/>
                <w:sz w:val="17"/>
                <w:szCs w:val="17"/>
                <w:highlight w:val="yellow"/>
                <w:lang w:eastAsia="en-AU"/>
              </w:rPr>
            </w:pPr>
            <w:r w:rsidRPr="005364A2">
              <w:rPr>
                <w:rFonts w:ascii="Calibri Light" w:eastAsia="Times New Roman" w:hAnsi="Calibri Light" w:cs="Times New Roman"/>
                <w:color w:val="495965"/>
                <w:sz w:val="17"/>
                <w:szCs w:val="17"/>
                <w:highlight w:val="yellow"/>
                <w:lang w:eastAsia="en-AU"/>
              </w:rPr>
              <w:t>4</w:t>
            </w:r>
          </w:p>
        </w:tc>
      </w:tr>
    </w:tbl>
    <w:p w14:paraId="193E53B2" w14:textId="77777777" w:rsidR="00037EDE" w:rsidRDefault="00037EDE"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071D8C17" w14:textId="77777777" w:rsidR="00037EDE" w:rsidRDefault="00037EDE">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1393F938" w14:textId="77777777"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lastRenderedPageBreak/>
        <w:t xml:space="preserve">FAQC ratings </w:t>
      </w:r>
    </w:p>
    <w:p w14:paraId="2ECC88ED" w14:textId="77777777" w:rsidR="00A8197B" w:rsidRPr="00C61187" w:rsidRDefault="00A8197B" w:rsidP="00A8197B">
      <w:r w:rsidRPr="00C61187">
        <w:t>Final AQCs assess performance over the lifetime of the investment (ratings are not compared to previous years).</w:t>
      </w:r>
    </w:p>
    <w:tbl>
      <w:tblPr>
        <w:tblStyle w:val="APPR"/>
        <w:tblW w:w="4823" w:type="pct"/>
        <w:tblLook w:val="0000" w:firstRow="0" w:lastRow="0" w:firstColumn="0" w:lastColumn="0" w:noHBand="0" w:noVBand="0"/>
      </w:tblPr>
      <w:tblGrid>
        <w:gridCol w:w="1871"/>
        <w:gridCol w:w="1354"/>
        <w:gridCol w:w="860"/>
        <w:gridCol w:w="855"/>
        <w:gridCol w:w="859"/>
        <w:gridCol w:w="857"/>
        <w:gridCol w:w="860"/>
        <w:gridCol w:w="857"/>
        <w:gridCol w:w="848"/>
        <w:gridCol w:w="76"/>
      </w:tblGrid>
      <w:tr w:rsidR="00C9498B" w:rsidRPr="00812509" w14:paraId="5E7EF569" w14:textId="77777777" w:rsidTr="00086C21">
        <w:trPr>
          <w:gridAfter w:val="1"/>
          <w:cnfStyle w:val="000000010000" w:firstRow="0" w:lastRow="0" w:firstColumn="0" w:lastColumn="0" w:oddVBand="0" w:evenVBand="0" w:oddHBand="0" w:evenHBand="1" w:firstRowFirstColumn="0" w:firstRowLastColumn="0" w:lastRowFirstColumn="0" w:lastRowLastColumn="0"/>
          <w:wAfter w:w="3" w:type="pct"/>
          <w:trHeight w:val="1558"/>
        </w:trPr>
        <w:tc>
          <w:tcPr>
            <w:tcW w:w="987" w:type="pct"/>
          </w:tcPr>
          <w:p w14:paraId="42FC32BE"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94080" behindDoc="0" locked="0" layoutInCell="1" allowOverlap="1" wp14:anchorId="4799A213" wp14:editId="6BEB8013">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716" w:type="pct"/>
            <w:textDirection w:val="btLr"/>
          </w:tcPr>
          <w:p w14:paraId="60338960"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49" w:type="pct"/>
            <w:noWrap/>
            <w:textDirection w:val="btLr"/>
          </w:tcPr>
          <w:p w14:paraId="342A065C"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46" w:type="pct"/>
            <w:noWrap/>
            <w:textDirection w:val="btLr"/>
          </w:tcPr>
          <w:p w14:paraId="4B42D322"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48" w:type="pct"/>
            <w:noWrap/>
            <w:textDirection w:val="btLr"/>
          </w:tcPr>
          <w:p w14:paraId="5DAAA5C7"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47" w:type="pct"/>
            <w:noWrap/>
            <w:textDirection w:val="btLr"/>
          </w:tcPr>
          <w:p w14:paraId="76A6A8BE"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49" w:type="pct"/>
            <w:noWrap/>
            <w:textDirection w:val="btLr"/>
          </w:tcPr>
          <w:p w14:paraId="72A47EFA"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47" w:type="pct"/>
            <w:noWrap/>
            <w:textDirection w:val="btLr"/>
          </w:tcPr>
          <w:p w14:paraId="2BA823B3"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42" w:type="pct"/>
            <w:textDirection w:val="btLr"/>
          </w:tcPr>
          <w:p w14:paraId="6C6E4CA3"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C9498B" w:rsidRPr="00812509" w14:paraId="0E3733C2" w14:textId="77777777" w:rsidTr="005364A2">
        <w:trPr>
          <w:cnfStyle w:val="000000010000" w:firstRow="0" w:lastRow="0" w:firstColumn="0" w:lastColumn="0" w:oddVBand="0" w:evenVBand="0" w:oddHBand="0" w:evenHBand="1" w:firstRowFirstColumn="0" w:firstRowLastColumn="0" w:lastRowFirstColumn="0" w:lastRowLastColumn="0"/>
          <w:trHeight w:val="294"/>
        </w:trPr>
        <w:tc>
          <w:tcPr>
            <w:tcW w:w="987" w:type="pct"/>
          </w:tcPr>
          <w:p w14:paraId="591E68DA" w14:textId="30E835AB" w:rsidR="00C9498B" w:rsidRPr="004D7616" w:rsidRDefault="00C7104E" w:rsidP="00D15A00">
            <w:pPr>
              <w:keepLines/>
              <w:spacing w:before="40" w:after="40" w:line="200" w:lineRule="atLeast"/>
              <w:rPr>
                <w:rFonts w:asciiTheme="minorHAnsi" w:eastAsia="Times New Roman" w:hAnsiTheme="minorHAnsi"/>
                <w:iCs/>
                <w:szCs w:val="17"/>
                <w:lang w:eastAsia="en-US"/>
              </w:rPr>
            </w:pPr>
            <w:r w:rsidRPr="00C7104E">
              <w:rPr>
                <w:rFonts w:asciiTheme="minorHAnsi" w:eastAsia="Times New Roman" w:hAnsiTheme="minorHAnsi"/>
                <w:iCs/>
                <w:szCs w:val="17"/>
              </w:rPr>
              <w:t>Samoa Economic Reform Program</w:t>
            </w:r>
          </w:p>
        </w:tc>
        <w:tc>
          <w:tcPr>
            <w:tcW w:w="716" w:type="pct"/>
          </w:tcPr>
          <w:p w14:paraId="7EA9586C" w14:textId="351B11A8" w:rsidR="00C9498B" w:rsidRPr="004D7616" w:rsidRDefault="00C9498B" w:rsidP="00D15A00">
            <w:pPr>
              <w:autoSpaceDE w:val="0"/>
              <w:autoSpaceDN w:val="0"/>
              <w:adjustRightInd w:val="0"/>
              <w:rPr>
                <w:rFonts w:asciiTheme="minorHAnsi" w:hAnsiTheme="minorHAnsi" w:cs="Franklin Gothic Book"/>
                <w:color w:val="000000"/>
                <w:szCs w:val="17"/>
              </w:rPr>
            </w:pPr>
            <w:r w:rsidRPr="004D7616">
              <w:rPr>
                <w:rFonts w:asciiTheme="minorHAnsi" w:hAnsiTheme="minorHAnsi" w:cs="Franklin Gothic Book"/>
                <w:color w:val="000000"/>
                <w:szCs w:val="17"/>
              </w:rPr>
              <w:t>$</w:t>
            </w:r>
            <w:r w:rsidR="00C74F03">
              <w:rPr>
                <w:rFonts w:asciiTheme="minorHAnsi" w:hAnsiTheme="minorHAnsi" w:cs="Franklin Gothic Book"/>
                <w:color w:val="000000"/>
                <w:szCs w:val="17"/>
              </w:rPr>
              <w:t>8.5</w:t>
            </w:r>
            <w:r w:rsidRPr="004D7616">
              <w:rPr>
                <w:rFonts w:asciiTheme="minorHAnsi" w:hAnsiTheme="minorHAnsi" w:cs="Franklin Gothic Book"/>
                <w:color w:val="000000"/>
                <w:szCs w:val="17"/>
              </w:rPr>
              <w:t xml:space="preserve">m </w:t>
            </w:r>
          </w:p>
          <w:p w14:paraId="41B21049" w14:textId="7D5413F2" w:rsidR="00C9498B" w:rsidRPr="004D7616" w:rsidRDefault="00C9498B" w:rsidP="00C74F03">
            <w:pPr>
              <w:keepLines/>
              <w:spacing w:before="40" w:after="40" w:line="200" w:lineRule="atLeast"/>
              <w:rPr>
                <w:rFonts w:asciiTheme="minorHAnsi" w:eastAsia="Times New Roman" w:hAnsiTheme="minorHAnsi"/>
                <w:iCs/>
                <w:szCs w:val="17"/>
                <w:lang w:eastAsia="en-US"/>
              </w:rPr>
            </w:pPr>
            <w:r w:rsidRPr="004D7616">
              <w:rPr>
                <w:rFonts w:asciiTheme="minorHAnsi" w:eastAsia="Times New Roman" w:hAnsiTheme="minorHAnsi"/>
                <w:iCs/>
                <w:szCs w:val="17"/>
                <w:lang w:eastAsia="en-US"/>
              </w:rPr>
              <w:t>20</w:t>
            </w:r>
            <w:r w:rsidR="00C74F03">
              <w:rPr>
                <w:rFonts w:asciiTheme="minorHAnsi" w:eastAsia="Times New Roman" w:hAnsiTheme="minorHAnsi"/>
                <w:iCs/>
                <w:szCs w:val="17"/>
                <w:lang w:eastAsia="en-US"/>
              </w:rPr>
              <w:t>13</w:t>
            </w:r>
            <w:r w:rsidRPr="004D7616">
              <w:rPr>
                <w:rFonts w:asciiTheme="minorHAnsi" w:eastAsia="Times New Roman" w:hAnsiTheme="minorHAnsi"/>
                <w:iCs/>
                <w:szCs w:val="17"/>
                <w:lang w:eastAsia="en-US"/>
              </w:rPr>
              <w:t xml:space="preserve">-18 </w:t>
            </w:r>
          </w:p>
        </w:tc>
        <w:tc>
          <w:tcPr>
            <w:tcW w:w="449" w:type="pct"/>
            <w:shd w:val="clear" w:color="auto" w:fill="92D050"/>
            <w:noWrap/>
          </w:tcPr>
          <w:p w14:paraId="67278D78" w14:textId="71CE3301" w:rsidR="00C9498B" w:rsidRPr="004D7616" w:rsidRDefault="00C74F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46" w:type="pct"/>
            <w:shd w:val="clear" w:color="auto" w:fill="92D050"/>
            <w:noWrap/>
          </w:tcPr>
          <w:p w14:paraId="736B2356" w14:textId="05E3C7CF" w:rsidR="00C9498B" w:rsidRPr="004D7616" w:rsidRDefault="00C74F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48" w:type="pct"/>
            <w:shd w:val="clear" w:color="auto" w:fill="92D050"/>
            <w:noWrap/>
          </w:tcPr>
          <w:p w14:paraId="703785E9" w14:textId="3A45F395" w:rsidR="00C9498B" w:rsidRPr="004D7616" w:rsidRDefault="00C74F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47" w:type="pct"/>
            <w:shd w:val="clear" w:color="auto" w:fill="92D050"/>
            <w:noWrap/>
          </w:tcPr>
          <w:p w14:paraId="1D193C99" w14:textId="5E652905" w:rsidR="00C9498B" w:rsidRPr="004D7616" w:rsidRDefault="00C74F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49" w:type="pct"/>
            <w:shd w:val="clear" w:color="auto" w:fill="FFC000"/>
            <w:noWrap/>
          </w:tcPr>
          <w:p w14:paraId="6C368448" w14:textId="77777777" w:rsidR="00C9498B" w:rsidRPr="004D7616" w:rsidRDefault="00C9498B" w:rsidP="00D15A00">
            <w:pPr>
              <w:keepLines/>
              <w:spacing w:before="40" w:after="40" w:line="200" w:lineRule="atLeast"/>
              <w:jc w:val="center"/>
              <w:rPr>
                <w:rFonts w:asciiTheme="minorHAnsi" w:eastAsia="Times New Roman" w:hAnsiTheme="minorHAnsi"/>
                <w:iCs/>
                <w:szCs w:val="17"/>
                <w:lang w:eastAsia="en-US"/>
              </w:rPr>
            </w:pPr>
            <w:r w:rsidRPr="004D7616">
              <w:rPr>
                <w:rFonts w:asciiTheme="minorHAnsi" w:eastAsia="Times New Roman" w:hAnsiTheme="minorHAnsi"/>
                <w:iCs/>
                <w:szCs w:val="17"/>
                <w:lang w:eastAsia="en-US"/>
              </w:rPr>
              <w:t>3</w:t>
            </w:r>
          </w:p>
        </w:tc>
        <w:tc>
          <w:tcPr>
            <w:tcW w:w="447" w:type="pct"/>
            <w:shd w:val="clear" w:color="auto" w:fill="FFFF00"/>
            <w:noWrap/>
          </w:tcPr>
          <w:p w14:paraId="027DC209" w14:textId="58F753C3" w:rsidR="00C9498B" w:rsidRPr="004D7616" w:rsidRDefault="00C74F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60" w:type="pct"/>
            <w:gridSpan w:val="2"/>
            <w:shd w:val="clear" w:color="auto" w:fill="92D050"/>
          </w:tcPr>
          <w:p w14:paraId="2D897AC2" w14:textId="1716FF72" w:rsidR="00C9498B" w:rsidRPr="004D7616" w:rsidRDefault="00C74F0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bl>
    <w:p w14:paraId="5CB0A5D7" w14:textId="77777777" w:rsidR="00A8197B" w:rsidRPr="00812509" w:rsidRDefault="00A8197B" w:rsidP="00A8197B">
      <w:pPr>
        <w:spacing w:before="20" w:after="20" w:line="180" w:lineRule="atLeast"/>
        <w:jc w:val="both"/>
        <w:rPr>
          <w:rFonts w:eastAsia="Times New Roman"/>
          <w:b/>
          <w:sz w:val="14"/>
          <w:szCs w:val="14"/>
        </w:rPr>
      </w:pPr>
    </w:p>
    <w:p w14:paraId="7FD7112D"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8BAF703"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7A31E1C" w14:textId="07EEE24E"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00020FC3">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07C6E0E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73AFCC3F"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3A3B7929"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16A3DF81" w14:textId="726C76D7"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020FC3">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27C227E3" w14:textId="77777777" w:rsidR="00A8197B" w:rsidRDefault="00A8197B" w:rsidP="00A8197B">
      <w:pPr>
        <w:pStyle w:val="ListBullet"/>
        <w:tabs>
          <w:tab w:val="clear" w:pos="284"/>
        </w:tabs>
      </w:pPr>
    </w:p>
    <w:p w14:paraId="5E810901" w14:textId="77777777" w:rsidR="00A92CF2" w:rsidRPr="004E1F36" w:rsidRDefault="00A92CF2" w:rsidP="004E1F36">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A92CF2" w:rsidRPr="004E1F36" w:rsidSect="00037EDE">
      <w:headerReference w:type="default" r:id="rId32"/>
      <w:pgSz w:w="11906" w:h="16838" w:code="9"/>
      <w:pgMar w:top="1702"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4423" w14:textId="77777777" w:rsidR="004C17D1" w:rsidRDefault="004C17D1" w:rsidP="00EF4574">
      <w:pPr>
        <w:spacing w:before="0" w:after="0" w:line="240" w:lineRule="auto"/>
      </w:pPr>
      <w:r>
        <w:separator/>
      </w:r>
    </w:p>
  </w:endnote>
  <w:endnote w:type="continuationSeparator" w:id="0">
    <w:p w14:paraId="6B220272" w14:textId="77777777" w:rsidR="004C17D1" w:rsidRDefault="004C17D1" w:rsidP="00EF4574">
      <w:pPr>
        <w:spacing w:before="0" w:after="0" w:line="240" w:lineRule="auto"/>
      </w:pPr>
      <w:r>
        <w:continuationSeparator/>
      </w:r>
    </w:p>
  </w:endnote>
  <w:endnote w:type="continuationNotice" w:id="1">
    <w:p w14:paraId="4546AB27" w14:textId="77777777" w:rsidR="004C17D1" w:rsidRDefault="004C17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88D3" w14:textId="77777777" w:rsidR="00182ADD" w:rsidRDefault="00182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1950" w14:textId="77777777" w:rsidR="004C17D1" w:rsidRDefault="004C17D1" w:rsidP="004839E3">
    <w:pPr>
      <w:pStyle w:val="Footer"/>
      <w:rPr>
        <w:lang w:val="en-AU"/>
      </w:rPr>
    </w:pPr>
  </w:p>
  <w:p w14:paraId="38A7EBE7" w14:textId="77777777" w:rsidR="004C17D1" w:rsidRDefault="004C17D1" w:rsidP="004839E3">
    <w:pPr>
      <w:pStyle w:val="Footer"/>
    </w:pPr>
  </w:p>
  <w:p w14:paraId="1D11CE98" w14:textId="77777777" w:rsidR="004C17D1" w:rsidRPr="00CD0E4B" w:rsidRDefault="004C17D1" w:rsidP="004839E3">
    <w:pPr>
      <w:pStyle w:val="Footer"/>
    </w:pPr>
    <w:r w:rsidRPr="00CD0E4B">
      <w:rPr>
        <w:noProof/>
        <w:lang w:val="en-AU" w:eastAsia="en-AU"/>
      </w:rPr>
      <w:drawing>
        <wp:inline distT="0" distB="0" distL="0" distR="0" wp14:anchorId="16CE16C9" wp14:editId="7B4CCA93">
          <wp:extent cx="90000" cy="74520"/>
          <wp:effectExtent l="0" t="0" r="571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4F2F503F" w14:textId="77777777" w:rsidR="004C17D1" w:rsidRPr="00CD0E4B" w:rsidRDefault="004C17D1" w:rsidP="004839E3">
    <w:pPr>
      <w:pStyle w:val="Footer"/>
      <w:rPr>
        <w:color w:val="ACD08C" w:themeColor="accent3"/>
      </w:rPr>
    </w:pPr>
    <w:r w:rsidRPr="00CD0E4B">
      <w:rPr>
        <w:color w:val="ACD08C" w:themeColor="accent3"/>
      </w:rPr>
      <w:t>DFAT.GOV.AU</w:t>
    </w:r>
  </w:p>
  <w:p w14:paraId="65264F1C" w14:textId="77777777" w:rsidR="004C17D1" w:rsidRPr="004839E3" w:rsidRDefault="004C17D1"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D05B" w14:textId="77777777" w:rsidR="004C17D1" w:rsidRPr="004839E3" w:rsidRDefault="004C17D1"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3B0008B4" w14:textId="77777777" w:rsidR="004C17D1" w:rsidRDefault="004C17D1"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43CE" w14:textId="77777777" w:rsidR="004C17D1" w:rsidRDefault="004C17D1" w:rsidP="004839E3">
    <w:pPr>
      <w:pStyle w:val="Footer"/>
      <w:rPr>
        <w:lang w:val="en-AU"/>
      </w:rPr>
    </w:pPr>
  </w:p>
  <w:p w14:paraId="59D62B2C" w14:textId="77777777" w:rsidR="004C17D1" w:rsidRDefault="004C17D1" w:rsidP="004839E3">
    <w:pPr>
      <w:pStyle w:val="Footer"/>
    </w:pPr>
  </w:p>
  <w:p w14:paraId="08432236" w14:textId="77777777" w:rsidR="004C17D1" w:rsidRPr="00CD0E4B" w:rsidRDefault="004C17D1" w:rsidP="004839E3">
    <w:pPr>
      <w:pStyle w:val="Footer"/>
    </w:pPr>
    <w:r w:rsidRPr="00CD0E4B">
      <w:rPr>
        <w:noProof/>
        <w:lang w:val="en-AU" w:eastAsia="en-AU"/>
      </w:rPr>
      <w:drawing>
        <wp:inline distT="0" distB="0" distL="0" distR="0" wp14:anchorId="629D54FA" wp14:editId="48D1EF42">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2842253" w14:textId="77777777" w:rsidR="004C17D1" w:rsidRPr="00CD0E4B" w:rsidRDefault="004C17D1" w:rsidP="004839E3">
    <w:pPr>
      <w:pStyle w:val="Footer"/>
      <w:rPr>
        <w:color w:val="ACD08C" w:themeColor="accent3"/>
      </w:rPr>
    </w:pPr>
    <w:r w:rsidRPr="00CD0E4B">
      <w:rPr>
        <w:color w:val="ACD08C" w:themeColor="accent3"/>
      </w:rPr>
      <w:t>DFAT.GOV.AU</w:t>
    </w:r>
  </w:p>
  <w:p w14:paraId="7225802C" w14:textId="77777777" w:rsidR="004C17D1" w:rsidRPr="004839E3" w:rsidRDefault="004C17D1"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7419" w14:textId="77777777" w:rsidR="004C17D1" w:rsidRPr="008C5A0E" w:rsidRDefault="004C17D1" w:rsidP="001D663E">
      <w:pPr>
        <w:pStyle w:val="Footer"/>
        <w:pBdr>
          <w:top w:val="single" w:sz="4" w:space="1" w:color="495965" w:themeColor="text2"/>
        </w:pBdr>
      </w:pPr>
    </w:p>
  </w:footnote>
  <w:footnote w:type="continuationSeparator" w:id="0">
    <w:p w14:paraId="4D4EAC25" w14:textId="77777777" w:rsidR="004C17D1" w:rsidRDefault="004C17D1" w:rsidP="00EF4574">
      <w:pPr>
        <w:spacing w:before="0" w:after="0" w:line="240" w:lineRule="auto"/>
      </w:pPr>
      <w:r>
        <w:continuationSeparator/>
      </w:r>
    </w:p>
  </w:footnote>
  <w:footnote w:type="continuationNotice" w:id="1">
    <w:p w14:paraId="17AEA0C1" w14:textId="77777777" w:rsidR="004C17D1" w:rsidRDefault="004C17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E65C" w14:textId="77777777" w:rsidR="00182ADD" w:rsidRDefault="00182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4787" w14:textId="77777777" w:rsidR="004C17D1" w:rsidRPr="00333501" w:rsidRDefault="004C17D1"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DDD" w14:textId="77777777" w:rsidR="004C17D1" w:rsidRPr="003D352D" w:rsidRDefault="004C17D1"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5195" w14:textId="77777777" w:rsidR="004C17D1" w:rsidRPr="00333501" w:rsidRDefault="004C17D1" w:rsidP="008F56A8">
    <w:pPr>
      <w:pStyle w:val="Header"/>
      <w:jc w:val="left"/>
    </w:pPr>
    <w:r>
      <w:rPr>
        <w:noProof/>
        <w:lang w:val="en-AU" w:eastAsia="en-AU"/>
      </w:rPr>
      <w:drawing>
        <wp:anchor distT="0" distB="0" distL="114300" distR="114300" simplePos="0" relativeHeight="251685888" behindDoc="1" locked="1" layoutInCell="1" allowOverlap="1" wp14:anchorId="4F5121C0" wp14:editId="7F0D0F1F">
          <wp:simplePos x="0" y="0"/>
          <wp:positionH relativeFrom="margin">
            <wp:posOffset>-652145</wp:posOffset>
          </wp:positionH>
          <wp:positionV relativeFrom="page">
            <wp:posOffset>122555</wp:posOffset>
          </wp:positionV>
          <wp:extent cx="7409815" cy="10589895"/>
          <wp:effectExtent l="0" t="0" r="63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1D91" w14:textId="77777777" w:rsidR="004C17D1" w:rsidRPr="003D352D" w:rsidRDefault="004C17D1"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40AF" w14:textId="77777777" w:rsidR="004C17D1" w:rsidRPr="00333501" w:rsidRDefault="004C17D1"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A239" w14:textId="77777777" w:rsidR="004C17D1" w:rsidRPr="003D352D" w:rsidRDefault="004C17D1"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03AD" w14:textId="77777777" w:rsidR="004C17D1" w:rsidRPr="00333501" w:rsidRDefault="004C17D1"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DB2D77"/>
    <w:multiLevelType w:val="hybridMultilevel"/>
    <w:tmpl w:val="AF085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FC11C4"/>
    <w:multiLevelType w:val="hybridMultilevel"/>
    <w:tmpl w:val="CC767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C2C521D"/>
    <w:multiLevelType w:val="hybridMultilevel"/>
    <w:tmpl w:val="B57E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8B296B"/>
    <w:multiLevelType w:val="hybridMultilevel"/>
    <w:tmpl w:val="643262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EC7E31"/>
    <w:multiLevelType w:val="hybridMultilevel"/>
    <w:tmpl w:val="C5B0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3C1EA7"/>
    <w:multiLevelType w:val="multilevel"/>
    <w:tmpl w:val="43428892"/>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7C25477"/>
    <w:multiLevelType w:val="hybridMultilevel"/>
    <w:tmpl w:val="61D23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383544"/>
    <w:multiLevelType w:val="hybridMultilevel"/>
    <w:tmpl w:val="D160F9AA"/>
    <w:lvl w:ilvl="0" w:tplc="04090001">
      <w:start w:val="1"/>
      <w:numFmt w:val="decimal"/>
      <w:pStyle w:val="StyleArialJustifiedBefore6ptAfter675ptLinespacin"/>
      <w:lvlText w:val="%1."/>
      <w:lvlJc w:val="left"/>
      <w:pPr>
        <w:tabs>
          <w:tab w:val="num" w:pos="720"/>
        </w:tabs>
        <w:ind w:left="720" w:hanging="360"/>
      </w:pPr>
      <w:rPr>
        <w:rFonts w:cs="Times New Roman"/>
        <w:b w:val="0"/>
        <w:i w:val="0"/>
        <w:color w:val="auto"/>
      </w:rPr>
    </w:lvl>
    <w:lvl w:ilvl="1" w:tplc="04090003">
      <w:start w:val="1"/>
      <w:numFmt w:val="lowerLetter"/>
      <w:lvlText w:val="%2)"/>
      <w:lvlJc w:val="left"/>
      <w:pPr>
        <w:tabs>
          <w:tab w:val="num" w:pos="1440"/>
        </w:tabs>
        <w:ind w:left="1440" w:hanging="360"/>
      </w:pPr>
      <w:rPr>
        <w:rFonts w:cs="Times New Roman" w:hint="default"/>
      </w:rPr>
    </w:lvl>
    <w:lvl w:ilvl="2" w:tplc="04090005">
      <w:start w:val="1"/>
      <w:numFmt w:val="lowerLetter"/>
      <w:lvlText w:val="%3)"/>
      <w:lvlJc w:val="left"/>
      <w:pPr>
        <w:tabs>
          <w:tab w:val="num" w:pos="2340"/>
        </w:tabs>
        <w:ind w:left="2340" w:hanging="360"/>
      </w:pPr>
      <w:rPr>
        <w:rFonts w:cs="Times New Roman" w:hint="default"/>
        <w:b w:val="0"/>
        <w:i w:val="0"/>
        <w:color w:val="auto"/>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2D6FD7"/>
    <w:multiLevelType w:val="hybridMultilevel"/>
    <w:tmpl w:val="9646A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E97579"/>
    <w:multiLevelType w:val="multilevel"/>
    <w:tmpl w:val="6F568FEA"/>
    <w:lvl w:ilvl="0">
      <w:start w:val="1"/>
      <w:numFmt w:val="bullet"/>
      <w:pStyle w:val="dotpoin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50C79"/>
    <w:multiLevelType w:val="hybridMultilevel"/>
    <w:tmpl w:val="777C5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5"/>
  </w:num>
  <w:num w:numId="23">
    <w:abstractNumId w:val="15"/>
  </w:num>
  <w:num w:numId="24">
    <w:abstractNumId w:val="24"/>
  </w:num>
  <w:num w:numId="25">
    <w:abstractNumId w:val="24"/>
  </w:num>
  <w:num w:numId="26">
    <w:abstractNumId w:val="24"/>
  </w:num>
  <w:num w:numId="27">
    <w:abstractNumId w:val="23"/>
  </w:num>
  <w:num w:numId="28">
    <w:abstractNumId w:val="10"/>
  </w:num>
  <w:num w:numId="29">
    <w:abstractNumId w:val="10"/>
  </w:num>
  <w:num w:numId="30">
    <w:abstractNumId w:val="10"/>
  </w:num>
  <w:num w:numId="31">
    <w:abstractNumId w:val="17"/>
  </w:num>
  <w:num w:numId="32">
    <w:abstractNumId w:val="22"/>
  </w:num>
  <w:num w:numId="33">
    <w:abstractNumId w:val="28"/>
  </w:num>
  <w:num w:numId="34">
    <w:abstractNumId w:val="20"/>
  </w:num>
  <w:num w:numId="35">
    <w:abstractNumId w:val="13"/>
  </w:num>
  <w:num w:numId="36">
    <w:abstractNumId w:val="18"/>
  </w:num>
  <w:num w:numId="37">
    <w:abstractNumId w:val="26"/>
  </w:num>
  <w:num w:numId="38">
    <w:abstractNumId w:val="16"/>
  </w:num>
  <w:num w:numId="39">
    <w:abstractNumId w:val="21"/>
  </w:num>
  <w:num w:numId="40">
    <w:abstractNumId w:val="30"/>
  </w:num>
  <w:num w:numId="41">
    <w:abstractNumId w:val="14"/>
  </w:num>
  <w:num w:numId="42">
    <w:abstractNumId w:val="12"/>
  </w:num>
  <w:num w:numId="43">
    <w:abstractNumId w:val="32"/>
  </w:num>
  <w:num w:numId="44">
    <w:abstractNumId w:val="31"/>
  </w:num>
  <w:num w:numId="45">
    <w:abstractNumId w:val="2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A95"/>
    <w:rsid w:val="000018E2"/>
    <w:rsid w:val="00001DA8"/>
    <w:rsid w:val="00001ECB"/>
    <w:rsid w:val="0001073B"/>
    <w:rsid w:val="000136F0"/>
    <w:rsid w:val="00015316"/>
    <w:rsid w:val="0002080A"/>
    <w:rsid w:val="000209E5"/>
    <w:rsid w:val="00020FC3"/>
    <w:rsid w:val="0002782F"/>
    <w:rsid w:val="000308AF"/>
    <w:rsid w:val="00031512"/>
    <w:rsid w:val="00037401"/>
    <w:rsid w:val="00037EDE"/>
    <w:rsid w:val="0004044F"/>
    <w:rsid w:val="000405F9"/>
    <w:rsid w:val="00045AF0"/>
    <w:rsid w:val="00045CAD"/>
    <w:rsid w:val="00046722"/>
    <w:rsid w:val="00051ABA"/>
    <w:rsid w:val="0005237F"/>
    <w:rsid w:val="000525AE"/>
    <w:rsid w:val="00054E4D"/>
    <w:rsid w:val="00055826"/>
    <w:rsid w:val="00057C66"/>
    <w:rsid w:val="00060073"/>
    <w:rsid w:val="00060268"/>
    <w:rsid w:val="000619CE"/>
    <w:rsid w:val="00067672"/>
    <w:rsid w:val="000708EC"/>
    <w:rsid w:val="00075D34"/>
    <w:rsid w:val="00076806"/>
    <w:rsid w:val="00080B83"/>
    <w:rsid w:val="000820B3"/>
    <w:rsid w:val="00084483"/>
    <w:rsid w:val="00086C21"/>
    <w:rsid w:val="00090D5D"/>
    <w:rsid w:val="00092629"/>
    <w:rsid w:val="00097795"/>
    <w:rsid w:val="000A34C5"/>
    <w:rsid w:val="000A416A"/>
    <w:rsid w:val="000A53BB"/>
    <w:rsid w:val="000A57D4"/>
    <w:rsid w:val="000B2366"/>
    <w:rsid w:val="000B6F71"/>
    <w:rsid w:val="000B78FD"/>
    <w:rsid w:val="000C2496"/>
    <w:rsid w:val="000C26FE"/>
    <w:rsid w:val="000C2BBF"/>
    <w:rsid w:val="000D66A9"/>
    <w:rsid w:val="000D66D6"/>
    <w:rsid w:val="000D68C1"/>
    <w:rsid w:val="000D6A7D"/>
    <w:rsid w:val="000E1E2C"/>
    <w:rsid w:val="000E2605"/>
    <w:rsid w:val="000E314A"/>
    <w:rsid w:val="000E77A4"/>
    <w:rsid w:val="000F65A1"/>
    <w:rsid w:val="000F725A"/>
    <w:rsid w:val="0011623E"/>
    <w:rsid w:val="001235CB"/>
    <w:rsid w:val="001269F7"/>
    <w:rsid w:val="0013339C"/>
    <w:rsid w:val="001344CE"/>
    <w:rsid w:val="00135E26"/>
    <w:rsid w:val="00141AA1"/>
    <w:rsid w:val="00141AB4"/>
    <w:rsid w:val="001430EA"/>
    <w:rsid w:val="00146BB3"/>
    <w:rsid w:val="00151E2C"/>
    <w:rsid w:val="00152378"/>
    <w:rsid w:val="00152935"/>
    <w:rsid w:val="001541EA"/>
    <w:rsid w:val="00154EBD"/>
    <w:rsid w:val="00157AA6"/>
    <w:rsid w:val="00162DE2"/>
    <w:rsid w:val="00166DDA"/>
    <w:rsid w:val="0017000B"/>
    <w:rsid w:val="00170400"/>
    <w:rsid w:val="00175884"/>
    <w:rsid w:val="00180D67"/>
    <w:rsid w:val="00181399"/>
    <w:rsid w:val="001827E8"/>
    <w:rsid w:val="00182ADD"/>
    <w:rsid w:val="0018376D"/>
    <w:rsid w:val="00184F1E"/>
    <w:rsid w:val="00185C45"/>
    <w:rsid w:val="00194837"/>
    <w:rsid w:val="001954F6"/>
    <w:rsid w:val="00197CF2"/>
    <w:rsid w:val="001A1113"/>
    <w:rsid w:val="001A281E"/>
    <w:rsid w:val="001A62DE"/>
    <w:rsid w:val="001A7750"/>
    <w:rsid w:val="001B126B"/>
    <w:rsid w:val="001B26D5"/>
    <w:rsid w:val="001B75B6"/>
    <w:rsid w:val="001C56E9"/>
    <w:rsid w:val="001C6426"/>
    <w:rsid w:val="001D3544"/>
    <w:rsid w:val="001D62C7"/>
    <w:rsid w:val="001D663E"/>
    <w:rsid w:val="001E0B6A"/>
    <w:rsid w:val="001E1DC0"/>
    <w:rsid w:val="001E34BA"/>
    <w:rsid w:val="001E71A7"/>
    <w:rsid w:val="001F24E2"/>
    <w:rsid w:val="001F35C0"/>
    <w:rsid w:val="001F45E0"/>
    <w:rsid w:val="001F4DF5"/>
    <w:rsid w:val="001F6C08"/>
    <w:rsid w:val="002038FD"/>
    <w:rsid w:val="00203E61"/>
    <w:rsid w:val="00205E78"/>
    <w:rsid w:val="002067E9"/>
    <w:rsid w:val="002119C5"/>
    <w:rsid w:val="00221CEE"/>
    <w:rsid w:val="00226AA6"/>
    <w:rsid w:val="00230378"/>
    <w:rsid w:val="00232112"/>
    <w:rsid w:val="002338FF"/>
    <w:rsid w:val="00236A53"/>
    <w:rsid w:val="0024037F"/>
    <w:rsid w:val="00241952"/>
    <w:rsid w:val="00241CBF"/>
    <w:rsid w:val="002430C7"/>
    <w:rsid w:val="00244768"/>
    <w:rsid w:val="00244D8E"/>
    <w:rsid w:val="00251EF9"/>
    <w:rsid w:val="00253136"/>
    <w:rsid w:val="00256F7C"/>
    <w:rsid w:val="0026189E"/>
    <w:rsid w:val="00261CF2"/>
    <w:rsid w:val="00262075"/>
    <w:rsid w:val="002709B8"/>
    <w:rsid w:val="00275DB7"/>
    <w:rsid w:val="00277F6D"/>
    <w:rsid w:val="002847EA"/>
    <w:rsid w:val="00284957"/>
    <w:rsid w:val="0028602A"/>
    <w:rsid w:val="00287250"/>
    <w:rsid w:val="00290DBC"/>
    <w:rsid w:val="00292E54"/>
    <w:rsid w:val="002A4A0E"/>
    <w:rsid w:val="002A51CA"/>
    <w:rsid w:val="002A62C8"/>
    <w:rsid w:val="002B121E"/>
    <w:rsid w:val="002B1B2F"/>
    <w:rsid w:val="002B2173"/>
    <w:rsid w:val="002B3CFC"/>
    <w:rsid w:val="002B3E95"/>
    <w:rsid w:val="002B5300"/>
    <w:rsid w:val="002B5E10"/>
    <w:rsid w:val="002C4187"/>
    <w:rsid w:val="002C420D"/>
    <w:rsid w:val="002D2FB3"/>
    <w:rsid w:val="002E0437"/>
    <w:rsid w:val="002E1C1D"/>
    <w:rsid w:val="002E42A6"/>
    <w:rsid w:val="002E5516"/>
    <w:rsid w:val="002E5849"/>
    <w:rsid w:val="002F479A"/>
    <w:rsid w:val="003002C0"/>
    <w:rsid w:val="00301144"/>
    <w:rsid w:val="00302B94"/>
    <w:rsid w:val="00311D46"/>
    <w:rsid w:val="00312461"/>
    <w:rsid w:val="003148B7"/>
    <w:rsid w:val="003158C3"/>
    <w:rsid w:val="0032084E"/>
    <w:rsid w:val="003216FA"/>
    <w:rsid w:val="003274CD"/>
    <w:rsid w:val="00333362"/>
    <w:rsid w:val="00333501"/>
    <w:rsid w:val="00341165"/>
    <w:rsid w:val="00342F89"/>
    <w:rsid w:val="003457C4"/>
    <w:rsid w:val="00347442"/>
    <w:rsid w:val="0035119D"/>
    <w:rsid w:val="0035305F"/>
    <w:rsid w:val="00353365"/>
    <w:rsid w:val="00355299"/>
    <w:rsid w:val="00356A44"/>
    <w:rsid w:val="00357D56"/>
    <w:rsid w:val="00363B11"/>
    <w:rsid w:val="00363ECB"/>
    <w:rsid w:val="00370290"/>
    <w:rsid w:val="003751DC"/>
    <w:rsid w:val="0037758D"/>
    <w:rsid w:val="00377BC2"/>
    <w:rsid w:val="00380104"/>
    <w:rsid w:val="003821BC"/>
    <w:rsid w:val="00385F0E"/>
    <w:rsid w:val="00386EE4"/>
    <w:rsid w:val="0039547B"/>
    <w:rsid w:val="003A09F4"/>
    <w:rsid w:val="003A767A"/>
    <w:rsid w:val="003B0813"/>
    <w:rsid w:val="003B4F12"/>
    <w:rsid w:val="003B79E5"/>
    <w:rsid w:val="003C14B0"/>
    <w:rsid w:val="003C2942"/>
    <w:rsid w:val="003C5019"/>
    <w:rsid w:val="003D352D"/>
    <w:rsid w:val="003D5151"/>
    <w:rsid w:val="003D774A"/>
    <w:rsid w:val="003E305C"/>
    <w:rsid w:val="003E3F59"/>
    <w:rsid w:val="003F02BC"/>
    <w:rsid w:val="003F4037"/>
    <w:rsid w:val="00400B0F"/>
    <w:rsid w:val="00402ACC"/>
    <w:rsid w:val="00403B37"/>
    <w:rsid w:val="00405684"/>
    <w:rsid w:val="00407F96"/>
    <w:rsid w:val="004120EC"/>
    <w:rsid w:val="00412202"/>
    <w:rsid w:val="00417C55"/>
    <w:rsid w:val="00423F31"/>
    <w:rsid w:val="004268DD"/>
    <w:rsid w:val="00431899"/>
    <w:rsid w:val="00434615"/>
    <w:rsid w:val="00435AE5"/>
    <w:rsid w:val="00445964"/>
    <w:rsid w:val="004500CE"/>
    <w:rsid w:val="0045142E"/>
    <w:rsid w:val="00465FFE"/>
    <w:rsid w:val="004670E8"/>
    <w:rsid w:val="0047194F"/>
    <w:rsid w:val="004752CC"/>
    <w:rsid w:val="00477366"/>
    <w:rsid w:val="0047775F"/>
    <w:rsid w:val="00480422"/>
    <w:rsid w:val="00480497"/>
    <w:rsid w:val="00480CF2"/>
    <w:rsid w:val="004839E3"/>
    <w:rsid w:val="00486804"/>
    <w:rsid w:val="004977A1"/>
    <w:rsid w:val="004A7B42"/>
    <w:rsid w:val="004B3775"/>
    <w:rsid w:val="004C17D1"/>
    <w:rsid w:val="004D0BA0"/>
    <w:rsid w:val="004D5A5D"/>
    <w:rsid w:val="004D7616"/>
    <w:rsid w:val="004E0264"/>
    <w:rsid w:val="004E058F"/>
    <w:rsid w:val="004E1F36"/>
    <w:rsid w:val="004E391D"/>
    <w:rsid w:val="004E3B87"/>
    <w:rsid w:val="004E44A9"/>
    <w:rsid w:val="004E5503"/>
    <w:rsid w:val="004E6B54"/>
    <w:rsid w:val="004F03D5"/>
    <w:rsid w:val="004F0DE0"/>
    <w:rsid w:val="004F45D8"/>
    <w:rsid w:val="004F595D"/>
    <w:rsid w:val="00500384"/>
    <w:rsid w:val="005005BB"/>
    <w:rsid w:val="00503C47"/>
    <w:rsid w:val="00507E65"/>
    <w:rsid w:val="00510921"/>
    <w:rsid w:val="00510AD3"/>
    <w:rsid w:val="00513348"/>
    <w:rsid w:val="00523465"/>
    <w:rsid w:val="00526A17"/>
    <w:rsid w:val="005330A5"/>
    <w:rsid w:val="005333C9"/>
    <w:rsid w:val="00533B5D"/>
    <w:rsid w:val="005364A2"/>
    <w:rsid w:val="00540F94"/>
    <w:rsid w:val="00547633"/>
    <w:rsid w:val="005511BF"/>
    <w:rsid w:val="00553AED"/>
    <w:rsid w:val="0055459C"/>
    <w:rsid w:val="00557B3E"/>
    <w:rsid w:val="0056393E"/>
    <w:rsid w:val="005647BE"/>
    <w:rsid w:val="005649E7"/>
    <w:rsid w:val="005725A3"/>
    <w:rsid w:val="0057514F"/>
    <w:rsid w:val="00580AFD"/>
    <w:rsid w:val="0058175A"/>
    <w:rsid w:val="00585CFC"/>
    <w:rsid w:val="005866A0"/>
    <w:rsid w:val="0059146A"/>
    <w:rsid w:val="00592322"/>
    <w:rsid w:val="0059234A"/>
    <w:rsid w:val="00594862"/>
    <w:rsid w:val="00596BD5"/>
    <w:rsid w:val="005A1221"/>
    <w:rsid w:val="005A4C71"/>
    <w:rsid w:val="005B4DAB"/>
    <w:rsid w:val="005B5769"/>
    <w:rsid w:val="005B6CF8"/>
    <w:rsid w:val="005C2E56"/>
    <w:rsid w:val="005C4A13"/>
    <w:rsid w:val="005C72E0"/>
    <w:rsid w:val="005C78DB"/>
    <w:rsid w:val="005D2189"/>
    <w:rsid w:val="005D3655"/>
    <w:rsid w:val="005D384C"/>
    <w:rsid w:val="005D521B"/>
    <w:rsid w:val="005E1B39"/>
    <w:rsid w:val="005E2321"/>
    <w:rsid w:val="005E2E64"/>
    <w:rsid w:val="005E606B"/>
    <w:rsid w:val="005F0034"/>
    <w:rsid w:val="005F3DCA"/>
    <w:rsid w:val="0060325A"/>
    <w:rsid w:val="00610C61"/>
    <w:rsid w:val="00623BA1"/>
    <w:rsid w:val="006248AF"/>
    <w:rsid w:val="00633A70"/>
    <w:rsid w:val="006346BC"/>
    <w:rsid w:val="00636188"/>
    <w:rsid w:val="006424A8"/>
    <w:rsid w:val="006424EE"/>
    <w:rsid w:val="00643EEF"/>
    <w:rsid w:val="00643FA6"/>
    <w:rsid w:val="00652936"/>
    <w:rsid w:val="00654BD5"/>
    <w:rsid w:val="0066406B"/>
    <w:rsid w:val="0066652A"/>
    <w:rsid w:val="00671B78"/>
    <w:rsid w:val="00676A47"/>
    <w:rsid w:val="00680522"/>
    <w:rsid w:val="00681F08"/>
    <w:rsid w:val="00682167"/>
    <w:rsid w:val="00683CBB"/>
    <w:rsid w:val="00695730"/>
    <w:rsid w:val="00696207"/>
    <w:rsid w:val="006A421E"/>
    <w:rsid w:val="006A7289"/>
    <w:rsid w:val="006B1FCE"/>
    <w:rsid w:val="006C02EF"/>
    <w:rsid w:val="006C0D1E"/>
    <w:rsid w:val="006C2D2F"/>
    <w:rsid w:val="006C42AF"/>
    <w:rsid w:val="006D0EE8"/>
    <w:rsid w:val="006D1C4A"/>
    <w:rsid w:val="006D6AC9"/>
    <w:rsid w:val="006D6E11"/>
    <w:rsid w:val="006D796C"/>
    <w:rsid w:val="006E3EE5"/>
    <w:rsid w:val="006E6639"/>
    <w:rsid w:val="006F27B1"/>
    <w:rsid w:val="006F592B"/>
    <w:rsid w:val="00701FC2"/>
    <w:rsid w:val="007029C3"/>
    <w:rsid w:val="00705AB4"/>
    <w:rsid w:val="00707F7B"/>
    <w:rsid w:val="00711D8E"/>
    <w:rsid w:val="00712672"/>
    <w:rsid w:val="00712EAD"/>
    <w:rsid w:val="0071528B"/>
    <w:rsid w:val="007155F8"/>
    <w:rsid w:val="007221FD"/>
    <w:rsid w:val="0072234D"/>
    <w:rsid w:val="007255C0"/>
    <w:rsid w:val="00731A05"/>
    <w:rsid w:val="00734E3F"/>
    <w:rsid w:val="00736985"/>
    <w:rsid w:val="00740C8B"/>
    <w:rsid w:val="00745DF5"/>
    <w:rsid w:val="00746F7E"/>
    <w:rsid w:val="0075347F"/>
    <w:rsid w:val="007623F4"/>
    <w:rsid w:val="0076250F"/>
    <w:rsid w:val="0076265B"/>
    <w:rsid w:val="00763DC7"/>
    <w:rsid w:val="00764034"/>
    <w:rsid w:val="007679D3"/>
    <w:rsid w:val="00771B53"/>
    <w:rsid w:val="00784031"/>
    <w:rsid w:val="00785597"/>
    <w:rsid w:val="00786F13"/>
    <w:rsid w:val="00787E1F"/>
    <w:rsid w:val="007924DC"/>
    <w:rsid w:val="0079343D"/>
    <w:rsid w:val="00793EF1"/>
    <w:rsid w:val="007A0AFD"/>
    <w:rsid w:val="007A5E34"/>
    <w:rsid w:val="007A6119"/>
    <w:rsid w:val="007A61AD"/>
    <w:rsid w:val="007A7B3B"/>
    <w:rsid w:val="007B6200"/>
    <w:rsid w:val="007C08A7"/>
    <w:rsid w:val="007C6801"/>
    <w:rsid w:val="007D257E"/>
    <w:rsid w:val="007D38C8"/>
    <w:rsid w:val="007E2579"/>
    <w:rsid w:val="007E3ECB"/>
    <w:rsid w:val="007E4E98"/>
    <w:rsid w:val="007F3395"/>
    <w:rsid w:val="007F3470"/>
    <w:rsid w:val="00801B9F"/>
    <w:rsid w:val="00803503"/>
    <w:rsid w:val="008057FD"/>
    <w:rsid w:val="00806D2C"/>
    <w:rsid w:val="00807008"/>
    <w:rsid w:val="00807E91"/>
    <w:rsid w:val="00812509"/>
    <w:rsid w:val="00813551"/>
    <w:rsid w:val="00825A53"/>
    <w:rsid w:val="0083304A"/>
    <w:rsid w:val="0083584B"/>
    <w:rsid w:val="00846EAC"/>
    <w:rsid w:val="008475F0"/>
    <w:rsid w:val="00860E7C"/>
    <w:rsid w:val="00861451"/>
    <w:rsid w:val="0086156F"/>
    <w:rsid w:val="00864210"/>
    <w:rsid w:val="00865DB9"/>
    <w:rsid w:val="00872772"/>
    <w:rsid w:val="00876FC1"/>
    <w:rsid w:val="0088056B"/>
    <w:rsid w:val="00884FB8"/>
    <w:rsid w:val="00890572"/>
    <w:rsid w:val="0089216C"/>
    <w:rsid w:val="0089530D"/>
    <w:rsid w:val="00896B83"/>
    <w:rsid w:val="008A14E8"/>
    <w:rsid w:val="008A1697"/>
    <w:rsid w:val="008A5AFE"/>
    <w:rsid w:val="008A7B38"/>
    <w:rsid w:val="008B48A1"/>
    <w:rsid w:val="008B68D7"/>
    <w:rsid w:val="008C2AC6"/>
    <w:rsid w:val="008C2F58"/>
    <w:rsid w:val="008C5A0E"/>
    <w:rsid w:val="008D17D5"/>
    <w:rsid w:val="008D4779"/>
    <w:rsid w:val="008D5134"/>
    <w:rsid w:val="008D6387"/>
    <w:rsid w:val="008E31FA"/>
    <w:rsid w:val="008F56A8"/>
    <w:rsid w:val="009000B2"/>
    <w:rsid w:val="00901238"/>
    <w:rsid w:val="009103B2"/>
    <w:rsid w:val="009134D4"/>
    <w:rsid w:val="00916FB1"/>
    <w:rsid w:val="00921A6A"/>
    <w:rsid w:val="00923A79"/>
    <w:rsid w:val="009251E5"/>
    <w:rsid w:val="00933972"/>
    <w:rsid w:val="0093618E"/>
    <w:rsid w:val="009405D7"/>
    <w:rsid w:val="00942ED5"/>
    <w:rsid w:val="0094389A"/>
    <w:rsid w:val="0095652B"/>
    <w:rsid w:val="009609F5"/>
    <w:rsid w:val="0096382F"/>
    <w:rsid w:val="0096397E"/>
    <w:rsid w:val="00963BD1"/>
    <w:rsid w:val="0096677D"/>
    <w:rsid w:val="009672A1"/>
    <w:rsid w:val="0097497B"/>
    <w:rsid w:val="009763C7"/>
    <w:rsid w:val="0098000D"/>
    <w:rsid w:val="009823C8"/>
    <w:rsid w:val="009847C8"/>
    <w:rsid w:val="00987749"/>
    <w:rsid w:val="009903F3"/>
    <w:rsid w:val="00992C76"/>
    <w:rsid w:val="009A4F0C"/>
    <w:rsid w:val="009B4D3B"/>
    <w:rsid w:val="009D08C1"/>
    <w:rsid w:val="009D7407"/>
    <w:rsid w:val="009E0866"/>
    <w:rsid w:val="009E2ADE"/>
    <w:rsid w:val="009E532D"/>
    <w:rsid w:val="009E62EE"/>
    <w:rsid w:val="009E783B"/>
    <w:rsid w:val="009F0408"/>
    <w:rsid w:val="009F5488"/>
    <w:rsid w:val="009F6423"/>
    <w:rsid w:val="00A02D9E"/>
    <w:rsid w:val="00A06B0F"/>
    <w:rsid w:val="00A13D94"/>
    <w:rsid w:val="00A2112E"/>
    <w:rsid w:val="00A2129E"/>
    <w:rsid w:val="00A24A62"/>
    <w:rsid w:val="00A24D85"/>
    <w:rsid w:val="00A30307"/>
    <w:rsid w:val="00A31C9F"/>
    <w:rsid w:val="00A3225F"/>
    <w:rsid w:val="00A3397A"/>
    <w:rsid w:val="00A350FA"/>
    <w:rsid w:val="00A40D4F"/>
    <w:rsid w:val="00A4144F"/>
    <w:rsid w:val="00A47D55"/>
    <w:rsid w:val="00A55D1D"/>
    <w:rsid w:val="00A56707"/>
    <w:rsid w:val="00A56F14"/>
    <w:rsid w:val="00A6640F"/>
    <w:rsid w:val="00A76F5F"/>
    <w:rsid w:val="00A77F76"/>
    <w:rsid w:val="00A80F95"/>
    <w:rsid w:val="00A8197B"/>
    <w:rsid w:val="00A84162"/>
    <w:rsid w:val="00A91A80"/>
    <w:rsid w:val="00A92CF2"/>
    <w:rsid w:val="00A94E8A"/>
    <w:rsid w:val="00A957BA"/>
    <w:rsid w:val="00AA5818"/>
    <w:rsid w:val="00AA7BE3"/>
    <w:rsid w:val="00AB308B"/>
    <w:rsid w:val="00AB5CA5"/>
    <w:rsid w:val="00AB5E7F"/>
    <w:rsid w:val="00AB6445"/>
    <w:rsid w:val="00AC0006"/>
    <w:rsid w:val="00AC164A"/>
    <w:rsid w:val="00AC275C"/>
    <w:rsid w:val="00AC43C1"/>
    <w:rsid w:val="00AD291D"/>
    <w:rsid w:val="00AD667E"/>
    <w:rsid w:val="00AE1D6E"/>
    <w:rsid w:val="00AE2493"/>
    <w:rsid w:val="00AE4979"/>
    <w:rsid w:val="00AE4D98"/>
    <w:rsid w:val="00AE6225"/>
    <w:rsid w:val="00AF01B8"/>
    <w:rsid w:val="00AF0F3F"/>
    <w:rsid w:val="00AF1B85"/>
    <w:rsid w:val="00AF2050"/>
    <w:rsid w:val="00AF23FE"/>
    <w:rsid w:val="00AF6139"/>
    <w:rsid w:val="00AF65DB"/>
    <w:rsid w:val="00AF7AB6"/>
    <w:rsid w:val="00B00405"/>
    <w:rsid w:val="00B016D3"/>
    <w:rsid w:val="00B03CA8"/>
    <w:rsid w:val="00B06F66"/>
    <w:rsid w:val="00B119ED"/>
    <w:rsid w:val="00B12441"/>
    <w:rsid w:val="00B12980"/>
    <w:rsid w:val="00B208E0"/>
    <w:rsid w:val="00B331DC"/>
    <w:rsid w:val="00B353E0"/>
    <w:rsid w:val="00B35C15"/>
    <w:rsid w:val="00B37E63"/>
    <w:rsid w:val="00B417B7"/>
    <w:rsid w:val="00B438D3"/>
    <w:rsid w:val="00B45676"/>
    <w:rsid w:val="00B51CE5"/>
    <w:rsid w:val="00B54541"/>
    <w:rsid w:val="00B548E5"/>
    <w:rsid w:val="00B55E19"/>
    <w:rsid w:val="00B55EE0"/>
    <w:rsid w:val="00B60B1B"/>
    <w:rsid w:val="00B64488"/>
    <w:rsid w:val="00B6527B"/>
    <w:rsid w:val="00B7361D"/>
    <w:rsid w:val="00B754C8"/>
    <w:rsid w:val="00B754F7"/>
    <w:rsid w:val="00B772AD"/>
    <w:rsid w:val="00B80487"/>
    <w:rsid w:val="00B82763"/>
    <w:rsid w:val="00B8475C"/>
    <w:rsid w:val="00B907C7"/>
    <w:rsid w:val="00B92E8C"/>
    <w:rsid w:val="00B9508E"/>
    <w:rsid w:val="00BA18A0"/>
    <w:rsid w:val="00BA4B6D"/>
    <w:rsid w:val="00BA5C21"/>
    <w:rsid w:val="00BB26C5"/>
    <w:rsid w:val="00BB4408"/>
    <w:rsid w:val="00BC1B2A"/>
    <w:rsid w:val="00BC6FFD"/>
    <w:rsid w:val="00BD6EA0"/>
    <w:rsid w:val="00BE1BEB"/>
    <w:rsid w:val="00BE4D05"/>
    <w:rsid w:val="00BE4F6C"/>
    <w:rsid w:val="00BF2786"/>
    <w:rsid w:val="00BF3260"/>
    <w:rsid w:val="00BF3806"/>
    <w:rsid w:val="00BF4B1C"/>
    <w:rsid w:val="00BF4DE6"/>
    <w:rsid w:val="00C03D45"/>
    <w:rsid w:val="00C0564B"/>
    <w:rsid w:val="00C10805"/>
    <w:rsid w:val="00C154BB"/>
    <w:rsid w:val="00C21304"/>
    <w:rsid w:val="00C22EC9"/>
    <w:rsid w:val="00C26910"/>
    <w:rsid w:val="00C30501"/>
    <w:rsid w:val="00C32275"/>
    <w:rsid w:val="00C40DC5"/>
    <w:rsid w:val="00C40DF7"/>
    <w:rsid w:val="00C42CDE"/>
    <w:rsid w:val="00C4376A"/>
    <w:rsid w:val="00C4614F"/>
    <w:rsid w:val="00C47EDA"/>
    <w:rsid w:val="00C5182A"/>
    <w:rsid w:val="00C52023"/>
    <w:rsid w:val="00C523F9"/>
    <w:rsid w:val="00C54C29"/>
    <w:rsid w:val="00C564AA"/>
    <w:rsid w:val="00C56B5C"/>
    <w:rsid w:val="00C62F90"/>
    <w:rsid w:val="00C63EE9"/>
    <w:rsid w:val="00C6626C"/>
    <w:rsid w:val="00C66C7B"/>
    <w:rsid w:val="00C7104E"/>
    <w:rsid w:val="00C7139B"/>
    <w:rsid w:val="00C72F6E"/>
    <w:rsid w:val="00C74F03"/>
    <w:rsid w:val="00C81EB5"/>
    <w:rsid w:val="00C82271"/>
    <w:rsid w:val="00C9498B"/>
    <w:rsid w:val="00C9778B"/>
    <w:rsid w:val="00CA37B1"/>
    <w:rsid w:val="00CB1959"/>
    <w:rsid w:val="00CB70E8"/>
    <w:rsid w:val="00CB7CF2"/>
    <w:rsid w:val="00CC09F9"/>
    <w:rsid w:val="00CC13D9"/>
    <w:rsid w:val="00CC4767"/>
    <w:rsid w:val="00CC5070"/>
    <w:rsid w:val="00CC583A"/>
    <w:rsid w:val="00CD0E4B"/>
    <w:rsid w:val="00CD0EAE"/>
    <w:rsid w:val="00CD1652"/>
    <w:rsid w:val="00CD313F"/>
    <w:rsid w:val="00CD54F3"/>
    <w:rsid w:val="00CD7292"/>
    <w:rsid w:val="00CD7E0C"/>
    <w:rsid w:val="00CE0155"/>
    <w:rsid w:val="00CE49F5"/>
    <w:rsid w:val="00CE4D24"/>
    <w:rsid w:val="00CE4E53"/>
    <w:rsid w:val="00CE6262"/>
    <w:rsid w:val="00CF4161"/>
    <w:rsid w:val="00CF670F"/>
    <w:rsid w:val="00D00802"/>
    <w:rsid w:val="00D0296C"/>
    <w:rsid w:val="00D069D8"/>
    <w:rsid w:val="00D104ED"/>
    <w:rsid w:val="00D146A2"/>
    <w:rsid w:val="00D15A00"/>
    <w:rsid w:val="00D25D6A"/>
    <w:rsid w:val="00D2653F"/>
    <w:rsid w:val="00D27999"/>
    <w:rsid w:val="00D409E3"/>
    <w:rsid w:val="00D43F08"/>
    <w:rsid w:val="00D44094"/>
    <w:rsid w:val="00D4734D"/>
    <w:rsid w:val="00D47E3C"/>
    <w:rsid w:val="00D555A6"/>
    <w:rsid w:val="00D560BD"/>
    <w:rsid w:val="00D56E7E"/>
    <w:rsid w:val="00D60658"/>
    <w:rsid w:val="00D63622"/>
    <w:rsid w:val="00D64BD1"/>
    <w:rsid w:val="00D72760"/>
    <w:rsid w:val="00D80BB3"/>
    <w:rsid w:val="00D8301D"/>
    <w:rsid w:val="00D84DBA"/>
    <w:rsid w:val="00D852B4"/>
    <w:rsid w:val="00D86EA5"/>
    <w:rsid w:val="00DA4375"/>
    <w:rsid w:val="00DA6CE2"/>
    <w:rsid w:val="00DB2F8F"/>
    <w:rsid w:val="00DB4846"/>
    <w:rsid w:val="00DC00F2"/>
    <w:rsid w:val="00DC304D"/>
    <w:rsid w:val="00DC378B"/>
    <w:rsid w:val="00DC5CA5"/>
    <w:rsid w:val="00DD1986"/>
    <w:rsid w:val="00DD3FAF"/>
    <w:rsid w:val="00DD4836"/>
    <w:rsid w:val="00DE0429"/>
    <w:rsid w:val="00DE084C"/>
    <w:rsid w:val="00DE1401"/>
    <w:rsid w:val="00DE2486"/>
    <w:rsid w:val="00DE501A"/>
    <w:rsid w:val="00DE6CC2"/>
    <w:rsid w:val="00DE7996"/>
    <w:rsid w:val="00DF115C"/>
    <w:rsid w:val="00DF3218"/>
    <w:rsid w:val="00E01694"/>
    <w:rsid w:val="00E01EB7"/>
    <w:rsid w:val="00E06B9D"/>
    <w:rsid w:val="00E107DE"/>
    <w:rsid w:val="00E1099C"/>
    <w:rsid w:val="00E20A17"/>
    <w:rsid w:val="00E25256"/>
    <w:rsid w:val="00E264E7"/>
    <w:rsid w:val="00E3082C"/>
    <w:rsid w:val="00E357B7"/>
    <w:rsid w:val="00E44473"/>
    <w:rsid w:val="00E52FC9"/>
    <w:rsid w:val="00E53800"/>
    <w:rsid w:val="00E5462F"/>
    <w:rsid w:val="00E6081F"/>
    <w:rsid w:val="00E65105"/>
    <w:rsid w:val="00E76B78"/>
    <w:rsid w:val="00E83F6C"/>
    <w:rsid w:val="00E8512C"/>
    <w:rsid w:val="00E85FFE"/>
    <w:rsid w:val="00E87332"/>
    <w:rsid w:val="00E92F5D"/>
    <w:rsid w:val="00EA04B2"/>
    <w:rsid w:val="00EA20F3"/>
    <w:rsid w:val="00EA6738"/>
    <w:rsid w:val="00EA6A4C"/>
    <w:rsid w:val="00EB30EC"/>
    <w:rsid w:val="00EB3402"/>
    <w:rsid w:val="00EC2DCF"/>
    <w:rsid w:val="00ED1CD6"/>
    <w:rsid w:val="00ED2831"/>
    <w:rsid w:val="00ED43D1"/>
    <w:rsid w:val="00ED440B"/>
    <w:rsid w:val="00ED6866"/>
    <w:rsid w:val="00EE0A1D"/>
    <w:rsid w:val="00EE4340"/>
    <w:rsid w:val="00EE4EE1"/>
    <w:rsid w:val="00EF2CB9"/>
    <w:rsid w:val="00EF4574"/>
    <w:rsid w:val="00EF4AD9"/>
    <w:rsid w:val="00F03DC4"/>
    <w:rsid w:val="00F046B7"/>
    <w:rsid w:val="00F06182"/>
    <w:rsid w:val="00F07310"/>
    <w:rsid w:val="00F1197C"/>
    <w:rsid w:val="00F12B26"/>
    <w:rsid w:val="00F1550B"/>
    <w:rsid w:val="00F1694B"/>
    <w:rsid w:val="00F2684E"/>
    <w:rsid w:val="00F35E02"/>
    <w:rsid w:val="00F4140A"/>
    <w:rsid w:val="00F44CC8"/>
    <w:rsid w:val="00F46A39"/>
    <w:rsid w:val="00F4752D"/>
    <w:rsid w:val="00F507F7"/>
    <w:rsid w:val="00F51A2C"/>
    <w:rsid w:val="00F52A12"/>
    <w:rsid w:val="00F5404C"/>
    <w:rsid w:val="00F562C4"/>
    <w:rsid w:val="00F604B5"/>
    <w:rsid w:val="00F6416C"/>
    <w:rsid w:val="00F729EF"/>
    <w:rsid w:val="00F72CC0"/>
    <w:rsid w:val="00F73BD4"/>
    <w:rsid w:val="00F766B2"/>
    <w:rsid w:val="00F77CAE"/>
    <w:rsid w:val="00F801D5"/>
    <w:rsid w:val="00F8109E"/>
    <w:rsid w:val="00F812F7"/>
    <w:rsid w:val="00F82271"/>
    <w:rsid w:val="00F8231D"/>
    <w:rsid w:val="00F83428"/>
    <w:rsid w:val="00F87EA5"/>
    <w:rsid w:val="00F92ED5"/>
    <w:rsid w:val="00F96BB9"/>
    <w:rsid w:val="00FA5BA9"/>
    <w:rsid w:val="00FA7B30"/>
    <w:rsid w:val="00FB494E"/>
    <w:rsid w:val="00FB4F75"/>
    <w:rsid w:val="00FC3F41"/>
    <w:rsid w:val="00FC47D3"/>
    <w:rsid w:val="00FC5419"/>
    <w:rsid w:val="00FD0680"/>
    <w:rsid w:val="00FD07D9"/>
    <w:rsid w:val="00FD3D30"/>
    <w:rsid w:val="00FD50EE"/>
    <w:rsid w:val="00FD700A"/>
    <w:rsid w:val="00FE5223"/>
    <w:rsid w:val="00FE6D51"/>
    <w:rsid w:val="00FE6F31"/>
    <w:rsid w:val="00FF09F3"/>
    <w:rsid w:val="00FF0C20"/>
    <w:rsid w:val="00FF5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557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CB70E8"/>
    <w:pPr>
      <w:keepNext/>
      <w:spacing w:before="20" w:after="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CB70E8"/>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8A0"/>
    <w:rPr>
      <w:color w:val="800080" w:themeColor="followedHyperlink"/>
      <w:u w:val="single"/>
    </w:rPr>
  </w:style>
  <w:style w:type="paragraph" w:customStyle="1" w:styleId="Default">
    <w:name w:val="Default"/>
    <w:rsid w:val="00D86EA5"/>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paragraph" w:styleId="ListParagraph">
    <w:name w:val="List Paragraph"/>
    <w:basedOn w:val="Normal"/>
    <w:uiPriority w:val="34"/>
    <w:qFormat/>
    <w:rsid w:val="007D257E"/>
    <w:pPr>
      <w:ind w:left="720"/>
      <w:contextualSpacing/>
    </w:pPr>
  </w:style>
  <w:style w:type="paragraph" w:customStyle="1" w:styleId="dotpoint">
    <w:name w:val="dot point"/>
    <w:basedOn w:val="Normal"/>
    <w:link w:val="dotpointChar"/>
    <w:qFormat/>
    <w:rsid w:val="00DF3218"/>
    <w:pPr>
      <w:numPr>
        <w:numId w:val="44"/>
      </w:numPr>
      <w:suppressAutoHyphens w:val="0"/>
      <w:spacing w:before="0" w:after="0" w:line="240" w:lineRule="auto"/>
      <w:ind w:right="283"/>
    </w:pPr>
    <w:rPr>
      <w:rFonts w:eastAsia="Times New Roman" w:cstheme="minorHAnsi"/>
      <w:color w:val="auto"/>
      <w:lang w:val="en-US" w:eastAsia="en-AU"/>
    </w:rPr>
  </w:style>
  <w:style w:type="character" w:customStyle="1" w:styleId="dotpointChar">
    <w:name w:val="dot point Char"/>
    <w:basedOn w:val="DefaultParagraphFont"/>
    <w:link w:val="dotpoint"/>
    <w:rsid w:val="00DF3218"/>
    <w:rPr>
      <w:rFonts w:eastAsia="Times New Roman" w:cstheme="minorHAnsi"/>
      <w:lang w:val="en-US" w:eastAsia="en-AU"/>
    </w:rPr>
  </w:style>
  <w:style w:type="paragraph" w:customStyle="1" w:styleId="StyleArialJustifiedBefore6ptAfter675ptLinespacin">
    <w:name w:val="Style Arial Justified Before:  6 pt After:  6.75 pt Line spacin..."/>
    <w:basedOn w:val="Normal"/>
    <w:uiPriority w:val="99"/>
    <w:rsid w:val="00DF3218"/>
    <w:pPr>
      <w:numPr>
        <w:numId w:val="45"/>
      </w:numPr>
      <w:tabs>
        <w:tab w:val="left" w:pos="567"/>
        <w:tab w:val="left" w:pos="1021"/>
      </w:tabs>
      <w:suppressAutoHyphens w:val="0"/>
      <w:spacing w:after="120" w:line="276" w:lineRule="auto"/>
      <w:ind w:left="0" w:firstLine="0"/>
      <w:jc w:val="both"/>
    </w:pPr>
    <w:rPr>
      <w:rFonts w:ascii="Arial" w:eastAsia="Calibri" w:hAnsi="Arial" w:cs="Times New Roman"/>
      <w:color w:val="auto"/>
      <w:szCs w:val="20"/>
      <w:lang w:val="en-AU"/>
    </w:rPr>
  </w:style>
  <w:style w:type="character" w:styleId="CommentReference">
    <w:name w:val="annotation reference"/>
    <w:basedOn w:val="DefaultParagraphFont"/>
    <w:uiPriority w:val="99"/>
    <w:semiHidden/>
    <w:unhideWhenUsed/>
    <w:rsid w:val="00E1099C"/>
    <w:rPr>
      <w:sz w:val="16"/>
      <w:szCs w:val="16"/>
    </w:rPr>
  </w:style>
  <w:style w:type="paragraph" w:styleId="CommentText">
    <w:name w:val="annotation text"/>
    <w:basedOn w:val="Normal"/>
    <w:link w:val="CommentTextChar"/>
    <w:uiPriority w:val="99"/>
    <w:semiHidden/>
    <w:unhideWhenUsed/>
    <w:rsid w:val="00E1099C"/>
    <w:pPr>
      <w:spacing w:line="240" w:lineRule="auto"/>
    </w:pPr>
    <w:rPr>
      <w:sz w:val="20"/>
      <w:szCs w:val="20"/>
    </w:rPr>
  </w:style>
  <w:style w:type="character" w:customStyle="1" w:styleId="CommentTextChar">
    <w:name w:val="Comment Text Char"/>
    <w:basedOn w:val="DefaultParagraphFont"/>
    <w:link w:val="CommentText"/>
    <w:uiPriority w:val="99"/>
    <w:semiHidden/>
    <w:rsid w:val="00E1099C"/>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E1099C"/>
    <w:rPr>
      <w:b/>
      <w:bCs/>
    </w:rPr>
  </w:style>
  <w:style w:type="character" w:customStyle="1" w:styleId="CommentSubjectChar">
    <w:name w:val="Comment Subject Char"/>
    <w:basedOn w:val="CommentTextChar"/>
    <w:link w:val="CommentSubject"/>
    <w:uiPriority w:val="99"/>
    <w:semiHidden/>
    <w:rsid w:val="00E1099C"/>
    <w:rPr>
      <w:b/>
      <w:bCs/>
      <w:color w:val="495965" w:themeColor="text2"/>
      <w:sz w:val="20"/>
      <w:szCs w:val="20"/>
      <w:lang w:val="en-GB"/>
    </w:rPr>
  </w:style>
  <w:style w:type="paragraph" w:customStyle="1" w:styleId="Paragraph">
    <w:name w:val="Paragraph"/>
    <w:basedOn w:val="Normal"/>
    <w:uiPriority w:val="99"/>
    <w:rsid w:val="00F8109E"/>
    <w:pPr>
      <w:numPr>
        <w:ilvl w:val="12"/>
      </w:numPr>
      <w:suppressAutoHyphens w:val="0"/>
      <w:spacing w:before="240" w:after="0" w:line="240" w:lineRule="auto"/>
    </w:pPr>
    <w:rPr>
      <w:rFonts w:ascii="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642463212">
      <w:bodyDiv w:val="1"/>
      <w:marLeft w:val="0"/>
      <w:marRight w:val="0"/>
      <w:marTop w:val="0"/>
      <w:marBottom w:val="0"/>
      <w:divBdr>
        <w:top w:val="none" w:sz="0" w:space="0" w:color="auto"/>
        <w:left w:val="none" w:sz="0" w:space="0" w:color="auto"/>
        <w:bottom w:val="none" w:sz="0" w:space="0" w:color="auto"/>
        <w:right w:val="none" w:sz="0" w:space="0" w:color="auto"/>
      </w:divBdr>
    </w:div>
    <w:div w:id="962811001">
      <w:bodyDiv w:val="1"/>
      <w:marLeft w:val="0"/>
      <w:marRight w:val="0"/>
      <w:marTop w:val="0"/>
      <w:marBottom w:val="0"/>
      <w:divBdr>
        <w:top w:val="none" w:sz="0" w:space="0" w:color="auto"/>
        <w:left w:val="none" w:sz="0" w:space="0" w:color="auto"/>
        <w:bottom w:val="none" w:sz="0" w:space="0" w:color="auto"/>
        <w:right w:val="none" w:sz="0" w:space="0" w:color="auto"/>
      </w:divBdr>
    </w:div>
    <w:div w:id="1176265351">
      <w:bodyDiv w:val="1"/>
      <w:marLeft w:val="0"/>
      <w:marRight w:val="0"/>
      <w:marTop w:val="0"/>
      <w:marBottom w:val="0"/>
      <w:divBdr>
        <w:top w:val="none" w:sz="0" w:space="0" w:color="auto"/>
        <w:left w:val="none" w:sz="0" w:space="0" w:color="auto"/>
        <w:bottom w:val="none" w:sz="0" w:space="0" w:color="auto"/>
        <w:right w:val="none" w:sz="0" w:space="0" w:color="auto"/>
      </w:divBdr>
    </w:div>
    <w:div w:id="1192105219">
      <w:bodyDiv w:val="1"/>
      <w:marLeft w:val="0"/>
      <w:marRight w:val="0"/>
      <w:marTop w:val="0"/>
      <w:marBottom w:val="0"/>
      <w:divBdr>
        <w:top w:val="none" w:sz="0" w:space="0" w:color="auto"/>
        <w:left w:val="none" w:sz="0" w:space="0" w:color="auto"/>
        <w:bottom w:val="none" w:sz="0" w:space="0" w:color="auto"/>
        <w:right w:val="none" w:sz="0" w:space="0" w:color="auto"/>
      </w:divBdr>
    </w:div>
    <w:div w:id="16781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eader" Target="header8.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jpeg"/><Relationship Id="rId28" Type="http://schemas.openxmlformats.org/officeDocument/2006/relationships/footer" Target="footer4.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B64C2F-71C0-4911-8360-DB374815AB77}"/>
</file>

<file path=customXml/itemProps2.xml><?xml version="1.0" encoding="utf-8"?>
<ds:datastoreItem xmlns:ds="http://schemas.openxmlformats.org/officeDocument/2006/customXml" ds:itemID="{752F47EB-232C-4991-BF14-5458D1CA780D}"/>
</file>

<file path=customXml/itemProps3.xml><?xml version="1.0" encoding="utf-8"?>
<ds:datastoreItem xmlns:ds="http://schemas.openxmlformats.org/officeDocument/2006/customXml" ds:itemID="{AF7358C7-65DE-46CC-B75C-6ED92EB62B89}"/>
</file>

<file path=customXml/itemProps4.xml><?xml version="1.0" encoding="utf-8"?>
<ds:datastoreItem xmlns:ds="http://schemas.openxmlformats.org/officeDocument/2006/customXml" ds:itemID="{2244A4C5-FEE6-454D-B961-17B874CB36DA}"/>
</file>

<file path=docProps/app.xml><?xml version="1.0" encoding="utf-8"?>
<Properties xmlns="http://schemas.openxmlformats.org/officeDocument/2006/extended-properties" xmlns:vt="http://schemas.openxmlformats.org/officeDocument/2006/docPropsVTypes">
  <Template>Normal.dotm</Template>
  <TotalTime>0</TotalTime>
  <Pages>15</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 Aid Program Performance Report 2017-18</dc:title>
  <dc:creator/>
  <cp:lastModifiedBy/>
  <cp:revision>1</cp:revision>
  <dcterms:created xsi:type="dcterms:W3CDTF">2018-10-25T00:55:00Z</dcterms:created>
  <dcterms:modified xsi:type="dcterms:W3CDTF">2018-10-25T00:55:00Z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182a0a48-5b50-4098-9257-875f2041b095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1203300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