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2D" w:rsidRDefault="00A56F14" w:rsidP="00D146A2">
      <w:r>
        <w:rPr>
          <w:noProof/>
          <w:lang w:val="en-AU" w:eastAsia="en-AU"/>
        </w:rPr>
        <w:drawing>
          <wp:anchor distT="0" distB="0" distL="114300" distR="114300" simplePos="0" relativeHeight="251661312" behindDoc="1" locked="1" layoutInCell="1" allowOverlap="1" wp14:anchorId="1D5535DC" wp14:editId="68FFF5B0">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3E8146B1" wp14:editId="0081C168">
            <wp:simplePos x="0" y="0"/>
            <wp:positionH relativeFrom="page">
              <wp:align>left</wp:align>
            </wp:positionH>
            <wp:positionV relativeFrom="page">
              <wp:posOffset>12065</wp:posOffset>
            </wp:positionV>
            <wp:extent cx="7559675" cy="10693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rsidR="0059146A" w:rsidRDefault="007E44F8" w:rsidP="00A56F14">
      <w:pPr>
        <w:rPr>
          <w:sz w:val="24"/>
        </w:rPr>
        <w:sectPr w:rsidR="0059146A" w:rsidSect="00CD1FD5">
          <w:headerReference w:type="default" r:id="rId13"/>
          <w:headerReference w:type="first" r:id="rId14"/>
          <w:pgSz w:w="11906" w:h="16838" w:code="9"/>
          <w:pgMar w:top="1952" w:right="1134" w:bottom="851" w:left="1134" w:header="1814" w:footer="567" w:gutter="0"/>
          <w:cols w:space="397"/>
          <w:titlePg/>
          <w:docGrid w:linePitch="360"/>
        </w:sectPr>
      </w:pPr>
      <w:r>
        <w:rPr>
          <w:sz w:val="40"/>
        </w:rPr>
        <w:t>Samoa</w:t>
      </w:r>
      <w:r w:rsidR="0059146A">
        <w:rPr>
          <w:sz w:val="40"/>
        </w:rPr>
        <w:br/>
      </w:r>
      <w:r w:rsidR="0059146A" w:rsidRPr="0059146A">
        <w:rPr>
          <w:sz w:val="24"/>
        </w:rPr>
        <w:t>September 2016</w:t>
      </w:r>
    </w:p>
    <w:p w:rsidR="005B5769" w:rsidRPr="00B438D3" w:rsidRDefault="007E44F8" w:rsidP="00B438D3">
      <w:pPr>
        <w:pStyle w:val="Title"/>
      </w:pPr>
      <w:r>
        <w:lastRenderedPageBreak/>
        <w:t>Samoa</w:t>
      </w:r>
      <w:r w:rsidR="005B5769" w:rsidRPr="00B438D3">
        <w:t xml:space="preserve"> Aid Program Performance Information 2015-16</w:t>
      </w:r>
    </w:p>
    <w:p w:rsidR="005B5769" w:rsidRPr="003B529A" w:rsidRDefault="005B5769" w:rsidP="00B438D3">
      <w:pPr>
        <w:pStyle w:val="Subtitle"/>
        <w:rPr>
          <w:rFonts w:asciiTheme="majorHAnsi" w:hAnsiTheme="majorHAnsi"/>
          <w:bCs w:val="0"/>
          <w:iCs w:val="0"/>
          <w:color w:val="auto"/>
          <w:spacing w:val="0"/>
          <w:kern w:val="0"/>
          <w:sz w:val="36"/>
          <w:szCs w:val="26"/>
        </w:rPr>
      </w:pPr>
      <w:r w:rsidRPr="003B529A">
        <w:rPr>
          <w:rFonts w:asciiTheme="majorHAnsi" w:hAnsiTheme="majorHAnsi"/>
          <w:bCs w:val="0"/>
          <w:iCs w:val="0"/>
          <w:color w:val="auto"/>
          <w:spacing w:val="0"/>
          <w:kern w:val="0"/>
          <w:sz w:val="36"/>
          <w:szCs w:val="26"/>
        </w:rPr>
        <w:t>Summary</w:t>
      </w:r>
    </w:p>
    <w:p w:rsidR="00042AD8" w:rsidRPr="003B529A" w:rsidRDefault="00042AD8" w:rsidP="00FB2017">
      <w:pPr>
        <w:rPr>
          <w:color w:val="auto"/>
        </w:rPr>
      </w:pPr>
      <w:r w:rsidRPr="003B529A">
        <w:rPr>
          <w:color w:val="auto"/>
        </w:rPr>
        <w:t>Samoa is a small Pacific Island country with a population of approximately 193,000 people</w:t>
      </w:r>
      <w:r w:rsidR="00DF2F7E">
        <w:rPr>
          <w:color w:val="auto"/>
        </w:rPr>
        <w:t xml:space="preserve">. The country faces </w:t>
      </w:r>
      <w:r w:rsidRPr="003B529A">
        <w:rPr>
          <w:color w:val="auto"/>
        </w:rPr>
        <w:t>challenges to development and economic growth, including a narrow resource base, geographic isolation and high levels of external debt. Samoa is also struggling to deal with the rising number of people with non-communicable diseases and is finding it difficult to attract and retain the skills it needs.</w:t>
      </w:r>
    </w:p>
    <w:p w:rsidR="00FB2017" w:rsidRPr="003B529A" w:rsidRDefault="00DF2F7E" w:rsidP="003B529A">
      <w:pPr>
        <w:rPr>
          <w:color w:val="auto"/>
        </w:rPr>
      </w:pPr>
      <w:r>
        <w:rPr>
          <w:color w:val="auto"/>
        </w:rPr>
        <w:t>T</w:t>
      </w:r>
      <w:r w:rsidR="000B24B9" w:rsidRPr="003B529A">
        <w:rPr>
          <w:color w:val="auto"/>
        </w:rPr>
        <w:t xml:space="preserve">he </w:t>
      </w:r>
      <w:r w:rsidR="00533764" w:rsidRPr="003B529A">
        <w:rPr>
          <w:color w:val="auto"/>
        </w:rPr>
        <w:t>Australia</w:t>
      </w:r>
      <w:r w:rsidR="000B24B9" w:rsidRPr="003B529A">
        <w:rPr>
          <w:color w:val="auto"/>
        </w:rPr>
        <w:t xml:space="preserve">n Government is helping to enable </w:t>
      </w:r>
      <w:r w:rsidR="00533764" w:rsidRPr="003B529A">
        <w:rPr>
          <w:color w:val="auto"/>
        </w:rPr>
        <w:t>economic growth, progres</w:t>
      </w:r>
      <w:r w:rsidR="003B529A">
        <w:rPr>
          <w:color w:val="auto"/>
        </w:rPr>
        <w:t>s</w:t>
      </w:r>
      <w:r w:rsidR="00533764" w:rsidRPr="003B529A">
        <w:rPr>
          <w:color w:val="auto"/>
        </w:rPr>
        <w:t xml:space="preserve"> health and education outcomes and strengthe</w:t>
      </w:r>
      <w:r w:rsidR="00ED0CFF" w:rsidRPr="003B529A">
        <w:rPr>
          <w:color w:val="auto"/>
        </w:rPr>
        <w:t>n</w:t>
      </w:r>
      <w:r w:rsidR="00533764" w:rsidRPr="003B529A">
        <w:rPr>
          <w:color w:val="auto"/>
        </w:rPr>
        <w:t xml:space="preserve"> governance. </w:t>
      </w:r>
      <w:r w:rsidR="00FB2017" w:rsidRPr="003B529A">
        <w:rPr>
          <w:color w:val="auto"/>
        </w:rPr>
        <w:t xml:space="preserve">In 2015-16, </w:t>
      </w:r>
      <w:r>
        <w:rPr>
          <w:color w:val="auto"/>
        </w:rPr>
        <w:t>Australia</w:t>
      </w:r>
      <w:r w:rsidR="000B24B9" w:rsidRPr="003B529A">
        <w:rPr>
          <w:color w:val="auto"/>
        </w:rPr>
        <w:t xml:space="preserve"> helped enable</w:t>
      </w:r>
      <w:r w:rsidR="00D81F80" w:rsidRPr="003B529A">
        <w:rPr>
          <w:color w:val="auto"/>
        </w:rPr>
        <w:t xml:space="preserve"> </w:t>
      </w:r>
      <w:r w:rsidR="00FB2017" w:rsidRPr="003B529A">
        <w:rPr>
          <w:color w:val="auto"/>
        </w:rPr>
        <w:t>economic growth by improving the regulatory environment, building resilience to future economic shocks and investing in priority economic infrastructure projects</w:t>
      </w:r>
      <w:r w:rsidR="00D10079" w:rsidRPr="003B529A">
        <w:rPr>
          <w:color w:val="auto"/>
        </w:rPr>
        <w:t xml:space="preserve"> </w:t>
      </w:r>
      <w:r w:rsidR="00FB2017" w:rsidRPr="003B529A">
        <w:rPr>
          <w:color w:val="auto"/>
        </w:rPr>
        <w:t>(</w:t>
      </w:r>
      <w:r w:rsidR="002E3249" w:rsidRPr="003B529A">
        <w:rPr>
          <w:color w:val="auto"/>
        </w:rPr>
        <w:t>including</w:t>
      </w:r>
      <w:r w:rsidR="00D10079" w:rsidRPr="003B529A">
        <w:rPr>
          <w:color w:val="auto"/>
        </w:rPr>
        <w:t xml:space="preserve"> energy</w:t>
      </w:r>
      <w:r w:rsidR="0023747E" w:rsidRPr="003B529A">
        <w:rPr>
          <w:color w:val="auto"/>
        </w:rPr>
        <w:t>,</w:t>
      </w:r>
      <w:r w:rsidR="00FB2017" w:rsidRPr="003B529A">
        <w:rPr>
          <w:color w:val="auto"/>
        </w:rPr>
        <w:t xml:space="preserve"> roads, bridges and communication services)</w:t>
      </w:r>
      <w:r w:rsidR="006729A5" w:rsidRPr="003B529A">
        <w:rPr>
          <w:color w:val="auto"/>
        </w:rPr>
        <w:t xml:space="preserve">. </w:t>
      </w:r>
      <w:r w:rsidR="000B24B9" w:rsidRPr="003B529A">
        <w:rPr>
          <w:color w:val="auto"/>
        </w:rPr>
        <w:t>The Australian Government also</w:t>
      </w:r>
      <w:r w:rsidR="00736524" w:rsidRPr="003B529A">
        <w:rPr>
          <w:color w:val="auto"/>
        </w:rPr>
        <w:t xml:space="preserve"> </w:t>
      </w:r>
      <w:r w:rsidR="000B24B9" w:rsidRPr="003B529A">
        <w:rPr>
          <w:color w:val="auto"/>
        </w:rPr>
        <w:t>supported</w:t>
      </w:r>
      <w:r w:rsidR="00736524" w:rsidRPr="003B529A">
        <w:rPr>
          <w:color w:val="auto"/>
        </w:rPr>
        <w:t xml:space="preserve"> </w:t>
      </w:r>
      <w:r w:rsidR="00FB2017" w:rsidRPr="003B529A">
        <w:rPr>
          <w:color w:val="auto"/>
        </w:rPr>
        <w:t>more Samoans to complete secondary, vocational and tertiary education</w:t>
      </w:r>
      <w:r w:rsidR="000B24B9" w:rsidRPr="003B529A">
        <w:rPr>
          <w:color w:val="auto"/>
        </w:rPr>
        <w:t>,</w:t>
      </w:r>
      <w:r w:rsidR="00FB2017" w:rsidRPr="003B529A">
        <w:rPr>
          <w:color w:val="auto"/>
        </w:rPr>
        <w:t xml:space="preserve"> and work</w:t>
      </w:r>
      <w:r w:rsidR="000B24B9" w:rsidRPr="003B529A">
        <w:rPr>
          <w:color w:val="auto"/>
        </w:rPr>
        <w:t>ed</w:t>
      </w:r>
      <w:r w:rsidR="00FB2017" w:rsidRPr="003B529A">
        <w:rPr>
          <w:color w:val="auto"/>
        </w:rPr>
        <w:t xml:space="preserve"> with the Samoan Government to lift the quality of education and health services</w:t>
      </w:r>
      <w:r w:rsidR="006729A5" w:rsidRPr="003B529A">
        <w:rPr>
          <w:color w:val="auto"/>
        </w:rPr>
        <w:t>.</w:t>
      </w:r>
      <w:r w:rsidR="00FB2017" w:rsidRPr="003B529A">
        <w:rPr>
          <w:color w:val="auto"/>
        </w:rPr>
        <w:t xml:space="preserve"> </w:t>
      </w:r>
      <w:r w:rsidR="000B24B9" w:rsidRPr="003B529A">
        <w:rPr>
          <w:color w:val="auto"/>
        </w:rPr>
        <w:t>Australia’s aid program</w:t>
      </w:r>
      <w:r w:rsidR="0007178F" w:rsidRPr="003B529A">
        <w:rPr>
          <w:color w:val="auto"/>
        </w:rPr>
        <w:t xml:space="preserve"> also supported strong</w:t>
      </w:r>
      <w:r w:rsidR="006729A5" w:rsidRPr="003B529A">
        <w:rPr>
          <w:color w:val="auto"/>
        </w:rPr>
        <w:t>er</w:t>
      </w:r>
      <w:r w:rsidR="0007178F" w:rsidRPr="003B529A">
        <w:rPr>
          <w:color w:val="auto"/>
        </w:rPr>
        <w:t xml:space="preserve"> </w:t>
      </w:r>
      <w:r w:rsidR="00FB2017" w:rsidRPr="003B529A">
        <w:rPr>
          <w:color w:val="auto"/>
        </w:rPr>
        <w:t>governance</w:t>
      </w:r>
      <w:r w:rsidR="000B24B9" w:rsidRPr="003B529A">
        <w:rPr>
          <w:color w:val="auto"/>
        </w:rPr>
        <w:t xml:space="preserve">, </w:t>
      </w:r>
      <w:r w:rsidR="00FB2017" w:rsidRPr="003B529A">
        <w:rPr>
          <w:color w:val="auto"/>
        </w:rPr>
        <w:t xml:space="preserve">through improved </w:t>
      </w:r>
      <w:r w:rsidR="0092149F" w:rsidRPr="003B529A">
        <w:rPr>
          <w:color w:val="auto"/>
        </w:rPr>
        <w:t>policing,</w:t>
      </w:r>
      <w:r w:rsidR="00FB2017" w:rsidRPr="003B529A">
        <w:rPr>
          <w:color w:val="auto"/>
        </w:rPr>
        <w:t xml:space="preserve"> public sector development</w:t>
      </w:r>
      <w:r w:rsidR="0007178F" w:rsidRPr="003B529A">
        <w:rPr>
          <w:color w:val="auto"/>
        </w:rPr>
        <w:t xml:space="preserve"> and</w:t>
      </w:r>
      <w:r w:rsidR="00FB2017" w:rsidRPr="003B529A">
        <w:rPr>
          <w:color w:val="auto"/>
        </w:rPr>
        <w:t xml:space="preserve"> women’s political participation</w:t>
      </w:r>
      <w:r w:rsidR="0007178F" w:rsidRPr="003B529A">
        <w:rPr>
          <w:color w:val="auto"/>
        </w:rPr>
        <w:t xml:space="preserve">. We </w:t>
      </w:r>
      <w:r w:rsidR="000B24B9" w:rsidRPr="003B529A">
        <w:rPr>
          <w:color w:val="auto"/>
        </w:rPr>
        <w:t xml:space="preserve">also </w:t>
      </w:r>
      <w:r w:rsidR="002E3249" w:rsidRPr="003B529A">
        <w:rPr>
          <w:color w:val="auto"/>
        </w:rPr>
        <w:t>progress</w:t>
      </w:r>
      <w:r w:rsidR="000B24B9" w:rsidRPr="003B529A">
        <w:rPr>
          <w:color w:val="auto"/>
        </w:rPr>
        <w:t>ed</w:t>
      </w:r>
      <w:r w:rsidR="002E3249" w:rsidRPr="003B529A">
        <w:rPr>
          <w:color w:val="auto"/>
        </w:rPr>
        <w:t xml:space="preserve"> the construction of a new and accessible Parliament House.</w:t>
      </w:r>
    </w:p>
    <w:p w:rsidR="00D81F80" w:rsidRDefault="00D81F80" w:rsidP="00FB2017">
      <w:pPr>
        <w:rPr>
          <w:color w:val="auto"/>
        </w:rPr>
      </w:pPr>
      <w:r w:rsidRPr="003B529A">
        <w:rPr>
          <w:color w:val="auto"/>
        </w:rPr>
        <w:t xml:space="preserve">Australia is Samoa’s largest aid donor. </w:t>
      </w:r>
      <w:r w:rsidR="00533764" w:rsidRPr="003B529A">
        <w:rPr>
          <w:color w:val="auto"/>
        </w:rPr>
        <w:t>In 2015-16</w:t>
      </w:r>
      <w:r w:rsidRPr="003B529A">
        <w:rPr>
          <w:color w:val="auto"/>
        </w:rPr>
        <w:t>, Australia’s official development assistance (ODA) expenditure was $37 million, equivalent to approximately five per cent of Samoa’s Gross Domestic Product.</w:t>
      </w:r>
      <w:r w:rsidRPr="003B529A">
        <w:rPr>
          <w:color w:val="auto"/>
          <w:vertAlign w:val="superscript"/>
        </w:rPr>
        <w:footnoteReference w:id="1"/>
      </w:r>
      <w:r w:rsidRPr="003B529A">
        <w:rPr>
          <w:color w:val="auto"/>
        </w:rPr>
        <w:t xml:space="preserve"> Other significan</w:t>
      </w:r>
      <w:r w:rsidR="00ED0CFF" w:rsidRPr="003B529A">
        <w:rPr>
          <w:color w:val="auto"/>
        </w:rPr>
        <w:t>t bilateral donors</w:t>
      </w:r>
      <w:r w:rsidRPr="003B529A">
        <w:rPr>
          <w:color w:val="auto"/>
        </w:rPr>
        <w:t xml:space="preserve"> include New Zealand, China and Japan. </w:t>
      </w:r>
    </w:p>
    <w:p w:rsidR="00190B28" w:rsidRDefault="00190B28" w:rsidP="00FB2017">
      <w:pPr>
        <w:rPr>
          <w:color w:val="auto"/>
        </w:rPr>
      </w:pPr>
      <w:r>
        <w:rPr>
          <w:color w:val="auto"/>
        </w:rPr>
        <w:t xml:space="preserve">During 2015-16, Australia made good progress against its strategic objectives of enabling economic growth and strengthening governance, achieving green ratings. Progress against the strategic objective of progressing health and education outcomes was somewhat less than expected, due to incomplete construction of some key infrastructure. </w:t>
      </w:r>
    </w:p>
    <w:p w:rsidR="00190B28" w:rsidRPr="003B529A" w:rsidRDefault="00190B28" w:rsidP="00FB2017">
      <w:pPr>
        <w:rPr>
          <w:color w:val="auto"/>
        </w:rPr>
      </w:pPr>
      <w:bookmarkStart w:id="0" w:name="_GoBack"/>
      <w:bookmarkEnd w:id="0"/>
    </w:p>
    <w:p w:rsidR="005B5769" w:rsidRPr="008C2F58" w:rsidRDefault="005B5769" w:rsidP="00B438D3">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6851"/>
        <w:gridCol w:w="1126"/>
        <w:gridCol w:w="466"/>
        <w:gridCol w:w="1195"/>
      </w:tblGrid>
      <w:tr w:rsidR="005B5769" w:rsidRPr="003B0793" w:rsidTr="00D15A00">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5B5769" w:rsidRPr="003B0793" w:rsidRDefault="005B5769" w:rsidP="00D15A00">
            <w:pPr>
              <w:pStyle w:val="TableTextColumnHeading"/>
              <w:rPr>
                <w:rFonts w:asciiTheme="minorHAnsi" w:hAnsiTheme="minorHAnsi"/>
              </w:rPr>
            </w:pPr>
            <w:r w:rsidRPr="003B0793">
              <w:rPr>
                <w:rFonts w:asciiTheme="minorHAnsi" w:hAnsiTheme="minorHAnsi"/>
                <w:noProof/>
              </w:rPr>
              <w:drawing>
                <wp:anchor distT="0" distB="0" distL="114300" distR="114300" simplePos="0" relativeHeight="251666432" behindDoc="0" locked="0" layoutInCell="1" allowOverlap="1" wp14:anchorId="61294949" wp14:editId="07ED5761">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hAnsiTheme="minorHAnsi"/>
              </w:rPr>
              <w:t>Objective</w:t>
            </w:r>
          </w:p>
        </w:tc>
        <w:tc>
          <w:tcPr>
            <w:tcW w:w="972" w:type="dxa"/>
          </w:tcPr>
          <w:p w:rsidR="005B5769" w:rsidRPr="003B0793" w:rsidRDefault="005B5769" w:rsidP="00D15A00">
            <w:pPr>
              <w:pStyle w:val="TableTextColumnHeading"/>
              <w:rPr>
                <w:rFonts w:asciiTheme="minorHAnsi" w:hAnsiTheme="minorHAnsi"/>
              </w:rPr>
            </w:pPr>
            <w:r w:rsidRPr="003B0793">
              <w:rPr>
                <w:rFonts w:asciiTheme="minorHAnsi" w:hAnsiTheme="minorHAnsi"/>
              </w:rPr>
              <w:t>Previous Rating</w:t>
            </w:r>
          </w:p>
        </w:tc>
        <w:tc>
          <w:tcPr>
            <w:tcW w:w="388" w:type="dxa"/>
          </w:tcPr>
          <w:p w:rsidR="005B5769" w:rsidRPr="003B0793" w:rsidRDefault="005B5769" w:rsidP="00D15A00">
            <w:pPr>
              <w:pStyle w:val="TableTextColumnHeading"/>
              <w:rPr>
                <w:rFonts w:asciiTheme="minorHAnsi" w:hAnsiTheme="minorHAnsi"/>
              </w:rPr>
            </w:pPr>
          </w:p>
        </w:tc>
        <w:tc>
          <w:tcPr>
            <w:tcW w:w="1021" w:type="dxa"/>
          </w:tcPr>
          <w:p w:rsidR="005B5769" w:rsidRPr="003B0793" w:rsidRDefault="005B5769" w:rsidP="00D15A00">
            <w:pPr>
              <w:pStyle w:val="TableTextColumnHeading"/>
              <w:rPr>
                <w:rFonts w:asciiTheme="minorHAnsi" w:hAnsiTheme="minorHAnsi"/>
              </w:rPr>
            </w:pPr>
            <w:r w:rsidRPr="003B0793">
              <w:rPr>
                <w:rFonts w:asciiTheme="minorHAnsi" w:hAnsiTheme="minorHAnsi"/>
              </w:rPr>
              <w:t>Current Rating</w:t>
            </w:r>
          </w:p>
        </w:tc>
      </w:tr>
      <w:tr w:rsidR="005B5769" w:rsidRPr="003B0793" w:rsidTr="00A91F97">
        <w:trPr>
          <w:cnfStyle w:val="000000010000" w:firstRow="0" w:lastRow="0" w:firstColumn="0" w:lastColumn="0" w:oddVBand="0" w:evenVBand="0" w:oddHBand="0" w:evenHBand="1" w:firstRowFirstColumn="0" w:firstRowLastColumn="0" w:lastRowFirstColumn="0" w:lastRowLastColumn="0"/>
        </w:trPr>
        <w:tc>
          <w:tcPr>
            <w:tcW w:w="6029" w:type="dxa"/>
          </w:tcPr>
          <w:p w:rsidR="005B5769" w:rsidRPr="003B0793" w:rsidRDefault="005B5769" w:rsidP="00D15A00">
            <w:pPr>
              <w:pStyle w:val="TableTextEntries"/>
              <w:rPr>
                <w:rFonts w:asciiTheme="minorHAnsi" w:hAnsiTheme="minorHAnsi"/>
              </w:rPr>
            </w:pPr>
            <w:r w:rsidRPr="003B0793">
              <w:rPr>
                <w:rFonts w:asciiTheme="minorHAnsi" w:hAnsiTheme="minorHAnsi"/>
              </w:rPr>
              <w:t>Objective 1</w:t>
            </w:r>
            <w:r w:rsidR="00533764">
              <w:rPr>
                <w:rFonts w:asciiTheme="minorHAnsi" w:hAnsiTheme="minorHAnsi"/>
              </w:rPr>
              <w:t xml:space="preserve"> To enable economic growth</w:t>
            </w:r>
          </w:p>
        </w:tc>
        <w:tc>
          <w:tcPr>
            <w:tcW w:w="972" w:type="dxa"/>
            <w:shd w:val="clear" w:color="auto" w:fill="72AF2F"/>
            <w:noWrap/>
          </w:tcPr>
          <w:p w:rsidR="005B5769" w:rsidRPr="003B0793" w:rsidRDefault="005B5769"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c>
          <w:tcPr>
            <w:tcW w:w="388" w:type="dxa"/>
          </w:tcPr>
          <w:p w:rsidR="005B5769" w:rsidRPr="003B0793" w:rsidRDefault="005B5769" w:rsidP="00D15A00">
            <w:pPr>
              <w:pStyle w:val="TableTextEntries"/>
              <w:jc w:val="center"/>
              <w:rPr>
                <w:rFonts w:asciiTheme="minorHAnsi" w:hAnsiTheme="minorHAnsi"/>
                <w:color w:val="FFFFFF" w:themeColor="background1"/>
              </w:rPr>
            </w:pPr>
          </w:p>
        </w:tc>
        <w:tc>
          <w:tcPr>
            <w:tcW w:w="1021" w:type="dxa"/>
            <w:shd w:val="clear" w:color="auto" w:fill="70AC2E"/>
            <w:noWrap/>
          </w:tcPr>
          <w:p w:rsidR="005B5769" w:rsidRPr="003B0793" w:rsidRDefault="00A91F97"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5B5769" w:rsidRPr="003B0793" w:rsidTr="00A91F97">
        <w:trPr>
          <w:cnfStyle w:val="000000010000" w:firstRow="0" w:lastRow="0" w:firstColumn="0" w:lastColumn="0" w:oddVBand="0" w:evenVBand="0" w:oddHBand="0" w:evenHBand="1" w:firstRowFirstColumn="0" w:firstRowLastColumn="0" w:lastRowFirstColumn="0" w:lastRowLastColumn="0"/>
        </w:trPr>
        <w:tc>
          <w:tcPr>
            <w:tcW w:w="6029" w:type="dxa"/>
          </w:tcPr>
          <w:p w:rsidR="005B5769" w:rsidRPr="003B0793" w:rsidRDefault="005B5769" w:rsidP="00D15A00">
            <w:pPr>
              <w:pStyle w:val="TableTextEntries"/>
              <w:rPr>
                <w:rFonts w:asciiTheme="minorHAnsi" w:hAnsiTheme="minorHAnsi"/>
              </w:rPr>
            </w:pPr>
            <w:r w:rsidRPr="003B0793">
              <w:rPr>
                <w:rFonts w:asciiTheme="minorHAnsi" w:hAnsiTheme="minorHAnsi"/>
              </w:rPr>
              <w:t>Objective 2</w:t>
            </w:r>
            <w:r w:rsidR="00533764">
              <w:rPr>
                <w:rFonts w:asciiTheme="minorHAnsi" w:hAnsiTheme="minorHAnsi"/>
              </w:rPr>
              <w:t xml:space="preserve"> To progress health and education outcomes</w:t>
            </w:r>
          </w:p>
        </w:tc>
        <w:tc>
          <w:tcPr>
            <w:tcW w:w="972" w:type="dxa"/>
            <w:shd w:val="clear" w:color="auto" w:fill="E36C0A"/>
            <w:noWrap/>
          </w:tcPr>
          <w:p w:rsidR="005B5769" w:rsidRPr="003B0793" w:rsidRDefault="005B5769"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Amber</w:t>
            </w:r>
          </w:p>
        </w:tc>
        <w:tc>
          <w:tcPr>
            <w:tcW w:w="388" w:type="dxa"/>
          </w:tcPr>
          <w:p w:rsidR="005B5769" w:rsidRPr="003B0793" w:rsidRDefault="005B5769" w:rsidP="00D15A00">
            <w:pPr>
              <w:pStyle w:val="TableTextEntries"/>
              <w:jc w:val="center"/>
              <w:rPr>
                <w:rFonts w:asciiTheme="minorHAnsi" w:hAnsiTheme="minorHAnsi"/>
                <w:color w:val="FFFFFF" w:themeColor="background1"/>
              </w:rPr>
            </w:pPr>
          </w:p>
        </w:tc>
        <w:tc>
          <w:tcPr>
            <w:tcW w:w="1021" w:type="dxa"/>
            <w:shd w:val="clear" w:color="auto" w:fill="FF6600"/>
            <w:noWrap/>
          </w:tcPr>
          <w:p w:rsidR="005B5769" w:rsidRPr="003B0793" w:rsidRDefault="00A91F97"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r w:rsidR="005B5769" w:rsidRPr="003B0793" w:rsidTr="00A91F97">
        <w:trPr>
          <w:cnfStyle w:val="000000010000" w:firstRow="0" w:lastRow="0" w:firstColumn="0" w:lastColumn="0" w:oddVBand="0" w:evenVBand="0" w:oddHBand="0" w:evenHBand="1" w:firstRowFirstColumn="0" w:firstRowLastColumn="0" w:lastRowFirstColumn="0" w:lastRowLastColumn="0"/>
        </w:trPr>
        <w:tc>
          <w:tcPr>
            <w:tcW w:w="6029" w:type="dxa"/>
          </w:tcPr>
          <w:p w:rsidR="005B5769" w:rsidRPr="003B0793" w:rsidRDefault="005B5769" w:rsidP="00D15A00">
            <w:pPr>
              <w:pStyle w:val="TableTextEntries"/>
              <w:rPr>
                <w:rFonts w:asciiTheme="minorHAnsi" w:hAnsiTheme="minorHAnsi"/>
              </w:rPr>
            </w:pPr>
            <w:r w:rsidRPr="003B0793">
              <w:rPr>
                <w:rFonts w:asciiTheme="minorHAnsi" w:hAnsiTheme="minorHAnsi"/>
              </w:rPr>
              <w:t>Objective 3</w:t>
            </w:r>
            <w:r w:rsidR="00533764">
              <w:rPr>
                <w:rFonts w:asciiTheme="minorHAnsi" w:hAnsiTheme="minorHAnsi"/>
              </w:rPr>
              <w:t xml:space="preserve"> To strengthen governance</w:t>
            </w:r>
          </w:p>
        </w:tc>
        <w:tc>
          <w:tcPr>
            <w:tcW w:w="972" w:type="dxa"/>
            <w:shd w:val="clear" w:color="auto" w:fill="70AC2E"/>
            <w:noWrap/>
          </w:tcPr>
          <w:p w:rsidR="005B5769" w:rsidRPr="003B0793" w:rsidRDefault="00A91F97"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388" w:type="dxa"/>
          </w:tcPr>
          <w:p w:rsidR="005B5769" w:rsidRPr="003B0793" w:rsidRDefault="005B5769" w:rsidP="00D15A00">
            <w:pPr>
              <w:pStyle w:val="TableTextEntries"/>
              <w:jc w:val="center"/>
              <w:rPr>
                <w:rFonts w:asciiTheme="minorHAnsi" w:hAnsiTheme="minorHAnsi"/>
                <w:color w:val="FFFFFF" w:themeColor="background1"/>
              </w:rPr>
            </w:pPr>
          </w:p>
        </w:tc>
        <w:tc>
          <w:tcPr>
            <w:tcW w:w="1021" w:type="dxa"/>
            <w:shd w:val="clear" w:color="auto" w:fill="70AC2E"/>
            <w:noWrap/>
          </w:tcPr>
          <w:p w:rsidR="005B5769" w:rsidRPr="003B0793" w:rsidRDefault="00A91F97"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rsidR="005B5769" w:rsidRPr="003B0793" w:rsidRDefault="005B5769" w:rsidP="005B5769">
      <w:pPr>
        <w:pStyle w:val="Note"/>
        <w:rPr>
          <w:rFonts w:asciiTheme="minorHAnsi" w:hAnsiTheme="minorHAnsi"/>
          <w:sz w:val="16"/>
        </w:rPr>
      </w:pPr>
      <w:r w:rsidRPr="003B0793">
        <w:rPr>
          <w:rFonts w:asciiTheme="minorHAnsi" w:hAnsiTheme="minorHAnsi"/>
          <w:sz w:val="16"/>
        </w:rPr>
        <w:t xml:space="preserve">Note: </w:t>
      </w:r>
    </w:p>
    <w:p w:rsidR="005B5769" w:rsidRPr="003B0793" w:rsidRDefault="005B5769" w:rsidP="005B5769">
      <w:pPr>
        <w:pStyle w:val="Note"/>
        <w:rPr>
          <w:rFonts w:asciiTheme="minorHAnsi" w:hAnsiTheme="minorHAnsi"/>
          <w:sz w:val="16"/>
        </w:rPr>
      </w:pPr>
      <w:r w:rsidRPr="003B0793">
        <w:rPr>
          <w:rFonts w:asciiTheme="minorHAnsi" w:hAnsiTheme="minorHAnsi"/>
          <w:color w:val="72AF2F"/>
          <w:sz w:val="16"/>
        </w:rPr>
        <w:sym w:font="Webdings" w:char="F067"/>
      </w:r>
      <w:r w:rsidRPr="003B0793">
        <w:rPr>
          <w:rFonts w:asciiTheme="minorHAnsi" w:hAnsiTheme="minorHAnsi"/>
          <w:sz w:val="16"/>
        </w:rPr>
        <w:t> </w:t>
      </w:r>
      <w:r w:rsidRPr="003B0793">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3B0793" w:rsidRDefault="005B5769" w:rsidP="005B5769">
      <w:pPr>
        <w:pStyle w:val="Note"/>
        <w:rPr>
          <w:rFonts w:asciiTheme="minorHAnsi" w:hAnsiTheme="minorHAnsi"/>
          <w:sz w:val="16"/>
        </w:rPr>
      </w:pPr>
      <w:r w:rsidRPr="003B0793">
        <w:rPr>
          <w:rFonts w:asciiTheme="minorHAnsi" w:hAnsiTheme="minorHAnsi"/>
          <w:color w:val="E36C0A"/>
          <w:sz w:val="16"/>
        </w:rPr>
        <w:sym w:font="Webdings" w:char="F067"/>
      </w:r>
      <w:r w:rsidRPr="003B0793">
        <w:rPr>
          <w:rFonts w:asciiTheme="minorHAnsi" w:hAnsiTheme="minorHAnsi"/>
          <w:sz w:val="16"/>
        </w:rPr>
        <w:t> </w:t>
      </w:r>
      <w:r w:rsidRPr="003B0793">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Pr="003B0793" w:rsidRDefault="005B5769" w:rsidP="005B5769">
      <w:pPr>
        <w:pStyle w:val="Note"/>
        <w:rPr>
          <w:rFonts w:asciiTheme="minorHAnsi" w:hAnsiTheme="minorHAnsi"/>
          <w:sz w:val="16"/>
        </w:rPr>
      </w:pPr>
      <w:r w:rsidRPr="003B0793">
        <w:rPr>
          <w:rFonts w:asciiTheme="minorHAnsi" w:hAnsiTheme="minorHAnsi"/>
          <w:color w:val="FF0000"/>
          <w:sz w:val="16"/>
        </w:rPr>
        <w:sym w:font="Webdings" w:char="F067"/>
      </w:r>
      <w:r w:rsidRPr="003B0793">
        <w:rPr>
          <w:rFonts w:asciiTheme="minorHAnsi" w:hAnsiTheme="minorHAnsi"/>
          <w:sz w:val="16"/>
        </w:rPr>
        <w:t> </w:t>
      </w:r>
      <w:r w:rsidRPr="003B0793">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5B5769" w:rsidRDefault="005B5769" w:rsidP="005B5769">
      <w:pPr>
        <w:pStyle w:val="Note"/>
      </w:pPr>
      <w:r w:rsidRPr="00C4114C">
        <w:t xml:space="preserve">  </w:t>
      </w:r>
    </w:p>
    <w:p w:rsidR="00ED0CFF" w:rsidRDefault="00ED0CFF" w:rsidP="003B529A">
      <w:pPr>
        <w:pStyle w:val="BodyText"/>
        <w:rPr>
          <w:rFonts w:asciiTheme="minorHAnsi" w:eastAsiaTheme="minorHAnsi" w:hAnsiTheme="minorHAnsi" w:cstheme="minorBidi"/>
          <w:color w:val="495965" w:themeColor="text2"/>
          <w:sz w:val="22"/>
          <w:szCs w:val="22"/>
          <w:lang w:val="en-GB" w:eastAsia="en-US"/>
        </w:rPr>
      </w:pPr>
    </w:p>
    <w:p w:rsidR="00ED0CFF" w:rsidRDefault="00ED0CFF" w:rsidP="003B529A">
      <w:pPr>
        <w:pStyle w:val="BodyText"/>
        <w:rPr>
          <w:rFonts w:asciiTheme="minorHAnsi" w:eastAsiaTheme="minorHAnsi" w:hAnsiTheme="minorHAnsi" w:cstheme="minorBidi"/>
          <w:color w:val="495965" w:themeColor="text2"/>
          <w:sz w:val="22"/>
          <w:szCs w:val="22"/>
          <w:lang w:val="en-GB" w:eastAsia="en-US"/>
        </w:rPr>
      </w:pPr>
    </w:p>
    <w:p w:rsidR="00ED0CFF" w:rsidRDefault="00ED0CFF" w:rsidP="003B529A">
      <w:pPr>
        <w:pStyle w:val="BodyText"/>
        <w:rPr>
          <w:rFonts w:asciiTheme="minorHAnsi" w:eastAsiaTheme="minorHAnsi" w:hAnsiTheme="minorHAnsi" w:cstheme="minorBidi"/>
          <w:color w:val="495965" w:themeColor="text2"/>
          <w:sz w:val="22"/>
          <w:szCs w:val="22"/>
          <w:lang w:val="en-GB" w:eastAsia="en-US"/>
        </w:rPr>
      </w:pPr>
    </w:p>
    <w:p w:rsidR="00190B28" w:rsidRDefault="00190B28" w:rsidP="003B529A">
      <w:pPr>
        <w:pStyle w:val="BodyText"/>
        <w:rPr>
          <w:rFonts w:asciiTheme="minorHAnsi" w:eastAsiaTheme="minorHAnsi" w:hAnsiTheme="minorHAnsi" w:cstheme="minorBidi"/>
          <w:color w:val="495965" w:themeColor="text2"/>
          <w:sz w:val="22"/>
          <w:szCs w:val="22"/>
          <w:lang w:val="en-GB" w:eastAsia="en-US"/>
        </w:rPr>
      </w:pPr>
    </w:p>
    <w:p w:rsidR="00190B28" w:rsidRDefault="00190B28" w:rsidP="003B529A"/>
    <w:p w:rsidR="00ED0CFF" w:rsidRPr="003B529A" w:rsidRDefault="00ED0CFF" w:rsidP="003B529A">
      <w:pPr>
        <w:rPr>
          <w:b/>
          <w:color w:val="auto"/>
        </w:rPr>
      </w:pPr>
      <w:r w:rsidRPr="003B529A">
        <w:rPr>
          <w:b/>
          <w:color w:val="auto"/>
        </w:rPr>
        <w:lastRenderedPageBreak/>
        <w:t>Objective 1: Enable economic growth</w:t>
      </w:r>
    </w:p>
    <w:p w:rsidR="002E0091" w:rsidRPr="003B529A" w:rsidRDefault="002E0091" w:rsidP="003B529A">
      <w:pPr>
        <w:rPr>
          <w:color w:val="auto"/>
        </w:rPr>
      </w:pPr>
      <w:r w:rsidRPr="003B529A">
        <w:rPr>
          <w:color w:val="auto"/>
        </w:rPr>
        <w:t xml:space="preserve">Australia is supporting economic growth in Samoa through the Samoa Economic Reform Program, which centres on a Joint Policy Action Matrix (JPAM) of economic, structural and public financial management reforms negotiated </w:t>
      </w:r>
      <w:r w:rsidR="00DF2F7E">
        <w:rPr>
          <w:color w:val="auto"/>
        </w:rPr>
        <w:t>by</w:t>
      </w:r>
      <w:r w:rsidRPr="003B529A">
        <w:rPr>
          <w:color w:val="auto"/>
        </w:rPr>
        <w:t xml:space="preserve"> the World Bank, the Asian Development Bank, New Zealand, Australia and the Government of Samoa. Under the JPAM, </w:t>
      </w:r>
      <w:r w:rsidR="00DF2F7E">
        <w:rPr>
          <w:color w:val="auto"/>
        </w:rPr>
        <w:t>Australia</w:t>
      </w:r>
      <w:r w:rsidRPr="003B529A">
        <w:rPr>
          <w:color w:val="auto"/>
        </w:rPr>
        <w:t xml:space="preserve"> and other deve</w:t>
      </w:r>
      <w:r w:rsidR="000E7AA9" w:rsidRPr="003B529A">
        <w:rPr>
          <w:color w:val="auto"/>
        </w:rPr>
        <w:t>lopment partners supported the G</w:t>
      </w:r>
      <w:r w:rsidR="00DF2F7E">
        <w:rPr>
          <w:color w:val="auto"/>
        </w:rPr>
        <w:t>overnment of Samoa’s</w:t>
      </w:r>
      <w:r w:rsidRPr="003B529A">
        <w:rPr>
          <w:color w:val="auto"/>
        </w:rPr>
        <w:t xml:space="preserve"> reform program, which delivered the following key achievements in 2015-16:</w:t>
      </w:r>
    </w:p>
    <w:p w:rsidR="003B529A" w:rsidRPr="003B529A" w:rsidRDefault="002E0091" w:rsidP="00C01760">
      <w:pPr>
        <w:pStyle w:val="ListParagraph"/>
        <w:numPr>
          <w:ilvl w:val="0"/>
          <w:numId w:val="13"/>
        </w:numPr>
        <w:rPr>
          <w:color w:val="auto"/>
        </w:rPr>
      </w:pPr>
      <w:r w:rsidRPr="003B529A">
        <w:rPr>
          <w:color w:val="auto"/>
        </w:rPr>
        <w:t xml:space="preserve">introduction of </w:t>
      </w:r>
      <w:r w:rsidR="00E978D9" w:rsidRPr="003B529A">
        <w:rPr>
          <w:color w:val="auto"/>
        </w:rPr>
        <w:t xml:space="preserve">electronic systems </w:t>
      </w:r>
      <w:r w:rsidR="00D661D8" w:rsidRPr="003B529A">
        <w:rPr>
          <w:color w:val="auto"/>
        </w:rPr>
        <w:t>for filing and paying taxes</w:t>
      </w:r>
      <w:r w:rsidR="00E978D9" w:rsidRPr="003B529A">
        <w:rPr>
          <w:color w:val="auto"/>
        </w:rPr>
        <w:t xml:space="preserve">; </w:t>
      </w:r>
    </w:p>
    <w:p w:rsidR="003B529A" w:rsidRPr="003B529A" w:rsidRDefault="002E0091" w:rsidP="00C01760">
      <w:pPr>
        <w:pStyle w:val="ListParagraph"/>
        <w:numPr>
          <w:ilvl w:val="0"/>
          <w:numId w:val="13"/>
        </w:numPr>
      </w:pPr>
      <w:r w:rsidRPr="003B529A">
        <w:rPr>
          <w:color w:val="auto"/>
        </w:rPr>
        <w:t>a</w:t>
      </w:r>
      <w:r w:rsidR="00E978D9" w:rsidRPr="003B529A">
        <w:rPr>
          <w:color w:val="auto"/>
        </w:rPr>
        <w:t xml:space="preserve"> first annual impact assessment of </w:t>
      </w:r>
      <w:r w:rsidR="00125586" w:rsidRPr="003B529A">
        <w:rPr>
          <w:color w:val="auto"/>
        </w:rPr>
        <w:t xml:space="preserve">Samoa’s </w:t>
      </w:r>
      <w:r w:rsidR="00E978D9" w:rsidRPr="003B529A">
        <w:rPr>
          <w:color w:val="auto"/>
        </w:rPr>
        <w:t>Tourism Marketing Strategy to improve future targeting of tourists</w:t>
      </w:r>
      <w:r w:rsidR="006729A5" w:rsidRPr="003B529A">
        <w:rPr>
          <w:color w:val="auto"/>
        </w:rPr>
        <w:t>;</w:t>
      </w:r>
      <w:r w:rsidR="00E978D9" w:rsidRPr="003B529A">
        <w:rPr>
          <w:color w:val="auto"/>
        </w:rPr>
        <w:t xml:space="preserve"> and </w:t>
      </w:r>
    </w:p>
    <w:p w:rsidR="000E7AA9" w:rsidRPr="003B529A" w:rsidRDefault="00E978D9" w:rsidP="00C01760">
      <w:pPr>
        <w:pStyle w:val="ListParagraph"/>
        <w:numPr>
          <w:ilvl w:val="0"/>
          <w:numId w:val="13"/>
        </w:numPr>
      </w:pPr>
      <w:r w:rsidRPr="003B529A">
        <w:rPr>
          <w:color w:val="auto"/>
        </w:rPr>
        <w:t>approv</w:t>
      </w:r>
      <w:r w:rsidR="000E7AA9" w:rsidRPr="003B529A">
        <w:rPr>
          <w:color w:val="auto"/>
        </w:rPr>
        <w:t>al of</w:t>
      </w:r>
      <w:r w:rsidRPr="003B529A">
        <w:rPr>
          <w:color w:val="auto"/>
        </w:rPr>
        <w:t xml:space="preserve"> a revised policy on ownership, performance and divestment of </w:t>
      </w:r>
      <w:r w:rsidR="000E7AA9" w:rsidRPr="003B529A">
        <w:rPr>
          <w:color w:val="auto"/>
        </w:rPr>
        <w:t>p</w:t>
      </w:r>
      <w:r w:rsidRPr="003B529A">
        <w:rPr>
          <w:color w:val="auto"/>
        </w:rPr>
        <w:t xml:space="preserve">ublic </w:t>
      </w:r>
      <w:r w:rsidR="000E7AA9" w:rsidRPr="003B529A">
        <w:rPr>
          <w:color w:val="auto"/>
        </w:rPr>
        <w:t>b</w:t>
      </w:r>
      <w:r w:rsidRPr="003B529A">
        <w:rPr>
          <w:color w:val="auto"/>
        </w:rPr>
        <w:t xml:space="preserve">odies to facilitate greater private participation in the </w:t>
      </w:r>
      <w:r w:rsidR="000E7AA9" w:rsidRPr="003B529A">
        <w:rPr>
          <w:color w:val="auto"/>
        </w:rPr>
        <w:t>s</w:t>
      </w:r>
      <w:r w:rsidR="003B06EB" w:rsidRPr="003B529A">
        <w:rPr>
          <w:color w:val="auto"/>
        </w:rPr>
        <w:t xml:space="preserve">tate </w:t>
      </w:r>
      <w:r w:rsidR="000E7AA9" w:rsidRPr="003B529A">
        <w:rPr>
          <w:color w:val="auto"/>
        </w:rPr>
        <w:t>o</w:t>
      </w:r>
      <w:r w:rsidR="003B06EB" w:rsidRPr="003B529A">
        <w:rPr>
          <w:color w:val="auto"/>
        </w:rPr>
        <w:t xml:space="preserve">wned </w:t>
      </w:r>
      <w:r w:rsidR="000E7AA9" w:rsidRPr="003B529A">
        <w:rPr>
          <w:color w:val="auto"/>
        </w:rPr>
        <w:t>e</w:t>
      </w:r>
      <w:r w:rsidR="003B06EB" w:rsidRPr="003B529A">
        <w:rPr>
          <w:color w:val="auto"/>
        </w:rPr>
        <w:t xml:space="preserve">nterprise </w:t>
      </w:r>
      <w:r w:rsidR="000E7AA9" w:rsidRPr="003B529A">
        <w:rPr>
          <w:color w:val="auto"/>
        </w:rPr>
        <w:t>s</w:t>
      </w:r>
      <w:r w:rsidR="003B06EB" w:rsidRPr="003B529A">
        <w:rPr>
          <w:color w:val="auto"/>
        </w:rPr>
        <w:t>ector over time.</w:t>
      </w:r>
      <w:r w:rsidR="009F1059" w:rsidRPr="003B529A">
        <w:rPr>
          <w:color w:val="auto"/>
        </w:rPr>
        <w:t xml:space="preserve">  </w:t>
      </w:r>
    </w:p>
    <w:p w:rsidR="00CD2E60" w:rsidRPr="003B529A" w:rsidRDefault="009D3B5E" w:rsidP="003B529A">
      <w:pPr>
        <w:rPr>
          <w:color w:val="auto"/>
        </w:rPr>
      </w:pPr>
      <w:r w:rsidRPr="003B529A">
        <w:rPr>
          <w:color w:val="auto"/>
        </w:rPr>
        <w:t>Australia</w:t>
      </w:r>
      <w:r w:rsidR="004406B4" w:rsidRPr="003B529A">
        <w:rPr>
          <w:color w:val="auto"/>
        </w:rPr>
        <w:t xml:space="preserve"> will</w:t>
      </w:r>
      <w:r w:rsidRPr="003B529A">
        <w:rPr>
          <w:color w:val="auto"/>
        </w:rPr>
        <w:t xml:space="preserve"> disburse agreed amounts of </w:t>
      </w:r>
      <w:r w:rsidR="00D236BB" w:rsidRPr="003B529A">
        <w:rPr>
          <w:color w:val="auto"/>
        </w:rPr>
        <w:t>general budget support</w:t>
      </w:r>
      <w:r w:rsidRPr="003B529A">
        <w:rPr>
          <w:color w:val="auto"/>
        </w:rPr>
        <w:t xml:space="preserve"> to Samoa in recognition of these reform achievements</w:t>
      </w:r>
      <w:r w:rsidR="000E7AA9" w:rsidRPr="003B529A">
        <w:rPr>
          <w:color w:val="auto"/>
        </w:rPr>
        <w:t>.</w:t>
      </w:r>
    </w:p>
    <w:p w:rsidR="00FB2017" w:rsidRPr="003B529A" w:rsidRDefault="000E7AA9" w:rsidP="003B529A">
      <w:pPr>
        <w:rPr>
          <w:color w:val="auto"/>
        </w:rPr>
      </w:pPr>
      <w:r w:rsidRPr="003B529A">
        <w:rPr>
          <w:color w:val="auto"/>
        </w:rPr>
        <w:t xml:space="preserve">Through the Asian Development Bank led Power Sector Expansion Project, the Australian aid program has supported structural reforms required to commercialise the generation and distribution of electricity, contributing to a reduction in tariffs from 1 August 2016 from 0.77 to 0.55 </w:t>
      </w:r>
      <w:proofErr w:type="spellStart"/>
      <w:r w:rsidRPr="003B529A">
        <w:rPr>
          <w:color w:val="auto"/>
        </w:rPr>
        <w:t>sene</w:t>
      </w:r>
      <w:proofErr w:type="spellEnd"/>
      <w:r w:rsidRPr="003B529A">
        <w:rPr>
          <w:color w:val="auto"/>
        </w:rPr>
        <w:t xml:space="preserve"> per unit for cash power home users and from 0.83 to 0.69 </w:t>
      </w:r>
      <w:proofErr w:type="spellStart"/>
      <w:r w:rsidRPr="003B529A">
        <w:rPr>
          <w:color w:val="auto"/>
        </w:rPr>
        <w:t>sene</w:t>
      </w:r>
      <w:proofErr w:type="spellEnd"/>
      <w:r w:rsidRPr="003B529A">
        <w:rPr>
          <w:color w:val="auto"/>
        </w:rPr>
        <w:t xml:space="preserve"> for meter users</w:t>
      </w:r>
      <w:r w:rsidR="003B529A">
        <w:rPr>
          <w:color w:val="auto"/>
        </w:rPr>
        <w:t>,</w:t>
      </w:r>
      <w:r w:rsidRPr="003B529A">
        <w:rPr>
          <w:color w:val="auto"/>
        </w:rPr>
        <w:t xml:space="preserve"> including businesses. </w:t>
      </w:r>
      <w:r w:rsidR="0007178F" w:rsidRPr="003B529A">
        <w:rPr>
          <w:color w:val="auto"/>
        </w:rPr>
        <w:t xml:space="preserve">The </w:t>
      </w:r>
      <w:r w:rsidR="00FB2017" w:rsidRPr="003B529A">
        <w:rPr>
          <w:color w:val="auto"/>
        </w:rPr>
        <w:t xml:space="preserve">operational efficiency and financial performance of the Electric Power Corporation </w:t>
      </w:r>
      <w:r w:rsidR="00283E09" w:rsidRPr="003B529A">
        <w:rPr>
          <w:color w:val="auto"/>
        </w:rPr>
        <w:t>(EPC)</w:t>
      </w:r>
      <w:r w:rsidR="0007178F" w:rsidRPr="003B529A">
        <w:rPr>
          <w:color w:val="auto"/>
        </w:rPr>
        <w:t xml:space="preserve"> </w:t>
      </w:r>
      <w:r w:rsidRPr="003B529A">
        <w:rPr>
          <w:color w:val="auto"/>
        </w:rPr>
        <w:t xml:space="preserve">has also </w:t>
      </w:r>
      <w:r w:rsidR="0007178F" w:rsidRPr="003B529A">
        <w:rPr>
          <w:color w:val="auto"/>
        </w:rPr>
        <w:t>improved</w:t>
      </w:r>
      <w:r w:rsidR="00283E09" w:rsidRPr="003B529A">
        <w:rPr>
          <w:color w:val="auto"/>
        </w:rPr>
        <w:t xml:space="preserve">.  </w:t>
      </w:r>
    </w:p>
    <w:p w:rsidR="006729A5" w:rsidRPr="003B529A" w:rsidRDefault="0007178F" w:rsidP="003B529A">
      <w:pPr>
        <w:rPr>
          <w:color w:val="auto"/>
        </w:rPr>
      </w:pPr>
      <w:r w:rsidRPr="003B529A">
        <w:rPr>
          <w:color w:val="auto"/>
        </w:rPr>
        <w:t>Australia and the World Bank</w:t>
      </w:r>
      <w:r w:rsidR="000E7AA9" w:rsidRPr="003B529A">
        <w:rPr>
          <w:color w:val="auto"/>
        </w:rPr>
        <w:t xml:space="preserve"> also jointly</w:t>
      </w:r>
      <w:r w:rsidRPr="003B529A">
        <w:rPr>
          <w:color w:val="auto"/>
        </w:rPr>
        <w:t xml:space="preserve"> funded the widening </w:t>
      </w:r>
      <w:r w:rsidR="00FB2017" w:rsidRPr="003B529A">
        <w:rPr>
          <w:color w:val="auto"/>
        </w:rPr>
        <w:t xml:space="preserve">and upgrading of 2.2 km of </w:t>
      </w:r>
      <w:proofErr w:type="spellStart"/>
      <w:r w:rsidR="00FB2017" w:rsidRPr="003B529A">
        <w:rPr>
          <w:color w:val="auto"/>
        </w:rPr>
        <w:t>Vaitele</w:t>
      </w:r>
      <w:proofErr w:type="spellEnd"/>
      <w:r w:rsidR="00FB2017" w:rsidRPr="003B529A">
        <w:rPr>
          <w:color w:val="auto"/>
        </w:rPr>
        <w:t xml:space="preserve"> Street, the major route between Apia’s</w:t>
      </w:r>
      <w:r w:rsidR="00CE2C66" w:rsidRPr="003B529A">
        <w:rPr>
          <w:color w:val="auto"/>
        </w:rPr>
        <w:t xml:space="preserve"> port,</w:t>
      </w:r>
      <w:r w:rsidR="00FB2017" w:rsidRPr="003B529A">
        <w:rPr>
          <w:color w:val="auto"/>
        </w:rPr>
        <w:t xml:space="preserve"> industrial zone and </w:t>
      </w:r>
      <w:r w:rsidR="00CE2C66" w:rsidRPr="003B529A">
        <w:rPr>
          <w:color w:val="auto"/>
        </w:rPr>
        <w:t>international airport</w:t>
      </w:r>
      <w:r w:rsidR="000E7AA9" w:rsidRPr="003B529A">
        <w:rPr>
          <w:color w:val="auto"/>
        </w:rPr>
        <w:t xml:space="preserve">. The project was </w:t>
      </w:r>
      <w:r w:rsidR="00FB2017" w:rsidRPr="003B529A">
        <w:rPr>
          <w:color w:val="auto"/>
        </w:rPr>
        <w:t>completed</w:t>
      </w:r>
      <w:r w:rsidR="00D10079" w:rsidRPr="003B529A">
        <w:rPr>
          <w:color w:val="auto"/>
        </w:rPr>
        <w:t xml:space="preserve"> on time and </w:t>
      </w:r>
      <w:r w:rsidR="000E7AA9" w:rsidRPr="003B529A">
        <w:rPr>
          <w:color w:val="auto"/>
        </w:rPr>
        <w:t>within</w:t>
      </w:r>
      <w:r w:rsidR="00D10079" w:rsidRPr="003B529A">
        <w:rPr>
          <w:color w:val="auto"/>
        </w:rPr>
        <w:t xml:space="preserve"> budget</w:t>
      </w:r>
      <w:r w:rsidR="004406B4" w:rsidRPr="003B529A">
        <w:rPr>
          <w:color w:val="auto"/>
        </w:rPr>
        <w:t xml:space="preserve">.  </w:t>
      </w:r>
      <w:r w:rsidR="00FB2017" w:rsidRPr="003B529A">
        <w:rPr>
          <w:color w:val="auto"/>
        </w:rPr>
        <w:t xml:space="preserve"> </w:t>
      </w:r>
      <w:r w:rsidR="00CE2C66" w:rsidRPr="003B529A">
        <w:rPr>
          <w:color w:val="auto"/>
        </w:rPr>
        <w:t>Australia’s support also ensured that enhanced road safety and disabled access provisions were incorporated into the new road</w:t>
      </w:r>
      <w:r w:rsidR="00EA7215" w:rsidRPr="003B529A">
        <w:rPr>
          <w:color w:val="auto"/>
        </w:rPr>
        <w:t xml:space="preserve">, including </w:t>
      </w:r>
      <w:r w:rsidR="009D1596" w:rsidRPr="003B529A">
        <w:rPr>
          <w:color w:val="auto"/>
        </w:rPr>
        <w:t xml:space="preserve">ramps, bus bays and disabled friendly footpaths.   </w:t>
      </w:r>
      <w:r w:rsidR="00DE7ECA" w:rsidRPr="003B529A">
        <w:rPr>
          <w:color w:val="auto"/>
        </w:rPr>
        <w:t xml:space="preserve">After a lengthy design process, construction of Leone Bridge, a key access bridge which collapsed in the 2012 cyclone, is scheduled to be completed by mid-2017.  It has been designed to withstand climate related risks, such as flooding.  </w:t>
      </w:r>
    </w:p>
    <w:p w:rsidR="001915C9" w:rsidRDefault="00F668E5" w:rsidP="000437C2">
      <w:pPr>
        <w:rPr>
          <w:color w:val="auto"/>
        </w:rPr>
      </w:pPr>
      <w:r>
        <w:rPr>
          <w:color w:val="auto"/>
        </w:rPr>
        <w:t>Australian-funded technical specialists helped Samoa to plan</w:t>
      </w:r>
      <w:r w:rsidR="00B332E8" w:rsidRPr="003B529A">
        <w:rPr>
          <w:color w:val="auto"/>
        </w:rPr>
        <w:t xml:space="preserve"> a new fibre-optic </w:t>
      </w:r>
      <w:r w:rsidR="00FB2017" w:rsidRPr="003B529A">
        <w:rPr>
          <w:color w:val="auto"/>
        </w:rPr>
        <w:t xml:space="preserve">submarine </w:t>
      </w:r>
      <w:r w:rsidR="009D1596" w:rsidRPr="003B529A">
        <w:rPr>
          <w:color w:val="auto"/>
        </w:rPr>
        <w:t>tele</w:t>
      </w:r>
      <w:r w:rsidR="00D236BB" w:rsidRPr="003B529A">
        <w:rPr>
          <w:color w:val="auto"/>
        </w:rPr>
        <w:t xml:space="preserve">communications </w:t>
      </w:r>
      <w:r w:rsidR="00283E09" w:rsidRPr="003B529A">
        <w:rPr>
          <w:color w:val="auto"/>
        </w:rPr>
        <w:t xml:space="preserve">cable </w:t>
      </w:r>
      <w:r>
        <w:rPr>
          <w:color w:val="auto"/>
        </w:rPr>
        <w:t xml:space="preserve">between Samoa and Fiji </w:t>
      </w:r>
      <w:r w:rsidR="009D1596" w:rsidRPr="003B529A">
        <w:rPr>
          <w:color w:val="auto"/>
        </w:rPr>
        <w:t xml:space="preserve">and </w:t>
      </w:r>
      <w:r w:rsidR="00FB2017" w:rsidRPr="003B529A">
        <w:rPr>
          <w:color w:val="auto"/>
        </w:rPr>
        <w:t xml:space="preserve">supported </w:t>
      </w:r>
      <w:r w:rsidR="009D1596" w:rsidRPr="003B529A">
        <w:rPr>
          <w:color w:val="auto"/>
        </w:rPr>
        <w:t>the establishment of</w:t>
      </w:r>
      <w:r w:rsidR="00F97E5C">
        <w:rPr>
          <w:color w:val="auto"/>
        </w:rPr>
        <w:t xml:space="preserve"> an innovative public-</w:t>
      </w:r>
      <w:r w:rsidR="00B332E8" w:rsidRPr="003B529A">
        <w:rPr>
          <w:color w:val="auto"/>
        </w:rPr>
        <w:t>private partner</w:t>
      </w:r>
      <w:r w:rsidR="00EA7215" w:rsidRPr="003B529A">
        <w:rPr>
          <w:color w:val="auto"/>
        </w:rPr>
        <w:t>ship to manage cable operations.</w:t>
      </w:r>
      <w:r w:rsidR="0083489F" w:rsidRPr="003B529A">
        <w:rPr>
          <w:color w:val="auto"/>
        </w:rPr>
        <w:t xml:space="preserve">  Once installed the cable </w:t>
      </w:r>
      <w:r>
        <w:rPr>
          <w:color w:val="auto"/>
        </w:rPr>
        <w:t xml:space="preserve">(which Australia is funding along with the World Bank and Asian Development Bank) </w:t>
      </w:r>
      <w:r w:rsidR="0083489F" w:rsidRPr="003B529A">
        <w:rPr>
          <w:color w:val="auto"/>
        </w:rPr>
        <w:t>will modernise telecommunications by improving accessibility</w:t>
      </w:r>
      <w:r>
        <w:rPr>
          <w:color w:val="auto"/>
        </w:rPr>
        <w:t xml:space="preserve"> to, and reducing costs</w:t>
      </w:r>
      <w:r w:rsidR="0083489F" w:rsidRPr="003B529A">
        <w:rPr>
          <w:color w:val="auto"/>
        </w:rPr>
        <w:t xml:space="preserve"> </w:t>
      </w:r>
      <w:r>
        <w:rPr>
          <w:color w:val="auto"/>
        </w:rPr>
        <w:t>of</w:t>
      </w:r>
      <w:r w:rsidR="0083489F" w:rsidRPr="003B529A">
        <w:rPr>
          <w:color w:val="auto"/>
        </w:rPr>
        <w:t xml:space="preserve"> internet services and strengthen</w:t>
      </w:r>
      <w:r w:rsidR="00BF3844" w:rsidRPr="003B529A">
        <w:rPr>
          <w:color w:val="auto"/>
        </w:rPr>
        <w:t>ing</w:t>
      </w:r>
      <w:r w:rsidR="0083489F" w:rsidRPr="003B529A">
        <w:rPr>
          <w:color w:val="auto"/>
        </w:rPr>
        <w:t xml:space="preserve"> competition in the sector.</w:t>
      </w:r>
      <w:r w:rsidR="006729A5" w:rsidRPr="003B529A">
        <w:rPr>
          <w:color w:val="auto"/>
        </w:rPr>
        <w:t xml:space="preserve"> </w:t>
      </w:r>
    </w:p>
    <w:p w:rsidR="00700458" w:rsidRPr="00D12871" w:rsidRDefault="00700458" w:rsidP="000437C2">
      <w:pPr>
        <w:rPr>
          <w:color w:val="auto"/>
        </w:rPr>
      </w:pPr>
      <w:r w:rsidRPr="00D12871">
        <w:rPr>
          <w:color w:val="auto"/>
        </w:rPr>
        <w:t xml:space="preserve">The </w:t>
      </w:r>
      <w:r w:rsidR="00D12871">
        <w:rPr>
          <w:color w:val="auto"/>
        </w:rPr>
        <w:t>Australian</w:t>
      </w:r>
      <w:r w:rsidRPr="00D12871">
        <w:rPr>
          <w:color w:val="auto"/>
        </w:rPr>
        <w:t xml:space="preserve"> aid program has also funded business skills training for over 50 women through the Samoa Women Shaping Development Program.</w:t>
      </w:r>
    </w:p>
    <w:p w:rsidR="000437C2" w:rsidRPr="000437C2" w:rsidRDefault="000437C2" w:rsidP="000437C2">
      <w:pPr>
        <w:rPr>
          <w:color w:val="auto"/>
        </w:rPr>
      </w:pPr>
      <w:r>
        <w:rPr>
          <w:color w:val="auto"/>
        </w:rPr>
        <w:t xml:space="preserve">Australia’s aid program met its performance benchmark of widening the transport link to Apia’s industrial area to accommodate increased traffic. </w:t>
      </w:r>
    </w:p>
    <w:p w:rsidR="000437C2" w:rsidRDefault="000437C2" w:rsidP="003B529A">
      <w:pPr>
        <w:rPr>
          <w:b/>
          <w:color w:val="auto"/>
        </w:rPr>
      </w:pPr>
    </w:p>
    <w:p w:rsidR="00792257" w:rsidRPr="003B529A" w:rsidRDefault="002E0091" w:rsidP="003B529A">
      <w:pPr>
        <w:rPr>
          <w:b/>
          <w:color w:val="auto"/>
        </w:rPr>
      </w:pPr>
      <w:r w:rsidRPr="003B529A">
        <w:rPr>
          <w:b/>
          <w:color w:val="auto"/>
        </w:rPr>
        <w:t>Objective 2: Progress health and education outcomes</w:t>
      </w:r>
    </w:p>
    <w:p w:rsidR="00792257" w:rsidRPr="003B529A" w:rsidRDefault="00792257" w:rsidP="003B529A">
      <w:pPr>
        <w:rPr>
          <w:b/>
          <w:i/>
          <w:color w:val="auto"/>
        </w:rPr>
      </w:pPr>
      <w:r w:rsidRPr="003B529A">
        <w:rPr>
          <w:b/>
          <w:i/>
          <w:color w:val="auto"/>
        </w:rPr>
        <w:t>Health</w:t>
      </w:r>
    </w:p>
    <w:p w:rsidR="00792257" w:rsidRPr="003B529A" w:rsidRDefault="00792257" w:rsidP="003B529A">
      <w:pPr>
        <w:rPr>
          <w:color w:val="auto"/>
        </w:rPr>
      </w:pPr>
      <w:r w:rsidRPr="003B529A">
        <w:rPr>
          <w:color w:val="auto"/>
        </w:rPr>
        <w:t xml:space="preserve">Through the aid program, Australia is supporting a more effective, efficient and equitable health system in Samoa. Australia, with support from New Zealand and the World Bank, provided funding for the construction of a new Orthotics and Prosthetics Workshop, which has already provided 600 wheelchairs and walking aids to 352 clients.  Since the service began, 646 Samoans have visited the service (308 women and 338 men) and received equipment to improve their mobility and independence.  </w:t>
      </w:r>
    </w:p>
    <w:p w:rsidR="00792257" w:rsidRPr="003B529A" w:rsidRDefault="000B4BF2" w:rsidP="003B529A">
      <w:pPr>
        <w:rPr>
          <w:color w:val="auto"/>
        </w:rPr>
      </w:pPr>
      <w:r>
        <w:rPr>
          <w:color w:val="auto"/>
        </w:rPr>
        <w:t xml:space="preserve">An Australian-funded </w:t>
      </w:r>
      <w:r w:rsidRPr="000B4BF2">
        <w:rPr>
          <w:color w:val="auto"/>
        </w:rPr>
        <w:t xml:space="preserve">biomedical engineer </w:t>
      </w:r>
      <w:r>
        <w:rPr>
          <w:color w:val="auto"/>
        </w:rPr>
        <w:t xml:space="preserve">helped </w:t>
      </w:r>
      <w:r w:rsidRPr="000B4BF2">
        <w:rPr>
          <w:color w:val="auto"/>
        </w:rPr>
        <w:t xml:space="preserve">the </w:t>
      </w:r>
      <w:r>
        <w:rPr>
          <w:color w:val="auto"/>
        </w:rPr>
        <w:t>National Health Service</w:t>
      </w:r>
      <w:r w:rsidRPr="000B4BF2">
        <w:rPr>
          <w:color w:val="auto"/>
        </w:rPr>
        <w:t xml:space="preserve"> to implement the new maintenance strategy document</w:t>
      </w:r>
      <w:r>
        <w:rPr>
          <w:color w:val="auto"/>
        </w:rPr>
        <w:t xml:space="preserve"> </w:t>
      </w:r>
      <w:r w:rsidR="00792257" w:rsidRPr="003B529A">
        <w:rPr>
          <w:color w:val="auto"/>
        </w:rPr>
        <w:t xml:space="preserve">and donation policy to keep medical equipment working effectively.  The biomedical unit is headed up by a Samoan female Biomedical Engineer who gained her qualification through </w:t>
      </w:r>
      <w:r w:rsidR="00792257" w:rsidRPr="003B529A">
        <w:rPr>
          <w:color w:val="auto"/>
        </w:rPr>
        <w:lastRenderedPageBreak/>
        <w:t xml:space="preserve">an Australian Award Scholarship in 2014.  She is being supported by an Australian funded Biomedical Engineer technical advisor. </w:t>
      </w:r>
    </w:p>
    <w:p w:rsidR="00792257" w:rsidRPr="003B529A" w:rsidRDefault="00792257" w:rsidP="003B529A">
      <w:pPr>
        <w:rPr>
          <w:color w:val="auto"/>
        </w:rPr>
      </w:pPr>
      <w:r w:rsidRPr="003B529A">
        <w:rPr>
          <w:color w:val="auto"/>
        </w:rPr>
        <w:t>In addition, 89 operations were performed by volunteer medical professionals from Australia and New Zealand. The Australian Government also supported the Royal Australasian College of Surgeons to provide mentoring to Samoan surgeons in the areas of orthopaedic surgery, ear, nose and throat surgery and plastic and reconstructive surgery.</w:t>
      </w:r>
    </w:p>
    <w:p w:rsidR="00792257" w:rsidRDefault="00792257" w:rsidP="003B529A">
      <w:pPr>
        <w:rPr>
          <w:color w:val="auto"/>
        </w:rPr>
      </w:pPr>
      <w:r w:rsidRPr="003B529A">
        <w:rPr>
          <w:color w:val="auto"/>
        </w:rPr>
        <w:t xml:space="preserve">Progress against the health related objectives was less than expected due to incomplete construction of some key infrastructure.  A DFAT funded infrastructure management specialist is supporting the Samoan Government to complete construction of remaining buildings and to resolve issues around non-completion of an X-ray room at Savaii’s main hospital.  </w:t>
      </w:r>
    </w:p>
    <w:p w:rsidR="000437C2" w:rsidRDefault="000437C2" w:rsidP="003B529A">
      <w:pPr>
        <w:rPr>
          <w:rFonts w:eastAsia="Times New Roman" w:cs="Times New Roman"/>
          <w:iCs/>
          <w:color w:val="auto"/>
          <w:sz w:val="17"/>
          <w:szCs w:val="17"/>
          <w:lang w:val="en-AU"/>
        </w:rPr>
      </w:pPr>
    </w:p>
    <w:p w:rsidR="00792257" w:rsidRPr="003B529A" w:rsidRDefault="00792257" w:rsidP="003B529A">
      <w:pPr>
        <w:rPr>
          <w:b/>
          <w:i/>
          <w:color w:val="auto"/>
        </w:rPr>
      </w:pPr>
      <w:r w:rsidRPr="003B529A">
        <w:rPr>
          <w:b/>
          <w:i/>
          <w:color w:val="auto"/>
        </w:rPr>
        <w:t>Education</w:t>
      </w:r>
    </w:p>
    <w:p w:rsidR="00EA79BD" w:rsidRPr="003B529A" w:rsidRDefault="000437C2" w:rsidP="003B529A">
      <w:pPr>
        <w:rPr>
          <w:color w:val="auto"/>
        </w:rPr>
      </w:pPr>
      <w:r>
        <w:rPr>
          <w:color w:val="auto"/>
        </w:rPr>
        <w:t>Australia</w:t>
      </w:r>
      <w:r w:rsidR="00DF2F7E">
        <w:rPr>
          <w:color w:val="auto"/>
        </w:rPr>
        <w:t xml:space="preserve"> </w:t>
      </w:r>
      <w:r w:rsidR="00B76FBC" w:rsidRPr="003B529A">
        <w:rPr>
          <w:color w:val="auto"/>
        </w:rPr>
        <w:t xml:space="preserve">has supported more young people to complete secondary education and vocational training, including through funding to the Australia Pacific Technical College. In 2015-16, 257 Samoans graduated from the Australia Pacific Technical College (145 men and 112 women) and around 98 per cent of APTC’s Samoan graduates were assessed as having increased employability as a result of receiving up-to-date specialised industry knowledge and skills. The addition of nine industry relevant courses, as </w:t>
      </w:r>
      <w:r w:rsidR="00B76FBC" w:rsidRPr="00727E25">
        <w:rPr>
          <w:color w:val="auto"/>
        </w:rPr>
        <w:t>accredited by the Samoan Qualification Authority, also contributed to improved quality in post-school and vocational education</w:t>
      </w:r>
      <w:r w:rsidR="00C76F31" w:rsidRPr="00727E25">
        <w:rPr>
          <w:color w:val="auto"/>
        </w:rPr>
        <w:t xml:space="preserve"> through Australia’s Technical Vocational Education and Tr</w:t>
      </w:r>
      <w:r w:rsidR="00DE2441">
        <w:rPr>
          <w:color w:val="auto"/>
        </w:rPr>
        <w:t>aining (TVET) Roadmap 2 project</w:t>
      </w:r>
      <w:r w:rsidR="00B76FBC" w:rsidRPr="00727E25">
        <w:rPr>
          <w:color w:val="auto"/>
        </w:rPr>
        <w:t xml:space="preserve">. </w:t>
      </w:r>
      <w:r w:rsidR="00DF2F7E">
        <w:rPr>
          <w:color w:val="auto"/>
        </w:rPr>
        <w:t>The Australian G</w:t>
      </w:r>
      <w:r w:rsidR="00EA79BD" w:rsidRPr="00727E25">
        <w:rPr>
          <w:color w:val="auto"/>
        </w:rPr>
        <w:t>overnment is also contributing to improvements in the quality of the primary education system, with a focus on basic numerac</w:t>
      </w:r>
      <w:r w:rsidR="00DF2F7E">
        <w:rPr>
          <w:color w:val="auto"/>
        </w:rPr>
        <w:t xml:space="preserve">y and literacy skills. </w:t>
      </w:r>
      <w:r w:rsidR="00F24BE1" w:rsidRPr="00727E25">
        <w:rPr>
          <w:color w:val="auto"/>
        </w:rPr>
        <w:t xml:space="preserve">Australia and New Zealand successfully finalised </w:t>
      </w:r>
      <w:r w:rsidR="006729A5" w:rsidRPr="00727E25">
        <w:rPr>
          <w:color w:val="auto"/>
        </w:rPr>
        <w:t>the</w:t>
      </w:r>
      <w:r w:rsidR="00F24BE1" w:rsidRPr="00727E25">
        <w:rPr>
          <w:color w:val="auto"/>
        </w:rPr>
        <w:t xml:space="preserve"> first Independent Verification Process</w:t>
      </w:r>
      <w:r w:rsidR="005A03D2" w:rsidRPr="00727E25">
        <w:rPr>
          <w:color w:val="auto"/>
        </w:rPr>
        <w:t>, an innovative approach focusing on the achievemen</w:t>
      </w:r>
      <w:r w:rsidR="00DF2F7E">
        <w:rPr>
          <w:color w:val="auto"/>
        </w:rPr>
        <w:t>t of education results against nine</w:t>
      </w:r>
      <w:r w:rsidR="005A03D2" w:rsidRPr="00727E25">
        <w:rPr>
          <w:color w:val="auto"/>
        </w:rPr>
        <w:t xml:space="preserve"> mutually determined indicators. In the process, Australia and New Zealand only pay for mutually agreed outcomes that have been validated by an independent team of education experts. </w:t>
      </w:r>
      <w:r w:rsidR="00F24BE1" w:rsidRPr="00727E25">
        <w:rPr>
          <w:color w:val="auto"/>
        </w:rPr>
        <w:t>While Samoa’s Education Sector did not perform strongly for this first assessment, the Government is actively addressing recommendations.</w:t>
      </w:r>
    </w:p>
    <w:p w:rsidR="00976D23" w:rsidRPr="003B529A" w:rsidRDefault="00EA79BD" w:rsidP="003B529A">
      <w:pPr>
        <w:rPr>
          <w:color w:val="auto"/>
        </w:rPr>
      </w:pPr>
      <w:r w:rsidRPr="003B529A">
        <w:rPr>
          <w:color w:val="auto"/>
        </w:rPr>
        <w:t>The Australian aid program improved its scholarships processes</w:t>
      </w:r>
      <w:r w:rsidR="00F24BE1" w:rsidRPr="003B529A">
        <w:rPr>
          <w:color w:val="auto"/>
        </w:rPr>
        <w:t xml:space="preserve"> </w:t>
      </w:r>
      <w:r w:rsidRPr="003B529A">
        <w:rPr>
          <w:color w:val="auto"/>
        </w:rPr>
        <w:t xml:space="preserve">as a result of the signing of a Scholarship Tripartite Arrangement between the Governments of Australia, Samoa and New Zealand in October 2015. Under the agreement, </w:t>
      </w:r>
      <w:r w:rsidR="0033320B" w:rsidRPr="003B529A">
        <w:rPr>
          <w:color w:val="auto"/>
        </w:rPr>
        <w:t xml:space="preserve">Australia Awards </w:t>
      </w:r>
      <w:r w:rsidRPr="003B529A">
        <w:rPr>
          <w:color w:val="auto"/>
        </w:rPr>
        <w:t xml:space="preserve">will be matched to </w:t>
      </w:r>
      <w:r w:rsidR="0033320B" w:rsidRPr="003B529A">
        <w:rPr>
          <w:color w:val="auto"/>
        </w:rPr>
        <w:t>priority human resource development needs</w:t>
      </w:r>
      <w:r w:rsidRPr="003B529A">
        <w:rPr>
          <w:color w:val="auto"/>
        </w:rPr>
        <w:t xml:space="preserve">. </w:t>
      </w:r>
      <w:r w:rsidR="00976D23" w:rsidRPr="003B529A">
        <w:rPr>
          <w:color w:val="auto"/>
        </w:rPr>
        <w:t>One hundred and forty five Samoans were on Australian Award scholarships in 2015</w:t>
      </w:r>
      <w:r w:rsidR="00F97E5C">
        <w:rPr>
          <w:color w:val="auto"/>
        </w:rPr>
        <w:t>,</w:t>
      </w:r>
      <w:r w:rsidR="00976D23" w:rsidRPr="003B529A">
        <w:rPr>
          <w:color w:val="auto"/>
        </w:rPr>
        <w:t xml:space="preserve"> with 26 awardees </w:t>
      </w:r>
      <w:r w:rsidR="00DF2F7E">
        <w:rPr>
          <w:color w:val="auto"/>
        </w:rPr>
        <w:t>(54 per cent males and 46 per cent</w:t>
      </w:r>
      <w:r w:rsidR="00F97E5C">
        <w:rPr>
          <w:color w:val="auto"/>
        </w:rPr>
        <w:t xml:space="preserve"> females) </w:t>
      </w:r>
      <w:r w:rsidR="00F97E5C" w:rsidRPr="003B529A">
        <w:rPr>
          <w:color w:val="auto"/>
        </w:rPr>
        <w:t>complet</w:t>
      </w:r>
      <w:r w:rsidR="00F97E5C">
        <w:rPr>
          <w:color w:val="auto"/>
        </w:rPr>
        <w:t xml:space="preserve">ing their programs </w:t>
      </w:r>
      <w:r w:rsidR="00976D23" w:rsidRPr="003B529A">
        <w:rPr>
          <w:color w:val="auto"/>
        </w:rPr>
        <w:t xml:space="preserve">as of December 2015.  </w:t>
      </w:r>
    </w:p>
    <w:p w:rsidR="00EA79BD" w:rsidRDefault="00EA79BD" w:rsidP="003B529A">
      <w:pPr>
        <w:rPr>
          <w:color w:val="auto"/>
        </w:rPr>
      </w:pPr>
      <w:r w:rsidRPr="003B529A">
        <w:rPr>
          <w:color w:val="auto"/>
        </w:rPr>
        <w:t xml:space="preserve">The Australian Government is also committed to ensuring it meets the needs </w:t>
      </w:r>
      <w:r w:rsidR="00F97E5C">
        <w:rPr>
          <w:color w:val="auto"/>
        </w:rPr>
        <w:t>of</w:t>
      </w:r>
      <w:r w:rsidRPr="003B529A">
        <w:rPr>
          <w:color w:val="auto"/>
        </w:rPr>
        <w:t xml:space="preserve"> children with a disability. In 2015-16, the Australian aid program supported over 400 children to access </w:t>
      </w:r>
      <w:r w:rsidRPr="00727E25">
        <w:rPr>
          <w:color w:val="auto"/>
        </w:rPr>
        <w:t>education</w:t>
      </w:r>
      <w:r w:rsidR="005A03D2" w:rsidRPr="00727E25">
        <w:rPr>
          <w:color w:val="auto"/>
        </w:rPr>
        <w:t xml:space="preserve"> by funding of inclusive education providers through the Samoa </w:t>
      </w:r>
      <w:r w:rsidR="00AF220F">
        <w:rPr>
          <w:color w:val="auto"/>
        </w:rPr>
        <w:t>Education Sector Support</w:t>
      </w:r>
      <w:r w:rsidR="005A03D2" w:rsidRPr="00727E25">
        <w:rPr>
          <w:color w:val="auto"/>
        </w:rPr>
        <w:t xml:space="preserve"> Program</w:t>
      </w:r>
      <w:r w:rsidRPr="00727E25">
        <w:rPr>
          <w:color w:val="auto"/>
        </w:rPr>
        <w:t>.</w:t>
      </w:r>
      <w:r w:rsidR="005A03D2" w:rsidRPr="00727E25">
        <w:rPr>
          <w:color w:val="auto"/>
        </w:rPr>
        <w:t xml:space="preserve"> </w:t>
      </w:r>
      <w:r w:rsidR="00A13865">
        <w:rPr>
          <w:color w:val="auto"/>
        </w:rPr>
        <w:t xml:space="preserve">A </w:t>
      </w:r>
      <w:r w:rsidRPr="003B529A">
        <w:rPr>
          <w:color w:val="auto"/>
        </w:rPr>
        <w:t xml:space="preserve">final evaluation is currently underway to inform the Australian Government’s future support to inclusive education. </w:t>
      </w:r>
    </w:p>
    <w:p w:rsidR="00452CE8" w:rsidRPr="003B529A" w:rsidRDefault="00452CE8" w:rsidP="003B529A">
      <w:pPr>
        <w:rPr>
          <w:color w:val="auto"/>
        </w:rPr>
      </w:pPr>
    </w:p>
    <w:p w:rsidR="0099300A" w:rsidRPr="003B529A" w:rsidRDefault="00EA79BD" w:rsidP="003B529A">
      <w:pPr>
        <w:rPr>
          <w:color w:val="auto"/>
        </w:rPr>
      </w:pPr>
      <w:r w:rsidRPr="003B529A">
        <w:rPr>
          <w:color w:val="auto"/>
        </w:rPr>
        <w:t>Under the Cyclone Evan Recovery Program</w:t>
      </w:r>
      <w:r w:rsidR="00CE7A38" w:rsidRPr="003B529A">
        <w:rPr>
          <w:color w:val="auto"/>
        </w:rPr>
        <w:t>, f</w:t>
      </w:r>
      <w:r w:rsidR="00750C06" w:rsidRPr="003B529A">
        <w:rPr>
          <w:color w:val="auto"/>
        </w:rPr>
        <w:t xml:space="preserve">ive of </w:t>
      </w:r>
      <w:r w:rsidR="00CE7A38" w:rsidRPr="003B529A">
        <w:rPr>
          <w:color w:val="auto"/>
        </w:rPr>
        <w:t xml:space="preserve">the </w:t>
      </w:r>
      <w:r w:rsidR="00750C06" w:rsidRPr="003B529A">
        <w:rPr>
          <w:color w:val="auto"/>
        </w:rPr>
        <w:t>seven schools</w:t>
      </w:r>
      <w:r w:rsidR="0099300A" w:rsidRPr="003B529A">
        <w:rPr>
          <w:color w:val="auto"/>
        </w:rPr>
        <w:t xml:space="preserve"> for reconstruction </w:t>
      </w:r>
      <w:r w:rsidR="00CE7A38" w:rsidRPr="003B529A">
        <w:rPr>
          <w:color w:val="auto"/>
        </w:rPr>
        <w:t>have been completed, with the final two on track to be completed. The schools have been</w:t>
      </w:r>
      <w:r w:rsidR="005F5572" w:rsidRPr="003B529A">
        <w:rPr>
          <w:color w:val="auto"/>
        </w:rPr>
        <w:t xml:space="preserve"> built to be climate resilient in line with build back better principles </w:t>
      </w:r>
      <w:r w:rsidR="00215DC1" w:rsidRPr="003B529A">
        <w:rPr>
          <w:color w:val="auto"/>
        </w:rPr>
        <w:t>and</w:t>
      </w:r>
      <w:r w:rsidR="005F5572" w:rsidRPr="003B529A">
        <w:rPr>
          <w:color w:val="auto"/>
        </w:rPr>
        <w:t xml:space="preserve"> </w:t>
      </w:r>
      <w:r w:rsidR="0083489F" w:rsidRPr="003B529A">
        <w:rPr>
          <w:color w:val="auto"/>
        </w:rPr>
        <w:t xml:space="preserve">to be </w:t>
      </w:r>
      <w:r w:rsidR="005F5572" w:rsidRPr="003B529A">
        <w:rPr>
          <w:color w:val="auto"/>
        </w:rPr>
        <w:t>accessib</w:t>
      </w:r>
      <w:r w:rsidR="00EA7215" w:rsidRPr="003B529A">
        <w:rPr>
          <w:color w:val="auto"/>
        </w:rPr>
        <w:t xml:space="preserve">le </w:t>
      </w:r>
      <w:r w:rsidR="005F5572" w:rsidRPr="003B529A">
        <w:rPr>
          <w:color w:val="auto"/>
        </w:rPr>
        <w:t>for people with disability.</w:t>
      </w:r>
    </w:p>
    <w:p w:rsidR="00700458" w:rsidRDefault="00700458" w:rsidP="00700458">
      <w:pPr>
        <w:rPr>
          <w:color w:val="auto"/>
        </w:rPr>
      </w:pPr>
      <w:r>
        <w:rPr>
          <w:color w:val="auto"/>
        </w:rPr>
        <w:t xml:space="preserve">Australia met its performance benchmark of having at least 52 percent of graduates from Samoa’s post-secondary education and training institutions find employment within six months of completion. </w:t>
      </w:r>
    </w:p>
    <w:p w:rsidR="000437C2" w:rsidRDefault="000437C2" w:rsidP="003B529A"/>
    <w:p w:rsidR="00D12871" w:rsidRDefault="00D12871" w:rsidP="003B529A"/>
    <w:p w:rsidR="00D12871" w:rsidRDefault="00D12871" w:rsidP="003B529A"/>
    <w:p w:rsidR="00D12871" w:rsidRDefault="00D12871" w:rsidP="003B529A"/>
    <w:p w:rsidR="00D12871" w:rsidRDefault="00D12871" w:rsidP="003B529A"/>
    <w:p w:rsidR="00D12871" w:rsidRDefault="00D12871" w:rsidP="003B529A"/>
    <w:p w:rsidR="002E0091" w:rsidRPr="003B529A" w:rsidRDefault="002E0091" w:rsidP="003B529A">
      <w:pPr>
        <w:rPr>
          <w:b/>
          <w:color w:val="auto"/>
        </w:rPr>
      </w:pPr>
      <w:r w:rsidRPr="003B529A">
        <w:rPr>
          <w:b/>
          <w:color w:val="auto"/>
        </w:rPr>
        <w:t>Objective 3: Strengthen governance</w:t>
      </w:r>
    </w:p>
    <w:p w:rsidR="00E0465B" w:rsidRPr="003B529A" w:rsidRDefault="00CE7A38" w:rsidP="003B529A">
      <w:pPr>
        <w:rPr>
          <w:color w:val="auto"/>
        </w:rPr>
      </w:pPr>
      <w:r w:rsidRPr="003B529A">
        <w:rPr>
          <w:color w:val="auto"/>
        </w:rPr>
        <w:t xml:space="preserve">In 2015-16, </w:t>
      </w:r>
      <w:r w:rsidR="00D22F1E" w:rsidRPr="003B529A">
        <w:rPr>
          <w:color w:val="auto"/>
        </w:rPr>
        <w:t>Australian funding and technical support enabled the</w:t>
      </w:r>
      <w:r w:rsidR="00B32A54" w:rsidRPr="003B529A">
        <w:rPr>
          <w:color w:val="auto"/>
        </w:rPr>
        <w:t xml:space="preserve"> construction of </w:t>
      </w:r>
      <w:r w:rsidR="00FB2017" w:rsidRPr="003B529A">
        <w:rPr>
          <w:color w:val="auto"/>
        </w:rPr>
        <w:t>Samoa’s new Parliament House</w:t>
      </w:r>
      <w:r w:rsidR="00922139" w:rsidRPr="003B529A">
        <w:rPr>
          <w:color w:val="auto"/>
        </w:rPr>
        <w:t xml:space="preserve"> </w:t>
      </w:r>
      <w:r w:rsidR="00D22F1E" w:rsidRPr="003B529A">
        <w:rPr>
          <w:color w:val="auto"/>
        </w:rPr>
        <w:t xml:space="preserve">to </w:t>
      </w:r>
      <w:r w:rsidR="00F07C0F" w:rsidRPr="003B529A">
        <w:rPr>
          <w:color w:val="auto"/>
        </w:rPr>
        <w:t>commence</w:t>
      </w:r>
      <w:r w:rsidR="00D22F1E" w:rsidRPr="003B529A">
        <w:rPr>
          <w:color w:val="auto"/>
        </w:rPr>
        <w:t>.</w:t>
      </w:r>
      <w:r w:rsidR="00B32A54" w:rsidRPr="003B529A">
        <w:rPr>
          <w:color w:val="auto"/>
        </w:rPr>
        <w:t xml:space="preserve"> </w:t>
      </w:r>
      <w:r w:rsidR="00D22F1E" w:rsidRPr="003B529A">
        <w:rPr>
          <w:color w:val="auto"/>
        </w:rPr>
        <w:t xml:space="preserve">It </w:t>
      </w:r>
      <w:r w:rsidR="00922139" w:rsidRPr="003B529A">
        <w:rPr>
          <w:color w:val="auto"/>
        </w:rPr>
        <w:t xml:space="preserve">is </w:t>
      </w:r>
      <w:r w:rsidR="00AA3D1B" w:rsidRPr="003B529A">
        <w:rPr>
          <w:color w:val="auto"/>
        </w:rPr>
        <w:t>on track to be</w:t>
      </w:r>
      <w:r w:rsidR="00E93321" w:rsidRPr="003B529A">
        <w:rPr>
          <w:color w:val="auto"/>
        </w:rPr>
        <w:t xml:space="preserve"> completed in 2017.  </w:t>
      </w:r>
      <w:r w:rsidR="007730FB" w:rsidRPr="003B529A">
        <w:rPr>
          <w:color w:val="auto"/>
        </w:rPr>
        <w:t xml:space="preserve">The design takes into account </w:t>
      </w:r>
      <w:r w:rsidR="00DC0486" w:rsidRPr="003B529A">
        <w:rPr>
          <w:color w:val="auto"/>
        </w:rPr>
        <w:t xml:space="preserve">universal design principles </w:t>
      </w:r>
      <w:r w:rsidR="007730FB" w:rsidRPr="003B529A">
        <w:rPr>
          <w:color w:val="auto"/>
        </w:rPr>
        <w:t>as well as cli</w:t>
      </w:r>
      <w:r w:rsidR="00B32A54" w:rsidRPr="003B529A">
        <w:rPr>
          <w:color w:val="auto"/>
        </w:rPr>
        <w:t xml:space="preserve">mate risk mitigation features.  </w:t>
      </w:r>
    </w:p>
    <w:p w:rsidR="00E0465B" w:rsidRPr="003B529A" w:rsidRDefault="00F668E5" w:rsidP="003B529A">
      <w:pPr>
        <w:rPr>
          <w:color w:val="auto"/>
        </w:rPr>
      </w:pPr>
      <w:r>
        <w:rPr>
          <w:color w:val="auto"/>
        </w:rPr>
        <w:t xml:space="preserve">An Australian-funded parliamentary law specialist worked with the Office of the Clerk of the Legislative Assembly to </w:t>
      </w:r>
      <w:r w:rsidR="00B32A54" w:rsidRPr="003B529A">
        <w:rPr>
          <w:color w:val="auto"/>
        </w:rPr>
        <w:t>update</w:t>
      </w:r>
      <w:r>
        <w:rPr>
          <w:color w:val="auto"/>
        </w:rPr>
        <w:t xml:space="preserve"> the</w:t>
      </w:r>
      <w:r w:rsidR="00727E25">
        <w:rPr>
          <w:color w:val="auto"/>
        </w:rPr>
        <w:t xml:space="preserve"> </w:t>
      </w:r>
      <w:r w:rsidR="00FB2017" w:rsidRPr="003B529A">
        <w:rPr>
          <w:color w:val="auto"/>
        </w:rPr>
        <w:t>Parliamentary</w:t>
      </w:r>
      <w:r w:rsidR="00A41986" w:rsidRPr="003B529A">
        <w:rPr>
          <w:color w:val="auto"/>
        </w:rPr>
        <w:t xml:space="preserve"> Practice and</w:t>
      </w:r>
      <w:r w:rsidR="00FB2017" w:rsidRPr="003B529A">
        <w:rPr>
          <w:color w:val="auto"/>
        </w:rPr>
        <w:t xml:space="preserve"> </w:t>
      </w:r>
      <w:r w:rsidR="00A41986" w:rsidRPr="003B529A">
        <w:rPr>
          <w:color w:val="auto"/>
        </w:rPr>
        <w:t>Procedures Manual</w:t>
      </w:r>
      <w:r w:rsidR="00FB2017" w:rsidRPr="003B529A">
        <w:rPr>
          <w:color w:val="auto"/>
        </w:rPr>
        <w:t xml:space="preserve"> </w:t>
      </w:r>
      <w:r w:rsidR="00023E6A" w:rsidRPr="003B529A">
        <w:rPr>
          <w:color w:val="auto"/>
        </w:rPr>
        <w:t>following the March 2016 election</w:t>
      </w:r>
      <w:r w:rsidR="00E0465B" w:rsidRPr="003B529A">
        <w:rPr>
          <w:color w:val="auto"/>
        </w:rPr>
        <w:t xml:space="preserve"> </w:t>
      </w:r>
      <w:r w:rsidR="005B3E3D" w:rsidRPr="003B529A">
        <w:rPr>
          <w:color w:val="auto"/>
        </w:rPr>
        <w:t xml:space="preserve">to </w:t>
      </w:r>
      <w:r w:rsidR="00E0465B" w:rsidRPr="003B529A">
        <w:rPr>
          <w:color w:val="auto"/>
        </w:rPr>
        <w:t>provide a clear and practical guide on how parliament conducts and regulates its business</w:t>
      </w:r>
      <w:r w:rsidR="00B76F5E" w:rsidRPr="003B529A">
        <w:rPr>
          <w:color w:val="auto"/>
        </w:rPr>
        <w:t>.  The</w:t>
      </w:r>
      <w:r w:rsidR="00E0465B" w:rsidRPr="003B529A">
        <w:rPr>
          <w:color w:val="auto"/>
        </w:rPr>
        <w:t xml:space="preserve"> Australia</w:t>
      </w:r>
      <w:r w:rsidR="00532DDE" w:rsidRPr="003B529A">
        <w:rPr>
          <w:color w:val="auto"/>
        </w:rPr>
        <w:t>n</w:t>
      </w:r>
      <w:r w:rsidR="00E0465B" w:rsidRPr="003B529A">
        <w:rPr>
          <w:color w:val="auto"/>
        </w:rPr>
        <w:t xml:space="preserve"> Parliament </w:t>
      </w:r>
      <w:r w:rsidR="00B76F5E" w:rsidRPr="003B529A">
        <w:rPr>
          <w:color w:val="auto"/>
        </w:rPr>
        <w:t xml:space="preserve">has </w:t>
      </w:r>
      <w:r w:rsidR="00CE7A38" w:rsidRPr="003B529A">
        <w:rPr>
          <w:color w:val="auto"/>
        </w:rPr>
        <w:t xml:space="preserve">also </w:t>
      </w:r>
      <w:r w:rsidR="00B76F5E" w:rsidRPr="003B529A">
        <w:rPr>
          <w:color w:val="auto"/>
        </w:rPr>
        <w:t xml:space="preserve">supported </w:t>
      </w:r>
      <w:r w:rsidR="00E0465B" w:rsidRPr="003B529A">
        <w:rPr>
          <w:color w:val="auto"/>
        </w:rPr>
        <w:t>an</w:t>
      </w:r>
      <w:r w:rsidR="00976D23" w:rsidRPr="003B529A">
        <w:rPr>
          <w:color w:val="auto"/>
        </w:rPr>
        <w:t xml:space="preserve"> induction program for Samoa’s new Parliamentarians.</w:t>
      </w:r>
    </w:p>
    <w:p w:rsidR="00FB2017" w:rsidRPr="003B529A" w:rsidRDefault="00AA3D1B" w:rsidP="003B529A">
      <w:pPr>
        <w:rPr>
          <w:color w:val="auto"/>
        </w:rPr>
      </w:pPr>
      <w:r w:rsidRPr="003B529A">
        <w:rPr>
          <w:color w:val="auto"/>
        </w:rPr>
        <w:t>Twenty four women r</w:t>
      </w:r>
      <w:r w:rsidR="0074092D" w:rsidRPr="003B529A">
        <w:rPr>
          <w:color w:val="auto"/>
        </w:rPr>
        <w:t xml:space="preserve">an </w:t>
      </w:r>
      <w:r w:rsidRPr="003B529A">
        <w:rPr>
          <w:color w:val="auto"/>
        </w:rPr>
        <w:t xml:space="preserve">for Parliament in </w:t>
      </w:r>
      <w:r w:rsidR="00B72914" w:rsidRPr="003B529A">
        <w:rPr>
          <w:color w:val="auto"/>
        </w:rPr>
        <w:t>2016</w:t>
      </w:r>
      <w:r w:rsidRPr="003B529A">
        <w:rPr>
          <w:color w:val="auto"/>
        </w:rPr>
        <w:t xml:space="preserve"> compared to eight in 2011</w:t>
      </w:r>
      <w:r w:rsidR="00B72914" w:rsidRPr="003B529A">
        <w:rPr>
          <w:color w:val="auto"/>
        </w:rPr>
        <w:t xml:space="preserve">.  </w:t>
      </w:r>
      <w:r w:rsidRPr="003B529A">
        <w:rPr>
          <w:color w:val="auto"/>
        </w:rPr>
        <w:t>Awareness raising</w:t>
      </w:r>
      <w:r w:rsidR="00B72914" w:rsidRPr="003B529A">
        <w:rPr>
          <w:color w:val="auto"/>
        </w:rPr>
        <w:t xml:space="preserve"> on the 2013 Constitutional amendment, that ensures a minimum quot</w:t>
      </w:r>
      <w:r w:rsidR="005C7233" w:rsidRPr="003B529A">
        <w:rPr>
          <w:color w:val="auto"/>
        </w:rPr>
        <w:t>a</w:t>
      </w:r>
      <w:r w:rsidR="00B72914" w:rsidRPr="003B529A">
        <w:rPr>
          <w:color w:val="auto"/>
        </w:rPr>
        <w:t xml:space="preserve"> of </w:t>
      </w:r>
      <w:r w:rsidR="00BB0BE6" w:rsidRPr="003B529A">
        <w:rPr>
          <w:color w:val="auto"/>
        </w:rPr>
        <w:t xml:space="preserve">five </w:t>
      </w:r>
      <w:r w:rsidR="00B72914" w:rsidRPr="003B529A">
        <w:rPr>
          <w:color w:val="auto"/>
        </w:rPr>
        <w:t xml:space="preserve">women representatives in the Samoa Parliament, </w:t>
      </w:r>
      <w:r w:rsidR="00FB2017" w:rsidRPr="003B529A">
        <w:rPr>
          <w:color w:val="auto"/>
        </w:rPr>
        <w:t>was supported by Australia in partnership w</w:t>
      </w:r>
      <w:r w:rsidR="00BB0BE6" w:rsidRPr="003B529A">
        <w:rPr>
          <w:color w:val="auto"/>
        </w:rPr>
        <w:t xml:space="preserve">ith the Government of Samoa, </w:t>
      </w:r>
      <w:r w:rsidR="005B3E3D" w:rsidRPr="003B529A">
        <w:rPr>
          <w:color w:val="auto"/>
        </w:rPr>
        <w:t xml:space="preserve">the United Nations Development Program </w:t>
      </w:r>
      <w:r w:rsidR="00BB0BE6" w:rsidRPr="003B529A">
        <w:rPr>
          <w:color w:val="auto"/>
        </w:rPr>
        <w:t>and UN Women</w:t>
      </w:r>
      <w:r w:rsidR="00CE7A38" w:rsidRPr="003B529A">
        <w:rPr>
          <w:color w:val="auto"/>
        </w:rPr>
        <w:t xml:space="preserve">. </w:t>
      </w:r>
      <w:r w:rsidR="00700458">
        <w:rPr>
          <w:color w:val="auto"/>
        </w:rPr>
        <w:t>This program</w:t>
      </w:r>
      <w:r w:rsidR="00700458" w:rsidRPr="003B529A">
        <w:rPr>
          <w:color w:val="auto"/>
        </w:rPr>
        <w:t xml:space="preserve"> </w:t>
      </w:r>
      <w:r w:rsidR="00CE7A38" w:rsidRPr="003B529A">
        <w:rPr>
          <w:color w:val="auto"/>
        </w:rPr>
        <w:t xml:space="preserve">supported a number of activities, </w:t>
      </w:r>
      <w:r w:rsidR="00FB2017" w:rsidRPr="003B529A">
        <w:rPr>
          <w:color w:val="auto"/>
        </w:rPr>
        <w:t>includ</w:t>
      </w:r>
      <w:r w:rsidR="00CE7A38" w:rsidRPr="003B529A">
        <w:rPr>
          <w:color w:val="auto"/>
        </w:rPr>
        <w:t>ing</w:t>
      </w:r>
      <w:r w:rsidR="00FB2017" w:rsidRPr="003B529A">
        <w:rPr>
          <w:color w:val="auto"/>
        </w:rPr>
        <w:t xml:space="preserve"> radio talk back shows, radio dramas and a </w:t>
      </w:r>
      <w:r w:rsidR="00BB0BE6" w:rsidRPr="003B529A">
        <w:rPr>
          <w:color w:val="auto"/>
        </w:rPr>
        <w:t>‘</w:t>
      </w:r>
      <w:r w:rsidR="00FB2017" w:rsidRPr="003B529A">
        <w:rPr>
          <w:color w:val="auto"/>
        </w:rPr>
        <w:t>mock</w:t>
      </w:r>
      <w:r w:rsidR="00BB0BE6" w:rsidRPr="003B529A">
        <w:rPr>
          <w:color w:val="auto"/>
        </w:rPr>
        <w:t>’</w:t>
      </w:r>
      <w:r w:rsidR="00FB2017" w:rsidRPr="003B529A">
        <w:rPr>
          <w:color w:val="auto"/>
        </w:rPr>
        <w:t xml:space="preserve"> Parliament for women.</w:t>
      </w:r>
    </w:p>
    <w:p w:rsidR="00235F81" w:rsidRDefault="00700458" w:rsidP="003B529A">
      <w:pPr>
        <w:rPr>
          <w:color w:val="auto"/>
        </w:rPr>
      </w:pPr>
      <w:r>
        <w:rPr>
          <w:color w:val="auto"/>
        </w:rPr>
        <w:t xml:space="preserve">Under the Australian funded Samoa Disability Program </w:t>
      </w:r>
      <w:r w:rsidR="005B3E3D" w:rsidRPr="003B529A">
        <w:rPr>
          <w:color w:val="auto"/>
        </w:rPr>
        <w:t>Samoa’s Attorney General</w:t>
      </w:r>
      <w:r>
        <w:rPr>
          <w:color w:val="auto"/>
        </w:rPr>
        <w:t>’s Office</w:t>
      </w:r>
      <w:r w:rsidR="005B3E3D" w:rsidRPr="003B529A">
        <w:rPr>
          <w:color w:val="auto"/>
        </w:rPr>
        <w:t xml:space="preserve"> reviewed the </w:t>
      </w:r>
      <w:r w:rsidR="00235F81" w:rsidRPr="003B529A">
        <w:rPr>
          <w:color w:val="auto"/>
        </w:rPr>
        <w:t>compliance of Samoa’s le</w:t>
      </w:r>
      <w:r w:rsidR="00DE2441">
        <w:rPr>
          <w:color w:val="auto"/>
        </w:rPr>
        <w:t>gislation with the Convention on</w:t>
      </w:r>
      <w:r w:rsidR="00235F81" w:rsidRPr="003B529A">
        <w:rPr>
          <w:color w:val="auto"/>
        </w:rPr>
        <w:t xml:space="preserve"> the Rights of Persons with </w:t>
      </w:r>
      <w:r w:rsidR="00BB0BE6" w:rsidRPr="003B529A">
        <w:rPr>
          <w:color w:val="auto"/>
        </w:rPr>
        <w:t xml:space="preserve">Disabilities.  This </w:t>
      </w:r>
      <w:r w:rsidR="005B3E3D" w:rsidRPr="003B529A">
        <w:rPr>
          <w:color w:val="auto"/>
        </w:rPr>
        <w:t xml:space="preserve">review </w:t>
      </w:r>
      <w:r w:rsidR="00BB0BE6" w:rsidRPr="003B529A">
        <w:rPr>
          <w:color w:val="auto"/>
        </w:rPr>
        <w:t>will inform new legislation</w:t>
      </w:r>
      <w:r w:rsidR="00B72914" w:rsidRPr="003B529A">
        <w:rPr>
          <w:color w:val="auto"/>
        </w:rPr>
        <w:t xml:space="preserve"> to safeguard </w:t>
      </w:r>
      <w:r w:rsidR="00BB0BE6" w:rsidRPr="003B529A">
        <w:rPr>
          <w:color w:val="auto"/>
        </w:rPr>
        <w:t xml:space="preserve">the </w:t>
      </w:r>
      <w:r w:rsidR="00B72914" w:rsidRPr="003B529A">
        <w:rPr>
          <w:color w:val="auto"/>
        </w:rPr>
        <w:t>rights</w:t>
      </w:r>
      <w:r w:rsidR="00BB0BE6" w:rsidRPr="003B529A">
        <w:rPr>
          <w:color w:val="auto"/>
        </w:rPr>
        <w:t xml:space="preserve"> of people with disabilities</w:t>
      </w:r>
      <w:r w:rsidR="00B72914" w:rsidRPr="003B529A">
        <w:rPr>
          <w:color w:val="auto"/>
        </w:rPr>
        <w:t>.</w:t>
      </w:r>
    </w:p>
    <w:p w:rsidR="00700458" w:rsidRPr="003B529A" w:rsidRDefault="00700458" w:rsidP="00700458">
      <w:pPr>
        <w:rPr>
          <w:color w:val="auto"/>
        </w:rPr>
      </w:pPr>
      <w:r>
        <w:rPr>
          <w:color w:val="auto"/>
        </w:rPr>
        <w:t>As part of this program</w:t>
      </w:r>
      <w:r w:rsidRPr="003B529A">
        <w:rPr>
          <w:color w:val="auto"/>
        </w:rPr>
        <w:t xml:space="preserve"> people with disabilities registered and voted in the March 2016 election, following proactive measures by </w:t>
      </w:r>
      <w:r>
        <w:rPr>
          <w:color w:val="auto"/>
        </w:rPr>
        <w:t>Samoa’s</w:t>
      </w:r>
      <w:r w:rsidRPr="003B529A">
        <w:rPr>
          <w:color w:val="auto"/>
        </w:rPr>
        <w:t xml:space="preserve"> Office of the Electoral Commission, in conjunction with Samoa’s Disabled Persons Organisation, </w:t>
      </w:r>
      <w:proofErr w:type="spellStart"/>
      <w:r w:rsidRPr="003B529A">
        <w:rPr>
          <w:color w:val="auto"/>
        </w:rPr>
        <w:t>Nuanua</w:t>
      </w:r>
      <w:proofErr w:type="spellEnd"/>
      <w:r w:rsidRPr="003B529A">
        <w:rPr>
          <w:color w:val="auto"/>
        </w:rPr>
        <w:t xml:space="preserve"> o le </w:t>
      </w:r>
      <w:proofErr w:type="spellStart"/>
      <w:r w:rsidRPr="003B529A">
        <w:rPr>
          <w:color w:val="auto"/>
        </w:rPr>
        <w:t>Alofa</w:t>
      </w:r>
      <w:proofErr w:type="spellEnd"/>
      <w:r w:rsidRPr="003B529A">
        <w:rPr>
          <w:color w:val="auto"/>
        </w:rPr>
        <w:t xml:space="preserve">. Measures included awareness raising, ensuring booths were physically accessible and providing additional support where necessary. </w:t>
      </w:r>
    </w:p>
    <w:p w:rsidR="00F97E5C" w:rsidRDefault="00DF2F7E" w:rsidP="00F97E5C">
      <w:pPr>
        <w:rPr>
          <w:color w:val="auto"/>
        </w:rPr>
      </w:pPr>
      <w:r>
        <w:rPr>
          <w:color w:val="auto"/>
        </w:rPr>
        <w:t>An Australian-funded expert assisted</w:t>
      </w:r>
      <w:r w:rsidR="00C210E4">
        <w:rPr>
          <w:color w:val="auto"/>
        </w:rPr>
        <w:t xml:space="preserve"> the Government of Samoa to develop </w:t>
      </w:r>
      <w:r w:rsidR="005B3E3D" w:rsidRPr="003B529A">
        <w:rPr>
          <w:color w:val="auto"/>
        </w:rPr>
        <w:t xml:space="preserve">a </w:t>
      </w:r>
      <w:r w:rsidR="00B72914" w:rsidRPr="003B529A">
        <w:rPr>
          <w:color w:val="auto"/>
        </w:rPr>
        <w:t>new</w:t>
      </w:r>
      <w:r w:rsidR="00884064" w:rsidRPr="003B529A">
        <w:rPr>
          <w:color w:val="auto"/>
        </w:rPr>
        <w:t xml:space="preserve"> framework </w:t>
      </w:r>
      <w:r>
        <w:rPr>
          <w:color w:val="auto"/>
        </w:rPr>
        <w:t xml:space="preserve">to </w:t>
      </w:r>
      <w:r w:rsidR="00884064" w:rsidRPr="003B529A">
        <w:rPr>
          <w:color w:val="auto"/>
        </w:rPr>
        <w:t>plan, monitor and report on government expenditure</w:t>
      </w:r>
      <w:r w:rsidR="00CE7A38" w:rsidRPr="003B529A">
        <w:rPr>
          <w:color w:val="auto"/>
        </w:rPr>
        <w:t xml:space="preserve"> – </w:t>
      </w:r>
      <w:r w:rsidR="00884064" w:rsidRPr="003B529A">
        <w:rPr>
          <w:color w:val="auto"/>
        </w:rPr>
        <w:t>the Samoan Monitoring Evaluation Re</w:t>
      </w:r>
      <w:r>
        <w:rPr>
          <w:color w:val="auto"/>
        </w:rPr>
        <w:t>porting Framework Manual (SMERF) – and train</w:t>
      </w:r>
      <w:r w:rsidR="00BB0BE6" w:rsidRPr="003B529A">
        <w:rPr>
          <w:color w:val="auto"/>
        </w:rPr>
        <w:t xml:space="preserve"> </w:t>
      </w:r>
      <w:r w:rsidR="00884064" w:rsidRPr="003B529A">
        <w:rPr>
          <w:color w:val="auto"/>
        </w:rPr>
        <w:t xml:space="preserve">government </w:t>
      </w:r>
      <w:r w:rsidR="00BB0BE6" w:rsidRPr="003B529A">
        <w:rPr>
          <w:color w:val="auto"/>
        </w:rPr>
        <w:t xml:space="preserve">officials in its use.  </w:t>
      </w:r>
      <w:r w:rsidR="000B4BF2">
        <w:rPr>
          <w:color w:val="auto"/>
        </w:rPr>
        <w:t>The new monitoring and reporting framework is a key step to improving the reporting of results from Government managed</w:t>
      </w:r>
      <w:r w:rsidR="000437C2">
        <w:rPr>
          <w:color w:val="auto"/>
        </w:rPr>
        <w:t xml:space="preserve"> programs that DFAT is funding.</w:t>
      </w:r>
    </w:p>
    <w:p w:rsidR="000437C2" w:rsidRPr="000437C2" w:rsidRDefault="000437C2" w:rsidP="00F97E5C">
      <w:pPr>
        <w:rPr>
          <w:color w:val="auto"/>
        </w:rPr>
      </w:pPr>
      <w:r>
        <w:rPr>
          <w:color w:val="auto"/>
        </w:rPr>
        <w:t xml:space="preserve">Australia only partially achieved its performance benchmark for 2015-16 under this strategic objective, which was construction of a new Parliament House on track to be completed by the end of 2016. The original completion date of end of 2016 was extended to end of 2017 due to some delays in the procurement process. Nevertheless, good progress has been made over the past year in line with revised expectations. </w:t>
      </w:r>
    </w:p>
    <w:p w:rsidR="000437C2" w:rsidRDefault="000437C2" w:rsidP="00F97E5C"/>
    <w:p w:rsidR="00C01760" w:rsidRPr="00C01760" w:rsidRDefault="00C01760" w:rsidP="00C01760">
      <w:pPr>
        <w:rPr>
          <w:b/>
          <w:color w:val="auto"/>
        </w:rPr>
      </w:pPr>
      <w:r>
        <w:rPr>
          <w:b/>
          <w:color w:val="auto"/>
        </w:rPr>
        <w:t>Other government departments</w:t>
      </w:r>
    </w:p>
    <w:p w:rsidR="00C01760" w:rsidRDefault="00C01760" w:rsidP="00C01760">
      <w:pPr>
        <w:rPr>
          <w:color w:val="auto"/>
        </w:rPr>
      </w:pPr>
      <w:r w:rsidRPr="003B529A">
        <w:rPr>
          <w:color w:val="auto"/>
        </w:rPr>
        <w:t xml:space="preserve">The Samoa Australia Police Partnership supported the establishment of an electronic Case Management System for all incidents reported to Samoa’s Police Service. The Partnership also supported the roll out of the 2015 Gun Amnesty (which saw 322 illegal guns surrendered and destroyed) and the refurbishment of fit for purpose interview rooms at Samoa’s Police Headquarters.  Training, technical support and mentoring was provided by three full-time Australian Federal Police Officers based with Samoa’s Police Service.  </w:t>
      </w:r>
    </w:p>
    <w:p w:rsidR="00F97E5C" w:rsidRDefault="00F97E5C" w:rsidP="00F97E5C">
      <w:pPr>
        <w:rPr>
          <w:b/>
          <w:color w:val="auto"/>
        </w:rPr>
      </w:pPr>
    </w:p>
    <w:p w:rsidR="00F97E5C" w:rsidRPr="00F97E5C" w:rsidRDefault="00F97E5C" w:rsidP="00F97E5C">
      <w:pPr>
        <w:rPr>
          <w:b/>
          <w:color w:val="auto"/>
        </w:rPr>
      </w:pPr>
      <w:r>
        <w:rPr>
          <w:b/>
          <w:color w:val="auto"/>
        </w:rPr>
        <w:t>Regional and global programs</w:t>
      </w:r>
    </w:p>
    <w:p w:rsidR="00C01760" w:rsidRPr="00C01760" w:rsidRDefault="00C01760" w:rsidP="00C01760">
      <w:pPr>
        <w:rPr>
          <w:color w:val="auto"/>
        </w:rPr>
      </w:pPr>
      <w:r w:rsidRPr="003B529A">
        <w:rPr>
          <w:color w:val="auto"/>
        </w:rPr>
        <w:t>The Australian-funded Pacific Leadership Program provided assistance to the Samoa Chamber of Commerce and Industry to draft a position paper on tariff anomalies that affect Samoan exporters to inform negotiations with American Samoa.</w:t>
      </w:r>
    </w:p>
    <w:p w:rsidR="00F97E5C" w:rsidRDefault="00F97E5C" w:rsidP="00F97E5C">
      <w:pPr>
        <w:pStyle w:val="BodyText"/>
        <w:rPr>
          <w:rFonts w:asciiTheme="minorHAnsi" w:eastAsiaTheme="minorHAnsi" w:hAnsiTheme="minorHAnsi" w:cstheme="minorBidi"/>
          <w:sz w:val="22"/>
          <w:szCs w:val="22"/>
          <w:lang w:val="en-GB" w:eastAsia="en-US"/>
        </w:rPr>
      </w:pPr>
      <w:r w:rsidRPr="003B529A">
        <w:rPr>
          <w:rFonts w:asciiTheme="minorHAnsi" w:eastAsiaTheme="minorHAnsi" w:hAnsiTheme="minorHAnsi" w:cstheme="minorBidi"/>
          <w:sz w:val="22"/>
          <w:szCs w:val="22"/>
          <w:lang w:val="en-GB" w:eastAsia="en-US"/>
        </w:rPr>
        <w:t xml:space="preserve">The Australian Government has supported the take-up of regional mobile money services for over 38,000 Samoans through the Pacific Financial Inclusion Program. </w:t>
      </w:r>
    </w:p>
    <w:p w:rsidR="00D12871" w:rsidRDefault="00D12871" w:rsidP="00F97E5C">
      <w:pPr>
        <w:pStyle w:val="BodyText"/>
        <w:rPr>
          <w:rFonts w:asciiTheme="minorHAnsi" w:eastAsiaTheme="minorHAnsi" w:hAnsiTheme="minorHAnsi" w:cstheme="minorBidi"/>
          <w:color w:val="495965" w:themeColor="text2"/>
          <w:sz w:val="22"/>
          <w:szCs w:val="22"/>
          <w:lang w:val="en-GB" w:eastAsia="en-US"/>
        </w:rPr>
      </w:pPr>
    </w:p>
    <w:p w:rsidR="005B5769" w:rsidRPr="008C2F58" w:rsidRDefault="005B5769" w:rsidP="00B438D3">
      <w:pPr>
        <w:pStyle w:val="ListBullet"/>
        <w:tabs>
          <w:tab w:val="clear" w:pos="284"/>
        </w:tabs>
        <w:spacing w:before="40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lastRenderedPageBreak/>
        <w:t>Progress towards Performance Benchmarks in 2015</w:t>
      </w:r>
      <w:r w:rsidR="00B438D3" w:rsidRPr="008C2F58">
        <w:rPr>
          <w:rFonts w:asciiTheme="majorHAnsi" w:eastAsiaTheme="majorEastAsia" w:hAnsiTheme="majorHAnsi" w:cstheme="majorBidi"/>
          <w:caps/>
          <w:color w:val="495965" w:themeColor="text2"/>
          <w:sz w:val="36"/>
          <w:szCs w:val="26"/>
          <w:lang w:val="en-GB" w:eastAsia="en-US"/>
        </w:rPr>
        <w:noBreakHyphen/>
      </w:r>
      <w:r w:rsidRPr="008C2F58">
        <w:rPr>
          <w:rFonts w:asciiTheme="majorHAnsi" w:eastAsiaTheme="majorEastAsia" w:hAnsiTheme="majorHAnsi" w:cstheme="majorBidi"/>
          <w:caps/>
          <w:color w:val="495965" w:themeColor="text2"/>
          <w:sz w:val="36"/>
          <w:szCs w:val="26"/>
          <w:lang w:val="en-GB" w:eastAsia="en-US"/>
        </w:rPr>
        <w:t>16</w:t>
      </w:r>
    </w:p>
    <w:tbl>
      <w:tblPr>
        <w:tblStyle w:val="DFATTable"/>
        <w:tblW w:w="5111" w:type="pct"/>
        <w:tblLook w:val="04A0" w:firstRow="1" w:lastRow="0" w:firstColumn="1" w:lastColumn="0" w:noHBand="0" w:noVBand="1"/>
      </w:tblPr>
      <w:tblGrid>
        <w:gridCol w:w="1903"/>
        <w:gridCol w:w="2493"/>
        <w:gridCol w:w="842"/>
        <w:gridCol w:w="4614"/>
      </w:tblGrid>
      <w:tr w:rsidR="005B5769" w:rsidRPr="00C4114C" w:rsidTr="00CA4376">
        <w:trPr>
          <w:tblHeader/>
        </w:trPr>
        <w:tc>
          <w:tcPr>
            <w:tcW w:w="968" w:type="pct"/>
            <w:tcMar>
              <w:top w:w="57" w:type="dxa"/>
              <w:bottom w:w="57" w:type="dxa"/>
            </w:tcMar>
          </w:tcPr>
          <w:p w:rsidR="005B5769" w:rsidRPr="003B0793" w:rsidRDefault="005B5769" w:rsidP="00D15A00">
            <w:pPr>
              <w:pStyle w:val="TableHeading1"/>
              <w:keepNext/>
              <w:rPr>
                <w:rFonts w:asciiTheme="minorHAnsi" w:hAnsiTheme="minorHAnsi"/>
              </w:rPr>
            </w:pPr>
            <w:r w:rsidRPr="003B0793">
              <w:rPr>
                <w:rFonts w:asciiTheme="minorHAnsi" w:hAnsiTheme="minorHAnsi"/>
              </w:rPr>
              <w:t>Aid objective</w:t>
            </w:r>
          </w:p>
        </w:tc>
        <w:tc>
          <w:tcPr>
            <w:tcW w:w="1267" w:type="pct"/>
          </w:tcPr>
          <w:p w:rsidR="005B5769" w:rsidRPr="003B0793" w:rsidRDefault="005B5769" w:rsidP="00D15A00">
            <w:pPr>
              <w:pStyle w:val="TableHeading1"/>
              <w:keepNext/>
              <w:rPr>
                <w:rFonts w:asciiTheme="minorHAnsi" w:hAnsiTheme="minorHAnsi"/>
              </w:rPr>
            </w:pPr>
            <w:r w:rsidRPr="003B0793">
              <w:rPr>
                <w:rFonts w:asciiTheme="minorHAnsi" w:hAnsiTheme="minorHAnsi"/>
              </w:rPr>
              <w:t xml:space="preserve">2015-16 benchmark </w:t>
            </w:r>
          </w:p>
        </w:tc>
        <w:tc>
          <w:tcPr>
            <w:tcW w:w="422" w:type="pct"/>
          </w:tcPr>
          <w:p w:rsidR="005B5769" w:rsidRPr="003B0793" w:rsidRDefault="005B5769" w:rsidP="003B0793">
            <w:pPr>
              <w:pStyle w:val="TableHeading1"/>
              <w:keepNext/>
              <w:jc w:val="center"/>
              <w:rPr>
                <w:rFonts w:asciiTheme="minorHAnsi" w:hAnsiTheme="minorHAnsi"/>
              </w:rPr>
            </w:pPr>
            <w:r w:rsidRPr="003B0793">
              <w:rPr>
                <w:rFonts w:asciiTheme="minorHAnsi" w:hAnsiTheme="minorHAnsi"/>
              </w:rPr>
              <w:t>Rating</w:t>
            </w:r>
          </w:p>
        </w:tc>
        <w:tc>
          <w:tcPr>
            <w:tcW w:w="2343" w:type="pct"/>
          </w:tcPr>
          <w:p w:rsidR="005B5769" w:rsidRPr="003B0793" w:rsidRDefault="005B5769" w:rsidP="003B0793">
            <w:pPr>
              <w:pStyle w:val="TableHeading1"/>
              <w:keepNext/>
              <w:jc w:val="center"/>
              <w:rPr>
                <w:rFonts w:asciiTheme="minorHAnsi" w:hAnsiTheme="minorHAnsi"/>
              </w:rPr>
            </w:pPr>
            <w:r w:rsidRPr="003B0793">
              <w:rPr>
                <w:rFonts w:asciiTheme="minorHAnsi" w:hAnsiTheme="minorHAnsi"/>
              </w:rPr>
              <w:t>Progress in 2015-16</w:t>
            </w:r>
          </w:p>
        </w:tc>
      </w:tr>
      <w:tr w:rsidR="005B5769" w:rsidRPr="00C4114C" w:rsidTr="006A3DA7">
        <w:tc>
          <w:tcPr>
            <w:tcW w:w="968" w:type="pct"/>
            <w:tcMar>
              <w:top w:w="57" w:type="dxa"/>
              <w:bottom w:w="57" w:type="dxa"/>
            </w:tcMar>
          </w:tcPr>
          <w:p w:rsidR="005B5769" w:rsidRPr="003B0793" w:rsidRDefault="00DE2441" w:rsidP="00D15A00">
            <w:pPr>
              <w:pStyle w:val="TableTextEntries"/>
              <w:keepNext/>
              <w:rPr>
                <w:rFonts w:asciiTheme="minorHAnsi" w:hAnsiTheme="minorHAnsi"/>
              </w:rPr>
            </w:pPr>
            <w:r>
              <w:rPr>
                <w:rFonts w:asciiTheme="minorHAnsi" w:hAnsiTheme="minorHAnsi"/>
              </w:rPr>
              <w:t>Enable economic growth</w:t>
            </w:r>
            <w:r w:rsidR="00084201">
              <w:rPr>
                <w:rFonts w:asciiTheme="minorHAnsi" w:hAnsiTheme="minorHAnsi"/>
              </w:rPr>
              <w:t xml:space="preserve"> through improved economic infrastructure.</w:t>
            </w:r>
          </w:p>
        </w:tc>
        <w:tc>
          <w:tcPr>
            <w:tcW w:w="1267" w:type="pct"/>
          </w:tcPr>
          <w:p w:rsidR="005B5769" w:rsidRPr="003B0793" w:rsidRDefault="00084201" w:rsidP="00D15A00">
            <w:pPr>
              <w:pStyle w:val="TableTextEntries"/>
              <w:keepNext/>
              <w:rPr>
                <w:rFonts w:asciiTheme="minorHAnsi" w:hAnsiTheme="minorHAnsi"/>
              </w:rPr>
            </w:pPr>
            <w:r>
              <w:rPr>
                <w:rFonts w:asciiTheme="minorHAnsi" w:hAnsiTheme="minorHAnsi"/>
              </w:rPr>
              <w:t>Transport link to Apia’s industrial area widened to accommodate increased traffic (2km).</w:t>
            </w:r>
            <w:r w:rsidR="005B5769" w:rsidRPr="003B0793">
              <w:rPr>
                <w:rFonts w:asciiTheme="minorHAnsi" w:hAnsiTheme="minorHAnsi"/>
              </w:rPr>
              <w:t xml:space="preserve">  </w:t>
            </w:r>
          </w:p>
        </w:tc>
        <w:tc>
          <w:tcPr>
            <w:tcW w:w="422" w:type="pct"/>
            <w:tcBorders>
              <w:bottom w:val="nil"/>
            </w:tcBorders>
            <w:shd w:val="clear" w:color="auto" w:fill="92D050"/>
          </w:tcPr>
          <w:p w:rsidR="005B5769" w:rsidRPr="003B0793" w:rsidRDefault="005B5769" w:rsidP="00D15A00">
            <w:pPr>
              <w:pStyle w:val="TableTextEntries"/>
              <w:keepNext/>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2343" w:type="pct"/>
          </w:tcPr>
          <w:p w:rsidR="005B5769" w:rsidRPr="003B0793" w:rsidRDefault="003F33E8" w:rsidP="00D15A00">
            <w:pPr>
              <w:pStyle w:val="TableTextEntries"/>
              <w:keepNext/>
              <w:rPr>
                <w:rFonts w:asciiTheme="minorHAnsi" w:hAnsiTheme="minorHAnsi"/>
              </w:rPr>
            </w:pPr>
            <w:r>
              <w:rPr>
                <w:rFonts w:asciiTheme="minorHAnsi" w:hAnsiTheme="minorHAnsi"/>
              </w:rPr>
              <w:t>Completed.  The Land and Transport Authority is currently undertaking an analysis on improvements in traffic disruption since this time.</w:t>
            </w:r>
            <w:r w:rsidR="005B5769" w:rsidRPr="003B0793">
              <w:rPr>
                <w:rFonts w:asciiTheme="minorHAnsi" w:hAnsiTheme="minorHAnsi"/>
              </w:rPr>
              <w:t xml:space="preserve"> </w:t>
            </w:r>
          </w:p>
        </w:tc>
      </w:tr>
      <w:tr w:rsidR="0099300A" w:rsidRPr="00C4114C" w:rsidTr="006A3DA7">
        <w:trPr>
          <w:trHeight w:val="1125"/>
        </w:trPr>
        <w:tc>
          <w:tcPr>
            <w:tcW w:w="968" w:type="pct"/>
            <w:tcMar>
              <w:top w:w="57" w:type="dxa"/>
              <w:bottom w:w="57" w:type="dxa"/>
            </w:tcMar>
          </w:tcPr>
          <w:p w:rsidR="0099300A" w:rsidRPr="003B0793" w:rsidRDefault="0099300A" w:rsidP="00D15A00">
            <w:pPr>
              <w:pStyle w:val="TableTextEntries"/>
              <w:keepNext/>
              <w:rPr>
                <w:rFonts w:asciiTheme="minorHAnsi" w:hAnsiTheme="minorHAnsi"/>
              </w:rPr>
            </w:pPr>
            <w:r>
              <w:rPr>
                <w:rFonts w:asciiTheme="minorHAnsi" w:hAnsiTheme="minorHAnsi"/>
              </w:rPr>
              <w:t>Progress health and education outcomes.</w:t>
            </w:r>
            <w:r w:rsidRPr="003B0793">
              <w:rPr>
                <w:rFonts w:asciiTheme="minorHAnsi" w:hAnsiTheme="minorHAnsi"/>
              </w:rPr>
              <w:t xml:space="preserve"> </w:t>
            </w:r>
          </w:p>
        </w:tc>
        <w:tc>
          <w:tcPr>
            <w:tcW w:w="1267" w:type="pct"/>
          </w:tcPr>
          <w:p w:rsidR="0099300A" w:rsidRDefault="0099300A" w:rsidP="00D15A00">
            <w:pPr>
              <w:pStyle w:val="TableTextEntries"/>
              <w:keepNext/>
              <w:rPr>
                <w:rFonts w:asciiTheme="minorHAnsi" w:hAnsiTheme="minorHAnsi"/>
              </w:rPr>
            </w:pPr>
            <w:r>
              <w:rPr>
                <w:rFonts w:asciiTheme="minorHAnsi" w:hAnsiTheme="minorHAnsi"/>
              </w:rPr>
              <w:t>At least 52 per cent of graduates from Samoa’s post-secondary education and training institutions find employment within six months of completion.</w:t>
            </w:r>
          </w:p>
          <w:p w:rsidR="0099300A" w:rsidRPr="003B0793" w:rsidRDefault="0099300A" w:rsidP="0022004C">
            <w:pPr>
              <w:pStyle w:val="TableTextEntries"/>
              <w:keepNext/>
              <w:rPr>
                <w:rFonts w:asciiTheme="minorHAnsi" w:hAnsiTheme="minorHAnsi"/>
              </w:rPr>
            </w:pPr>
          </w:p>
        </w:tc>
        <w:tc>
          <w:tcPr>
            <w:tcW w:w="422" w:type="pct"/>
            <w:tcBorders>
              <w:top w:val="nil"/>
              <w:bottom w:val="nil"/>
            </w:tcBorders>
            <w:shd w:val="clear" w:color="auto" w:fill="7FB64D" w:themeFill="accent3" w:themeFillShade="BF"/>
          </w:tcPr>
          <w:p w:rsidR="0099300A" w:rsidRPr="003B0793" w:rsidRDefault="006A3DA7" w:rsidP="0099300A">
            <w:pPr>
              <w:pStyle w:val="TableTextEntries"/>
              <w:keepNext/>
              <w:rPr>
                <w:rFonts w:asciiTheme="minorHAnsi" w:hAnsiTheme="minorHAnsi"/>
              </w:rPr>
            </w:pPr>
            <w:r>
              <w:rPr>
                <w:rFonts w:asciiTheme="minorHAnsi" w:hAnsiTheme="minorHAnsi"/>
                <w:color w:val="FFFFFF" w:themeColor="background1"/>
              </w:rPr>
              <w:t>Achieved</w:t>
            </w:r>
          </w:p>
        </w:tc>
        <w:tc>
          <w:tcPr>
            <w:tcW w:w="2343" w:type="pct"/>
          </w:tcPr>
          <w:p w:rsidR="0099300A" w:rsidRPr="003B0793" w:rsidRDefault="0099300A" w:rsidP="00DC0486">
            <w:pPr>
              <w:pStyle w:val="TableTextEntries"/>
              <w:keepNext/>
              <w:rPr>
                <w:rFonts w:asciiTheme="minorHAnsi" w:hAnsiTheme="minorHAnsi"/>
              </w:rPr>
            </w:pPr>
            <w:r>
              <w:rPr>
                <w:rFonts w:asciiTheme="minorHAnsi" w:hAnsiTheme="minorHAnsi"/>
              </w:rPr>
              <w:t xml:space="preserve">A total of </w:t>
            </w:r>
            <w:r w:rsidR="00DC0486">
              <w:rPr>
                <w:rFonts w:asciiTheme="minorHAnsi" w:hAnsiTheme="minorHAnsi"/>
              </w:rPr>
              <w:t xml:space="preserve">fifty nine </w:t>
            </w:r>
            <w:r>
              <w:rPr>
                <w:rFonts w:asciiTheme="minorHAnsi" w:hAnsiTheme="minorHAnsi"/>
              </w:rPr>
              <w:t>percent of graduates found employment within six months of completing Post-Secondary and Education Training</w:t>
            </w:r>
            <w:r w:rsidR="00CE2C66">
              <w:rPr>
                <w:rFonts w:asciiTheme="minorHAnsi" w:hAnsiTheme="minorHAnsi"/>
              </w:rPr>
              <w:t xml:space="preserve"> from Samoa Qualifications Authority data</w:t>
            </w:r>
            <w:r>
              <w:rPr>
                <w:rFonts w:asciiTheme="minorHAnsi" w:hAnsiTheme="minorHAnsi"/>
              </w:rPr>
              <w:t>.</w:t>
            </w:r>
            <w:r w:rsidRPr="003B0793">
              <w:rPr>
                <w:rFonts w:asciiTheme="minorHAnsi" w:hAnsiTheme="minorHAnsi"/>
              </w:rPr>
              <w:t xml:space="preserve"> </w:t>
            </w:r>
            <w:r>
              <w:rPr>
                <w:rFonts w:asciiTheme="minorHAnsi" w:hAnsiTheme="minorHAnsi"/>
              </w:rPr>
              <w:t xml:space="preserve"> </w:t>
            </w:r>
          </w:p>
        </w:tc>
      </w:tr>
      <w:tr w:rsidR="0022004C" w:rsidRPr="00C4114C" w:rsidTr="006A3DA7">
        <w:trPr>
          <w:trHeight w:val="1216"/>
        </w:trPr>
        <w:tc>
          <w:tcPr>
            <w:tcW w:w="968" w:type="pct"/>
            <w:tcMar>
              <w:top w:w="57" w:type="dxa"/>
              <w:bottom w:w="57" w:type="dxa"/>
            </w:tcMar>
          </w:tcPr>
          <w:p w:rsidR="0022004C" w:rsidRDefault="0022004C" w:rsidP="00D15A00">
            <w:pPr>
              <w:pStyle w:val="TableTextEntries"/>
              <w:keepNext/>
              <w:rPr>
                <w:rFonts w:asciiTheme="minorHAnsi" w:hAnsiTheme="minorHAnsi"/>
              </w:rPr>
            </w:pPr>
          </w:p>
        </w:tc>
        <w:tc>
          <w:tcPr>
            <w:tcW w:w="1267" w:type="pct"/>
          </w:tcPr>
          <w:p w:rsidR="0022004C" w:rsidRDefault="0022004C" w:rsidP="00D15A00">
            <w:pPr>
              <w:pStyle w:val="TableTextEntries"/>
              <w:keepNext/>
              <w:rPr>
                <w:rFonts w:asciiTheme="minorHAnsi" w:hAnsiTheme="minorHAnsi"/>
              </w:rPr>
            </w:pPr>
            <w:r>
              <w:rPr>
                <w:rFonts w:asciiTheme="minorHAnsi" w:hAnsiTheme="minorHAnsi"/>
              </w:rPr>
              <w:t xml:space="preserve">A Mobility Device Service providing services (appropriate wheelchairs, walking aids and Prosthetics and Orthotics) for </w:t>
            </w:r>
            <w:r w:rsidR="00597FA7">
              <w:rPr>
                <w:rFonts w:asciiTheme="minorHAnsi" w:hAnsiTheme="minorHAnsi"/>
              </w:rPr>
              <w:t>600 women, men, girls and boys.</w:t>
            </w:r>
          </w:p>
        </w:tc>
        <w:tc>
          <w:tcPr>
            <w:tcW w:w="422" w:type="pct"/>
            <w:tcBorders>
              <w:top w:val="nil"/>
              <w:bottom w:val="nil"/>
            </w:tcBorders>
            <w:shd w:val="clear" w:color="auto" w:fill="7FB64D" w:themeFill="accent3" w:themeFillShade="BF"/>
          </w:tcPr>
          <w:p w:rsidR="0022004C" w:rsidRPr="0099300A" w:rsidRDefault="006A3DA7" w:rsidP="00D15A00">
            <w:pPr>
              <w:pStyle w:val="TableTextEntries"/>
              <w:keepNext/>
              <w:jc w:val="center"/>
              <w:rPr>
                <w:rFonts w:asciiTheme="minorHAnsi" w:hAnsiTheme="minorHAnsi"/>
                <w:color w:val="FFFFFF" w:themeColor="background1"/>
              </w:rPr>
            </w:pPr>
            <w:r>
              <w:rPr>
                <w:rFonts w:asciiTheme="minorHAnsi" w:hAnsiTheme="minorHAnsi"/>
                <w:color w:val="FFFFFF" w:themeColor="background1"/>
              </w:rPr>
              <w:t>Achieved</w:t>
            </w:r>
          </w:p>
        </w:tc>
        <w:tc>
          <w:tcPr>
            <w:tcW w:w="2343" w:type="pct"/>
          </w:tcPr>
          <w:p w:rsidR="0022004C" w:rsidRDefault="006A3DA7" w:rsidP="00CE2C66">
            <w:pPr>
              <w:pStyle w:val="TableTextEntries"/>
              <w:keepNext/>
              <w:rPr>
                <w:rFonts w:asciiTheme="minorHAnsi" w:hAnsiTheme="minorHAnsi"/>
              </w:rPr>
            </w:pPr>
            <w:r w:rsidRPr="009822D6">
              <w:rPr>
                <w:rFonts w:asciiTheme="minorHAnsi" w:hAnsiTheme="minorHAnsi"/>
              </w:rPr>
              <w:t xml:space="preserve">600 </w:t>
            </w:r>
            <w:r w:rsidR="0022004C" w:rsidRPr="009822D6">
              <w:rPr>
                <w:rFonts w:asciiTheme="minorHAnsi" w:hAnsiTheme="minorHAnsi"/>
              </w:rPr>
              <w:t xml:space="preserve">devices were provided </w:t>
            </w:r>
            <w:r w:rsidR="00B31D4A" w:rsidRPr="009822D6">
              <w:rPr>
                <w:rFonts w:asciiTheme="minorHAnsi" w:hAnsiTheme="minorHAnsi"/>
              </w:rPr>
              <w:t xml:space="preserve">to a </w:t>
            </w:r>
            <w:r w:rsidRPr="009822D6">
              <w:rPr>
                <w:rFonts w:asciiTheme="minorHAnsi" w:hAnsiTheme="minorHAnsi"/>
              </w:rPr>
              <w:t xml:space="preserve">total of </w:t>
            </w:r>
            <w:r w:rsidR="00CE2C66">
              <w:rPr>
                <w:rFonts w:asciiTheme="minorHAnsi" w:hAnsiTheme="minorHAnsi"/>
              </w:rPr>
              <w:t>352</w:t>
            </w:r>
            <w:r w:rsidR="00CE2C66" w:rsidRPr="009822D6">
              <w:rPr>
                <w:rFonts w:asciiTheme="minorHAnsi" w:hAnsiTheme="minorHAnsi"/>
              </w:rPr>
              <w:t xml:space="preserve"> </w:t>
            </w:r>
            <w:r w:rsidR="005C7233">
              <w:rPr>
                <w:rFonts w:asciiTheme="minorHAnsi" w:hAnsiTheme="minorHAnsi"/>
              </w:rPr>
              <w:t xml:space="preserve">clients </w:t>
            </w:r>
            <w:r w:rsidRPr="009822D6">
              <w:rPr>
                <w:rFonts w:asciiTheme="minorHAnsi" w:hAnsiTheme="minorHAnsi"/>
              </w:rPr>
              <w:t>bringing the total number of people seen by the service to 646 since it started.</w:t>
            </w:r>
            <w:r w:rsidR="009822D6" w:rsidRPr="009822D6">
              <w:rPr>
                <w:rFonts w:asciiTheme="minorHAnsi" w:hAnsiTheme="minorHAnsi"/>
              </w:rPr>
              <w:t xml:space="preserve">  The procurement of tools and equipment will arrive in October 2016</w:t>
            </w:r>
            <w:r w:rsidR="005C7233">
              <w:rPr>
                <w:rFonts w:asciiTheme="minorHAnsi" w:hAnsiTheme="minorHAnsi"/>
              </w:rPr>
              <w:t xml:space="preserve"> which will enable the </w:t>
            </w:r>
            <w:r w:rsidR="009822D6" w:rsidRPr="009822D6">
              <w:rPr>
                <w:rFonts w:asciiTheme="minorHAnsi" w:hAnsiTheme="minorHAnsi"/>
              </w:rPr>
              <w:t>full range of prosthetic and orthotic devices to be produced, further enhancing the health, mobility and well-being of Samoans.</w:t>
            </w:r>
          </w:p>
        </w:tc>
      </w:tr>
      <w:tr w:rsidR="005B5769" w:rsidRPr="00C4114C" w:rsidTr="00E93321">
        <w:tc>
          <w:tcPr>
            <w:tcW w:w="968" w:type="pct"/>
            <w:tcMar>
              <w:top w:w="57" w:type="dxa"/>
              <w:bottom w:w="57" w:type="dxa"/>
            </w:tcMar>
          </w:tcPr>
          <w:p w:rsidR="005B5769" w:rsidRPr="003B0793" w:rsidRDefault="00084201" w:rsidP="00D15A00">
            <w:pPr>
              <w:pStyle w:val="TableTextEntries"/>
              <w:keepNext/>
              <w:rPr>
                <w:rFonts w:asciiTheme="minorHAnsi" w:hAnsiTheme="minorHAnsi"/>
              </w:rPr>
            </w:pPr>
            <w:r>
              <w:rPr>
                <w:rFonts w:asciiTheme="minorHAnsi" w:hAnsiTheme="minorHAnsi"/>
              </w:rPr>
              <w:t>Strengthen governance.</w:t>
            </w:r>
          </w:p>
        </w:tc>
        <w:tc>
          <w:tcPr>
            <w:tcW w:w="1267" w:type="pct"/>
          </w:tcPr>
          <w:p w:rsidR="005B5769" w:rsidRPr="003B0793" w:rsidRDefault="00084201" w:rsidP="00D15A00">
            <w:pPr>
              <w:pStyle w:val="TableTextEntries"/>
              <w:keepNext/>
              <w:rPr>
                <w:rFonts w:asciiTheme="minorHAnsi" w:hAnsiTheme="minorHAnsi"/>
              </w:rPr>
            </w:pPr>
            <w:r>
              <w:rPr>
                <w:rFonts w:asciiTheme="minorHAnsi" w:hAnsiTheme="minorHAnsi"/>
              </w:rPr>
              <w:t>Construction of a new Parliament House on track to be completed by the end of 2016.</w:t>
            </w:r>
            <w:r w:rsidR="005B5769" w:rsidRPr="003B0793">
              <w:rPr>
                <w:rFonts w:asciiTheme="minorHAnsi" w:hAnsiTheme="minorHAnsi"/>
              </w:rPr>
              <w:t xml:space="preserve"> </w:t>
            </w:r>
          </w:p>
        </w:tc>
        <w:tc>
          <w:tcPr>
            <w:tcW w:w="422" w:type="pct"/>
            <w:tcBorders>
              <w:top w:val="nil"/>
              <w:bottom w:val="single" w:sz="12" w:space="0" w:color="auto"/>
            </w:tcBorders>
            <w:shd w:val="clear" w:color="auto" w:fill="FFC000"/>
          </w:tcPr>
          <w:p w:rsidR="00E93321" w:rsidRPr="00E93321" w:rsidRDefault="00E93321" w:rsidP="0099300A">
            <w:pPr>
              <w:pStyle w:val="TableTextEntries"/>
              <w:keepNext/>
              <w:rPr>
                <w:rFonts w:asciiTheme="minorHAnsi" w:hAnsiTheme="minorHAnsi"/>
                <w:color w:val="FFFFFF" w:themeColor="background1"/>
              </w:rPr>
            </w:pPr>
            <w:r>
              <w:rPr>
                <w:rFonts w:asciiTheme="minorHAnsi" w:hAnsiTheme="minorHAnsi"/>
                <w:color w:val="FFFFFF" w:themeColor="background1"/>
              </w:rPr>
              <w:t>Partly Achieved</w:t>
            </w:r>
          </w:p>
          <w:p w:rsidR="005B5769" w:rsidRPr="00E93321" w:rsidRDefault="005B5769" w:rsidP="00E93321">
            <w:pPr>
              <w:rPr>
                <w:lang w:val="en-AU"/>
              </w:rPr>
            </w:pPr>
          </w:p>
        </w:tc>
        <w:tc>
          <w:tcPr>
            <w:tcW w:w="2343" w:type="pct"/>
          </w:tcPr>
          <w:p w:rsidR="005B5769" w:rsidRPr="003B0793" w:rsidRDefault="008E5E71" w:rsidP="00DC0486">
            <w:pPr>
              <w:pStyle w:val="TableTextEntries"/>
              <w:keepNext/>
              <w:rPr>
                <w:rFonts w:asciiTheme="minorHAnsi" w:hAnsiTheme="minorHAnsi"/>
              </w:rPr>
            </w:pPr>
            <w:r>
              <w:rPr>
                <w:rFonts w:asciiTheme="minorHAnsi" w:hAnsiTheme="minorHAnsi"/>
              </w:rPr>
              <w:t>This original completion date of en</w:t>
            </w:r>
            <w:r w:rsidR="00DC0486">
              <w:rPr>
                <w:rFonts w:asciiTheme="minorHAnsi" w:hAnsiTheme="minorHAnsi"/>
              </w:rPr>
              <w:t>d 2016 was extended to end 2017</w:t>
            </w:r>
            <w:r w:rsidR="00CE2C66">
              <w:rPr>
                <w:rFonts w:asciiTheme="minorHAnsi" w:hAnsiTheme="minorHAnsi"/>
              </w:rPr>
              <w:t xml:space="preserve"> due to some delays in the procurement process</w:t>
            </w:r>
            <w:r w:rsidR="00DC0486">
              <w:rPr>
                <w:rFonts w:asciiTheme="minorHAnsi" w:hAnsiTheme="minorHAnsi"/>
              </w:rPr>
              <w:t xml:space="preserve">.  </w:t>
            </w:r>
            <w:r>
              <w:rPr>
                <w:rFonts w:asciiTheme="minorHAnsi" w:hAnsiTheme="minorHAnsi"/>
              </w:rPr>
              <w:t xml:space="preserve">Given the complexity of this project delays are to be expected.  Nevertheless good progress has been made over the past year in line with revised expectations.  </w:t>
            </w:r>
          </w:p>
        </w:tc>
      </w:tr>
    </w:tbl>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FB2017" w:rsidRPr="003B529A" w:rsidRDefault="00FB2017" w:rsidP="00FB2017">
      <w:pPr>
        <w:rPr>
          <w:color w:val="auto"/>
        </w:rPr>
      </w:pPr>
      <w:r w:rsidRPr="003B529A">
        <w:rPr>
          <w:color w:val="auto"/>
        </w:rPr>
        <w:t xml:space="preserve">Australia and Samoa continued to work towards agreed mutual obligations and shared goals as outlined in Australia’s Aid Investment Plan for Samoa.  In 2015-16 the Government of Samoa </w:t>
      </w:r>
      <w:r w:rsidR="00DF2F7E">
        <w:rPr>
          <w:color w:val="auto"/>
        </w:rPr>
        <w:t>achieved:</w:t>
      </w:r>
    </w:p>
    <w:p w:rsidR="001915C9" w:rsidRPr="003B529A" w:rsidRDefault="00DC0486" w:rsidP="00C01760">
      <w:pPr>
        <w:pStyle w:val="ListParagraph"/>
        <w:numPr>
          <w:ilvl w:val="0"/>
          <w:numId w:val="11"/>
        </w:numPr>
        <w:rPr>
          <w:color w:val="auto"/>
        </w:rPr>
      </w:pPr>
      <w:r w:rsidRPr="003B529A">
        <w:rPr>
          <w:color w:val="auto"/>
        </w:rPr>
        <w:t>i</w:t>
      </w:r>
      <w:r w:rsidR="000E2870" w:rsidRPr="003B529A">
        <w:rPr>
          <w:color w:val="auto"/>
        </w:rPr>
        <w:t xml:space="preserve">ncreased </w:t>
      </w:r>
      <w:r w:rsidR="00FB2017" w:rsidRPr="003B529A">
        <w:rPr>
          <w:color w:val="auto"/>
        </w:rPr>
        <w:t>expenditure in education</w:t>
      </w:r>
      <w:r w:rsidR="0074092D" w:rsidRPr="003B529A">
        <w:rPr>
          <w:color w:val="auto"/>
        </w:rPr>
        <w:t xml:space="preserve"> and </w:t>
      </w:r>
      <w:r w:rsidR="00FB2017" w:rsidRPr="003B529A">
        <w:rPr>
          <w:color w:val="auto"/>
        </w:rPr>
        <w:t xml:space="preserve">health </w:t>
      </w:r>
      <w:r w:rsidR="003F33E8" w:rsidRPr="003B529A">
        <w:rPr>
          <w:color w:val="auto"/>
        </w:rPr>
        <w:t>as a percentage of overall government expenditure;</w:t>
      </w:r>
    </w:p>
    <w:p w:rsidR="001915C9" w:rsidRPr="003B529A" w:rsidRDefault="00AA3D1B" w:rsidP="00C01760">
      <w:pPr>
        <w:pStyle w:val="ListParagraph"/>
        <w:numPr>
          <w:ilvl w:val="0"/>
          <w:numId w:val="11"/>
        </w:numPr>
        <w:rPr>
          <w:color w:val="auto"/>
        </w:rPr>
      </w:pPr>
      <w:r w:rsidRPr="003B529A">
        <w:rPr>
          <w:color w:val="auto"/>
        </w:rPr>
        <w:t>continued</w:t>
      </w:r>
      <w:r w:rsidR="00FB2017" w:rsidRPr="003B529A">
        <w:rPr>
          <w:color w:val="auto"/>
        </w:rPr>
        <w:t xml:space="preserve"> improve</w:t>
      </w:r>
      <w:r w:rsidRPr="003B529A">
        <w:rPr>
          <w:color w:val="auto"/>
        </w:rPr>
        <w:t>ment in</w:t>
      </w:r>
      <w:r w:rsidR="00FB2017" w:rsidRPr="003B529A">
        <w:rPr>
          <w:color w:val="auto"/>
        </w:rPr>
        <w:t xml:space="preserve"> public financial management</w:t>
      </w:r>
      <w:r w:rsidR="00C01760">
        <w:rPr>
          <w:color w:val="auto"/>
        </w:rPr>
        <w:t>,</w:t>
      </w:r>
      <w:r w:rsidR="00FB2017" w:rsidRPr="003B529A">
        <w:rPr>
          <w:color w:val="auto"/>
        </w:rPr>
        <w:t xml:space="preserve"> </w:t>
      </w:r>
      <w:r w:rsidR="009D1D36" w:rsidRPr="003B529A">
        <w:rPr>
          <w:color w:val="auto"/>
        </w:rPr>
        <w:t>including through revised Treasury Instructions</w:t>
      </w:r>
      <w:r w:rsidR="00C01760">
        <w:rPr>
          <w:color w:val="auto"/>
        </w:rPr>
        <w:t>,</w:t>
      </w:r>
      <w:r w:rsidR="009D1D36" w:rsidRPr="003B529A">
        <w:rPr>
          <w:color w:val="auto"/>
        </w:rPr>
        <w:t xml:space="preserve"> to increase the efficiency of Government procurement processes</w:t>
      </w:r>
      <w:r w:rsidR="00333A3C" w:rsidRPr="003B529A">
        <w:rPr>
          <w:color w:val="auto"/>
        </w:rPr>
        <w:t xml:space="preserve"> through use of framework arrangements</w:t>
      </w:r>
      <w:r w:rsidRPr="003B529A">
        <w:rPr>
          <w:color w:val="auto"/>
        </w:rPr>
        <w:t>;</w:t>
      </w:r>
    </w:p>
    <w:p w:rsidR="00235F81" w:rsidRPr="003B529A" w:rsidRDefault="008E5E71" w:rsidP="00C01760">
      <w:pPr>
        <w:pStyle w:val="ListParagraph"/>
        <w:numPr>
          <w:ilvl w:val="0"/>
          <w:numId w:val="11"/>
        </w:numPr>
        <w:rPr>
          <w:color w:val="auto"/>
        </w:rPr>
      </w:pPr>
      <w:r w:rsidRPr="003B529A">
        <w:rPr>
          <w:color w:val="auto"/>
        </w:rPr>
        <w:t>expanded involvement of civil society and</w:t>
      </w:r>
      <w:r w:rsidR="00FB2017" w:rsidRPr="003B529A">
        <w:rPr>
          <w:color w:val="auto"/>
        </w:rPr>
        <w:t xml:space="preserve"> private sector </w:t>
      </w:r>
      <w:r w:rsidRPr="003B529A">
        <w:rPr>
          <w:color w:val="auto"/>
        </w:rPr>
        <w:t>in</w:t>
      </w:r>
      <w:r w:rsidR="00FB2017" w:rsidRPr="003B529A">
        <w:rPr>
          <w:color w:val="auto"/>
        </w:rPr>
        <w:t xml:space="preserve"> sectoral committees</w:t>
      </w:r>
      <w:r w:rsidRPr="003B529A">
        <w:rPr>
          <w:color w:val="auto"/>
        </w:rPr>
        <w:t xml:space="preserve"> such as health</w:t>
      </w:r>
      <w:r w:rsidR="00FB2017" w:rsidRPr="003B529A">
        <w:rPr>
          <w:color w:val="auto"/>
        </w:rPr>
        <w:t>.</w:t>
      </w:r>
    </w:p>
    <w:p w:rsidR="001915C9" w:rsidRPr="003B529A" w:rsidRDefault="009D1D36" w:rsidP="009D1D36">
      <w:pPr>
        <w:rPr>
          <w:color w:val="auto"/>
        </w:rPr>
      </w:pPr>
      <w:r w:rsidRPr="003B529A">
        <w:rPr>
          <w:color w:val="auto"/>
        </w:rPr>
        <w:t>In 2015-16 the Government of Australia</w:t>
      </w:r>
      <w:r w:rsidR="00DF2F7E">
        <w:rPr>
          <w:color w:val="auto"/>
        </w:rPr>
        <w:t>:</w:t>
      </w:r>
    </w:p>
    <w:p w:rsidR="001915C9" w:rsidRDefault="0074092D" w:rsidP="00C01760">
      <w:pPr>
        <w:pStyle w:val="ListParagraph"/>
        <w:numPr>
          <w:ilvl w:val="0"/>
          <w:numId w:val="11"/>
        </w:numPr>
        <w:rPr>
          <w:color w:val="auto"/>
        </w:rPr>
      </w:pPr>
      <w:r w:rsidRPr="003B529A">
        <w:rPr>
          <w:color w:val="auto"/>
        </w:rPr>
        <w:t xml:space="preserve">worked through </w:t>
      </w:r>
      <w:r w:rsidR="00BD10B9" w:rsidRPr="003B529A">
        <w:rPr>
          <w:color w:val="auto"/>
        </w:rPr>
        <w:t xml:space="preserve">the </w:t>
      </w:r>
      <w:r w:rsidRPr="003B529A">
        <w:rPr>
          <w:color w:val="auto"/>
        </w:rPr>
        <w:t>Samoan G</w:t>
      </w:r>
      <w:r w:rsidR="00DE2441">
        <w:rPr>
          <w:color w:val="auto"/>
        </w:rPr>
        <w:t xml:space="preserve">overnment’s financial systems. </w:t>
      </w:r>
      <w:r w:rsidRPr="003B529A">
        <w:rPr>
          <w:color w:val="auto"/>
        </w:rPr>
        <w:t>Seventy per cent of Australia’s development assistance was channelled through Samoa’s own financial systems (this includes funding directly to Government and through the World Bank and the Asian Development Bank).  The remaining  30 per cent which includes scholarships and DFAT procured technical assistance was jointly planned with Samoa; and</w:t>
      </w:r>
    </w:p>
    <w:p w:rsidR="00F07C0F" w:rsidRDefault="00FB2017" w:rsidP="00C01760">
      <w:pPr>
        <w:pStyle w:val="ListParagraph"/>
        <w:numPr>
          <w:ilvl w:val="0"/>
          <w:numId w:val="11"/>
        </w:numPr>
        <w:rPr>
          <w:color w:val="auto"/>
        </w:rPr>
      </w:pPr>
      <w:r w:rsidRPr="003B529A">
        <w:rPr>
          <w:color w:val="auto"/>
        </w:rPr>
        <w:t>worked closely with other developmen</w:t>
      </w:r>
      <w:r w:rsidR="00333A3C" w:rsidRPr="003B529A">
        <w:rPr>
          <w:color w:val="auto"/>
        </w:rPr>
        <w:t xml:space="preserve">t partners to </w:t>
      </w:r>
      <w:r w:rsidR="00BD10B9" w:rsidRPr="003B529A">
        <w:rPr>
          <w:color w:val="auto"/>
        </w:rPr>
        <w:t xml:space="preserve">harmonise </w:t>
      </w:r>
      <w:r w:rsidR="00DC0486" w:rsidRPr="003B529A">
        <w:rPr>
          <w:color w:val="auto"/>
        </w:rPr>
        <w:t>development assistance</w:t>
      </w:r>
      <w:r w:rsidR="00CE2C66" w:rsidRPr="003B529A">
        <w:rPr>
          <w:color w:val="auto"/>
        </w:rPr>
        <w:t>, including jointly funding the Education Sector Support Program with New Zealand, jointly reviewing our assistance to the Civil Society Support Program with the European Union and coordinating health design missions with New Zealand</w:t>
      </w:r>
      <w:r w:rsidR="00BD10B9" w:rsidRPr="003B529A">
        <w:rPr>
          <w:color w:val="auto"/>
        </w:rPr>
        <w:t>.</w:t>
      </w:r>
    </w:p>
    <w:p w:rsidR="00D12871" w:rsidRDefault="00D12871" w:rsidP="00D12871">
      <w:pPr>
        <w:rPr>
          <w:color w:val="auto"/>
        </w:rPr>
      </w:pPr>
    </w:p>
    <w:p w:rsidR="00D12871" w:rsidRDefault="00D12871" w:rsidP="00D12871">
      <w:pPr>
        <w:rPr>
          <w:color w:val="auto"/>
        </w:rPr>
      </w:pPr>
    </w:p>
    <w:p w:rsidR="00D12871" w:rsidRDefault="00D12871" w:rsidP="00D12871">
      <w:pPr>
        <w:rPr>
          <w:color w:val="auto"/>
        </w:rPr>
      </w:pPr>
    </w:p>
    <w:p w:rsidR="00D12871" w:rsidRDefault="00D12871" w:rsidP="00D12871">
      <w:pPr>
        <w:rPr>
          <w:color w:val="auto"/>
        </w:rPr>
      </w:pPr>
    </w:p>
    <w:p w:rsidR="00D12871" w:rsidRPr="00D12871" w:rsidRDefault="00D12871" w:rsidP="00D12871">
      <w:pPr>
        <w:rPr>
          <w:color w:val="auto"/>
        </w:rPr>
      </w:pPr>
    </w:p>
    <w:p w:rsidR="005B5769" w:rsidRPr="003B529A" w:rsidRDefault="005B5769" w:rsidP="003B529A">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3B529A">
        <w:rPr>
          <w:rFonts w:asciiTheme="majorHAnsi" w:eastAsiaTheme="majorEastAsia" w:hAnsiTheme="majorHAnsi" w:cstheme="majorBidi"/>
          <w:caps/>
          <w:color w:val="495965" w:themeColor="text2"/>
          <w:sz w:val="38"/>
          <w:szCs w:val="26"/>
          <w:lang w:val="en-GB" w:eastAsia="en-US"/>
        </w:rPr>
        <w:lastRenderedPageBreak/>
        <w:t>Program Quality</w:t>
      </w:r>
    </w:p>
    <w:p w:rsidR="00FB2017" w:rsidRPr="003B529A" w:rsidRDefault="00FB2017" w:rsidP="00FB2017">
      <w:pPr>
        <w:rPr>
          <w:color w:val="auto"/>
        </w:rPr>
      </w:pPr>
      <w:r w:rsidRPr="003B529A">
        <w:rPr>
          <w:color w:val="auto"/>
        </w:rPr>
        <w:t>Aid Quality Checks</w:t>
      </w:r>
      <w:r w:rsidR="00DC0486" w:rsidRPr="003B529A">
        <w:rPr>
          <w:color w:val="auto"/>
        </w:rPr>
        <w:t xml:space="preserve"> (AQCs)</w:t>
      </w:r>
      <w:r w:rsidRPr="003B529A">
        <w:rPr>
          <w:color w:val="auto"/>
        </w:rPr>
        <w:t xml:space="preserve"> rating</w:t>
      </w:r>
      <w:r w:rsidR="00DC0486" w:rsidRPr="003B529A">
        <w:rPr>
          <w:color w:val="auto"/>
        </w:rPr>
        <w:t xml:space="preserve">s </w:t>
      </w:r>
      <w:r w:rsidRPr="003B529A">
        <w:rPr>
          <w:color w:val="auto"/>
        </w:rPr>
        <w:t>across all of Samoa’s initiatives we</w:t>
      </w:r>
      <w:r w:rsidR="00A37852" w:rsidRPr="003B529A">
        <w:rPr>
          <w:color w:val="auto"/>
        </w:rPr>
        <w:t xml:space="preserve">re </w:t>
      </w:r>
      <w:r w:rsidR="0074092D" w:rsidRPr="003B529A">
        <w:rPr>
          <w:color w:val="auto"/>
        </w:rPr>
        <w:t>consistent with</w:t>
      </w:r>
      <w:r w:rsidR="00A37852" w:rsidRPr="003B529A">
        <w:rPr>
          <w:color w:val="auto"/>
        </w:rPr>
        <w:t xml:space="preserve"> last year</w:t>
      </w:r>
      <w:r w:rsidR="00955BCA" w:rsidRPr="003B529A">
        <w:rPr>
          <w:color w:val="auto"/>
        </w:rPr>
        <w:t>.</w:t>
      </w:r>
      <w:r w:rsidR="00A37852" w:rsidRPr="003B529A">
        <w:rPr>
          <w:color w:val="auto"/>
        </w:rPr>
        <w:t xml:space="preserve">  </w:t>
      </w:r>
      <w:r w:rsidR="00DC0486" w:rsidRPr="003B529A">
        <w:rPr>
          <w:color w:val="auto"/>
        </w:rPr>
        <w:t>For the second consecutive year</w:t>
      </w:r>
      <w:r w:rsidR="00955BCA" w:rsidRPr="003B529A">
        <w:rPr>
          <w:color w:val="auto"/>
        </w:rPr>
        <w:t xml:space="preserve"> 67</w:t>
      </w:r>
      <w:r w:rsidR="004B2573" w:rsidRPr="003B529A">
        <w:rPr>
          <w:color w:val="auto"/>
        </w:rPr>
        <w:t xml:space="preserve"> per cent of AQCs were rated </w:t>
      </w:r>
      <w:r w:rsidR="00636325" w:rsidRPr="003B529A">
        <w:rPr>
          <w:color w:val="auto"/>
        </w:rPr>
        <w:t>as effectively addressing gender issues</w:t>
      </w:r>
      <w:r w:rsidR="00955BCA" w:rsidRPr="003B529A">
        <w:rPr>
          <w:color w:val="auto"/>
        </w:rPr>
        <w:t xml:space="preserve">. </w:t>
      </w:r>
      <w:r w:rsidR="00636325" w:rsidRPr="003B529A">
        <w:rPr>
          <w:color w:val="auto"/>
        </w:rPr>
        <w:t xml:space="preserve"> This rating is expected to improve </w:t>
      </w:r>
      <w:r w:rsidR="00955BCA" w:rsidRPr="003B529A">
        <w:rPr>
          <w:color w:val="auto"/>
        </w:rPr>
        <w:t>in 2016-17</w:t>
      </w:r>
      <w:r w:rsidR="00636325" w:rsidRPr="003B529A">
        <w:rPr>
          <w:color w:val="auto"/>
        </w:rPr>
        <w:t xml:space="preserve"> with </w:t>
      </w:r>
      <w:r w:rsidR="0074092D" w:rsidRPr="003B529A">
        <w:rPr>
          <w:color w:val="auto"/>
        </w:rPr>
        <w:t xml:space="preserve">the </w:t>
      </w:r>
      <w:r w:rsidR="00636325" w:rsidRPr="003B529A">
        <w:rPr>
          <w:color w:val="auto"/>
        </w:rPr>
        <w:t xml:space="preserve">assistance of a gender advisor supporting Post </w:t>
      </w:r>
      <w:r w:rsidR="0074092D" w:rsidRPr="003B529A">
        <w:rPr>
          <w:color w:val="auto"/>
        </w:rPr>
        <w:t>to incorporate gender across all initiatives.</w:t>
      </w:r>
    </w:p>
    <w:p w:rsidR="00FB2017" w:rsidRPr="003B529A" w:rsidRDefault="00FB2017" w:rsidP="00FB2017">
      <w:pPr>
        <w:rPr>
          <w:color w:val="auto"/>
        </w:rPr>
      </w:pPr>
      <w:r w:rsidRPr="003B529A">
        <w:rPr>
          <w:color w:val="auto"/>
        </w:rPr>
        <w:t xml:space="preserve">Independent evaluations of the Samoa Law and Justice Program, Samoa </w:t>
      </w:r>
      <w:r w:rsidR="0099300A" w:rsidRPr="003B529A">
        <w:rPr>
          <w:color w:val="auto"/>
        </w:rPr>
        <w:t xml:space="preserve">Primary </w:t>
      </w:r>
      <w:r w:rsidRPr="003B529A">
        <w:rPr>
          <w:color w:val="auto"/>
        </w:rPr>
        <w:t>School Fees Program, Educati</w:t>
      </w:r>
      <w:r w:rsidR="00976D23" w:rsidRPr="003B529A">
        <w:rPr>
          <w:color w:val="auto"/>
        </w:rPr>
        <w:t>on Support Program II (ESP II),</w:t>
      </w:r>
      <w:r w:rsidR="00C01760">
        <w:rPr>
          <w:color w:val="auto"/>
        </w:rPr>
        <w:t xml:space="preserve"> and</w:t>
      </w:r>
      <w:r w:rsidR="00976D23" w:rsidRPr="003B529A">
        <w:rPr>
          <w:color w:val="auto"/>
        </w:rPr>
        <w:t xml:space="preserve"> the World Bank led end of program evaluation of the Health Sector Wide Approach Program </w:t>
      </w:r>
      <w:r w:rsidR="00F94420" w:rsidRPr="003B529A">
        <w:rPr>
          <w:color w:val="auto"/>
        </w:rPr>
        <w:t xml:space="preserve">were </w:t>
      </w:r>
      <w:r w:rsidR="0074092D" w:rsidRPr="003B529A">
        <w:rPr>
          <w:color w:val="auto"/>
        </w:rPr>
        <w:t xml:space="preserve">undertaken </w:t>
      </w:r>
      <w:r w:rsidR="00976D23" w:rsidRPr="003B529A">
        <w:rPr>
          <w:color w:val="auto"/>
        </w:rPr>
        <w:t xml:space="preserve">in 2015-16 </w:t>
      </w:r>
      <w:r w:rsidR="00DC0486" w:rsidRPr="003B529A">
        <w:rPr>
          <w:color w:val="auto"/>
        </w:rPr>
        <w:t xml:space="preserve">and </w:t>
      </w:r>
      <w:r w:rsidR="00976D23" w:rsidRPr="003B529A">
        <w:rPr>
          <w:color w:val="auto"/>
        </w:rPr>
        <w:t>have been published.</w:t>
      </w:r>
      <w:r w:rsidR="006A3DA7" w:rsidRPr="003B529A">
        <w:rPr>
          <w:color w:val="auto"/>
        </w:rPr>
        <w:t xml:space="preserve">  </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Management Responses</w:t>
      </w:r>
    </w:p>
    <w:p w:rsidR="004B2573" w:rsidRPr="003B529A" w:rsidRDefault="004C5AB9" w:rsidP="003B529A">
      <w:pPr>
        <w:rPr>
          <w:color w:val="auto"/>
        </w:rPr>
      </w:pPr>
      <w:r w:rsidRPr="003B529A">
        <w:rPr>
          <w:color w:val="auto"/>
        </w:rPr>
        <w:t>Following an assessment of programs, the following management responses have been identified to address challenges and risks associated with the program</w:t>
      </w:r>
      <w:r w:rsidR="00DF2F7E">
        <w:rPr>
          <w:color w:val="auto"/>
        </w:rPr>
        <w:t>.</w:t>
      </w:r>
    </w:p>
    <w:p w:rsidR="004C5AB9" w:rsidRPr="003B529A" w:rsidRDefault="00DF2F7E" w:rsidP="00C01760">
      <w:pPr>
        <w:pStyle w:val="ListParagraph"/>
        <w:numPr>
          <w:ilvl w:val="0"/>
          <w:numId w:val="12"/>
        </w:numPr>
        <w:rPr>
          <w:color w:val="auto"/>
        </w:rPr>
      </w:pPr>
      <w:r>
        <w:rPr>
          <w:color w:val="auto"/>
        </w:rPr>
        <w:t>I</w:t>
      </w:r>
      <w:r w:rsidR="004C5AB9" w:rsidRPr="003B529A">
        <w:rPr>
          <w:color w:val="auto"/>
        </w:rPr>
        <w:t>n agreement with the Samoan Government, deploy technical assistance in education, public financial management and procurement to support increased quality of our programs in these areas.</w:t>
      </w:r>
    </w:p>
    <w:p w:rsidR="004C5AB9" w:rsidRPr="003B529A" w:rsidRDefault="00DF2F7E" w:rsidP="00C01760">
      <w:pPr>
        <w:pStyle w:val="ListParagraph"/>
        <w:numPr>
          <w:ilvl w:val="0"/>
          <w:numId w:val="11"/>
        </w:numPr>
        <w:rPr>
          <w:color w:val="auto"/>
        </w:rPr>
      </w:pPr>
      <w:r>
        <w:rPr>
          <w:color w:val="auto"/>
        </w:rPr>
        <w:t>C</w:t>
      </w:r>
      <w:r w:rsidR="004C5AB9" w:rsidRPr="003B529A">
        <w:rPr>
          <w:color w:val="auto"/>
        </w:rPr>
        <w:t xml:space="preserve">ontinue to explore innovative approaches </w:t>
      </w:r>
      <w:r w:rsidR="00C01760">
        <w:rPr>
          <w:color w:val="auto"/>
        </w:rPr>
        <w:t>and relationships</w:t>
      </w:r>
      <w:r w:rsidR="004C5AB9" w:rsidRPr="003B529A">
        <w:rPr>
          <w:color w:val="auto"/>
        </w:rPr>
        <w:t xml:space="preserve"> to assist in addressing gender equality across the work we do. This will include facilitating dialogue with multilateral partners and the Government of Samoa for better gender analysis, data collection and monitoring of targets. </w:t>
      </w:r>
    </w:p>
    <w:p w:rsidR="004C5AB9" w:rsidRPr="003B529A" w:rsidRDefault="00DF2F7E" w:rsidP="00C01760">
      <w:pPr>
        <w:pStyle w:val="ListParagraph"/>
        <w:numPr>
          <w:ilvl w:val="0"/>
          <w:numId w:val="11"/>
        </w:numPr>
        <w:rPr>
          <w:color w:val="auto"/>
        </w:rPr>
      </w:pPr>
      <w:r>
        <w:rPr>
          <w:color w:val="auto"/>
        </w:rPr>
        <w:t>E</w:t>
      </w:r>
      <w:r w:rsidR="004C5AB9" w:rsidRPr="003B529A">
        <w:rPr>
          <w:color w:val="auto"/>
        </w:rPr>
        <w:t>ncourage Samoa’s Ministry of Finance to ensure audits are undertaken promptly and actions are taken to address the audits.  Where an audit cannot be completed within six month</w:t>
      </w:r>
      <w:r w:rsidR="00C86A36">
        <w:rPr>
          <w:color w:val="auto"/>
        </w:rPr>
        <w:t>s</w:t>
      </w:r>
      <w:r w:rsidR="004C5AB9" w:rsidRPr="003B529A">
        <w:rPr>
          <w:color w:val="auto"/>
        </w:rPr>
        <w:t xml:space="preserve"> of the reporting period by Samoan Government processes, we will consider independently procuring the audit.</w:t>
      </w:r>
    </w:p>
    <w:p w:rsidR="004C5AB9" w:rsidRPr="003B529A" w:rsidRDefault="00DF2F7E" w:rsidP="00C01760">
      <w:pPr>
        <w:pStyle w:val="ListParagraph"/>
        <w:numPr>
          <w:ilvl w:val="0"/>
          <w:numId w:val="11"/>
        </w:numPr>
        <w:rPr>
          <w:color w:val="auto"/>
        </w:rPr>
      </w:pPr>
      <w:r>
        <w:rPr>
          <w:color w:val="auto"/>
        </w:rPr>
        <w:t>U</w:t>
      </w:r>
      <w:r w:rsidR="004C5AB9" w:rsidRPr="003B529A">
        <w:rPr>
          <w:color w:val="auto"/>
        </w:rPr>
        <w:t>pdate Education and Health Public Financial Management and Procurement assessments undertaken three years ago, in line with DFAT’s Public Financial Management guidelines.</w:t>
      </w:r>
    </w:p>
    <w:p w:rsidR="004C5AB9" w:rsidRPr="003B529A" w:rsidRDefault="00DF2F7E" w:rsidP="00C01760">
      <w:pPr>
        <w:pStyle w:val="ListParagraph"/>
        <w:numPr>
          <w:ilvl w:val="0"/>
          <w:numId w:val="11"/>
        </w:numPr>
        <w:rPr>
          <w:color w:val="auto"/>
        </w:rPr>
      </w:pPr>
      <w:r>
        <w:rPr>
          <w:color w:val="auto"/>
        </w:rPr>
        <w:t>W</w:t>
      </w:r>
      <w:r w:rsidR="0000622E" w:rsidRPr="003B529A">
        <w:rPr>
          <w:color w:val="auto"/>
        </w:rPr>
        <w:t xml:space="preserve">ork with the Government of Samoa, </w:t>
      </w:r>
      <w:r>
        <w:rPr>
          <w:color w:val="auto"/>
        </w:rPr>
        <w:t xml:space="preserve">with support from DFAT’s </w:t>
      </w:r>
      <w:r w:rsidR="0000622E" w:rsidRPr="003B529A">
        <w:rPr>
          <w:color w:val="auto"/>
        </w:rPr>
        <w:t>infrastructure management specialist, to ensure the completion and quality of DFAT funded health and education infrastructure.</w:t>
      </w:r>
    </w:p>
    <w:p w:rsidR="004C5AB9" w:rsidRPr="003B529A" w:rsidRDefault="00DF2F7E" w:rsidP="00C01760">
      <w:pPr>
        <w:pStyle w:val="ListParagraph"/>
        <w:numPr>
          <w:ilvl w:val="0"/>
          <w:numId w:val="11"/>
        </w:numPr>
        <w:rPr>
          <w:color w:val="auto"/>
        </w:rPr>
      </w:pPr>
      <w:r>
        <w:rPr>
          <w:color w:val="auto"/>
        </w:rPr>
        <w:t>D</w:t>
      </w:r>
      <w:r w:rsidR="004C5AB9" w:rsidRPr="003B529A">
        <w:rPr>
          <w:color w:val="auto"/>
        </w:rPr>
        <w:t xml:space="preserve">evelop an approach to ensure climate change priorities of both Australia and Samoa are better addressed through the Australian aid program. </w:t>
      </w:r>
    </w:p>
    <w:p w:rsidR="00D00802" w:rsidRDefault="00D00802" w:rsidP="005B5769">
      <w:pPr>
        <w:pStyle w:val="ListBullet"/>
        <w:tabs>
          <w:tab w:val="clear" w:pos="284"/>
        </w:tabs>
        <w:sectPr w:rsidR="00D00802" w:rsidSect="00CD1FD5">
          <w:pgSz w:w="11906" w:h="16838" w:code="9"/>
          <w:pgMar w:top="1811" w:right="1134" w:bottom="851" w:left="1134" w:header="1565" w:footer="567" w:gutter="0"/>
          <w:cols w:space="397"/>
          <w:titlePg/>
          <w:docGrid w:linePitch="360"/>
        </w:sectPr>
      </w:pPr>
    </w:p>
    <w:p w:rsidR="00AF1B85" w:rsidRPr="00A8197B" w:rsidRDefault="00AF1B85" w:rsidP="005E606B">
      <w:pPr>
        <w:pStyle w:val="Subtitle"/>
      </w:pPr>
      <w:r w:rsidRPr="00A8197B">
        <w:lastRenderedPageBreak/>
        <w:t>Annex A - Progress in Addressing Management Responses</w:t>
      </w:r>
    </w:p>
    <w:p w:rsidR="00AF1B85" w:rsidRPr="00C61187" w:rsidRDefault="00AF1B85" w:rsidP="00A8197B"/>
    <w:tbl>
      <w:tblPr>
        <w:tblStyle w:val="APPR"/>
        <w:tblpPr w:leftFromText="180" w:rightFromText="180" w:vertAnchor="text" w:tblpY="1"/>
        <w:tblW w:w="5000" w:type="pct"/>
        <w:tblLayout w:type="fixed"/>
        <w:tblLook w:val="0000" w:firstRow="0" w:lastRow="0" w:firstColumn="0" w:lastColumn="0" w:noHBand="0" w:noVBand="0"/>
      </w:tblPr>
      <w:tblGrid>
        <w:gridCol w:w="6327"/>
        <w:gridCol w:w="971"/>
        <w:gridCol w:w="6739"/>
      </w:tblGrid>
      <w:tr w:rsidR="00AF1B85"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Management responses identified in 2014-15 APPR</w:t>
            </w:r>
            <w:r w:rsidRPr="003B0793">
              <w:rPr>
                <w:rFonts w:asciiTheme="minorHAnsi" w:eastAsia="Times New Roman" w:hAnsiTheme="minorHAnsi"/>
                <w:b/>
                <w:iCs/>
                <w:szCs w:val="17"/>
                <w:lang w:eastAsia="en-US"/>
              </w:rPr>
              <w:tab/>
            </w:r>
          </w:p>
        </w:tc>
        <w:tc>
          <w:tcPr>
            <w:tcW w:w="943"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Rating</w:t>
            </w:r>
          </w:p>
        </w:tc>
        <w:tc>
          <w:tcPr>
            <w:tcW w:w="6697"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Progress made  in 2015-16</w:t>
            </w:r>
            <w:r w:rsidRPr="003B0793">
              <w:rPr>
                <w:rFonts w:asciiTheme="minorHAnsi" w:eastAsia="Times New Roman" w:hAnsiTheme="minorHAnsi"/>
                <w:b/>
                <w:iCs/>
                <w:szCs w:val="17"/>
                <w:lang w:eastAsia="en-US"/>
              </w:rPr>
              <w:tab/>
            </w:r>
          </w:p>
        </w:tc>
      </w:tr>
      <w:tr w:rsidR="00AF1B85"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vAlign w:val="center"/>
          </w:tcPr>
          <w:p w:rsidR="00AF1B85" w:rsidRPr="003B0793" w:rsidRDefault="007E44F8" w:rsidP="0005798C">
            <w:pPr>
              <w:keepLines/>
              <w:spacing w:before="40" w:after="40" w:line="200" w:lineRule="atLeast"/>
              <w:rPr>
                <w:rFonts w:asciiTheme="minorHAnsi" w:eastAsia="Times New Roman" w:hAnsiTheme="minorHAnsi"/>
                <w:iCs/>
                <w:szCs w:val="17"/>
                <w:lang w:eastAsia="en-US"/>
              </w:rPr>
            </w:pPr>
            <w:r w:rsidRPr="004C6F3C">
              <w:rPr>
                <w:rFonts w:asciiTheme="minorHAnsi" w:eastAsia="Times New Roman" w:hAnsiTheme="minorHAnsi"/>
                <w:i/>
                <w:iCs/>
                <w:szCs w:val="17"/>
                <w:lang w:eastAsia="en-US"/>
              </w:rPr>
              <w:t>Monitoring and Evaluation:</w:t>
            </w:r>
            <w:r>
              <w:rPr>
                <w:rFonts w:asciiTheme="minorHAnsi" w:eastAsia="Times New Roman" w:hAnsiTheme="minorHAnsi"/>
                <w:iCs/>
                <w:szCs w:val="17"/>
                <w:lang w:eastAsia="en-US"/>
              </w:rPr>
              <w:t xml:space="preserve"> Further improving M&amp;E remains a priority for the program in 2015-16. A program-wide Performance Assessment Framework will be developed to underpin the Aid Investment Plan.</w:t>
            </w:r>
          </w:p>
        </w:tc>
        <w:tc>
          <w:tcPr>
            <w:tcW w:w="943" w:type="dxa"/>
            <w:shd w:val="clear" w:color="auto" w:fill="92D050"/>
            <w:vAlign w:val="center"/>
          </w:tcPr>
          <w:p w:rsidR="00AF1B85" w:rsidRPr="003B0793" w:rsidRDefault="00B42392" w:rsidP="007E44F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97" w:type="dxa"/>
            <w:vAlign w:val="center"/>
          </w:tcPr>
          <w:p w:rsidR="00AF1B85" w:rsidRPr="003B0793" w:rsidRDefault="001533D4" w:rsidP="00B04E4C">
            <w:pPr>
              <w:keepLines/>
              <w:spacing w:before="40" w:after="40" w:line="200" w:lineRule="atLeast"/>
              <w:rPr>
                <w:rFonts w:asciiTheme="minorHAnsi" w:eastAsia="Times New Roman" w:hAnsiTheme="minorHAnsi"/>
                <w:iCs/>
                <w:color w:val="92D050"/>
                <w:szCs w:val="17"/>
                <w:lang w:eastAsia="en-US"/>
              </w:rPr>
            </w:pPr>
            <w:r>
              <w:rPr>
                <w:rFonts w:asciiTheme="minorHAnsi" w:eastAsia="Times New Roman" w:hAnsiTheme="minorHAnsi"/>
                <w:iCs/>
                <w:szCs w:val="17"/>
                <w:lang w:eastAsia="en-US"/>
              </w:rPr>
              <w:t xml:space="preserve">Support continued to be provided to the Government of Samoa to improve </w:t>
            </w:r>
            <w:r w:rsidR="00B04E4C">
              <w:rPr>
                <w:rFonts w:asciiTheme="minorHAnsi" w:eastAsia="Times New Roman" w:hAnsiTheme="minorHAnsi"/>
                <w:iCs/>
                <w:szCs w:val="17"/>
                <w:lang w:eastAsia="en-US"/>
              </w:rPr>
              <w:t>the overall approach to monitoring and evaluation.</w:t>
            </w:r>
            <w:r>
              <w:rPr>
                <w:rFonts w:asciiTheme="minorHAnsi" w:eastAsia="Times New Roman" w:hAnsiTheme="minorHAnsi"/>
                <w:iCs/>
                <w:szCs w:val="17"/>
                <w:lang w:eastAsia="en-US"/>
              </w:rPr>
              <w:t xml:space="preserve">  A Performance Assessment Framework to underpin the Aid Investment Plan </w:t>
            </w:r>
            <w:r w:rsidR="00B42392">
              <w:rPr>
                <w:rFonts w:asciiTheme="minorHAnsi" w:eastAsia="Times New Roman" w:hAnsiTheme="minorHAnsi"/>
                <w:iCs/>
                <w:szCs w:val="17"/>
                <w:lang w:eastAsia="en-US"/>
              </w:rPr>
              <w:t>is currently being developed.</w:t>
            </w:r>
          </w:p>
        </w:tc>
      </w:tr>
      <w:tr w:rsidR="00AF1B85"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vAlign w:val="center"/>
          </w:tcPr>
          <w:p w:rsidR="00AF1B85" w:rsidRPr="003B0793" w:rsidRDefault="007E44F8" w:rsidP="0005798C">
            <w:pPr>
              <w:keepLines/>
              <w:spacing w:before="40" w:after="40" w:line="200" w:lineRule="atLeast"/>
              <w:rPr>
                <w:rFonts w:asciiTheme="minorHAnsi" w:eastAsia="Times New Roman" w:hAnsiTheme="minorHAnsi"/>
                <w:iCs/>
                <w:szCs w:val="17"/>
                <w:lang w:eastAsia="en-US"/>
              </w:rPr>
            </w:pPr>
            <w:r w:rsidRPr="004C6F3C">
              <w:rPr>
                <w:rFonts w:asciiTheme="minorHAnsi" w:eastAsia="Times New Roman" w:hAnsiTheme="minorHAnsi"/>
                <w:i/>
                <w:iCs/>
                <w:szCs w:val="17"/>
                <w:lang w:eastAsia="en-US"/>
              </w:rPr>
              <w:t>Economic Infrastructure</w:t>
            </w:r>
            <w:r>
              <w:rPr>
                <w:rFonts w:asciiTheme="minorHAnsi" w:eastAsia="Times New Roman" w:hAnsiTheme="minorHAnsi"/>
                <w:iCs/>
                <w:szCs w:val="17"/>
                <w:lang w:eastAsia="en-US"/>
              </w:rPr>
              <w:t>: We will work with the World Bank to ensure their processes of reviewing designs and tender documentations are efficient and do not delay implementation. A priority will be to overcome implementation delays for the reconstruction of the Leone Bridge.</w:t>
            </w:r>
          </w:p>
        </w:tc>
        <w:tc>
          <w:tcPr>
            <w:tcW w:w="943" w:type="dxa"/>
            <w:shd w:val="clear" w:color="auto" w:fill="92D050"/>
            <w:vAlign w:val="center"/>
          </w:tcPr>
          <w:p w:rsidR="00AF1B85" w:rsidRPr="003B0793" w:rsidRDefault="00FB2017" w:rsidP="007E44F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w:t>
            </w:r>
            <w:r w:rsidR="002077B9">
              <w:rPr>
                <w:rFonts w:asciiTheme="minorHAnsi" w:eastAsia="Times New Roman" w:hAnsiTheme="minorHAnsi"/>
                <w:iCs/>
                <w:color w:val="FFFFFF" w:themeColor="background1"/>
                <w:szCs w:val="17"/>
                <w:lang w:eastAsia="en-US"/>
              </w:rPr>
              <w:t>d</w:t>
            </w:r>
            <w:r w:rsidR="00AF1B85" w:rsidRPr="003B0793">
              <w:rPr>
                <w:rFonts w:eastAsia="Times New Roman"/>
                <w:iCs/>
                <w:color w:val="FFFFFF" w:themeColor="background1"/>
                <w:szCs w:val="17"/>
              </w:rPr>
              <w:fldChar w:fldCharType="begin"/>
            </w:r>
            <w:r w:rsidR="00AF1B85" w:rsidRPr="003B0793">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00AF1B85" w:rsidRPr="003B0793">
              <w:rPr>
                <w:rFonts w:eastAsia="Times New Roman"/>
                <w:iCs/>
                <w:color w:val="FFFFFF" w:themeColor="background1"/>
                <w:szCs w:val="17"/>
              </w:rPr>
              <w:fldChar w:fldCharType="end"/>
            </w:r>
          </w:p>
        </w:tc>
        <w:tc>
          <w:tcPr>
            <w:tcW w:w="6697" w:type="dxa"/>
            <w:vAlign w:val="center"/>
          </w:tcPr>
          <w:p w:rsidR="00AF1B85" w:rsidRPr="001533D4" w:rsidRDefault="001533D4" w:rsidP="00B04E4C">
            <w:pPr>
              <w:keepLines/>
              <w:spacing w:before="40" w:after="40" w:line="200" w:lineRule="atLeast"/>
              <w:rPr>
                <w:rFonts w:asciiTheme="minorHAnsi" w:eastAsia="Times New Roman" w:hAnsiTheme="minorHAnsi"/>
                <w:iCs/>
                <w:szCs w:val="17"/>
                <w:lang w:eastAsia="en-US"/>
              </w:rPr>
            </w:pPr>
            <w:r w:rsidRPr="001533D4">
              <w:rPr>
                <w:rFonts w:asciiTheme="minorHAnsi" w:eastAsia="Times New Roman" w:hAnsiTheme="minorHAnsi"/>
                <w:iCs/>
                <w:szCs w:val="17"/>
                <w:lang w:eastAsia="en-US"/>
              </w:rPr>
              <w:t>Achieved.</w:t>
            </w:r>
            <w:r w:rsidR="00B04E4C">
              <w:rPr>
                <w:rFonts w:asciiTheme="minorHAnsi" w:eastAsia="Times New Roman" w:hAnsiTheme="minorHAnsi"/>
                <w:iCs/>
                <w:szCs w:val="17"/>
                <w:lang w:eastAsia="en-US"/>
              </w:rPr>
              <w:t xml:space="preserve">  A</w:t>
            </w:r>
            <w:r w:rsidR="00B42392">
              <w:rPr>
                <w:rFonts w:asciiTheme="minorHAnsi" w:eastAsia="Times New Roman" w:hAnsiTheme="minorHAnsi"/>
                <w:iCs/>
                <w:szCs w:val="17"/>
                <w:lang w:eastAsia="en-US"/>
              </w:rPr>
              <w:t xml:space="preserve"> construction firm </w:t>
            </w:r>
            <w:r w:rsidR="00B04E4C">
              <w:rPr>
                <w:rFonts w:asciiTheme="minorHAnsi" w:eastAsia="Times New Roman" w:hAnsiTheme="minorHAnsi"/>
                <w:iCs/>
                <w:szCs w:val="17"/>
                <w:lang w:eastAsia="en-US"/>
              </w:rPr>
              <w:t xml:space="preserve">has been selected and contracted to build Leone Bridget, </w:t>
            </w:r>
            <w:r w:rsidR="00B42392">
              <w:rPr>
                <w:rFonts w:asciiTheme="minorHAnsi" w:eastAsia="Times New Roman" w:hAnsiTheme="minorHAnsi"/>
                <w:iCs/>
                <w:szCs w:val="17"/>
                <w:lang w:eastAsia="en-US"/>
              </w:rPr>
              <w:t>with building to commence shortly.</w:t>
            </w:r>
          </w:p>
        </w:tc>
      </w:tr>
      <w:tr w:rsidR="003751AE" w:rsidRPr="003B0793" w:rsidTr="00EE3BAC">
        <w:trPr>
          <w:cnfStyle w:val="000000010000" w:firstRow="0" w:lastRow="0" w:firstColumn="0" w:lastColumn="0" w:oddVBand="0" w:evenVBand="0" w:oddHBand="0" w:evenHBand="1" w:firstRowFirstColumn="0" w:firstRowLastColumn="0" w:lastRowFirstColumn="0" w:lastRowLastColumn="0"/>
          <w:trHeight w:val="1287"/>
        </w:trPr>
        <w:tc>
          <w:tcPr>
            <w:tcW w:w="6285" w:type="dxa"/>
            <w:vMerge w:val="restart"/>
            <w:vAlign w:val="center"/>
          </w:tcPr>
          <w:p w:rsidR="003751AE" w:rsidRDefault="003751AE" w:rsidP="0005798C">
            <w:pPr>
              <w:keepLines/>
              <w:spacing w:before="40" w:after="40" w:line="200" w:lineRule="atLeast"/>
              <w:rPr>
                <w:rFonts w:asciiTheme="minorHAnsi" w:eastAsia="Times New Roman" w:hAnsiTheme="minorHAnsi"/>
                <w:iCs/>
                <w:szCs w:val="17"/>
                <w:lang w:eastAsia="en-US"/>
              </w:rPr>
            </w:pPr>
            <w:r w:rsidRPr="00642BAD">
              <w:rPr>
                <w:rFonts w:asciiTheme="minorHAnsi" w:eastAsia="Times New Roman" w:hAnsiTheme="minorHAnsi"/>
                <w:iCs/>
                <w:szCs w:val="17"/>
                <w:lang w:eastAsia="en-US"/>
              </w:rPr>
              <w:t>Education and Scholarships</w:t>
            </w:r>
            <w:r>
              <w:rPr>
                <w:rFonts w:asciiTheme="minorHAnsi" w:eastAsia="Times New Roman" w:hAnsiTheme="minorHAnsi"/>
                <w:iCs/>
                <w:szCs w:val="17"/>
                <w:lang w:eastAsia="en-US"/>
              </w:rPr>
              <w:t>: The new Education Sector Support Program will focus performance-linked funding on improving quality, efficiency and effectiveness of the education system, addressing gender imbalances in drop-out and enrolment rates and improving data management and reporting.</w:t>
            </w:r>
          </w:p>
          <w:p w:rsidR="003751AE" w:rsidRDefault="003751AE" w:rsidP="0005798C">
            <w:pPr>
              <w:keepLines/>
              <w:spacing w:before="40" w:after="40" w:line="200" w:lineRule="atLeast"/>
              <w:rPr>
                <w:rFonts w:asciiTheme="minorHAnsi" w:eastAsia="Times New Roman" w:hAnsiTheme="minorHAnsi"/>
                <w:iCs/>
                <w:szCs w:val="17"/>
                <w:lang w:eastAsia="en-US"/>
              </w:rPr>
            </w:pPr>
          </w:p>
          <w:p w:rsidR="003751AE" w:rsidRPr="003B0793" w:rsidRDefault="003751AE" w:rsidP="00FB58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Post will review the Australia Awards to ensure scholarships are focussed on Samoa’s priority workforce needs and are in line with Australia’s aid program priorities in Samoa. DFAT will undertake a tracer study of previous scholarships students to inform decisions around future targeting of scholarships.</w:t>
            </w:r>
          </w:p>
        </w:tc>
        <w:tc>
          <w:tcPr>
            <w:tcW w:w="943" w:type="dxa"/>
            <w:shd w:val="clear" w:color="auto" w:fill="92D050"/>
            <w:vAlign w:val="center"/>
          </w:tcPr>
          <w:p w:rsidR="003751AE" w:rsidRPr="003B0793" w:rsidRDefault="003751AE" w:rsidP="007E44F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97" w:type="dxa"/>
            <w:vMerge w:val="restart"/>
            <w:vAlign w:val="center"/>
          </w:tcPr>
          <w:p w:rsidR="003751AE" w:rsidRDefault="00976D23" w:rsidP="003751A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new </w:t>
            </w:r>
            <w:r w:rsidR="003751AE" w:rsidRPr="001533D4">
              <w:rPr>
                <w:rFonts w:asciiTheme="minorHAnsi" w:eastAsia="Times New Roman" w:hAnsiTheme="minorHAnsi"/>
                <w:iCs/>
                <w:szCs w:val="17"/>
                <w:lang w:eastAsia="en-US"/>
              </w:rPr>
              <w:t xml:space="preserve">Education Program commenced </w:t>
            </w:r>
            <w:r>
              <w:rPr>
                <w:rFonts w:asciiTheme="minorHAnsi" w:eastAsia="Times New Roman" w:hAnsiTheme="minorHAnsi"/>
                <w:iCs/>
                <w:szCs w:val="17"/>
                <w:lang w:eastAsia="en-US"/>
              </w:rPr>
              <w:t xml:space="preserve">in </w:t>
            </w:r>
            <w:r w:rsidR="003751AE" w:rsidRPr="001533D4">
              <w:rPr>
                <w:rFonts w:asciiTheme="minorHAnsi" w:eastAsia="Times New Roman" w:hAnsiTheme="minorHAnsi"/>
                <w:iCs/>
                <w:szCs w:val="17"/>
                <w:lang w:eastAsia="en-US"/>
              </w:rPr>
              <w:t xml:space="preserve">October 2015 </w:t>
            </w:r>
            <w:r w:rsidR="00B02B67">
              <w:rPr>
                <w:rFonts w:asciiTheme="minorHAnsi" w:eastAsia="Times New Roman" w:hAnsiTheme="minorHAnsi"/>
                <w:iCs/>
                <w:szCs w:val="17"/>
                <w:lang w:eastAsia="en-US"/>
              </w:rPr>
              <w:t xml:space="preserve">and provides untagged financing to support Samoa’s implementation of its Education Sector Plan, which includes efforts to improve sector coordination and efficient allocation of resourcing and has a strong emphasis on improving the quality of its Education System.  </w:t>
            </w:r>
            <w:r>
              <w:rPr>
                <w:rFonts w:asciiTheme="minorHAnsi" w:eastAsia="Times New Roman" w:hAnsiTheme="minorHAnsi"/>
                <w:iCs/>
                <w:szCs w:val="17"/>
                <w:lang w:eastAsia="en-US"/>
              </w:rPr>
              <w:t>The program</w:t>
            </w:r>
            <w:r w:rsidR="00B02B67">
              <w:rPr>
                <w:rFonts w:asciiTheme="minorHAnsi" w:eastAsia="Times New Roman" w:hAnsiTheme="minorHAnsi"/>
                <w:iCs/>
                <w:szCs w:val="17"/>
                <w:lang w:eastAsia="en-US"/>
              </w:rPr>
              <w:t xml:space="preserve"> makes</w:t>
            </w:r>
            <w:r w:rsidR="00B02B67" w:rsidRPr="001533D4">
              <w:rPr>
                <w:rFonts w:asciiTheme="minorHAnsi" w:eastAsia="Times New Roman" w:hAnsiTheme="minorHAnsi"/>
                <w:iCs/>
                <w:szCs w:val="17"/>
                <w:lang w:eastAsia="en-US"/>
              </w:rPr>
              <w:t xml:space="preserve"> performance</w:t>
            </w:r>
            <w:r w:rsidR="003751AE" w:rsidRPr="001533D4">
              <w:rPr>
                <w:rFonts w:asciiTheme="minorHAnsi" w:eastAsia="Times New Roman" w:hAnsiTheme="minorHAnsi"/>
                <w:iCs/>
                <w:szCs w:val="17"/>
                <w:lang w:eastAsia="en-US"/>
              </w:rPr>
              <w:t xml:space="preserve"> linked payments based on independent verification of nine performance </w:t>
            </w:r>
            <w:r w:rsidR="00F213D1" w:rsidRPr="001533D4">
              <w:rPr>
                <w:rFonts w:asciiTheme="minorHAnsi" w:eastAsia="Times New Roman" w:hAnsiTheme="minorHAnsi"/>
                <w:iCs/>
                <w:szCs w:val="17"/>
                <w:lang w:eastAsia="en-US"/>
              </w:rPr>
              <w:t>indicators</w:t>
            </w:r>
            <w:r w:rsidR="00F213D1">
              <w:rPr>
                <w:rFonts w:asciiTheme="minorHAnsi" w:eastAsia="Times New Roman" w:hAnsiTheme="minorHAnsi"/>
                <w:iCs/>
                <w:szCs w:val="17"/>
                <w:lang w:eastAsia="en-US"/>
              </w:rPr>
              <w:t xml:space="preserve"> in an effort to focus efforts on improving the quality of the education system.  </w:t>
            </w:r>
          </w:p>
          <w:p w:rsidR="00976D23" w:rsidRPr="00642BAD" w:rsidRDefault="00976D23" w:rsidP="003751AE">
            <w:pPr>
              <w:keepLines/>
              <w:spacing w:before="40" w:after="40" w:line="200" w:lineRule="atLeast"/>
              <w:rPr>
                <w:rFonts w:asciiTheme="minorHAnsi" w:eastAsia="Times New Roman" w:hAnsiTheme="minorHAnsi"/>
                <w:iCs/>
                <w:szCs w:val="17"/>
                <w:lang w:eastAsia="en-US"/>
              </w:rPr>
            </w:pPr>
          </w:p>
          <w:p w:rsidR="003751AE" w:rsidRPr="003B0793" w:rsidRDefault="00F24E03" w:rsidP="00A3407E">
            <w:pPr>
              <w:keepLines/>
              <w:spacing w:before="40" w:after="40" w:line="200" w:lineRule="atLeast"/>
              <w:rPr>
                <w:rFonts w:asciiTheme="minorHAnsi" w:eastAsia="Times New Roman" w:hAnsiTheme="minorHAnsi"/>
                <w:iCs/>
                <w:color w:val="92D050"/>
                <w:szCs w:val="17"/>
                <w:lang w:eastAsia="en-US"/>
              </w:rPr>
            </w:pPr>
            <w:r>
              <w:rPr>
                <w:rFonts w:asciiTheme="minorHAnsi" w:eastAsia="Times New Roman" w:hAnsiTheme="minorHAnsi"/>
                <w:iCs/>
                <w:szCs w:val="17"/>
                <w:lang w:eastAsia="en-US"/>
              </w:rPr>
              <w:t xml:space="preserve">Australia Awards are aligned </w:t>
            </w:r>
            <w:r w:rsidR="008A619C">
              <w:rPr>
                <w:rFonts w:asciiTheme="minorHAnsi" w:eastAsia="Times New Roman" w:hAnsiTheme="minorHAnsi"/>
                <w:iCs/>
                <w:szCs w:val="17"/>
                <w:lang w:eastAsia="en-US"/>
              </w:rPr>
              <w:t xml:space="preserve">with </w:t>
            </w:r>
            <w:r>
              <w:rPr>
                <w:rFonts w:asciiTheme="minorHAnsi" w:eastAsia="Times New Roman" w:hAnsiTheme="minorHAnsi"/>
                <w:iCs/>
                <w:szCs w:val="17"/>
                <w:lang w:eastAsia="en-US"/>
              </w:rPr>
              <w:t xml:space="preserve">Samoa’s current Human Resource Development </w:t>
            </w:r>
            <w:r w:rsidR="005F5572">
              <w:rPr>
                <w:rFonts w:asciiTheme="minorHAnsi" w:eastAsia="Times New Roman" w:hAnsiTheme="minorHAnsi"/>
                <w:iCs/>
                <w:szCs w:val="17"/>
                <w:lang w:eastAsia="en-US"/>
              </w:rPr>
              <w:t>priorit</w:t>
            </w:r>
            <w:r w:rsidR="00CE2C66">
              <w:rPr>
                <w:rFonts w:asciiTheme="minorHAnsi" w:eastAsia="Times New Roman" w:hAnsiTheme="minorHAnsi"/>
                <w:iCs/>
                <w:szCs w:val="17"/>
                <w:lang w:eastAsia="en-US"/>
              </w:rPr>
              <w:t>i</w:t>
            </w:r>
            <w:r w:rsidR="005F5572">
              <w:rPr>
                <w:rFonts w:asciiTheme="minorHAnsi" w:eastAsia="Times New Roman" w:hAnsiTheme="minorHAnsi"/>
                <w:iCs/>
                <w:szCs w:val="17"/>
                <w:lang w:eastAsia="en-US"/>
              </w:rPr>
              <w:t>es</w:t>
            </w:r>
            <w:r w:rsidR="008A619C">
              <w:rPr>
                <w:rFonts w:asciiTheme="minorHAnsi" w:eastAsia="Times New Roman" w:hAnsiTheme="minorHAnsi"/>
                <w:iCs/>
                <w:szCs w:val="17"/>
                <w:lang w:eastAsia="en-US"/>
              </w:rPr>
              <w:t>.</w:t>
            </w:r>
            <w:r w:rsidR="005F5572">
              <w:rPr>
                <w:rFonts w:asciiTheme="minorHAnsi" w:eastAsia="Times New Roman" w:hAnsiTheme="minorHAnsi"/>
                <w:iCs/>
                <w:szCs w:val="17"/>
                <w:lang w:eastAsia="en-US"/>
              </w:rPr>
              <w:t xml:space="preserve"> </w:t>
            </w:r>
            <w:r w:rsidR="008A619C">
              <w:rPr>
                <w:rFonts w:asciiTheme="minorHAnsi" w:eastAsia="Times New Roman" w:hAnsiTheme="minorHAnsi"/>
                <w:iCs/>
                <w:szCs w:val="17"/>
                <w:lang w:eastAsia="en-US"/>
              </w:rPr>
              <w:t xml:space="preserve">They are </w:t>
            </w:r>
            <w:r w:rsidR="005F5572">
              <w:rPr>
                <w:rFonts w:asciiTheme="minorHAnsi" w:eastAsia="Times New Roman" w:hAnsiTheme="minorHAnsi"/>
                <w:iCs/>
                <w:szCs w:val="17"/>
                <w:lang w:eastAsia="en-US"/>
              </w:rPr>
              <w:t>provided by relevant sectors</w:t>
            </w:r>
            <w:r w:rsidR="008A619C">
              <w:rPr>
                <w:rFonts w:asciiTheme="minorHAnsi" w:eastAsia="Times New Roman" w:hAnsiTheme="minorHAnsi"/>
                <w:iCs/>
                <w:szCs w:val="17"/>
                <w:lang w:eastAsia="en-US"/>
              </w:rPr>
              <w:t xml:space="preserve">. </w:t>
            </w:r>
            <w:r w:rsidR="00A3407E">
              <w:rPr>
                <w:rFonts w:asciiTheme="minorHAnsi" w:eastAsia="Times New Roman" w:hAnsiTheme="minorHAnsi"/>
                <w:iCs/>
                <w:szCs w:val="17"/>
                <w:lang w:eastAsia="en-US"/>
              </w:rPr>
              <w:t xml:space="preserve"> </w:t>
            </w:r>
            <w:r w:rsidR="008A619C">
              <w:rPr>
                <w:rFonts w:asciiTheme="minorHAnsi" w:eastAsia="Times New Roman" w:hAnsiTheme="minorHAnsi"/>
                <w:iCs/>
                <w:szCs w:val="17"/>
                <w:lang w:eastAsia="en-US"/>
              </w:rPr>
              <w:t xml:space="preserve">A whole of government </w:t>
            </w:r>
            <w:r w:rsidR="003751AE">
              <w:rPr>
                <w:rFonts w:asciiTheme="minorHAnsi" w:eastAsia="Times New Roman" w:hAnsiTheme="minorHAnsi"/>
                <w:iCs/>
                <w:szCs w:val="17"/>
                <w:lang w:eastAsia="en-US"/>
              </w:rPr>
              <w:t xml:space="preserve">Human Resource Development Plan </w:t>
            </w:r>
            <w:r w:rsidR="008A619C">
              <w:rPr>
                <w:rFonts w:asciiTheme="minorHAnsi" w:eastAsia="Times New Roman" w:hAnsiTheme="minorHAnsi"/>
                <w:iCs/>
                <w:szCs w:val="17"/>
                <w:lang w:eastAsia="en-US"/>
              </w:rPr>
              <w:t>is not available</w:t>
            </w:r>
            <w:r w:rsidR="003751AE">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 The Annual perform</w:t>
            </w:r>
            <w:r w:rsidR="00A2095D">
              <w:rPr>
                <w:rFonts w:asciiTheme="minorHAnsi" w:eastAsia="Times New Roman" w:hAnsiTheme="minorHAnsi"/>
                <w:iCs/>
                <w:szCs w:val="17"/>
                <w:lang w:eastAsia="en-US"/>
              </w:rPr>
              <w:t xml:space="preserve">ance report for the </w:t>
            </w:r>
            <w:r w:rsidR="00F2083C">
              <w:rPr>
                <w:rFonts w:asciiTheme="minorHAnsi" w:eastAsia="Times New Roman" w:hAnsiTheme="minorHAnsi"/>
                <w:iCs/>
                <w:szCs w:val="17"/>
                <w:lang w:eastAsia="en-US"/>
              </w:rPr>
              <w:t xml:space="preserve">2015 </w:t>
            </w:r>
            <w:r w:rsidR="00A2095D">
              <w:rPr>
                <w:rFonts w:asciiTheme="minorHAnsi" w:eastAsia="Times New Roman" w:hAnsiTheme="minorHAnsi"/>
                <w:iCs/>
                <w:szCs w:val="17"/>
                <w:lang w:eastAsia="en-US"/>
              </w:rPr>
              <w:t xml:space="preserve">cohort informed allocations for 2016.   </w:t>
            </w:r>
            <w:r w:rsidR="00B04E4C">
              <w:rPr>
                <w:rFonts w:asciiTheme="minorHAnsi" w:eastAsia="Times New Roman" w:hAnsiTheme="minorHAnsi"/>
                <w:iCs/>
                <w:szCs w:val="17"/>
                <w:lang w:eastAsia="en-US"/>
              </w:rPr>
              <w:t xml:space="preserve">The </w:t>
            </w:r>
            <w:r w:rsidR="003751AE">
              <w:rPr>
                <w:rFonts w:asciiTheme="minorHAnsi" w:eastAsia="Times New Roman" w:hAnsiTheme="minorHAnsi"/>
                <w:iCs/>
                <w:szCs w:val="17"/>
                <w:lang w:eastAsia="en-US"/>
              </w:rPr>
              <w:t xml:space="preserve">Global Tracer Facility </w:t>
            </w:r>
            <w:r w:rsidR="00A3407E">
              <w:rPr>
                <w:rFonts w:asciiTheme="minorHAnsi" w:eastAsia="Times New Roman" w:hAnsiTheme="minorHAnsi"/>
                <w:iCs/>
                <w:szCs w:val="17"/>
                <w:lang w:eastAsia="en-US"/>
              </w:rPr>
              <w:t>is still in the process of being established by the Australian Awards and Alumni Branch so Samoa’s tracer study has not been undertaken yet.</w:t>
            </w:r>
            <w:r w:rsidR="003751AE">
              <w:rPr>
                <w:rFonts w:asciiTheme="minorHAnsi" w:eastAsia="Times New Roman" w:hAnsiTheme="minorHAnsi"/>
                <w:iCs/>
                <w:szCs w:val="17"/>
                <w:lang w:eastAsia="en-US"/>
              </w:rPr>
              <w:t xml:space="preserve">  </w:t>
            </w:r>
          </w:p>
        </w:tc>
      </w:tr>
      <w:tr w:rsidR="003751AE" w:rsidRPr="003B0793" w:rsidTr="00EE3BAC">
        <w:trPr>
          <w:cnfStyle w:val="000000010000" w:firstRow="0" w:lastRow="0" w:firstColumn="0" w:lastColumn="0" w:oddVBand="0" w:evenVBand="0" w:oddHBand="0" w:evenHBand="1" w:firstRowFirstColumn="0" w:firstRowLastColumn="0" w:lastRowFirstColumn="0" w:lastRowLastColumn="0"/>
          <w:trHeight w:val="739"/>
        </w:trPr>
        <w:tc>
          <w:tcPr>
            <w:tcW w:w="6285" w:type="dxa"/>
            <w:vMerge/>
            <w:vAlign w:val="center"/>
          </w:tcPr>
          <w:p w:rsidR="003751AE" w:rsidRDefault="003751AE" w:rsidP="0005798C">
            <w:pPr>
              <w:keepLines/>
              <w:spacing w:before="40" w:after="40" w:line="200" w:lineRule="atLeast"/>
              <w:rPr>
                <w:rFonts w:eastAsia="Times New Roman"/>
                <w:iCs/>
                <w:szCs w:val="17"/>
              </w:rPr>
            </w:pPr>
          </w:p>
        </w:tc>
        <w:tc>
          <w:tcPr>
            <w:tcW w:w="943" w:type="dxa"/>
            <w:shd w:val="clear" w:color="auto" w:fill="FF7415"/>
            <w:vAlign w:val="center"/>
          </w:tcPr>
          <w:p w:rsidR="003751AE" w:rsidRDefault="003751AE" w:rsidP="007E44F8">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Partly Achieved</w:t>
            </w:r>
          </w:p>
        </w:tc>
        <w:tc>
          <w:tcPr>
            <w:tcW w:w="6697" w:type="dxa"/>
            <w:vMerge/>
            <w:vAlign w:val="center"/>
          </w:tcPr>
          <w:p w:rsidR="003751AE" w:rsidRPr="001533D4" w:rsidRDefault="003751AE" w:rsidP="003751AE">
            <w:pPr>
              <w:keepLines/>
              <w:spacing w:before="40" w:after="40" w:line="200" w:lineRule="atLeast"/>
              <w:rPr>
                <w:rFonts w:eastAsia="Times New Roman"/>
                <w:iCs/>
                <w:szCs w:val="17"/>
              </w:rPr>
            </w:pPr>
          </w:p>
        </w:tc>
      </w:tr>
      <w:tr w:rsidR="00AF1B85"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vAlign w:val="center"/>
          </w:tcPr>
          <w:p w:rsidR="00AF1B85" w:rsidRPr="003B0793" w:rsidRDefault="004C6F3C" w:rsidP="0005798C">
            <w:pPr>
              <w:keepLines/>
              <w:spacing w:before="40" w:after="40" w:line="200" w:lineRule="atLeast"/>
              <w:rPr>
                <w:rFonts w:asciiTheme="minorHAnsi" w:eastAsia="Times New Roman" w:hAnsiTheme="minorHAnsi"/>
                <w:iCs/>
                <w:szCs w:val="17"/>
                <w:lang w:eastAsia="en-US"/>
              </w:rPr>
            </w:pPr>
            <w:r w:rsidRPr="004C6F3C">
              <w:rPr>
                <w:rFonts w:asciiTheme="minorHAnsi" w:eastAsia="Times New Roman" w:hAnsiTheme="minorHAnsi"/>
                <w:i/>
                <w:iCs/>
                <w:szCs w:val="17"/>
                <w:lang w:eastAsia="en-US"/>
              </w:rPr>
              <w:t>Gender:</w:t>
            </w:r>
            <w:r>
              <w:rPr>
                <w:rFonts w:asciiTheme="minorHAnsi" w:eastAsia="Times New Roman" w:hAnsiTheme="minorHAnsi"/>
                <w:iCs/>
                <w:szCs w:val="17"/>
                <w:lang w:eastAsia="en-US"/>
              </w:rPr>
              <w:t xml:space="preserve">  </w:t>
            </w:r>
            <w:r w:rsidR="0005798C">
              <w:rPr>
                <w:rFonts w:asciiTheme="minorHAnsi" w:eastAsia="Times New Roman" w:hAnsiTheme="minorHAnsi"/>
                <w:iCs/>
                <w:szCs w:val="17"/>
                <w:lang w:eastAsia="en-US"/>
              </w:rPr>
              <w:t>A gender advisor will provide ongoing support to Post and partners to ensure adequate focus on gender analysis across all interventions.</w:t>
            </w:r>
          </w:p>
        </w:tc>
        <w:tc>
          <w:tcPr>
            <w:tcW w:w="943" w:type="dxa"/>
            <w:shd w:val="clear" w:color="auto" w:fill="FF6600"/>
            <w:vAlign w:val="center"/>
          </w:tcPr>
          <w:p w:rsidR="005F5572" w:rsidRDefault="005F5572" w:rsidP="007E44F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w:t>
            </w:r>
          </w:p>
          <w:p w:rsidR="00AF1B85" w:rsidRPr="003B0793" w:rsidRDefault="00B42392" w:rsidP="007E44F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97" w:type="dxa"/>
            <w:vAlign w:val="center"/>
          </w:tcPr>
          <w:p w:rsidR="001533D4" w:rsidRDefault="001533D4" w:rsidP="003751AE">
            <w:pPr>
              <w:keepLines/>
              <w:spacing w:before="40" w:after="40" w:line="200" w:lineRule="atLeast"/>
              <w:rPr>
                <w:rFonts w:asciiTheme="minorHAnsi" w:eastAsia="Times New Roman" w:hAnsiTheme="minorHAnsi"/>
                <w:iCs/>
                <w:color w:val="409F68" w:themeColor="accent6"/>
                <w:szCs w:val="17"/>
                <w:lang w:eastAsia="en-US"/>
              </w:rPr>
            </w:pPr>
          </w:p>
          <w:p w:rsidR="00AF1B85" w:rsidRPr="00B42392" w:rsidRDefault="00B42392" w:rsidP="003751A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 gender</w:t>
            </w:r>
            <w:r w:rsidR="0005798C" w:rsidRPr="00B42392">
              <w:rPr>
                <w:rFonts w:asciiTheme="minorHAnsi" w:eastAsia="Times New Roman" w:hAnsiTheme="minorHAnsi"/>
                <w:iCs/>
                <w:szCs w:val="17"/>
                <w:lang w:eastAsia="en-US"/>
              </w:rPr>
              <w:t xml:space="preserve"> adviser </w:t>
            </w:r>
            <w:r>
              <w:rPr>
                <w:rFonts w:asciiTheme="minorHAnsi" w:eastAsia="Times New Roman" w:hAnsiTheme="minorHAnsi"/>
                <w:iCs/>
                <w:szCs w:val="17"/>
                <w:lang w:eastAsia="en-US"/>
              </w:rPr>
              <w:t xml:space="preserve">was recruited and </w:t>
            </w:r>
            <w:r w:rsidR="0005798C" w:rsidRPr="00B42392">
              <w:rPr>
                <w:rFonts w:asciiTheme="minorHAnsi" w:eastAsia="Times New Roman" w:hAnsiTheme="minorHAnsi"/>
                <w:iCs/>
                <w:szCs w:val="17"/>
                <w:lang w:eastAsia="en-US"/>
              </w:rPr>
              <w:t xml:space="preserve">commenced </w:t>
            </w:r>
            <w:r w:rsidR="00B04E4C">
              <w:rPr>
                <w:rFonts w:asciiTheme="minorHAnsi" w:eastAsia="Times New Roman" w:hAnsiTheme="minorHAnsi"/>
                <w:iCs/>
                <w:szCs w:val="17"/>
                <w:lang w:eastAsia="en-US"/>
              </w:rPr>
              <w:t>in</w:t>
            </w:r>
            <w:r w:rsidR="0005798C" w:rsidRPr="00B42392">
              <w:rPr>
                <w:rFonts w:asciiTheme="minorHAnsi" w:eastAsia="Times New Roman" w:hAnsiTheme="minorHAnsi"/>
                <w:iCs/>
                <w:szCs w:val="17"/>
                <w:lang w:eastAsia="en-US"/>
              </w:rPr>
              <w:t xml:space="preserve"> November 2015. </w:t>
            </w:r>
            <w:r>
              <w:rPr>
                <w:rFonts w:asciiTheme="minorHAnsi" w:eastAsia="Times New Roman" w:hAnsiTheme="minorHAnsi"/>
                <w:iCs/>
                <w:szCs w:val="17"/>
                <w:lang w:eastAsia="en-US"/>
              </w:rPr>
              <w:t>The G</w:t>
            </w:r>
            <w:r w:rsidR="0005798C" w:rsidRPr="00B42392">
              <w:rPr>
                <w:rFonts w:asciiTheme="minorHAnsi" w:eastAsia="Times New Roman" w:hAnsiTheme="minorHAnsi"/>
                <w:iCs/>
                <w:szCs w:val="17"/>
                <w:lang w:eastAsia="en-US"/>
              </w:rPr>
              <w:t xml:space="preserve">ender adviser’s time has </w:t>
            </w:r>
            <w:r>
              <w:rPr>
                <w:rFonts w:asciiTheme="minorHAnsi" w:eastAsia="Times New Roman" w:hAnsiTheme="minorHAnsi"/>
                <w:iCs/>
                <w:szCs w:val="17"/>
                <w:lang w:eastAsia="en-US"/>
              </w:rPr>
              <w:t>largely been to support the Ministry of Women, Community and Social Development</w:t>
            </w:r>
            <w:r w:rsidR="00976D23">
              <w:rPr>
                <w:rFonts w:asciiTheme="minorHAnsi" w:eastAsia="Times New Roman" w:hAnsiTheme="minorHAnsi"/>
                <w:iCs/>
                <w:szCs w:val="17"/>
                <w:lang w:eastAsia="en-US"/>
              </w:rPr>
              <w:t xml:space="preserve"> so the provision of gender analysis across all programs is not yet fully achieved.</w:t>
            </w:r>
          </w:p>
          <w:p w:rsidR="0005798C" w:rsidRPr="003B0793" w:rsidRDefault="0005798C" w:rsidP="003751AE">
            <w:pPr>
              <w:keepLines/>
              <w:spacing w:before="40" w:after="40" w:line="200" w:lineRule="atLeast"/>
              <w:rPr>
                <w:rFonts w:asciiTheme="minorHAnsi" w:eastAsia="Times New Roman" w:hAnsiTheme="minorHAnsi"/>
                <w:iCs/>
                <w:color w:val="409F68" w:themeColor="accent6"/>
                <w:szCs w:val="17"/>
                <w:lang w:eastAsia="en-US"/>
              </w:rPr>
            </w:pPr>
          </w:p>
        </w:tc>
      </w:tr>
    </w:tbl>
    <w:p w:rsidR="00EE3BAC" w:rsidRDefault="00EE3BAC">
      <w:r>
        <w:br w:type="page"/>
      </w:r>
    </w:p>
    <w:tbl>
      <w:tblPr>
        <w:tblStyle w:val="APPR"/>
        <w:tblpPr w:leftFromText="180" w:rightFromText="180" w:vertAnchor="text" w:tblpY="1"/>
        <w:tblW w:w="5000" w:type="pct"/>
        <w:tblLayout w:type="fixed"/>
        <w:tblLook w:val="0000" w:firstRow="0" w:lastRow="0" w:firstColumn="0" w:lastColumn="0" w:noHBand="0" w:noVBand="0"/>
      </w:tblPr>
      <w:tblGrid>
        <w:gridCol w:w="6327"/>
        <w:gridCol w:w="971"/>
        <w:gridCol w:w="6739"/>
      </w:tblGrid>
      <w:tr w:rsidR="00AF1B85"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tcPr>
          <w:p w:rsidR="00AF1B85" w:rsidRPr="003B0793" w:rsidRDefault="0005798C" w:rsidP="00D15A00">
            <w:pPr>
              <w:keepLines/>
              <w:spacing w:before="40" w:after="40" w:line="200" w:lineRule="atLeast"/>
              <w:rPr>
                <w:rFonts w:asciiTheme="minorHAnsi" w:eastAsia="Times New Roman" w:hAnsiTheme="minorHAnsi"/>
                <w:iCs/>
                <w:szCs w:val="17"/>
                <w:lang w:eastAsia="en-US"/>
              </w:rPr>
            </w:pPr>
            <w:r w:rsidRPr="004C6F3C">
              <w:rPr>
                <w:rFonts w:asciiTheme="minorHAnsi" w:eastAsia="Times New Roman" w:hAnsiTheme="minorHAnsi"/>
                <w:i/>
                <w:iCs/>
                <w:szCs w:val="17"/>
                <w:lang w:eastAsia="en-US"/>
              </w:rPr>
              <w:lastRenderedPageBreak/>
              <w:t>Public Financial Management and Procurement</w:t>
            </w:r>
            <w:r>
              <w:rPr>
                <w:rFonts w:asciiTheme="minorHAnsi" w:eastAsia="Times New Roman" w:hAnsiTheme="minorHAnsi"/>
                <w:iCs/>
                <w:szCs w:val="17"/>
                <w:lang w:eastAsia="en-US"/>
              </w:rPr>
              <w:t>: We will continue to assist the Samoa Government to strengthen the capacity to manage aid initiatives particularly in Public Financial Management and Procurement</w:t>
            </w:r>
          </w:p>
        </w:tc>
        <w:tc>
          <w:tcPr>
            <w:tcW w:w="943" w:type="dxa"/>
            <w:shd w:val="clear" w:color="auto" w:fill="92D050"/>
            <w:vAlign w:val="center"/>
          </w:tcPr>
          <w:p w:rsidR="00AF1B85" w:rsidRPr="003B0793" w:rsidRDefault="0005798C" w:rsidP="007E44F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97" w:type="dxa"/>
            <w:vAlign w:val="center"/>
          </w:tcPr>
          <w:p w:rsidR="00AF1B85" w:rsidRPr="003B0793" w:rsidRDefault="00B42392" w:rsidP="00CE2C66">
            <w:pPr>
              <w:keepLines/>
              <w:spacing w:before="40" w:after="40" w:line="200" w:lineRule="atLeast"/>
              <w:rPr>
                <w:rFonts w:asciiTheme="minorHAnsi" w:eastAsia="Times New Roman" w:hAnsiTheme="minorHAnsi"/>
                <w:iCs/>
                <w:color w:val="409F68" w:themeColor="accent6"/>
                <w:szCs w:val="17"/>
                <w:lang w:eastAsia="en-US"/>
              </w:rPr>
            </w:pPr>
            <w:r>
              <w:rPr>
                <w:rFonts w:asciiTheme="minorHAnsi" w:eastAsia="Times New Roman" w:hAnsiTheme="minorHAnsi"/>
                <w:iCs/>
                <w:szCs w:val="17"/>
                <w:lang w:eastAsia="en-US"/>
              </w:rPr>
              <w:t xml:space="preserve">Assistance has been provided </w:t>
            </w:r>
            <w:r w:rsidR="00CE2C66">
              <w:rPr>
                <w:rFonts w:asciiTheme="minorHAnsi" w:eastAsia="Times New Roman" w:hAnsiTheme="minorHAnsi"/>
                <w:iCs/>
                <w:szCs w:val="17"/>
                <w:lang w:eastAsia="en-US"/>
              </w:rPr>
              <w:t xml:space="preserve">to strengthen </w:t>
            </w:r>
            <w:r>
              <w:rPr>
                <w:rFonts w:asciiTheme="minorHAnsi" w:eastAsia="Times New Roman" w:hAnsiTheme="minorHAnsi"/>
                <w:iCs/>
                <w:szCs w:val="17"/>
                <w:lang w:eastAsia="en-US"/>
              </w:rPr>
              <w:t xml:space="preserve">areas </w:t>
            </w:r>
            <w:r w:rsidR="00CE2C66">
              <w:rPr>
                <w:rFonts w:asciiTheme="minorHAnsi" w:eastAsia="Times New Roman" w:hAnsiTheme="minorHAnsi"/>
                <w:iCs/>
                <w:szCs w:val="17"/>
                <w:lang w:eastAsia="en-US"/>
              </w:rPr>
              <w:t xml:space="preserve">such as </w:t>
            </w:r>
            <w:r>
              <w:rPr>
                <w:rFonts w:asciiTheme="minorHAnsi" w:eastAsia="Times New Roman" w:hAnsiTheme="minorHAnsi"/>
                <w:iCs/>
                <w:szCs w:val="17"/>
                <w:lang w:eastAsia="en-US"/>
              </w:rPr>
              <w:t>procurement and public financial management over the past year.</w:t>
            </w:r>
          </w:p>
        </w:tc>
      </w:tr>
      <w:tr w:rsidR="00FB5819"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tcPr>
          <w:p w:rsidR="00FB5819" w:rsidRDefault="00FB5819" w:rsidP="00D15A00">
            <w:pPr>
              <w:keepLines/>
              <w:spacing w:before="40" w:after="40" w:line="200" w:lineRule="atLeast"/>
              <w:rPr>
                <w:rFonts w:eastAsia="Times New Roman"/>
                <w:iCs/>
                <w:szCs w:val="17"/>
              </w:rPr>
            </w:pPr>
            <w:r w:rsidRPr="00B42392">
              <w:rPr>
                <w:rFonts w:asciiTheme="minorHAnsi" w:eastAsia="Times New Roman" w:hAnsiTheme="minorHAnsi"/>
                <w:iCs/>
                <w:szCs w:val="17"/>
                <w:lang w:eastAsia="en-US"/>
              </w:rPr>
              <w:t>We will recruit an infrastructure management specialist to advise the health sector and DFAT to ensure quality and timeliness of construction for remaining SWAp infrastructure.  We will consolidate our health investments under a new health sector support program to be developed in early 2016.</w:t>
            </w:r>
          </w:p>
        </w:tc>
        <w:tc>
          <w:tcPr>
            <w:tcW w:w="943" w:type="dxa"/>
            <w:shd w:val="clear" w:color="auto" w:fill="92D050"/>
            <w:vAlign w:val="center"/>
          </w:tcPr>
          <w:p w:rsidR="00FB5819" w:rsidRPr="003B0793" w:rsidDel="0005798C" w:rsidRDefault="00B42392" w:rsidP="007E44F8">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697" w:type="dxa"/>
            <w:vAlign w:val="center"/>
          </w:tcPr>
          <w:p w:rsidR="00FB5819" w:rsidRDefault="00B42392" w:rsidP="00B04E4C">
            <w:pPr>
              <w:keepLines/>
              <w:spacing w:before="40" w:after="40" w:line="200" w:lineRule="atLeast"/>
              <w:rPr>
                <w:rFonts w:eastAsia="Times New Roman"/>
                <w:iCs/>
                <w:color w:val="409F68" w:themeColor="accent6"/>
                <w:szCs w:val="17"/>
              </w:rPr>
            </w:pPr>
            <w:r>
              <w:rPr>
                <w:rFonts w:asciiTheme="minorHAnsi" w:eastAsia="Times New Roman" w:hAnsiTheme="minorHAnsi"/>
                <w:iCs/>
                <w:szCs w:val="17"/>
                <w:lang w:eastAsia="en-US"/>
              </w:rPr>
              <w:t xml:space="preserve">A </w:t>
            </w:r>
            <w:r w:rsidR="00FB5819" w:rsidRPr="00B42392">
              <w:rPr>
                <w:rFonts w:asciiTheme="minorHAnsi" w:eastAsia="Times New Roman" w:hAnsiTheme="minorHAnsi"/>
                <w:iCs/>
                <w:szCs w:val="17"/>
                <w:lang w:eastAsia="en-US"/>
              </w:rPr>
              <w:t xml:space="preserve">Health Infrastructure management specialist </w:t>
            </w:r>
            <w:r w:rsidR="00B04E4C">
              <w:rPr>
                <w:rFonts w:asciiTheme="minorHAnsi" w:eastAsia="Times New Roman" w:hAnsiTheme="minorHAnsi"/>
                <w:iCs/>
                <w:szCs w:val="17"/>
                <w:lang w:eastAsia="en-US"/>
              </w:rPr>
              <w:t>undertook</w:t>
            </w:r>
            <w:r w:rsidR="00F43E09">
              <w:rPr>
                <w:rFonts w:asciiTheme="minorHAnsi" w:eastAsia="Times New Roman" w:hAnsiTheme="minorHAnsi"/>
                <w:iCs/>
                <w:szCs w:val="17"/>
                <w:lang w:eastAsia="en-US"/>
              </w:rPr>
              <w:t xml:space="preserve"> two</w:t>
            </w:r>
            <w:r w:rsidR="00FB5819" w:rsidRPr="00B42392">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review visits </w:t>
            </w:r>
            <w:r w:rsidR="00B04E4C">
              <w:rPr>
                <w:rFonts w:asciiTheme="minorHAnsi" w:eastAsia="Times New Roman" w:hAnsiTheme="minorHAnsi"/>
                <w:iCs/>
                <w:szCs w:val="17"/>
                <w:lang w:eastAsia="en-US"/>
              </w:rPr>
              <w:t xml:space="preserve">in </w:t>
            </w:r>
            <w:r>
              <w:rPr>
                <w:rFonts w:asciiTheme="minorHAnsi" w:eastAsia="Times New Roman" w:hAnsiTheme="minorHAnsi"/>
                <w:iCs/>
                <w:szCs w:val="17"/>
                <w:lang w:eastAsia="en-US"/>
              </w:rPr>
              <w:t xml:space="preserve">2015-16 </w:t>
            </w:r>
            <w:r w:rsidR="00FB5819" w:rsidRPr="00B42392">
              <w:rPr>
                <w:rFonts w:asciiTheme="minorHAnsi" w:eastAsia="Times New Roman" w:hAnsiTheme="minorHAnsi"/>
                <w:iCs/>
                <w:szCs w:val="17"/>
                <w:lang w:eastAsia="en-US"/>
              </w:rPr>
              <w:t xml:space="preserve">and </w:t>
            </w:r>
            <w:r w:rsidR="00B04E4C">
              <w:rPr>
                <w:rFonts w:asciiTheme="minorHAnsi" w:eastAsia="Times New Roman" w:hAnsiTheme="minorHAnsi"/>
                <w:iCs/>
                <w:szCs w:val="17"/>
                <w:lang w:eastAsia="en-US"/>
              </w:rPr>
              <w:t>R</w:t>
            </w:r>
            <w:r w:rsidR="00FB5819" w:rsidRPr="00B42392">
              <w:rPr>
                <w:rFonts w:asciiTheme="minorHAnsi" w:eastAsia="Times New Roman" w:hAnsiTheme="minorHAnsi"/>
                <w:iCs/>
                <w:szCs w:val="17"/>
                <w:lang w:eastAsia="en-US"/>
              </w:rPr>
              <w:t xml:space="preserve">ecommendations </w:t>
            </w:r>
            <w:r w:rsidR="00B04E4C">
              <w:rPr>
                <w:rFonts w:asciiTheme="minorHAnsi" w:eastAsia="Times New Roman" w:hAnsiTheme="minorHAnsi"/>
                <w:iCs/>
                <w:szCs w:val="17"/>
                <w:lang w:eastAsia="en-US"/>
              </w:rPr>
              <w:t>were</w:t>
            </w:r>
            <w:r w:rsidR="00FB5819" w:rsidRPr="00B42392">
              <w:rPr>
                <w:rFonts w:asciiTheme="minorHAnsi" w:eastAsia="Times New Roman" w:hAnsiTheme="minorHAnsi"/>
                <w:iCs/>
                <w:szCs w:val="17"/>
                <w:lang w:eastAsia="en-US"/>
              </w:rPr>
              <w:t xml:space="preserve"> forwarded to the sector.</w:t>
            </w:r>
            <w:r>
              <w:rPr>
                <w:rFonts w:asciiTheme="minorHAnsi" w:eastAsia="Times New Roman" w:hAnsiTheme="minorHAnsi"/>
                <w:iCs/>
                <w:szCs w:val="17"/>
                <w:lang w:eastAsia="en-US"/>
              </w:rPr>
              <w:t xml:space="preserve">  The design of a new health sector support program has taken place with the new program expected to fully commence by January 2017.</w:t>
            </w:r>
          </w:p>
        </w:tc>
      </w:tr>
      <w:tr w:rsidR="00FB5819" w:rsidRPr="003B0793" w:rsidTr="00EE3BAC">
        <w:trPr>
          <w:cnfStyle w:val="000000010000" w:firstRow="0" w:lastRow="0" w:firstColumn="0" w:lastColumn="0" w:oddVBand="0" w:evenVBand="0" w:oddHBand="0" w:evenHBand="1" w:firstRowFirstColumn="0" w:firstRowLastColumn="0" w:lastRowFirstColumn="0" w:lastRowLastColumn="0"/>
        </w:trPr>
        <w:tc>
          <w:tcPr>
            <w:tcW w:w="6285" w:type="dxa"/>
          </w:tcPr>
          <w:p w:rsidR="00FB5819" w:rsidRDefault="00665577" w:rsidP="00D15A00">
            <w:pPr>
              <w:keepLines/>
              <w:spacing w:before="40" w:after="40" w:line="200" w:lineRule="atLeast"/>
              <w:rPr>
                <w:rFonts w:eastAsia="Times New Roman"/>
                <w:iCs/>
                <w:szCs w:val="17"/>
              </w:rPr>
            </w:pPr>
            <w:r w:rsidRPr="00665577">
              <w:rPr>
                <w:rFonts w:asciiTheme="minorHAnsi" w:eastAsia="Times New Roman" w:hAnsiTheme="minorHAnsi"/>
                <w:i/>
                <w:iCs/>
                <w:szCs w:val="17"/>
                <w:lang w:eastAsia="en-US"/>
              </w:rPr>
              <w:t>Consolidation of Posts Programs:</w:t>
            </w:r>
            <w:r>
              <w:rPr>
                <w:rFonts w:asciiTheme="minorHAnsi" w:eastAsia="Times New Roman" w:hAnsiTheme="minorHAnsi"/>
                <w:iCs/>
                <w:szCs w:val="17"/>
                <w:lang w:eastAsia="en-US"/>
              </w:rPr>
              <w:t xml:space="preserve">  </w:t>
            </w:r>
            <w:r w:rsidR="00FB5819" w:rsidRPr="00333A3C">
              <w:rPr>
                <w:rFonts w:asciiTheme="minorHAnsi" w:eastAsia="Times New Roman" w:hAnsiTheme="minorHAnsi"/>
                <w:iCs/>
                <w:szCs w:val="17"/>
                <w:lang w:eastAsia="en-US"/>
              </w:rPr>
              <w:t>A focus of 2015-16 will be closing and reviewing investments which have ended, and consolidating our aid investments to maximise the impact and efficiency of our aid.</w:t>
            </w:r>
          </w:p>
        </w:tc>
        <w:tc>
          <w:tcPr>
            <w:tcW w:w="943" w:type="dxa"/>
            <w:tcBorders>
              <w:bottom w:val="single" w:sz="12" w:space="0" w:color="000000" w:themeColor="text1"/>
            </w:tcBorders>
            <w:shd w:val="clear" w:color="auto" w:fill="92D050"/>
            <w:vAlign w:val="center"/>
          </w:tcPr>
          <w:p w:rsidR="00FB5819" w:rsidRDefault="00333A3C" w:rsidP="007E44F8">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697" w:type="dxa"/>
          </w:tcPr>
          <w:p w:rsidR="00FB5819" w:rsidRDefault="000202D8" w:rsidP="000202D8">
            <w:pPr>
              <w:keepLines/>
              <w:spacing w:before="40" w:after="40" w:line="200" w:lineRule="atLeast"/>
              <w:rPr>
                <w:rFonts w:eastAsia="Times New Roman"/>
                <w:iCs/>
                <w:color w:val="409F68" w:themeColor="accent6"/>
                <w:szCs w:val="17"/>
              </w:rPr>
            </w:pPr>
            <w:r>
              <w:rPr>
                <w:rFonts w:asciiTheme="minorHAnsi" w:eastAsia="Times New Roman" w:hAnsiTheme="minorHAnsi"/>
                <w:iCs/>
                <w:szCs w:val="17"/>
                <w:lang w:eastAsia="en-US"/>
              </w:rPr>
              <w:t>Seven</w:t>
            </w:r>
            <w:r w:rsidR="00B04E4C" w:rsidRPr="00B04E4C">
              <w:rPr>
                <w:rFonts w:asciiTheme="minorHAnsi" w:eastAsia="Times New Roman" w:hAnsiTheme="minorHAnsi"/>
                <w:iCs/>
                <w:szCs w:val="17"/>
                <w:lang w:eastAsia="en-US"/>
              </w:rPr>
              <w:t xml:space="preserve"> initiatives </w:t>
            </w:r>
            <w:r>
              <w:rPr>
                <w:rFonts w:asciiTheme="minorHAnsi" w:eastAsia="Times New Roman" w:hAnsiTheme="minorHAnsi"/>
                <w:iCs/>
                <w:szCs w:val="17"/>
                <w:lang w:eastAsia="en-US"/>
              </w:rPr>
              <w:t>were closed during the reporting period.</w:t>
            </w:r>
          </w:p>
        </w:tc>
      </w:tr>
    </w:tbl>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Achieved.  Significant progress has been made in addressing the issue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Partly achieved.  Some progress has been made in addressing the issue, but the issue has not been resolved </w:t>
      </w:r>
    </w:p>
    <w:p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976D23">
          <w:headerReference w:type="default" r:id="rId16"/>
          <w:headerReference w:type="first" r:id="rId17"/>
          <w:pgSz w:w="16838" w:h="11906" w:orient="landscape" w:code="9"/>
          <w:pgMar w:top="1134" w:right="1950" w:bottom="1134" w:left="851" w:header="1106" w:footer="567" w:gutter="0"/>
          <w:cols w:space="397"/>
          <w:titlePg/>
          <w:docGrid w:linePitch="360"/>
        </w:sectPr>
      </w:pPr>
    </w:p>
    <w:p w:rsidR="00AF1B85" w:rsidRPr="00A8197B" w:rsidRDefault="00AF1B85" w:rsidP="005E606B">
      <w:pPr>
        <w:pStyle w:val="Subtitle"/>
      </w:pPr>
      <w:r w:rsidRPr="00A8197B">
        <w:lastRenderedPageBreak/>
        <w:t>Annex B - Evaluation Planning</w:t>
      </w:r>
    </w:p>
    <w:p w:rsidR="00AF1B85" w:rsidRPr="003B0793" w:rsidRDefault="00AF1B85" w:rsidP="003B0793">
      <w:pPr>
        <w:pStyle w:val="Caption"/>
        <w:rPr>
          <w:sz w:val="24"/>
        </w:rPr>
      </w:pPr>
      <w:r w:rsidRPr="003B0793">
        <w:rPr>
          <w:sz w:val="24"/>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 xml:space="preserve">Investment number and name </w:t>
            </w:r>
          </w:p>
          <w:p w:rsidR="00AF1B85" w:rsidRPr="003B0793" w:rsidRDefault="00AF1B85" w:rsidP="00D15A00">
            <w:pPr>
              <w:keepLines/>
              <w:spacing w:line="200" w:lineRule="atLeast"/>
              <w:rPr>
                <w:rFonts w:asciiTheme="minorHAnsi" w:eastAsia="Times New Roman" w:hAnsiTheme="minorHAnsi"/>
                <w:b w:val="0"/>
                <w:iCs/>
                <w:szCs w:val="17"/>
                <w:lang w:eastAsia="en-US"/>
              </w:rPr>
            </w:pPr>
            <w:r w:rsidRPr="003B0793">
              <w:rPr>
                <w:rFonts w:asciiTheme="minorHAnsi" w:eastAsia="Times New Roman" w:hAnsiTheme="minorHAnsi"/>
                <w:iCs/>
                <w:szCs w:val="17"/>
                <w:lang w:eastAsia="en-US"/>
              </w:rPr>
              <w:t xml:space="preserve">(if applicable) </w:t>
            </w:r>
          </w:p>
        </w:tc>
        <w:tc>
          <w:tcPr>
            <w:tcW w:w="3665"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Name of evaluation</w:t>
            </w:r>
          </w:p>
        </w:tc>
        <w:tc>
          <w:tcPr>
            <w:tcW w:w="1397"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completed</w:t>
            </w:r>
          </w:p>
        </w:tc>
        <w:tc>
          <w:tcPr>
            <w:tcW w:w="1953"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Evaluation report Uploaded into AidWorks</w:t>
            </w:r>
          </w:p>
        </w:tc>
        <w:tc>
          <w:tcPr>
            <w:tcW w:w="1671"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Management response uploaded into AidWorks</w:t>
            </w:r>
          </w:p>
        </w:tc>
        <w:tc>
          <w:tcPr>
            <w:tcW w:w="2365"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INH405 Samoa Law and Justice Sector Program</w:t>
            </w: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A83B28"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INJ405 Samoa School Fees Grant Scheme</w:t>
            </w: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A83B28"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ING471 Samoa ESPII Implementation</w:t>
            </w: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F43E09" w:rsidRDefault="00F43E09" w:rsidP="00D15A00">
            <w:pPr>
              <w:keepLines/>
              <w:spacing w:before="40" w:after="40" w:line="200" w:lineRule="atLeast"/>
              <w:rPr>
                <w:rFonts w:asciiTheme="minorHAnsi" w:eastAsia="Times New Roman" w:hAnsiTheme="minorHAnsi"/>
                <w:b w:val="0"/>
                <w:iCs/>
                <w:szCs w:val="17"/>
                <w:lang w:eastAsia="en-US"/>
              </w:rPr>
            </w:pPr>
          </w:p>
          <w:p w:rsidR="00F43E09" w:rsidRPr="003B0793" w:rsidRDefault="00F43E09"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INH720 Samoa Health Initiative                                            </w:t>
            </w:r>
          </w:p>
        </w:tc>
        <w:tc>
          <w:tcPr>
            <w:tcW w:w="3665" w:type="dxa"/>
          </w:tcPr>
          <w:p w:rsidR="00AF1B85"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Law and Justice Independent Evaluation</w:t>
            </w:r>
          </w:p>
          <w:p w:rsidR="00F43E09" w:rsidRDefault="00F43E09" w:rsidP="00D15A00">
            <w:pPr>
              <w:keepLines/>
              <w:spacing w:before="40" w:after="40" w:line="200" w:lineRule="atLeast"/>
              <w:rPr>
                <w:rFonts w:asciiTheme="minorHAnsi" w:eastAsia="Times New Roman" w:hAnsiTheme="minorHAnsi"/>
                <w:b w:val="0"/>
                <w:iCs/>
                <w:szCs w:val="17"/>
                <w:lang w:eastAsia="en-US"/>
              </w:rPr>
            </w:pPr>
          </w:p>
          <w:p w:rsidR="00F43E09" w:rsidRDefault="00F43E09" w:rsidP="00D15A00">
            <w:pPr>
              <w:keepLines/>
              <w:spacing w:before="40" w:after="40" w:line="200" w:lineRule="atLeast"/>
              <w:rPr>
                <w:rFonts w:asciiTheme="minorHAnsi" w:eastAsia="Times New Roman" w:hAnsiTheme="minorHAnsi"/>
                <w:b w:val="0"/>
                <w:iCs/>
                <w:szCs w:val="17"/>
                <w:lang w:eastAsia="en-US"/>
              </w:rPr>
            </w:pPr>
          </w:p>
          <w:p w:rsidR="00F43E09" w:rsidRDefault="007C4CEB"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End of Program Evaluation Samoa (Primary) School Fees Grant Scheme</w:t>
            </w:r>
          </w:p>
          <w:p w:rsidR="00F43E09" w:rsidRDefault="007C4CEB"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ADB Completion Report: Samoa: Education Sector Project II June 2016</w:t>
            </w:r>
          </w:p>
          <w:p w:rsidR="00F43E09" w:rsidRDefault="00F43E09" w:rsidP="00D15A00">
            <w:pPr>
              <w:keepLines/>
              <w:spacing w:before="40" w:after="40" w:line="200" w:lineRule="atLeast"/>
              <w:rPr>
                <w:rFonts w:asciiTheme="minorHAnsi" w:eastAsia="Times New Roman" w:hAnsiTheme="minorHAnsi"/>
                <w:b w:val="0"/>
                <w:iCs/>
                <w:szCs w:val="17"/>
                <w:lang w:eastAsia="en-US"/>
              </w:rPr>
            </w:pPr>
          </w:p>
          <w:p w:rsidR="00F43E09" w:rsidRPr="003B0793" w:rsidRDefault="00F43E09"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Final SWAp Evaluation  led by the World Bank</w:t>
            </w:r>
          </w:p>
        </w:tc>
        <w:tc>
          <w:tcPr>
            <w:tcW w:w="1397" w:type="dxa"/>
          </w:tcPr>
          <w:p w:rsidR="00AF1B85"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 April 2016</w:t>
            </w: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A83B28"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22 January 2016</w:t>
            </w:r>
          </w:p>
          <w:p w:rsidR="00C06E92" w:rsidRDefault="00C06E92" w:rsidP="00D15A00">
            <w:pPr>
              <w:keepLines/>
              <w:spacing w:before="40" w:after="40" w:line="200" w:lineRule="atLeast"/>
              <w:rPr>
                <w:rFonts w:asciiTheme="minorHAnsi" w:eastAsia="Times New Roman" w:hAnsiTheme="minorHAnsi"/>
                <w:b w:val="0"/>
                <w:iCs/>
                <w:szCs w:val="17"/>
                <w:lang w:eastAsia="en-US"/>
              </w:rPr>
            </w:pPr>
          </w:p>
          <w:p w:rsidR="00C06E92" w:rsidRDefault="00C06E92" w:rsidP="00FC1455">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17 July 2015 </w:t>
            </w:r>
          </w:p>
          <w:p w:rsidR="00F43E09" w:rsidRDefault="00F43E09" w:rsidP="00FC1455">
            <w:pPr>
              <w:keepLines/>
              <w:spacing w:before="40" w:after="40" w:line="200" w:lineRule="atLeast"/>
              <w:rPr>
                <w:rFonts w:asciiTheme="minorHAnsi" w:eastAsia="Times New Roman" w:hAnsiTheme="minorHAnsi"/>
                <w:b w:val="0"/>
                <w:iCs/>
                <w:szCs w:val="17"/>
                <w:lang w:eastAsia="en-US"/>
              </w:rPr>
            </w:pPr>
          </w:p>
          <w:p w:rsidR="00F43E09" w:rsidRDefault="00F43E09" w:rsidP="00FC1455">
            <w:pPr>
              <w:keepLines/>
              <w:spacing w:before="40" w:after="40" w:line="200" w:lineRule="atLeast"/>
              <w:rPr>
                <w:rFonts w:asciiTheme="minorHAnsi" w:eastAsia="Times New Roman" w:hAnsiTheme="minorHAnsi"/>
                <w:b w:val="0"/>
                <w:iCs/>
                <w:szCs w:val="17"/>
                <w:lang w:eastAsia="en-US"/>
              </w:rPr>
            </w:pPr>
          </w:p>
          <w:p w:rsidR="00F43E09" w:rsidRPr="003B0793" w:rsidRDefault="00F43E09" w:rsidP="00FC1455">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17 March 2016</w:t>
            </w:r>
          </w:p>
        </w:tc>
        <w:tc>
          <w:tcPr>
            <w:tcW w:w="1953" w:type="dxa"/>
          </w:tcPr>
          <w:p w:rsidR="00AF1B85"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29 April 2016</w:t>
            </w: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A83B28" w:rsidRDefault="00A83B28" w:rsidP="00D15A00">
            <w:pPr>
              <w:keepLines/>
              <w:spacing w:before="40" w:after="40" w:line="200" w:lineRule="atLeast"/>
              <w:rPr>
                <w:rFonts w:asciiTheme="minorHAnsi" w:eastAsia="Times New Roman" w:hAnsiTheme="minorHAnsi"/>
                <w:b w:val="0"/>
                <w:iCs/>
                <w:szCs w:val="17"/>
                <w:lang w:eastAsia="en-US"/>
              </w:rPr>
            </w:pPr>
          </w:p>
          <w:p w:rsidR="00A83B28" w:rsidRDefault="00A83B28"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22 March 2016</w:t>
            </w:r>
          </w:p>
          <w:p w:rsidR="00C06E92" w:rsidRDefault="00C06E92" w:rsidP="00D15A00">
            <w:pPr>
              <w:keepLines/>
              <w:spacing w:before="40" w:after="40" w:line="200" w:lineRule="atLeast"/>
              <w:rPr>
                <w:rFonts w:asciiTheme="minorHAnsi" w:eastAsia="Times New Roman" w:hAnsiTheme="minorHAnsi"/>
                <w:b w:val="0"/>
                <w:iCs/>
                <w:szCs w:val="17"/>
                <w:lang w:eastAsia="en-US"/>
              </w:rPr>
            </w:pPr>
          </w:p>
          <w:p w:rsidR="00C06E92" w:rsidRDefault="00C06E92"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14 March 2016</w:t>
            </w:r>
          </w:p>
          <w:p w:rsidR="00F43E09" w:rsidRDefault="00F43E09" w:rsidP="00D15A00">
            <w:pPr>
              <w:keepLines/>
              <w:spacing w:before="40" w:after="40" w:line="200" w:lineRule="atLeast"/>
              <w:rPr>
                <w:rFonts w:asciiTheme="minorHAnsi" w:eastAsia="Times New Roman" w:hAnsiTheme="minorHAnsi"/>
                <w:b w:val="0"/>
                <w:iCs/>
                <w:szCs w:val="17"/>
                <w:lang w:eastAsia="en-US"/>
              </w:rPr>
            </w:pPr>
          </w:p>
          <w:p w:rsidR="00102157" w:rsidRDefault="00102157" w:rsidP="006E32C9">
            <w:pPr>
              <w:keepLines/>
              <w:spacing w:before="40" w:after="40" w:line="200" w:lineRule="atLeast"/>
              <w:rPr>
                <w:rFonts w:asciiTheme="minorHAnsi" w:eastAsia="Times New Roman" w:hAnsiTheme="minorHAnsi"/>
                <w:b w:val="0"/>
                <w:iCs/>
                <w:szCs w:val="17"/>
                <w:lang w:eastAsia="en-US"/>
              </w:rPr>
            </w:pPr>
          </w:p>
          <w:p w:rsidR="00F43E09" w:rsidRPr="003B0793" w:rsidRDefault="00F43E09" w:rsidP="006E32C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24 March 2016</w:t>
            </w:r>
          </w:p>
        </w:tc>
        <w:tc>
          <w:tcPr>
            <w:tcW w:w="1671" w:type="dxa"/>
          </w:tcPr>
          <w:p w:rsidR="00AF1B85" w:rsidRPr="007C4CEB" w:rsidRDefault="00A83B28" w:rsidP="00D15A00">
            <w:pPr>
              <w:keepLines/>
              <w:spacing w:before="40" w:after="40" w:line="200" w:lineRule="atLeast"/>
              <w:rPr>
                <w:rFonts w:asciiTheme="minorHAnsi" w:eastAsia="Times New Roman" w:hAnsiTheme="minorHAnsi"/>
                <w:b w:val="0"/>
                <w:iCs/>
                <w:szCs w:val="17"/>
                <w:lang w:eastAsia="en-US"/>
              </w:rPr>
            </w:pPr>
            <w:r w:rsidRPr="007C4CEB">
              <w:rPr>
                <w:rFonts w:asciiTheme="minorHAnsi" w:eastAsia="Times New Roman" w:hAnsiTheme="minorHAnsi"/>
                <w:b w:val="0"/>
                <w:iCs/>
                <w:szCs w:val="17"/>
                <w:lang w:eastAsia="en-US"/>
              </w:rPr>
              <w:t>29 April 2016</w:t>
            </w:r>
          </w:p>
        </w:tc>
        <w:tc>
          <w:tcPr>
            <w:tcW w:w="2365" w:type="dxa"/>
          </w:tcPr>
          <w:p w:rsidR="00AF1B85" w:rsidRDefault="007C4CEB"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2016</w:t>
            </w:r>
          </w:p>
          <w:p w:rsidR="00FC1455" w:rsidRDefault="00FC1455" w:rsidP="00D15A00">
            <w:pPr>
              <w:keepLines/>
              <w:spacing w:before="40" w:after="40" w:line="200" w:lineRule="atLeast"/>
              <w:rPr>
                <w:rFonts w:asciiTheme="minorHAnsi" w:eastAsia="Times New Roman" w:hAnsiTheme="minorHAnsi"/>
                <w:b w:val="0"/>
                <w:iCs/>
                <w:szCs w:val="17"/>
                <w:lang w:eastAsia="en-US"/>
              </w:rPr>
            </w:pPr>
          </w:p>
          <w:p w:rsidR="007C4CEB" w:rsidRPr="007C4CEB" w:rsidRDefault="007C4CEB" w:rsidP="007C4CEB">
            <w:pPr>
              <w:rPr>
                <w:rFonts w:asciiTheme="minorHAnsi" w:eastAsia="Times New Roman" w:hAnsiTheme="minorHAnsi"/>
                <w:b w:val="0"/>
                <w:szCs w:val="17"/>
              </w:rPr>
            </w:pPr>
            <w:r w:rsidRPr="007C4CEB">
              <w:rPr>
                <w:rFonts w:asciiTheme="minorHAnsi" w:eastAsia="Times New Roman" w:hAnsiTheme="minorHAnsi"/>
                <w:b w:val="0"/>
                <w:szCs w:val="17"/>
              </w:rPr>
              <w:t>July 2016</w:t>
            </w:r>
          </w:p>
          <w:p w:rsidR="00102157" w:rsidRDefault="00102157" w:rsidP="007C4CEB">
            <w:pPr>
              <w:rPr>
                <w:rFonts w:asciiTheme="minorHAnsi" w:eastAsia="Times New Roman" w:hAnsiTheme="minorHAnsi"/>
                <w:b w:val="0"/>
                <w:szCs w:val="17"/>
              </w:rPr>
            </w:pPr>
            <w:r>
              <w:rPr>
                <w:rFonts w:asciiTheme="minorHAnsi" w:eastAsia="Times New Roman" w:hAnsiTheme="minorHAnsi"/>
                <w:b w:val="0"/>
                <w:szCs w:val="17"/>
              </w:rPr>
              <w:t>June 2016 (by Asian Development Bank)</w:t>
            </w:r>
          </w:p>
          <w:p w:rsidR="00102157" w:rsidRDefault="00102157" w:rsidP="007C4CEB">
            <w:pPr>
              <w:rPr>
                <w:rFonts w:asciiTheme="minorHAnsi" w:eastAsia="Times New Roman" w:hAnsiTheme="minorHAnsi"/>
                <w:b w:val="0"/>
                <w:szCs w:val="17"/>
              </w:rPr>
            </w:pPr>
          </w:p>
          <w:p w:rsidR="00FC1455" w:rsidRPr="007C4CEB" w:rsidRDefault="00102157" w:rsidP="00642BAD">
            <w:pPr>
              <w:rPr>
                <w:rFonts w:asciiTheme="minorHAnsi" w:eastAsia="Times New Roman" w:hAnsiTheme="minorHAnsi"/>
                <w:szCs w:val="17"/>
              </w:rPr>
            </w:pPr>
            <w:r w:rsidRPr="00102157">
              <w:rPr>
                <w:rFonts w:asciiTheme="minorHAnsi" w:eastAsia="Times New Roman" w:hAnsiTheme="minorHAnsi"/>
                <w:b w:val="0"/>
                <w:szCs w:val="17"/>
              </w:rPr>
              <w:t>September 2016 (by World Bank)</w:t>
            </w:r>
          </w:p>
        </w:tc>
      </w:tr>
    </w:tbl>
    <w:p w:rsidR="00AF1B85" w:rsidRPr="003B0793" w:rsidRDefault="00AF1B85" w:rsidP="003B0793">
      <w:pPr>
        <w:pStyle w:val="Caption"/>
        <w:rPr>
          <w:sz w:val="24"/>
        </w:rPr>
      </w:pPr>
      <w:r w:rsidRPr="003B0793">
        <w:rPr>
          <w:sz w:val="24"/>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rsidTr="005E606B">
        <w:tc>
          <w:tcPr>
            <w:tcW w:w="2444"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title</w:t>
            </w:r>
          </w:p>
        </w:tc>
        <w:tc>
          <w:tcPr>
            <w:tcW w:w="2356"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 xml:space="preserve">Investment number and name (if applicable) </w:t>
            </w:r>
          </w:p>
        </w:tc>
        <w:tc>
          <w:tcPr>
            <w:tcW w:w="2042"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Date – planned commencement (month/year)</w:t>
            </w:r>
          </w:p>
        </w:tc>
        <w:tc>
          <w:tcPr>
            <w:tcW w:w="2208"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Date – planned completion (month/year)</w:t>
            </w:r>
          </w:p>
        </w:tc>
        <w:tc>
          <w:tcPr>
            <w:tcW w:w="2325"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Purpose of evaluation</w:t>
            </w:r>
          </w:p>
        </w:tc>
        <w:tc>
          <w:tcPr>
            <w:tcW w:w="2740"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type</w:t>
            </w:r>
          </w:p>
        </w:tc>
      </w:tr>
      <w:tr w:rsidR="00AF1B85" w:rsidRPr="00C61187" w:rsidTr="005E606B">
        <w:tc>
          <w:tcPr>
            <w:tcW w:w="2444" w:type="dxa"/>
          </w:tcPr>
          <w:p w:rsidR="00AF1B85" w:rsidRDefault="00D341E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Post Cyclone Evan Recovery Program Evaluation</w:t>
            </w:r>
            <w:r w:rsidR="00AF1B85" w:rsidRPr="003B0793">
              <w:rPr>
                <w:rFonts w:asciiTheme="minorHAnsi" w:eastAsia="Times New Roman" w:hAnsiTheme="minorHAnsi"/>
                <w:iCs/>
                <w:szCs w:val="17"/>
                <w:lang w:eastAsia="en-US"/>
              </w:rPr>
              <w:t xml:space="preserve"> </w:t>
            </w:r>
          </w:p>
          <w:p w:rsidR="00642BAD" w:rsidRDefault="00642BAD" w:rsidP="00D15A00">
            <w:pPr>
              <w:keepLines/>
              <w:spacing w:before="40" w:after="40" w:line="200" w:lineRule="atLeast"/>
              <w:rPr>
                <w:rFonts w:asciiTheme="minorHAnsi" w:eastAsia="Times New Roman" w:hAnsiTheme="minorHAnsi"/>
                <w:iCs/>
                <w:szCs w:val="17"/>
                <w:lang w:eastAsia="en-US"/>
              </w:rPr>
            </w:pPr>
          </w:p>
          <w:p w:rsidR="00741188" w:rsidRDefault="00741188"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Inclusive Education Demonstration Program</w:t>
            </w:r>
            <w:r w:rsidR="006E32C9">
              <w:rPr>
                <w:rFonts w:asciiTheme="minorHAnsi" w:eastAsia="Times New Roman" w:hAnsiTheme="minorHAnsi"/>
                <w:iCs/>
                <w:szCs w:val="17"/>
                <w:lang w:eastAsia="en-US"/>
              </w:rPr>
              <w:t xml:space="preserve"> Final Evaluation</w:t>
            </w: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Mid-term Review of the Samoa Disability Program</w:t>
            </w:r>
          </w:p>
          <w:p w:rsidR="004406B4" w:rsidRDefault="004406B4" w:rsidP="00D15A00">
            <w:pPr>
              <w:keepLines/>
              <w:spacing w:before="40" w:after="40" w:line="200" w:lineRule="atLeast"/>
              <w:rPr>
                <w:rFonts w:asciiTheme="minorHAnsi" w:eastAsia="Times New Roman" w:hAnsiTheme="minorHAnsi"/>
                <w:iCs/>
                <w:szCs w:val="17"/>
                <w:lang w:eastAsia="en-US"/>
              </w:rPr>
            </w:pPr>
          </w:p>
          <w:p w:rsidR="006E32C9" w:rsidRPr="003B0793" w:rsidRDefault="00741188" w:rsidP="004406B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National Adaptation Program of Action IV Evaluation</w:t>
            </w:r>
          </w:p>
        </w:tc>
        <w:tc>
          <w:tcPr>
            <w:tcW w:w="2356" w:type="dxa"/>
          </w:tcPr>
          <w:p w:rsidR="00AF1B85" w:rsidRPr="003B0793" w:rsidRDefault="00D341E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INK887 Post TC Evan Recovery Program</w:t>
            </w:r>
          </w:p>
          <w:p w:rsidR="00AF1B85" w:rsidRDefault="00AF1B85"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INI456-Samoa Inclusive Education Demonstration Program</w:t>
            </w: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INK859-Samoa Disability Program</w:t>
            </w:r>
          </w:p>
          <w:p w:rsidR="00741188" w:rsidRDefault="00741188" w:rsidP="00D15A00">
            <w:pPr>
              <w:keepLines/>
              <w:spacing w:before="40" w:after="40" w:line="200" w:lineRule="atLeast"/>
              <w:rPr>
                <w:rFonts w:asciiTheme="minorHAnsi" w:eastAsia="Times New Roman" w:hAnsiTheme="minorHAnsi"/>
                <w:iCs/>
                <w:szCs w:val="17"/>
                <w:lang w:eastAsia="en-US"/>
              </w:rPr>
            </w:pPr>
          </w:p>
          <w:p w:rsidR="00741188" w:rsidRPr="003B0793" w:rsidRDefault="00741188"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INJ900 Climate Change Adaptation Initiative</w:t>
            </w:r>
          </w:p>
        </w:tc>
        <w:tc>
          <w:tcPr>
            <w:tcW w:w="2042" w:type="dxa"/>
          </w:tcPr>
          <w:p w:rsidR="00AF1B85" w:rsidRDefault="00D341E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2016</w:t>
            </w:r>
          </w:p>
          <w:p w:rsidR="00642BAD" w:rsidRDefault="00642BAD"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August 2016</w:t>
            </w: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November 2016</w:t>
            </w:r>
          </w:p>
          <w:p w:rsidR="00741188" w:rsidRDefault="00741188" w:rsidP="00D15A00">
            <w:pPr>
              <w:keepLines/>
              <w:spacing w:before="40" w:after="40" w:line="200" w:lineRule="atLeast"/>
              <w:rPr>
                <w:rFonts w:asciiTheme="minorHAnsi" w:eastAsia="Times New Roman" w:hAnsiTheme="minorHAnsi"/>
                <w:iCs/>
                <w:szCs w:val="17"/>
                <w:lang w:eastAsia="en-US"/>
              </w:rPr>
            </w:pPr>
          </w:p>
          <w:p w:rsidR="00741188" w:rsidRPr="003B0793" w:rsidRDefault="00741188"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 2016</w:t>
            </w:r>
          </w:p>
        </w:tc>
        <w:tc>
          <w:tcPr>
            <w:tcW w:w="2208" w:type="dxa"/>
          </w:tcPr>
          <w:p w:rsidR="00AF1B85" w:rsidRDefault="00D341E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November 2016</w:t>
            </w:r>
            <w:r w:rsidR="00AF1B85" w:rsidRPr="003B0793">
              <w:rPr>
                <w:rFonts w:asciiTheme="minorHAnsi" w:eastAsia="Times New Roman" w:hAnsiTheme="minorHAnsi"/>
                <w:iCs/>
                <w:szCs w:val="17"/>
                <w:lang w:eastAsia="en-US"/>
              </w:rPr>
              <w:t xml:space="preserve"> </w:t>
            </w:r>
          </w:p>
          <w:p w:rsidR="00642BAD" w:rsidRDefault="00642BAD"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p>
          <w:p w:rsidR="00642BAD" w:rsidRDefault="00642BAD"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 2016</w:t>
            </w: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p>
          <w:p w:rsidR="006E32C9" w:rsidRDefault="006E32C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May 2016</w:t>
            </w:r>
          </w:p>
          <w:p w:rsidR="00741188" w:rsidRDefault="00741188" w:rsidP="00D15A00">
            <w:pPr>
              <w:keepLines/>
              <w:spacing w:before="40" w:after="40" w:line="200" w:lineRule="atLeast"/>
              <w:rPr>
                <w:rFonts w:asciiTheme="minorHAnsi" w:eastAsia="Times New Roman" w:hAnsiTheme="minorHAnsi"/>
                <w:iCs/>
                <w:szCs w:val="17"/>
                <w:lang w:eastAsia="en-US"/>
              </w:rPr>
            </w:pPr>
          </w:p>
          <w:p w:rsidR="00741188" w:rsidRPr="003B0793" w:rsidRDefault="00741188"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August 2016</w:t>
            </w:r>
          </w:p>
        </w:tc>
        <w:tc>
          <w:tcPr>
            <w:tcW w:w="2325" w:type="dxa"/>
          </w:tcPr>
          <w:p w:rsidR="00AF1B85" w:rsidRPr="003B0793" w:rsidRDefault="00D341E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 </w:t>
            </w:r>
            <w:r w:rsidR="00AF1B85" w:rsidRPr="003B0793">
              <w:rPr>
                <w:rFonts w:asciiTheme="minorHAnsi" w:eastAsia="Times New Roman" w:hAnsiTheme="minorHAnsi"/>
                <w:iCs/>
                <w:szCs w:val="17"/>
                <w:lang w:eastAsia="en-US"/>
              </w:rPr>
              <w:t>- demonstrate results</w:t>
            </w:r>
          </w:p>
          <w:p w:rsidR="00AF1B85" w:rsidRPr="003B0793" w:rsidRDefault="00D341E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verify performance</w:t>
            </w:r>
          </w:p>
          <w:p w:rsidR="00AF1B85" w:rsidRPr="003B0793" w:rsidRDefault="00AF1B85"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 examine value for money</w:t>
            </w:r>
          </w:p>
          <w:p w:rsidR="00AF1B85" w:rsidRDefault="00AF1B85" w:rsidP="00D15A00">
            <w:pPr>
              <w:keepLines/>
              <w:spacing w:before="40" w:after="40" w:line="200" w:lineRule="atLeast"/>
              <w:rPr>
                <w:rFonts w:asciiTheme="minorHAnsi" w:eastAsia="Times New Roman" w:hAnsiTheme="minorHAnsi"/>
                <w:iCs/>
                <w:color w:val="000000" w:themeColor="text1" w:themeShade="BF"/>
                <w:szCs w:val="17"/>
                <w:lang w:eastAsia="en-US"/>
              </w:rPr>
            </w:pPr>
          </w:p>
          <w:p w:rsidR="006E32C9" w:rsidRPr="006E32C9" w:rsidRDefault="006E32C9" w:rsidP="00D15A00">
            <w:pPr>
              <w:keepLines/>
              <w:spacing w:before="40" w:after="40" w:line="200" w:lineRule="atLeast"/>
              <w:rPr>
                <w:rFonts w:asciiTheme="minorHAnsi" w:eastAsia="Times New Roman" w:hAnsiTheme="minorHAnsi"/>
                <w:iCs/>
                <w:szCs w:val="17"/>
                <w:lang w:eastAsia="en-US"/>
              </w:rPr>
            </w:pPr>
            <w:r w:rsidRPr="006E32C9">
              <w:rPr>
                <w:rFonts w:asciiTheme="minorHAnsi" w:eastAsia="Times New Roman" w:hAnsiTheme="minorHAnsi"/>
                <w:iCs/>
                <w:szCs w:val="17"/>
                <w:lang w:eastAsia="en-US"/>
              </w:rPr>
              <w:t>-demonstrate results</w:t>
            </w:r>
          </w:p>
          <w:p w:rsidR="006E32C9" w:rsidRPr="006E32C9" w:rsidRDefault="006E32C9" w:rsidP="00D15A00">
            <w:pPr>
              <w:keepLines/>
              <w:spacing w:before="40" w:after="40" w:line="200" w:lineRule="atLeast"/>
              <w:rPr>
                <w:rFonts w:asciiTheme="minorHAnsi" w:eastAsia="Times New Roman" w:hAnsiTheme="minorHAnsi"/>
                <w:iCs/>
                <w:szCs w:val="17"/>
                <w:lang w:eastAsia="en-US"/>
              </w:rPr>
            </w:pPr>
            <w:r w:rsidRPr="006E32C9">
              <w:rPr>
                <w:rFonts w:asciiTheme="minorHAnsi" w:eastAsia="Times New Roman" w:hAnsiTheme="minorHAnsi"/>
                <w:iCs/>
                <w:szCs w:val="17"/>
                <w:lang w:eastAsia="en-US"/>
              </w:rPr>
              <w:t>-improve existing investment</w:t>
            </w:r>
          </w:p>
          <w:p w:rsidR="006E32C9" w:rsidRDefault="006E32C9" w:rsidP="006E32C9">
            <w:pPr>
              <w:keepLines/>
              <w:spacing w:before="40" w:after="40" w:line="200" w:lineRule="atLeast"/>
              <w:rPr>
                <w:rFonts w:asciiTheme="minorHAnsi" w:eastAsia="Times New Roman" w:hAnsiTheme="minorHAnsi"/>
                <w:iCs/>
                <w:szCs w:val="17"/>
                <w:lang w:eastAsia="en-US"/>
              </w:rPr>
            </w:pPr>
            <w:r w:rsidRPr="006E32C9">
              <w:rPr>
                <w:rFonts w:asciiTheme="minorHAnsi" w:eastAsia="Times New Roman" w:hAnsiTheme="minorHAnsi"/>
                <w:iCs/>
                <w:szCs w:val="17"/>
                <w:lang w:eastAsia="en-US"/>
              </w:rPr>
              <w:t>-analyse lessons learned</w:t>
            </w:r>
          </w:p>
          <w:p w:rsidR="006E32C9" w:rsidRDefault="006E32C9" w:rsidP="006E32C9">
            <w:pPr>
              <w:keepLines/>
              <w:spacing w:before="40" w:after="40" w:line="200" w:lineRule="atLeast"/>
              <w:rPr>
                <w:rFonts w:asciiTheme="minorHAnsi" w:eastAsia="Times New Roman" w:hAnsiTheme="minorHAnsi"/>
                <w:iCs/>
                <w:szCs w:val="17"/>
                <w:lang w:eastAsia="en-US"/>
              </w:rPr>
            </w:pPr>
          </w:p>
          <w:p w:rsidR="006E32C9" w:rsidRDefault="006E32C9" w:rsidP="006E32C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-demonstrate results</w:t>
            </w:r>
          </w:p>
          <w:p w:rsidR="006E32C9" w:rsidRDefault="006E32C9" w:rsidP="006E32C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-inform new design</w:t>
            </w:r>
          </w:p>
          <w:p w:rsidR="00741188" w:rsidRDefault="00741188" w:rsidP="006E32C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 End of Investment evaluation </w:t>
            </w:r>
          </w:p>
          <w:p w:rsidR="00741188" w:rsidRPr="003B0793" w:rsidRDefault="00741188" w:rsidP="006E32C9">
            <w:pPr>
              <w:keepLines/>
              <w:spacing w:before="40" w:after="40" w:line="200" w:lineRule="atLeast"/>
              <w:rPr>
                <w:rFonts w:asciiTheme="minorHAnsi" w:eastAsia="Times New Roman" w:hAnsiTheme="minorHAnsi"/>
                <w:iCs/>
                <w:color w:val="000000" w:themeColor="text1" w:themeShade="BF"/>
                <w:szCs w:val="17"/>
                <w:lang w:eastAsia="en-US"/>
              </w:rPr>
            </w:pPr>
          </w:p>
        </w:tc>
        <w:tc>
          <w:tcPr>
            <w:tcW w:w="2740" w:type="dxa"/>
          </w:tcPr>
          <w:p w:rsidR="00AF1B85" w:rsidRDefault="00D341EE" w:rsidP="00D341E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Joint evaluation with New Zealand Aid Program</w:t>
            </w:r>
          </w:p>
          <w:p w:rsidR="006E32C9" w:rsidRDefault="006E32C9" w:rsidP="00D341EE">
            <w:pPr>
              <w:keepLines/>
              <w:spacing w:before="40" w:after="40" w:line="200" w:lineRule="atLeast"/>
              <w:rPr>
                <w:rFonts w:asciiTheme="minorHAnsi" w:eastAsia="Times New Roman" w:hAnsiTheme="minorHAnsi"/>
                <w:iCs/>
                <w:szCs w:val="17"/>
                <w:lang w:eastAsia="en-US"/>
              </w:rPr>
            </w:pPr>
          </w:p>
          <w:p w:rsidR="006E32C9" w:rsidRDefault="006E32C9" w:rsidP="00D341EE">
            <w:pPr>
              <w:keepLines/>
              <w:spacing w:before="40" w:after="40" w:line="200" w:lineRule="atLeast"/>
              <w:rPr>
                <w:rFonts w:asciiTheme="minorHAnsi" w:eastAsia="Times New Roman" w:hAnsiTheme="minorHAnsi"/>
                <w:iCs/>
                <w:szCs w:val="17"/>
                <w:lang w:eastAsia="en-US"/>
              </w:rPr>
            </w:pPr>
          </w:p>
          <w:p w:rsidR="006E32C9" w:rsidRDefault="006E32C9" w:rsidP="00D341E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w:t>
            </w:r>
          </w:p>
          <w:p w:rsidR="006E32C9" w:rsidRDefault="006E32C9" w:rsidP="00D341EE">
            <w:pPr>
              <w:keepLines/>
              <w:spacing w:before="40" w:after="40" w:line="200" w:lineRule="atLeast"/>
              <w:rPr>
                <w:rFonts w:asciiTheme="minorHAnsi" w:eastAsia="Times New Roman" w:hAnsiTheme="minorHAnsi"/>
                <w:iCs/>
                <w:szCs w:val="17"/>
                <w:lang w:eastAsia="en-US"/>
              </w:rPr>
            </w:pPr>
          </w:p>
          <w:p w:rsidR="006E32C9" w:rsidRDefault="006E32C9" w:rsidP="00D341EE">
            <w:pPr>
              <w:keepLines/>
              <w:spacing w:before="40" w:after="40" w:line="200" w:lineRule="atLeast"/>
              <w:rPr>
                <w:rFonts w:asciiTheme="minorHAnsi" w:eastAsia="Times New Roman" w:hAnsiTheme="minorHAnsi"/>
                <w:iCs/>
                <w:szCs w:val="17"/>
                <w:lang w:eastAsia="en-US"/>
              </w:rPr>
            </w:pPr>
          </w:p>
          <w:p w:rsidR="006E32C9" w:rsidRDefault="006E32C9" w:rsidP="00D341EE">
            <w:pPr>
              <w:keepLines/>
              <w:spacing w:before="40" w:after="40" w:line="200" w:lineRule="atLeast"/>
              <w:rPr>
                <w:rFonts w:asciiTheme="minorHAnsi" w:eastAsia="Times New Roman" w:hAnsiTheme="minorHAnsi"/>
                <w:iCs/>
                <w:szCs w:val="17"/>
                <w:lang w:eastAsia="en-US"/>
              </w:rPr>
            </w:pPr>
          </w:p>
          <w:p w:rsidR="006E32C9" w:rsidRDefault="006E32C9" w:rsidP="00D341E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w:t>
            </w:r>
          </w:p>
          <w:p w:rsidR="00642BAD" w:rsidRDefault="00642BAD" w:rsidP="00D341EE">
            <w:pPr>
              <w:keepLines/>
              <w:spacing w:before="40" w:after="40" w:line="200" w:lineRule="atLeast"/>
              <w:rPr>
                <w:rFonts w:asciiTheme="minorHAnsi" w:eastAsia="Times New Roman" w:hAnsiTheme="minorHAnsi"/>
                <w:iCs/>
                <w:szCs w:val="17"/>
                <w:lang w:eastAsia="en-US"/>
              </w:rPr>
            </w:pPr>
          </w:p>
          <w:p w:rsidR="00642BAD" w:rsidRDefault="00741188" w:rsidP="00D341E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w:t>
            </w:r>
          </w:p>
          <w:p w:rsidR="00642BAD" w:rsidRPr="003B0793" w:rsidRDefault="00642BAD" w:rsidP="00D341EE">
            <w:pPr>
              <w:keepLines/>
              <w:spacing w:before="40" w:after="40" w:line="200" w:lineRule="atLeast"/>
              <w:rPr>
                <w:rFonts w:asciiTheme="minorHAnsi" w:eastAsia="Times New Roman" w:hAnsiTheme="minorHAnsi"/>
                <w:iCs/>
                <w:szCs w:val="17"/>
                <w:lang w:eastAsia="en-US"/>
              </w:rPr>
            </w:pPr>
          </w:p>
        </w:tc>
      </w:tr>
    </w:tbl>
    <w:p w:rsidR="005E606B" w:rsidRDefault="005E606B" w:rsidP="005B5769">
      <w:pPr>
        <w:pStyle w:val="ListBullet"/>
        <w:tabs>
          <w:tab w:val="clear" w:pos="284"/>
        </w:tabs>
        <w:sectPr w:rsidR="005E606B" w:rsidSect="00CD1FD5">
          <w:headerReference w:type="first" r:id="rId18"/>
          <w:pgSz w:w="16838" w:h="11906" w:orient="landscape" w:code="9"/>
          <w:pgMar w:top="1134" w:right="1952" w:bottom="1134" w:left="851" w:header="1107" w:footer="567" w:gutter="0"/>
          <w:cols w:space="397"/>
          <w:titlePg/>
          <w:docGrid w:linePitch="360"/>
        </w:sectPr>
      </w:pPr>
    </w:p>
    <w:p w:rsidR="005E606B" w:rsidRPr="00A8197B" w:rsidRDefault="005E606B" w:rsidP="00A8197B">
      <w:pPr>
        <w:pStyle w:val="Subtitle"/>
      </w:pPr>
      <w:r w:rsidRPr="00A8197B">
        <w:lastRenderedPageBreak/>
        <w:t>Annex C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5012" w:type="pct"/>
        <w:tblLook w:val="0000" w:firstRow="0" w:lastRow="0" w:firstColumn="0" w:lastColumn="0" w:noHBand="0" w:noVBand="0"/>
      </w:tblPr>
      <w:tblGrid>
        <w:gridCol w:w="1922"/>
        <w:gridCol w:w="1317"/>
        <w:gridCol w:w="939"/>
        <w:gridCol w:w="666"/>
        <w:gridCol w:w="798"/>
        <w:gridCol w:w="804"/>
        <w:gridCol w:w="798"/>
        <w:gridCol w:w="806"/>
        <w:gridCol w:w="801"/>
        <w:gridCol w:w="810"/>
      </w:tblGrid>
      <w:tr w:rsidR="00CF4B63" w:rsidRPr="00C61187" w:rsidTr="00165462">
        <w:trPr>
          <w:cnfStyle w:val="000000010000" w:firstRow="0" w:lastRow="0" w:firstColumn="0" w:lastColumn="0" w:oddVBand="0" w:evenVBand="0" w:oddHBand="0" w:evenHBand="1" w:firstRowFirstColumn="0" w:firstRowLastColumn="0" w:lastRowFirstColumn="0" w:lastRowLastColumn="0"/>
          <w:trHeight w:val="1197"/>
        </w:trPr>
        <w:tc>
          <w:tcPr>
            <w:tcW w:w="976" w:type="pct"/>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68480" behindDoc="0" locked="0" layoutInCell="1" allowOverlap="1" wp14:anchorId="164341F9" wp14:editId="2D46A714">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0"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7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year on year</w:t>
            </w:r>
          </w:p>
        </w:tc>
        <w:tc>
          <w:tcPr>
            <w:tcW w:w="332"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0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0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0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05"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02"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399"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CF4B63" w:rsidRPr="00C61187"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5E606B" w:rsidRPr="003B0793"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Economic Infrastructure</w:t>
            </w:r>
          </w:p>
        </w:tc>
        <w:tc>
          <w:tcPr>
            <w:tcW w:w="650" w:type="pct"/>
            <w:vMerge w:val="restart"/>
          </w:tcPr>
          <w:p w:rsidR="005E606B" w:rsidRPr="00E93321" w:rsidRDefault="005E606B" w:rsidP="00CD1FD5">
            <w:pPr>
              <w:autoSpaceDE w:val="0"/>
              <w:autoSpaceDN w:val="0"/>
              <w:adjustRightInd w:val="0"/>
              <w:spacing w:before="0" w:after="0"/>
              <w:rPr>
                <w:rFonts w:asciiTheme="minorHAnsi" w:eastAsia="Times New Roman" w:hAnsiTheme="minorHAnsi"/>
                <w:iCs/>
                <w:szCs w:val="17"/>
                <w:lang w:eastAsia="en-US"/>
              </w:rPr>
            </w:pPr>
            <w:r w:rsidRPr="00E93321">
              <w:rPr>
                <w:rFonts w:asciiTheme="minorHAnsi" w:eastAsia="Times New Roman" w:hAnsiTheme="minorHAnsi"/>
                <w:iCs/>
                <w:szCs w:val="17"/>
                <w:lang w:eastAsia="en-US"/>
              </w:rPr>
              <w:t>$</w:t>
            </w:r>
            <w:r w:rsidR="00D6268A" w:rsidRPr="00E93321">
              <w:rPr>
                <w:rFonts w:asciiTheme="minorHAnsi" w:eastAsia="Times New Roman" w:hAnsiTheme="minorHAnsi"/>
                <w:iCs/>
                <w:szCs w:val="17"/>
                <w:lang w:eastAsia="en-US"/>
              </w:rPr>
              <w:t>20,000,000</w:t>
            </w:r>
          </w:p>
          <w:p w:rsidR="005E606B" w:rsidRPr="003B0793"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2012-17</w:t>
            </w:r>
          </w:p>
        </w:tc>
        <w:tc>
          <w:tcPr>
            <w:tcW w:w="474" w:type="pct"/>
          </w:tcPr>
          <w:p w:rsidR="005E606B" w:rsidRPr="003B0793" w:rsidRDefault="005E606B" w:rsidP="00CD1FD5">
            <w:pPr>
              <w:keepLines/>
              <w:spacing w:before="0" w:after="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2016 AQC</w:t>
            </w:r>
          </w:p>
        </w:tc>
        <w:tc>
          <w:tcPr>
            <w:tcW w:w="332" w:type="pct"/>
            <w:shd w:val="clear" w:color="auto" w:fill="92D05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FFFF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4" w:type="pct"/>
            <w:shd w:val="clear" w:color="auto" w:fill="FFFF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1" w:type="pct"/>
            <w:shd w:val="clear" w:color="auto" w:fill="FF66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5" w:type="pct"/>
            <w:shd w:val="clear" w:color="auto" w:fill="FFFF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2" w:type="pct"/>
            <w:shd w:val="clear" w:color="auto" w:fill="FF66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99" w:type="pct"/>
            <w:shd w:val="clear" w:color="auto" w:fill="FFFF00"/>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CF4B63" w:rsidRPr="00C61187"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5E606B" w:rsidRPr="003B0793" w:rsidRDefault="005E606B" w:rsidP="00CD1FD5">
            <w:pPr>
              <w:keepLines/>
              <w:spacing w:before="0" w:after="0" w:line="200" w:lineRule="atLeast"/>
              <w:rPr>
                <w:rFonts w:asciiTheme="minorHAnsi" w:eastAsia="Times New Roman" w:hAnsiTheme="minorHAnsi"/>
                <w:iCs/>
                <w:szCs w:val="17"/>
                <w:lang w:eastAsia="en-US"/>
              </w:rPr>
            </w:pPr>
          </w:p>
        </w:tc>
        <w:tc>
          <w:tcPr>
            <w:tcW w:w="650" w:type="pct"/>
            <w:vMerge/>
          </w:tcPr>
          <w:p w:rsidR="005E606B" w:rsidRPr="003B0793" w:rsidRDefault="005E606B" w:rsidP="00CD1FD5">
            <w:pPr>
              <w:keepLines/>
              <w:spacing w:before="0" w:after="0" w:line="200" w:lineRule="atLeast"/>
              <w:rPr>
                <w:rFonts w:asciiTheme="minorHAnsi" w:eastAsia="Times New Roman" w:hAnsiTheme="minorHAnsi"/>
                <w:iCs/>
                <w:szCs w:val="17"/>
                <w:lang w:eastAsia="en-US"/>
              </w:rPr>
            </w:pPr>
          </w:p>
        </w:tc>
        <w:tc>
          <w:tcPr>
            <w:tcW w:w="474" w:type="pct"/>
          </w:tcPr>
          <w:p w:rsidR="005E606B" w:rsidRPr="003B0793" w:rsidRDefault="005E606B" w:rsidP="00CD1FD5">
            <w:pPr>
              <w:keepLines/>
              <w:spacing w:before="0" w:after="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2015 AQC</w:t>
            </w:r>
          </w:p>
        </w:tc>
        <w:tc>
          <w:tcPr>
            <w:tcW w:w="332" w:type="pct"/>
            <w:shd w:val="clear" w:color="auto" w:fill="92D050"/>
            <w:noWrap/>
          </w:tcPr>
          <w:p w:rsidR="005E606B" w:rsidRPr="00CD1FD5" w:rsidRDefault="00D6268A" w:rsidP="00CD1FD5">
            <w:pPr>
              <w:keepLines/>
              <w:spacing w:before="0" w:after="0" w:line="200" w:lineRule="atLeast"/>
              <w:jc w:val="center"/>
              <w:rPr>
                <w:rFonts w:asciiTheme="minorHAnsi" w:eastAsia="Times New Roman" w:hAnsiTheme="minorHAnsi"/>
                <w:iCs/>
                <w:szCs w:val="17"/>
                <w:lang w:eastAsia="en-US"/>
              </w:rPr>
            </w:pPr>
            <w:r w:rsidRPr="00CD1FD5">
              <w:rPr>
                <w:rFonts w:asciiTheme="minorHAnsi" w:eastAsia="Times New Roman" w:hAnsiTheme="minorHAnsi"/>
                <w:iCs/>
                <w:szCs w:val="17"/>
                <w:lang w:eastAsia="en-US"/>
              </w:rPr>
              <w:t>6</w:t>
            </w:r>
          </w:p>
        </w:tc>
        <w:tc>
          <w:tcPr>
            <w:tcW w:w="401" w:type="pct"/>
            <w:shd w:val="clear" w:color="auto" w:fill="92D050"/>
            <w:noWrap/>
          </w:tcPr>
          <w:p w:rsidR="005E606B" w:rsidRPr="00CD1FD5" w:rsidRDefault="00D6268A" w:rsidP="00CD1FD5">
            <w:pPr>
              <w:keepLines/>
              <w:spacing w:before="0" w:after="0" w:line="200" w:lineRule="atLeast"/>
              <w:jc w:val="center"/>
              <w:rPr>
                <w:rFonts w:asciiTheme="minorHAnsi" w:eastAsia="Times New Roman" w:hAnsiTheme="minorHAnsi"/>
                <w:iCs/>
                <w:szCs w:val="17"/>
                <w:lang w:eastAsia="en-US"/>
              </w:rPr>
            </w:pPr>
            <w:r w:rsidRPr="00CD1FD5">
              <w:rPr>
                <w:rFonts w:asciiTheme="minorHAnsi" w:eastAsia="Times New Roman" w:hAnsiTheme="minorHAnsi"/>
                <w:iCs/>
                <w:szCs w:val="17"/>
                <w:lang w:eastAsia="en-US"/>
              </w:rPr>
              <w:t>5</w:t>
            </w:r>
          </w:p>
        </w:tc>
        <w:tc>
          <w:tcPr>
            <w:tcW w:w="404" w:type="pct"/>
            <w:shd w:val="clear" w:color="auto" w:fill="92D05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FFFF0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5" w:type="pct"/>
            <w:shd w:val="clear" w:color="auto" w:fill="92D05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2" w:type="pct"/>
            <w:shd w:val="clear" w:color="auto" w:fill="FF660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99" w:type="pct"/>
            <w:shd w:val="clear" w:color="auto" w:fill="FFFF00"/>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CF4B63" w:rsidRPr="00C61187"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5E606B" w:rsidRPr="003B0793"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Parliament Complex Redevelopment</w:t>
            </w:r>
          </w:p>
        </w:tc>
        <w:tc>
          <w:tcPr>
            <w:tcW w:w="650" w:type="pct"/>
            <w:vMerge w:val="restart"/>
          </w:tcPr>
          <w:p w:rsidR="005E606B"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$12,943,26.61</w:t>
            </w:r>
          </w:p>
          <w:p w:rsidR="00D6268A" w:rsidRPr="003B0793"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2012-17</w:t>
            </w:r>
          </w:p>
        </w:tc>
        <w:tc>
          <w:tcPr>
            <w:tcW w:w="474" w:type="pct"/>
          </w:tcPr>
          <w:p w:rsidR="005E606B" w:rsidRPr="003B0793" w:rsidRDefault="005E606B" w:rsidP="00CD1FD5">
            <w:pPr>
              <w:keepLines/>
              <w:spacing w:before="0" w:after="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2016 AQC</w:t>
            </w:r>
          </w:p>
        </w:tc>
        <w:tc>
          <w:tcPr>
            <w:tcW w:w="332" w:type="pct"/>
            <w:shd w:val="clear" w:color="auto" w:fill="92D05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92D05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4" w:type="pct"/>
            <w:shd w:val="clear" w:color="auto" w:fill="FFFF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1" w:type="pct"/>
            <w:shd w:val="clear" w:color="auto" w:fill="FFFF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5" w:type="pct"/>
            <w:shd w:val="clear" w:color="auto" w:fill="92D05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2" w:type="pct"/>
            <w:shd w:val="clear" w:color="auto" w:fill="FFFF00"/>
            <w:noWrap/>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9" w:type="pct"/>
            <w:shd w:val="clear" w:color="auto" w:fill="92D050"/>
          </w:tcPr>
          <w:p w:rsidR="005E606B" w:rsidRPr="003B0793" w:rsidRDefault="00A87E44"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CF4B63" w:rsidRPr="00C61187"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5E606B" w:rsidRPr="003B0793" w:rsidRDefault="005E606B" w:rsidP="00CD1FD5">
            <w:pPr>
              <w:keepLines/>
              <w:spacing w:before="0" w:after="0" w:line="200" w:lineRule="atLeast"/>
              <w:rPr>
                <w:rFonts w:asciiTheme="minorHAnsi" w:eastAsia="Times New Roman" w:hAnsiTheme="minorHAnsi"/>
                <w:iCs/>
                <w:szCs w:val="17"/>
                <w:lang w:eastAsia="en-US"/>
              </w:rPr>
            </w:pPr>
          </w:p>
        </w:tc>
        <w:tc>
          <w:tcPr>
            <w:tcW w:w="650" w:type="pct"/>
            <w:vMerge/>
          </w:tcPr>
          <w:p w:rsidR="005E606B" w:rsidRPr="003B0793" w:rsidRDefault="005E606B" w:rsidP="00CD1FD5">
            <w:pPr>
              <w:keepLines/>
              <w:spacing w:before="0" w:after="0" w:line="200" w:lineRule="atLeast"/>
              <w:rPr>
                <w:rFonts w:asciiTheme="minorHAnsi" w:eastAsia="Times New Roman" w:hAnsiTheme="minorHAnsi"/>
                <w:iCs/>
                <w:szCs w:val="17"/>
                <w:lang w:eastAsia="en-US"/>
              </w:rPr>
            </w:pPr>
          </w:p>
        </w:tc>
        <w:tc>
          <w:tcPr>
            <w:tcW w:w="474" w:type="pct"/>
          </w:tcPr>
          <w:p w:rsidR="005E606B" w:rsidRPr="003B0793" w:rsidRDefault="005E606B" w:rsidP="00CD1FD5">
            <w:pPr>
              <w:keepLines/>
              <w:spacing w:before="0" w:after="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2015 AQC</w:t>
            </w:r>
          </w:p>
        </w:tc>
        <w:tc>
          <w:tcPr>
            <w:tcW w:w="332" w:type="pct"/>
            <w:shd w:val="clear" w:color="auto" w:fill="92D05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92D05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4" w:type="pct"/>
            <w:shd w:val="clear" w:color="auto" w:fill="FFFF0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1" w:type="pct"/>
            <w:shd w:val="clear" w:color="auto" w:fill="92D05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5" w:type="pct"/>
            <w:shd w:val="clear" w:color="auto" w:fill="92D05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2" w:type="pct"/>
            <w:shd w:val="clear" w:color="auto" w:fill="FFFF00"/>
            <w:noWrap/>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9" w:type="pct"/>
            <w:shd w:val="clear" w:color="auto" w:fill="92D050"/>
          </w:tcPr>
          <w:p w:rsidR="005E606B" w:rsidRPr="003B0793"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165462"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vAlign w:val="center"/>
          </w:tcPr>
          <w:p w:rsidR="007E157D" w:rsidRPr="00D6268A" w:rsidRDefault="007E157D" w:rsidP="00CD1FD5">
            <w:pPr>
              <w:keepLines/>
              <w:spacing w:before="0" w:after="0" w:line="200" w:lineRule="atLeast"/>
              <w:rPr>
                <w:rFonts w:asciiTheme="minorHAnsi" w:eastAsia="Times New Roman" w:hAnsiTheme="minorHAnsi"/>
                <w:iCs/>
                <w:szCs w:val="17"/>
                <w:lang w:eastAsia="en-US"/>
              </w:rPr>
            </w:pPr>
            <w:r w:rsidRPr="00D6268A">
              <w:rPr>
                <w:rFonts w:asciiTheme="minorHAnsi" w:eastAsia="Times New Roman" w:hAnsiTheme="minorHAnsi"/>
                <w:iCs/>
                <w:szCs w:val="17"/>
                <w:lang w:eastAsia="en-US"/>
              </w:rPr>
              <w:t>Samoa Health Sector Initiative</w:t>
            </w:r>
          </w:p>
        </w:tc>
        <w:tc>
          <w:tcPr>
            <w:tcW w:w="650" w:type="pct"/>
            <w:vMerge w:val="restart"/>
            <w:vAlign w:val="center"/>
          </w:tcPr>
          <w:p w:rsidR="007E157D" w:rsidRPr="00D6268A" w:rsidRDefault="007E157D" w:rsidP="00CD1FD5">
            <w:pPr>
              <w:keepLines/>
              <w:spacing w:before="0" w:after="0" w:line="200" w:lineRule="atLeast"/>
              <w:rPr>
                <w:rFonts w:asciiTheme="minorHAnsi" w:eastAsia="Times New Roman" w:hAnsiTheme="minorHAnsi"/>
                <w:iCs/>
                <w:szCs w:val="17"/>
                <w:lang w:eastAsia="en-US"/>
              </w:rPr>
            </w:pPr>
            <w:r w:rsidRPr="00D6268A">
              <w:rPr>
                <w:rFonts w:asciiTheme="minorHAnsi" w:eastAsia="Times New Roman" w:hAnsiTheme="minorHAnsi"/>
                <w:iCs/>
                <w:szCs w:val="17"/>
                <w:lang w:eastAsia="en-US"/>
              </w:rPr>
              <w:t>$18,862,865.27</w:t>
            </w:r>
          </w:p>
          <w:p w:rsidR="007E157D" w:rsidRPr="00D6268A" w:rsidRDefault="007E157D" w:rsidP="00CD1FD5">
            <w:pPr>
              <w:keepLines/>
              <w:spacing w:before="0" w:after="0" w:line="200" w:lineRule="atLeast"/>
              <w:rPr>
                <w:rFonts w:asciiTheme="minorHAnsi" w:eastAsia="Times New Roman" w:hAnsiTheme="minorHAnsi"/>
                <w:iCs/>
                <w:szCs w:val="17"/>
                <w:lang w:eastAsia="en-US"/>
              </w:rPr>
            </w:pPr>
            <w:r w:rsidRPr="00D6268A">
              <w:rPr>
                <w:rFonts w:asciiTheme="minorHAnsi" w:eastAsia="Times New Roman" w:hAnsiTheme="minorHAnsi"/>
                <w:iCs/>
                <w:szCs w:val="17"/>
                <w:lang w:eastAsia="en-US"/>
              </w:rPr>
              <w:t>2007-17</w:t>
            </w:r>
          </w:p>
        </w:tc>
        <w:tc>
          <w:tcPr>
            <w:tcW w:w="474" w:type="pct"/>
          </w:tcPr>
          <w:p w:rsidR="007E157D" w:rsidRPr="00D6268A" w:rsidRDefault="007E157D" w:rsidP="00CD1FD5">
            <w:pPr>
              <w:keepLines/>
              <w:spacing w:before="0" w:after="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2016 AQC</w:t>
            </w:r>
          </w:p>
        </w:tc>
        <w:tc>
          <w:tcPr>
            <w:tcW w:w="332" w:type="pct"/>
            <w:shd w:val="clear" w:color="auto" w:fill="FFFF00"/>
            <w:noWrap/>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4</w:t>
            </w:r>
          </w:p>
        </w:tc>
        <w:tc>
          <w:tcPr>
            <w:tcW w:w="401" w:type="pct"/>
            <w:shd w:val="clear" w:color="auto" w:fill="FF6600"/>
            <w:noWrap/>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3</w:t>
            </w:r>
          </w:p>
        </w:tc>
        <w:tc>
          <w:tcPr>
            <w:tcW w:w="404" w:type="pct"/>
            <w:shd w:val="clear" w:color="auto" w:fill="FF6600"/>
            <w:noWrap/>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3</w:t>
            </w:r>
          </w:p>
        </w:tc>
        <w:tc>
          <w:tcPr>
            <w:tcW w:w="401" w:type="pct"/>
            <w:shd w:val="clear" w:color="auto" w:fill="FFFF00"/>
            <w:noWrap/>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4</w:t>
            </w:r>
          </w:p>
        </w:tc>
        <w:tc>
          <w:tcPr>
            <w:tcW w:w="405" w:type="pct"/>
            <w:shd w:val="clear" w:color="auto" w:fill="92D050"/>
            <w:noWrap/>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5</w:t>
            </w:r>
          </w:p>
        </w:tc>
        <w:tc>
          <w:tcPr>
            <w:tcW w:w="402" w:type="pct"/>
            <w:shd w:val="clear" w:color="auto" w:fill="FFFF00"/>
            <w:noWrap/>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4</w:t>
            </w:r>
          </w:p>
        </w:tc>
        <w:tc>
          <w:tcPr>
            <w:tcW w:w="399" w:type="pct"/>
            <w:shd w:val="clear" w:color="auto" w:fill="92D050"/>
          </w:tcPr>
          <w:p w:rsidR="007E157D" w:rsidRPr="00D6268A" w:rsidRDefault="007E157D" w:rsidP="00CD1FD5">
            <w:pPr>
              <w:keepLines/>
              <w:spacing w:before="0" w:after="0" w:line="200" w:lineRule="atLeast"/>
              <w:jc w:val="center"/>
              <w:rPr>
                <w:rFonts w:asciiTheme="minorHAnsi" w:eastAsia="Times New Roman" w:hAnsiTheme="minorHAnsi"/>
                <w:iCs/>
                <w:szCs w:val="17"/>
                <w:lang w:eastAsia="en-US"/>
              </w:rPr>
            </w:pPr>
            <w:r>
              <w:rPr>
                <w:rFonts w:eastAsia="Times New Roman"/>
                <w:iCs/>
                <w:szCs w:val="17"/>
              </w:rPr>
              <w:t>5</w:t>
            </w:r>
          </w:p>
        </w:tc>
      </w:tr>
      <w:tr w:rsidR="00165462"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ign w:val="center"/>
          </w:tcPr>
          <w:p w:rsidR="00D6268A" w:rsidRPr="001F73D8" w:rsidRDefault="00D6268A" w:rsidP="00CD1FD5">
            <w:pPr>
              <w:keepLines/>
              <w:spacing w:before="0" w:after="0" w:line="200" w:lineRule="atLeast"/>
              <w:rPr>
                <w:rFonts w:asciiTheme="minorHAnsi" w:eastAsia="Times New Roman" w:hAnsiTheme="minorHAnsi"/>
                <w:iCs/>
                <w:szCs w:val="17"/>
                <w:lang w:eastAsia="en-US"/>
              </w:rPr>
            </w:pPr>
          </w:p>
        </w:tc>
        <w:tc>
          <w:tcPr>
            <w:tcW w:w="650" w:type="pct"/>
            <w:vMerge/>
            <w:vAlign w:val="center"/>
          </w:tcPr>
          <w:p w:rsidR="00D6268A" w:rsidRPr="001F73D8" w:rsidRDefault="00D6268A" w:rsidP="00CD1FD5">
            <w:pPr>
              <w:keepLines/>
              <w:spacing w:before="0" w:after="0" w:line="200" w:lineRule="atLeast"/>
              <w:rPr>
                <w:rFonts w:asciiTheme="minorHAnsi" w:eastAsia="Times New Roman" w:hAnsiTheme="minorHAnsi"/>
                <w:iCs/>
                <w:szCs w:val="17"/>
                <w:lang w:eastAsia="en-US"/>
              </w:rPr>
            </w:pPr>
          </w:p>
        </w:tc>
        <w:tc>
          <w:tcPr>
            <w:tcW w:w="474" w:type="pct"/>
          </w:tcPr>
          <w:p w:rsidR="00D6268A" w:rsidRPr="00D6268A"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 AQC</w:t>
            </w:r>
          </w:p>
        </w:tc>
        <w:tc>
          <w:tcPr>
            <w:tcW w:w="332" w:type="pct"/>
            <w:shd w:val="clear" w:color="auto" w:fill="92D050"/>
            <w:noWrap/>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FFFF00"/>
            <w:noWrap/>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4" w:type="pct"/>
            <w:shd w:val="clear" w:color="auto" w:fill="92D050"/>
            <w:noWrap/>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1" w:type="pct"/>
            <w:shd w:val="clear" w:color="auto" w:fill="FFFF00"/>
            <w:noWrap/>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5" w:type="pct"/>
            <w:shd w:val="clear" w:color="auto" w:fill="92D050"/>
            <w:noWrap/>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2" w:type="pct"/>
            <w:shd w:val="clear" w:color="auto" w:fill="FFFF00"/>
            <w:noWrap/>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9" w:type="pct"/>
            <w:shd w:val="clear" w:color="auto" w:fill="92D050"/>
          </w:tcPr>
          <w:p w:rsidR="00D6268A" w:rsidRPr="00D6268A" w:rsidRDefault="00D6268A" w:rsidP="00CD1FD5">
            <w:pPr>
              <w:keepLines/>
              <w:spacing w:before="0" w:after="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165462"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vAlign w:val="center"/>
          </w:tcPr>
          <w:p w:rsidR="00D6268A" w:rsidRPr="00D6268A" w:rsidRDefault="00D6268A" w:rsidP="00CD1FD5">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ADB Samoa Power Sector Expansion Program</w:t>
            </w:r>
          </w:p>
        </w:tc>
        <w:tc>
          <w:tcPr>
            <w:tcW w:w="650" w:type="pct"/>
            <w:vMerge w:val="restart"/>
            <w:vAlign w:val="center"/>
          </w:tcPr>
          <w:p w:rsidR="00D6268A" w:rsidRPr="00D6268A" w:rsidRDefault="00D6268A" w:rsidP="00CD1FD5">
            <w:pPr>
              <w:keepLines/>
              <w:spacing w:before="0" w:after="0" w:line="200" w:lineRule="atLeast"/>
              <w:rPr>
                <w:rFonts w:eastAsia="Times New Roman"/>
                <w:iCs/>
                <w:szCs w:val="17"/>
              </w:rPr>
            </w:pPr>
            <w:r w:rsidRPr="00D6268A">
              <w:rPr>
                <w:rFonts w:asciiTheme="minorHAnsi" w:eastAsia="Times New Roman" w:hAnsiTheme="minorHAnsi"/>
                <w:iCs/>
                <w:szCs w:val="17"/>
                <w:lang w:eastAsia="en-US"/>
              </w:rPr>
              <w:t>$15,118,099.51 2007-16</w:t>
            </w:r>
          </w:p>
        </w:tc>
        <w:tc>
          <w:tcPr>
            <w:tcW w:w="474" w:type="pct"/>
          </w:tcPr>
          <w:p w:rsidR="00D6268A" w:rsidRPr="00D6268A" w:rsidRDefault="00D6268A" w:rsidP="00CD1FD5">
            <w:pPr>
              <w:keepLines/>
              <w:spacing w:before="0" w:after="0" w:line="200" w:lineRule="atLeast"/>
              <w:rPr>
                <w:rFonts w:asciiTheme="minorHAnsi" w:eastAsia="Times New Roman" w:hAnsiTheme="minorHAnsi"/>
                <w:iCs/>
                <w:szCs w:val="17"/>
                <w:lang w:eastAsia="en-US"/>
              </w:rPr>
            </w:pPr>
            <w:r w:rsidRPr="00D6268A">
              <w:rPr>
                <w:rFonts w:asciiTheme="minorHAnsi" w:eastAsia="Times New Roman" w:hAnsiTheme="minorHAnsi"/>
                <w:iCs/>
                <w:szCs w:val="17"/>
                <w:lang w:eastAsia="en-US"/>
              </w:rPr>
              <w:t>2016 AQC</w:t>
            </w:r>
          </w:p>
        </w:tc>
        <w:tc>
          <w:tcPr>
            <w:tcW w:w="332" w:type="pct"/>
            <w:shd w:val="clear" w:color="auto" w:fill="92D050"/>
            <w:noWrap/>
          </w:tcPr>
          <w:p w:rsidR="00D6268A" w:rsidRDefault="00A87E44"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92D050"/>
            <w:noWrap/>
          </w:tcPr>
          <w:p w:rsidR="00D6268A" w:rsidRDefault="00A87E44" w:rsidP="00CD1FD5">
            <w:pPr>
              <w:keepLines/>
              <w:spacing w:before="0" w:after="0" w:line="200" w:lineRule="atLeast"/>
              <w:jc w:val="center"/>
              <w:rPr>
                <w:rFonts w:eastAsia="Times New Roman"/>
                <w:iCs/>
                <w:szCs w:val="17"/>
              </w:rPr>
            </w:pPr>
            <w:r>
              <w:rPr>
                <w:rFonts w:eastAsia="Times New Roman"/>
                <w:iCs/>
                <w:szCs w:val="17"/>
              </w:rPr>
              <w:t>5</w:t>
            </w:r>
          </w:p>
        </w:tc>
        <w:tc>
          <w:tcPr>
            <w:tcW w:w="404" w:type="pct"/>
            <w:shd w:val="clear" w:color="auto" w:fill="92D050"/>
            <w:noWrap/>
          </w:tcPr>
          <w:p w:rsidR="00D6268A" w:rsidRDefault="00A87E44"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D6268A"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405" w:type="pct"/>
            <w:shd w:val="clear" w:color="auto" w:fill="92D050"/>
            <w:noWrap/>
          </w:tcPr>
          <w:p w:rsidR="00D6268A" w:rsidRDefault="00A87E44" w:rsidP="00CD1FD5">
            <w:pPr>
              <w:keepLines/>
              <w:spacing w:before="0" w:after="0" w:line="200" w:lineRule="atLeast"/>
              <w:jc w:val="center"/>
              <w:rPr>
                <w:rFonts w:eastAsia="Times New Roman"/>
                <w:iCs/>
                <w:szCs w:val="17"/>
              </w:rPr>
            </w:pPr>
            <w:r>
              <w:rPr>
                <w:rFonts w:eastAsia="Times New Roman"/>
                <w:iCs/>
                <w:szCs w:val="17"/>
              </w:rPr>
              <w:t>5</w:t>
            </w:r>
          </w:p>
        </w:tc>
        <w:tc>
          <w:tcPr>
            <w:tcW w:w="402" w:type="pct"/>
            <w:shd w:val="clear" w:color="auto" w:fill="FFFF00"/>
            <w:noWrap/>
          </w:tcPr>
          <w:p w:rsidR="00D6268A"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92D050"/>
          </w:tcPr>
          <w:p w:rsidR="00D6268A" w:rsidRDefault="00A87E44" w:rsidP="00CD1FD5">
            <w:pPr>
              <w:keepLines/>
              <w:spacing w:before="0" w:after="0" w:line="200" w:lineRule="atLeast"/>
              <w:jc w:val="center"/>
              <w:rPr>
                <w:rFonts w:eastAsia="Times New Roman"/>
                <w:iCs/>
                <w:szCs w:val="17"/>
              </w:rPr>
            </w:pPr>
            <w:r>
              <w:rPr>
                <w:rFonts w:eastAsia="Times New Roman"/>
                <w:iCs/>
                <w:szCs w:val="17"/>
              </w:rPr>
              <w:t>5</w:t>
            </w:r>
          </w:p>
        </w:tc>
      </w:tr>
      <w:tr w:rsidR="00165462"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ign w:val="center"/>
          </w:tcPr>
          <w:p w:rsidR="00D6268A" w:rsidRPr="001F73D8" w:rsidRDefault="00D6268A" w:rsidP="00CD1FD5">
            <w:pPr>
              <w:keepLines/>
              <w:spacing w:before="0" w:after="0" w:line="200" w:lineRule="atLeast"/>
              <w:rPr>
                <w:rFonts w:asciiTheme="minorHAnsi" w:eastAsia="Times New Roman" w:hAnsiTheme="minorHAnsi"/>
                <w:iCs/>
                <w:szCs w:val="17"/>
                <w:lang w:eastAsia="en-US"/>
              </w:rPr>
            </w:pPr>
          </w:p>
        </w:tc>
        <w:tc>
          <w:tcPr>
            <w:tcW w:w="650" w:type="pct"/>
            <w:vMerge/>
            <w:vAlign w:val="center"/>
          </w:tcPr>
          <w:p w:rsidR="00D6268A" w:rsidRPr="00D6268A" w:rsidRDefault="00D6268A" w:rsidP="00CD1FD5">
            <w:pPr>
              <w:keepLines/>
              <w:spacing w:before="0" w:after="0" w:line="200" w:lineRule="atLeast"/>
              <w:rPr>
                <w:rFonts w:eastAsia="Times New Roman"/>
                <w:iCs/>
                <w:szCs w:val="17"/>
              </w:rPr>
            </w:pPr>
          </w:p>
        </w:tc>
        <w:tc>
          <w:tcPr>
            <w:tcW w:w="474" w:type="pct"/>
          </w:tcPr>
          <w:p w:rsidR="00D6268A" w:rsidRPr="00D6268A" w:rsidRDefault="00D6268A" w:rsidP="00CD1FD5">
            <w:pPr>
              <w:keepLines/>
              <w:spacing w:before="0" w:after="0" w:line="200" w:lineRule="atLeast"/>
              <w:rPr>
                <w:rFonts w:asciiTheme="minorHAnsi" w:eastAsia="Times New Roman" w:hAnsiTheme="minorHAnsi"/>
                <w:iCs/>
                <w:szCs w:val="17"/>
                <w:lang w:eastAsia="en-US"/>
              </w:rPr>
            </w:pPr>
            <w:r w:rsidRPr="00D6268A">
              <w:rPr>
                <w:rFonts w:asciiTheme="minorHAnsi" w:eastAsia="Times New Roman" w:hAnsiTheme="minorHAnsi"/>
                <w:iCs/>
                <w:szCs w:val="17"/>
                <w:lang w:eastAsia="en-US"/>
              </w:rPr>
              <w:t>2015 AQC</w:t>
            </w:r>
          </w:p>
        </w:tc>
        <w:tc>
          <w:tcPr>
            <w:tcW w:w="332" w:type="pct"/>
            <w:shd w:val="clear" w:color="auto" w:fill="92D050"/>
            <w:noWrap/>
          </w:tcPr>
          <w:p w:rsidR="00D6268A" w:rsidRDefault="00D6268A"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92D050"/>
            <w:noWrap/>
          </w:tcPr>
          <w:p w:rsidR="00D6268A" w:rsidRDefault="00D6268A" w:rsidP="00CD1FD5">
            <w:pPr>
              <w:keepLines/>
              <w:spacing w:before="0" w:after="0" w:line="200" w:lineRule="atLeast"/>
              <w:jc w:val="center"/>
              <w:rPr>
                <w:rFonts w:eastAsia="Times New Roman"/>
                <w:iCs/>
                <w:szCs w:val="17"/>
              </w:rPr>
            </w:pPr>
            <w:r>
              <w:rPr>
                <w:rFonts w:eastAsia="Times New Roman"/>
                <w:iCs/>
                <w:szCs w:val="17"/>
              </w:rPr>
              <w:t>5</w:t>
            </w:r>
          </w:p>
        </w:tc>
        <w:tc>
          <w:tcPr>
            <w:tcW w:w="404" w:type="pct"/>
            <w:shd w:val="clear" w:color="auto" w:fill="92D050"/>
            <w:noWrap/>
          </w:tcPr>
          <w:p w:rsidR="00D6268A" w:rsidRDefault="00D6268A"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92D050"/>
            <w:noWrap/>
          </w:tcPr>
          <w:p w:rsidR="00D6268A" w:rsidRDefault="00D6268A" w:rsidP="00CD1FD5">
            <w:pPr>
              <w:keepLines/>
              <w:spacing w:before="0" w:after="0" w:line="200" w:lineRule="atLeast"/>
              <w:jc w:val="center"/>
              <w:rPr>
                <w:rFonts w:eastAsia="Times New Roman"/>
                <w:iCs/>
                <w:szCs w:val="17"/>
              </w:rPr>
            </w:pPr>
            <w:r>
              <w:rPr>
                <w:rFonts w:eastAsia="Times New Roman"/>
                <w:iCs/>
                <w:szCs w:val="17"/>
              </w:rPr>
              <w:t>5</w:t>
            </w:r>
          </w:p>
        </w:tc>
        <w:tc>
          <w:tcPr>
            <w:tcW w:w="405" w:type="pct"/>
            <w:shd w:val="clear" w:color="auto" w:fill="92D050"/>
            <w:noWrap/>
          </w:tcPr>
          <w:p w:rsidR="00D6268A" w:rsidRDefault="00D6268A" w:rsidP="00CD1FD5">
            <w:pPr>
              <w:keepLines/>
              <w:spacing w:before="0" w:after="0" w:line="200" w:lineRule="atLeast"/>
              <w:jc w:val="center"/>
              <w:rPr>
                <w:rFonts w:eastAsia="Times New Roman"/>
                <w:iCs/>
                <w:szCs w:val="17"/>
              </w:rPr>
            </w:pPr>
            <w:r>
              <w:rPr>
                <w:rFonts w:eastAsia="Times New Roman"/>
                <w:iCs/>
                <w:szCs w:val="17"/>
              </w:rPr>
              <w:t>6</w:t>
            </w:r>
          </w:p>
        </w:tc>
        <w:tc>
          <w:tcPr>
            <w:tcW w:w="402" w:type="pct"/>
            <w:shd w:val="clear" w:color="auto" w:fill="FFFF00"/>
            <w:noWrap/>
          </w:tcPr>
          <w:p w:rsidR="00D6268A" w:rsidRDefault="00D6268A"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92D050"/>
          </w:tcPr>
          <w:p w:rsidR="00D6268A" w:rsidRDefault="00D6268A" w:rsidP="00CD1FD5">
            <w:pPr>
              <w:keepLines/>
              <w:spacing w:before="0" w:after="0" w:line="200" w:lineRule="atLeast"/>
              <w:jc w:val="center"/>
              <w:rPr>
                <w:rFonts w:eastAsia="Times New Roman"/>
                <w:iCs/>
                <w:szCs w:val="17"/>
              </w:rPr>
            </w:pPr>
            <w:r>
              <w:rPr>
                <w:rFonts w:eastAsia="Times New Roman"/>
                <w:iCs/>
                <w:szCs w:val="17"/>
              </w:rPr>
              <w:t>5</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Samoa Disability Program</w:t>
            </w:r>
          </w:p>
        </w:tc>
        <w:tc>
          <w:tcPr>
            <w:tcW w:w="650"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$6,481,847.57 2012-18</w:t>
            </w: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2016 AQC</w:t>
            </w:r>
          </w:p>
        </w:tc>
        <w:tc>
          <w:tcPr>
            <w:tcW w:w="332" w:type="pct"/>
            <w:shd w:val="clear" w:color="auto" w:fill="92D050"/>
            <w:noWrap/>
          </w:tcPr>
          <w:p w:rsidR="00CF4B63" w:rsidRDefault="00F1219A"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92D050"/>
            <w:noWrap/>
          </w:tcPr>
          <w:p w:rsidR="00CF4B63" w:rsidRDefault="00F1219A" w:rsidP="00CD1FD5">
            <w:pPr>
              <w:keepLines/>
              <w:spacing w:before="0" w:after="0" w:line="200" w:lineRule="atLeast"/>
              <w:jc w:val="center"/>
              <w:rPr>
                <w:rFonts w:eastAsia="Times New Roman"/>
                <w:iCs/>
                <w:szCs w:val="17"/>
              </w:rPr>
            </w:pPr>
            <w:r>
              <w:rPr>
                <w:rFonts w:eastAsia="Times New Roman"/>
                <w:iCs/>
                <w:szCs w:val="17"/>
              </w:rPr>
              <w:t>5</w:t>
            </w:r>
          </w:p>
        </w:tc>
        <w:tc>
          <w:tcPr>
            <w:tcW w:w="404" w:type="pct"/>
            <w:shd w:val="clear" w:color="auto" w:fill="FFFF00"/>
            <w:noWrap/>
          </w:tcPr>
          <w:p w:rsidR="00CF4B63" w:rsidRDefault="00F1219A"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FF00"/>
            <w:noWrap/>
          </w:tcPr>
          <w:p w:rsidR="00CF4B63" w:rsidRDefault="00F1219A" w:rsidP="00CD1FD5">
            <w:pPr>
              <w:keepLines/>
              <w:spacing w:before="0" w:after="0" w:line="200" w:lineRule="atLeast"/>
              <w:jc w:val="center"/>
              <w:rPr>
                <w:rFonts w:eastAsia="Times New Roman"/>
                <w:iCs/>
                <w:szCs w:val="17"/>
              </w:rPr>
            </w:pPr>
            <w:r>
              <w:rPr>
                <w:rFonts w:eastAsia="Times New Roman"/>
                <w:iCs/>
                <w:szCs w:val="17"/>
              </w:rPr>
              <w:t>4</w:t>
            </w:r>
          </w:p>
        </w:tc>
        <w:tc>
          <w:tcPr>
            <w:tcW w:w="405" w:type="pct"/>
            <w:shd w:val="clear" w:color="auto" w:fill="FFFF00"/>
            <w:noWrap/>
          </w:tcPr>
          <w:p w:rsidR="00CF4B63" w:rsidRDefault="00F1219A" w:rsidP="00CD1FD5">
            <w:pPr>
              <w:keepLines/>
              <w:spacing w:before="0" w:after="0" w:line="200" w:lineRule="atLeast"/>
              <w:jc w:val="center"/>
              <w:rPr>
                <w:rFonts w:eastAsia="Times New Roman"/>
                <w:iCs/>
                <w:szCs w:val="17"/>
              </w:rPr>
            </w:pPr>
            <w:r>
              <w:rPr>
                <w:rFonts w:eastAsia="Times New Roman"/>
                <w:iCs/>
                <w:szCs w:val="17"/>
              </w:rPr>
              <w:t>4</w:t>
            </w:r>
          </w:p>
        </w:tc>
        <w:tc>
          <w:tcPr>
            <w:tcW w:w="402" w:type="pct"/>
            <w:shd w:val="clear" w:color="auto" w:fill="FFFF00"/>
            <w:noWrap/>
          </w:tcPr>
          <w:p w:rsidR="00CF4B63" w:rsidRDefault="00F1219A"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FF00"/>
          </w:tcPr>
          <w:p w:rsidR="00CF4B63" w:rsidRDefault="00F1219A" w:rsidP="00CD1FD5">
            <w:pPr>
              <w:keepLines/>
              <w:spacing w:before="0" w:after="0" w:line="200" w:lineRule="atLeast"/>
              <w:jc w:val="center"/>
              <w:rPr>
                <w:rFonts w:eastAsia="Times New Roman"/>
                <w:iCs/>
                <w:szCs w:val="17"/>
              </w:rPr>
            </w:pPr>
            <w:r>
              <w:rPr>
                <w:rFonts w:eastAsia="Times New Roman"/>
                <w:iCs/>
                <w:szCs w:val="17"/>
              </w:rPr>
              <w:t>4</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650"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2015 AQC</w:t>
            </w:r>
          </w:p>
        </w:tc>
        <w:tc>
          <w:tcPr>
            <w:tcW w:w="332"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66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3</w:t>
            </w:r>
          </w:p>
        </w:tc>
        <w:tc>
          <w:tcPr>
            <w:tcW w:w="401"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5"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2"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FF00"/>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Health Program</w:t>
            </w:r>
          </w:p>
        </w:tc>
        <w:tc>
          <w:tcPr>
            <w:tcW w:w="650"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$9,200,000.04 (2013-22)</w:t>
            </w: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2016 AQC</w:t>
            </w:r>
          </w:p>
        </w:tc>
        <w:tc>
          <w:tcPr>
            <w:tcW w:w="332" w:type="pct"/>
            <w:shd w:val="clear" w:color="auto" w:fill="92D050"/>
            <w:noWrap/>
          </w:tcPr>
          <w:p w:rsidR="00CF4B63" w:rsidRDefault="007E157D"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7E157D"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7E157D"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FF00"/>
            <w:noWrap/>
          </w:tcPr>
          <w:p w:rsidR="00CF4B63" w:rsidRDefault="007E157D" w:rsidP="00CD1FD5">
            <w:pPr>
              <w:keepLines/>
              <w:spacing w:before="0" w:after="0" w:line="200" w:lineRule="atLeast"/>
              <w:jc w:val="center"/>
              <w:rPr>
                <w:rFonts w:eastAsia="Times New Roman"/>
                <w:iCs/>
                <w:szCs w:val="17"/>
              </w:rPr>
            </w:pPr>
            <w:r>
              <w:rPr>
                <w:rFonts w:eastAsia="Times New Roman"/>
                <w:iCs/>
                <w:szCs w:val="17"/>
              </w:rPr>
              <w:t>4</w:t>
            </w:r>
          </w:p>
        </w:tc>
        <w:tc>
          <w:tcPr>
            <w:tcW w:w="405" w:type="pct"/>
            <w:shd w:val="clear" w:color="auto" w:fill="92D050"/>
            <w:noWrap/>
          </w:tcPr>
          <w:p w:rsidR="00CF4B63" w:rsidRDefault="007E157D" w:rsidP="00CD1FD5">
            <w:pPr>
              <w:keepLines/>
              <w:spacing w:before="0" w:after="0" w:line="200" w:lineRule="atLeast"/>
              <w:jc w:val="center"/>
              <w:rPr>
                <w:rFonts w:eastAsia="Times New Roman"/>
                <w:iCs/>
                <w:szCs w:val="17"/>
              </w:rPr>
            </w:pPr>
            <w:r>
              <w:rPr>
                <w:rFonts w:eastAsia="Times New Roman"/>
                <w:iCs/>
                <w:szCs w:val="17"/>
              </w:rPr>
              <w:t>5</w:t>
            </w:r>
          </w:p>
        </w:tc>
        <w:tc>
          <w:tcPr>
            <w:tcW w:w="402" w:type="pct"/>
            <w:shd w:val="clear" w:color="auto" w:fill="FFFF00"/>
            <w:noWrap/>
          </w:tcPr>
          <w:p w:rsidR="00CF4B63" w:rsidRDefault="007E157D"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FF00"/>
          </w:tcPr>
          <w:p w:rsidR="00CF4B63" w:rsidRDefault="007E157D" w:rsidP="00CD1FD5">
            <w:pPr>
              <w:keepLines/>
              <w:spacing w:before="0" w:after="0" w:line="200" w:lineRule="atLeast"/>
              <w:jc w:val="center"/>
              <w:rPr>
                <w:rFonts w:eastAsia="Times New Roman"/>
                <w:iCs/>
                <w:szCs w:val="17"/>
              </w:rPr>
            </w:pPr>
            <w:r>
              <w:rPr>
                <w:rFonts w:eastAsia="Times New Roman"/>
                <w:iCs/>
                <w:szCs w:val="17"/>
              </w:rPr>
              <w:t>4</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650"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2015 AQC</w:t>
            </w:r>
          </w:p>
        </w:tc>
        <w:tc>
          <w:tcPr>
            <w:tcW w:w="332"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66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3</w:t>
            </w:r>
          </w:p>
        </w:tc>
        <w:tc>
          <w:tcPr>
            <w:tcW w:w="404"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5"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2"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FF00"/>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Samoa Education Sector Program</w:t>
            </w:r>
          </w:p>
        </w:tc>
        <w:tc>
          <w:tcPr>
            <w:tcW w:w="650"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$2,363,235.60 (2011-1</w:t>
            </w:r>
            <w:r w:rsidR="00CD2D88">
              <w:rPr>
                <w:rFonts w:asciiTheme="minorHAnsi" w:eastAsia="Times New Roman" w:hAnsiTheme="minorHAnsi"/>
                <w:iCs/>
                <w:szCs w:val="17"/>
                <w:lang w:eastAsia="en-US"/>
              </w:rPr>
              <w:t>9</w:t>
            </w:r>
            <w:r w:rsidRPr="00CF4B63">
              <w:rPr>
                <w:rFonts w:asciiTheme="minorHAnsi" w:eastAsia="Times New Roman" w:hAnsiTheme="minorHAnsi"/>
                <w:iCs/>
                <w:szCs w:val="17"/>
                <w:lang w:eastAsia="en-US"/>
              </w:rPr>
              <w:t>)</w:t>
            </w: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2016 AQC</w:t>
            </w:r>
          </w:p>
        </w:tc>
        <w:tc>
          <w:tcPr>
            <w:tcW w:w="332" w:type="pct"/>
            <w:shd w:val="clear" w:color="auto" w:fill="92D050"/>
            <w:noWrap/>
          </w:tcPr>
          <w:p w:rsidR="00CF4B63" w:rsidRDefault="00CD2D88"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CD2D88"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CD2D88"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FF00"/>
            <w:noWrap/>
          </w:tcPr>
          <w:p w:rsidR="00CF4B63" w:rsidRDefault="00CD2D88" w:rsidP="00CD1FD5">
            <w:pPr>
              <w:keepLines/>
              <w:spacing w:before="0" w:after="0" w:line="200" w:lineRule="atLeast"/>
              <w:jc w:val="center"/>
              <w:rPr>
                <w:rFonts w:eastAsia="Times New Roman"/>
                <w:iCs/>
                <w:szCs w:val="17"/>
              </w:rPr>
            </w:pPr>
            <w:r>
              <w:rPr>
                <w:rFonts w:eastAsia="Times New Roman"/>
                <w:iCs/>
                <w:szCs w:val="17"/>
              </w:rPr>
              <w:t>4</w:t>
            </w:r>
          </w:p>
        </w:tc>
        <w:tc>
          <w:tcPr>
            <w:tcW w:w="405" w:type="pct"/>
            <w:shd w:val="clear" w:color="auto" w:fill="FFFF00"/>
            <w:noWrap/>
          </w:tcPr>
          <w:p w:rsidR="00CF4B63" w:rsidRDefault="00CD2D88" w:rsidP="00CD1FD5">
            <w:pPr>
              <w:keepLines/>
              <w:spacing w:before="0" w:after="0" w:line="200" w:lineRule="atLeast"/>
              <w:jc w:val="center"/>
              <w:rPr>
                <w:rFonts w:eastAsia="Times New Roman"/>
                <w:iCs/>
                <w:szCs w:val="17"/>
              </w:rPr>
            </w:pPr>
            <w:r>
              <w:rPr>
                <w:rFonts w:eastAsia="Times New Roman"/>
                <w:iCs/>
                <w:szCs w:val="17"/>
              </w:rPr>
              <w:t>4</w:t>
            </w:r>
          </w:p>
        </w:tc>
        <w:tc>
          <w:tcPr>
            <w:tcW w:w="402" w:type="pct"/>
            <w:shd w:val="clear" w:color="auto" w:fill="FFFF00"/>
            <w:noWrap/>
          </w:tcPr>
          <w:p w:rsidR="00CF4B63" w:rsidRDefault="00CD2D88"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92D050"/>
          </w:tcPr>
          <w:p w:rsidR="00CF4B63" w:rsidRDefault="00CD2D88" w:rsidP="00CD1FD5">
            <w:pPr>
              <w:keepLines/>
              <w:spacing w:before="0" w:after="0" w:line="200" w:lineRule="atLeast"/>
              <w:jc w:val="center"/>
              <w:rPr>
                <w:rFonts w:eastAsia="Times New Roman"/>
                <w:iCs/>
                <w:szCs w:val="17"/>
              </w:rPr>
            </w:pPr>
            <w:r>
              <w:rPr>
                <w:rFonts w:eastAsia="Times New Roman"/>
                <w:iCs/>
                <w:szCs w:val="17"/>
              </w:rPr>
              <w:t>5</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650"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2015 AQC</w:t>
            </w:r>
          </w:p>
        </w:tc>
        <w:tc>
          <w:tcPr>
            <w:tcW w:w="332"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6</w:t>
            </w:r>
          </w:p>
        </w:tc>
        <w:tc>
          <w:tcPr>
            <w:tcW w:w="401"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5"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2"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92D050"/>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r>
      <w:tr w:rsidR="00CF4B63" w:rsidRPr="00D6268A" w:rsidTr="003A3706">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Samoa Inclusive Education Demonstration Program</w:t>
            </w:r>
          </w:p>
        </w:tc>
        <w:tc>
          <w:tcPr>
            <w:tcW w:w="650"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$6,101,730.16 (2009-18)</w:t>
            </w: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2016 AQC</w:t>
            </w:r>
          </w:p>
        </w:tc>
        <w:tc>
          <w:tcPr>
            <w:tcW w:w="332" w:type="pct"/>
            <w:shd w:val="clear" w:color="auto" w:fill="92D050"/>
            <w:noWrap/>
          </w:tcPr>
          <w:p w:rsidR="00CF4B63" w:rsidRDefault="00B259AE"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B259AE"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6600"/>
            <w:noWrap/>
          </w:tcPr>
          <w:p w:rsidR="00CF4B63" w:rsidRDefault="008C2880" w:rsidP="00CD1FD5">
            <w:pPr>
              <w:keepLines/>
              <w:spacing w:before="0" w:after="0" w:line="200" w:lineRule="atLeast"/>
              <w:jc w:val="center"/>
              <w:rPr>
                <w:rFonts w:eastAsia="Times New Roman"/>
                <w:iCs/>
                <w:szCs w:val="17"/>
              </w:rPr>
            </w:pPr>
            <w:r>
              <w:rPr>
                <w:rFonts w:eastAsia="Times New Roman"/>
                <w:iCs/>
                <w:szCs w:val="17"/>
              </w:rPr>
              <w:t>3</w:t>
            </w:r>
          </w:p>
        </w:tc>
        <w:tc>
          <w:tcPr>
            <w:tcW w:w="401" w:type="pct"/>
            <w:shd w:val="clear" w:color="auto" w:fill="FF0000"/>
            <w:noWrap/>
          </w:tcPr>
          <w:p w:rsidR="00CF4B63" w:rsidRDefault="00B259AE" w:rsidP="00CD1FD5">
            <w:pPr>
              <w:keepLines/>
              <w:spacing w:before="0" w:after="0" w:line="200" w:lineRule="atLeast"/>
              <w:jc w:val="center"/>
              <w:rPr>
                <w:rFonts w:eastAsia="Times New Roman"/>
                <w:iCs/>
                <w:szCs w:val="17"/>
              </w:rPr>
            </w:pPr>
            <w:r>
              <w:rPr>
                <w:rFonts w:eastAsia="Times New Roman"/>
                <w:iCs/>
                <w:szCs w:val="17"/>
              </w:rPr>
              <w:t>2</w:t>
            </w:r>
          </w:p>
        </w:tc>
        <w:tc>
          <w:tcPr>
            <w:tcW w:w="405" w:type="pct"/>
            <w:shd w:val="clear" w:color="auto" w:fill="FF6600"/>
            <w:noWrap/>
          </w:tcPr>
          <w:p w:rsidR="00CF4B63" w:rsidRDefault="00B259AE" w:rsidP="00CD1FD5">
            <w:pPr>
              <w:keepLines/>
              <w:spacing w:before="0" w:after="0" w:line="200" w:lineRule="atLeast"/>
              <w:jc w:val="center"/>
              <w:rPr>
                <w:rFonts w:eastAsia="Times New Roman"/>
                <w:iCs/>
                <w:szCs w:val="17"/>
              </w:rPr>
            </w:pPr>
            <w:r>
              <w:rPr>
                <w:rFonts w:eastAsia="Times New Roman"/>
                <w:iCs/>
                <w:szCs w:val="17"/>
              </w:rPr>
              <w:t>3</w:t>
            </w:r>
          </w:p>
        </w:tc>
        <w:tc>
          <w:tcPr>
            <w:tcW w:w="402" w:type="pct"/>
            <w:shd w:val="clear" w:color="auto" w:fill="FFFF00"/>
            <w:noWrap/>
          </w:tcPr>
          <w:p w:rsidR="00CF4B63" w:rsidRDefault="00B259AE"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6600"/>
          </w:tcPr>
          <w:p w:rsidR="00CF4B63" w:rsidRDefault="00B259AE" w:rsidP="00CD1FD5">
            <w:pPr>
              <w:keepLines/>
              <w:spacing w:before="0" w:after="0" w:line="200" w:lineRule="atLeast"/>
              <w:jc w:val="center"/>
              <w:rPr>
                <w:rFonts w:eastAsia="Times New Roman"/>
                <w:iCs/>
                <w:szCs w:val="17"/>
              </w:rPr>
            </w:pPr>
            <w:r>
              <w:rPr>
                <w:rFonts w:eastAsia="Times New Roman"/>
                <w:iCs/>
                <w:szCs w:val="17"/>
              </w:rPr>
              <w:t>3</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16"/>
        </w:trPr>
        <w:tc>
          <w:tcPr>
            <w:tcW w:w="976"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650"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2015 AQC</w:t>
            </w:r>
          </w:p>
        </w:tc>
        <w:tc>
          <w:tcPr>
            <w:tcW w:w="332"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00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2</w:t>
            </w:r>
          </w:p>
        </w:tc>
        <w:tc>
          <w:tcPr>
            <w:tcW w:w="405" w:type="pct"/>
            <w:shd w:val="clear" w:color="auto" w:fill="FF66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3</w:t>
            </w:r>
          </w:p>
        </w:tc>
        <w:tc>
          <w:tcPr>
            <w:tcW w:w="402"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6600"/>
          </w:tcPr>
          <w:p w:rsidR="00CF4B63" w:rsidRDefault="00CF4B63" w:rsidP="00CD1FD5">
            <w:pPr>
              <w:keepLines/>
              <w:spacing w:before="0" w:after="0" w:line="200" w:lineRule="atLeast"/>
              <w:jc w:val="center"/>
              <w:rPr>
                <w:rFonts w:eastAsia="Times New Roman"/>
                <w:iCs/>
                <w:szCs w:val="17"/>
              </w:rPr>
            </w:pPr>
            <w:r>
              <w:rPr>
                <w:rFonts w:eastAsia="Times New Roman"/>
                <w:iCs/>
                <w:szCs w:val="17"/>
              </w:rPr>
              <w:t>3</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Samoa Cyclone Evan Response &amp; Recovery Program</w:t>
            </w:r>
          </w:p>
        </w:tc>
        <w:tc>
          <w:tcPr>
            <w:tcW w:w="650"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$8,116,513.909 (2012-16)</w:t>
            </w: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2016 AQC</w:t>
            </w:r>
          </w:p>
        </w:tc>
        <w:tc>
          <w:tcPr>
            <w:tcW w:w="332" w:type="pct"/>
            <w:shd w:val="clear" w:color="auto" w:fill="92D05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66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3</w:t>
            </w:r>
          </w:p>
        </w:tc>
        <w:tc>
          <w:tcPr>
            <w:tcW w:w="405" w:type="pct"/>
            <w:shd w:val="clear" w:color="auto" w:fill="FFFF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402" w:type="pct"/>
            <w:shd w:val="clear" w:color="auto" w:fill="FFFF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FF00"/>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r>
      <w:tr w:rsidR="00725075"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650" w:type="pct"/>
            <w:vMerge/>
          </w:tcPr>
          <w:p w:rsidR="00CF4B63" w:rsidRPr="001F73D8" w:rsidRDefault="00CF4B63" w:rsidP="00CD1FD5">
            <w:pPr>
              <w:keepLines/>
              <w:spacing w:before="0" w:after="0" w:line="200" w:lineRule="atLeast"/>
              <w:rPr>
                <w:rFonts w:asciiTheme="minorHAnsi" w:eastAsia="Times New Roman" w:hAnsiTheme="minorHAnsi"/>
                <w:iCs/>
                <w:szCs w:val="17"/>
                <w:lang w:eastAsia="en-US"/>
              </w:rPr>
            </w:pP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2015 AQC</w:t>
            </w:r>
          </w:p>
        </w:tc>
        <w:tc>
          <w:tcPr>
            <w:tcW w:w="332"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4"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1"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5" w:type="pct"/>
            <w:shd w:val="clear" w:color="auto" w:fill="92D05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5</w:t>
            </w:r>
          </w:p>
        </w:tc>
        <w:tc>
          <w:tcPr>
            <w:tcW w:w="402" w:type="pct"/>
            <w:shd w:val="clear" w:color="auto" w:fill="FFFF00"/>
            <w:noWrap/>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c>
          <w:tcPr>
            <w:tcW w:w="399" w:type="pct"/>
            <w:shd w:val="clear" w:color="auto" w:fill="FFFF00"/>
          </w:tcPr>
          <w:p w:rsidR="00CF4B63" w:rsidRDefault="00CF4B63" w:rsidP="00CD1FD5">
            <w:pPr>
              <w:keepLines/>
              <w:spacing w:before="0" w:after="0" w:line="200" w:lineRule="atLeast"/>
              <w:jc w:val="center"/>
              <w:rPr>
                <w:rFonts w:eastAsia="Times New Roman"/>
                <w:iCs/>
                <w:szCs w:val="17"/>
              </w:rPr>
            </w:pPr>
            <w:r>
              <w:rPr>
                <w:rFonts w:eastAsia="Times New Roman"/>
                <w:iCs/>
                <w:szCs w:val="17"/>
              </w:rPr>
              <w:t>4</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Samoa Climate Change Adaption</w:t>
            </w:r>
          </w:p>
        </w:tc>
        <w:tc>
          <w:tcPr>
            <w:tcW w:w="650" w:type="pct"/>
            <w:vMerge w:val="restar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CF4B63">
              <w:rPr>
                <w:rFonts w:asciiTheme="minorHAnsi" w:eastAsia="Times New Roman" w:hAnsiTheme="minorHAnsi"/>
                <w:iCs/>
                <w:szCs w:val="17"/>
                <w:lang w:eastAsia="en-US"/>
              </w:rPr>
              <w:t>$1,937,710.08 (2011-16)</w:t>
            </w:r>
          </w:p>
        </w:tc>
        <w:tc>
          <w:tcPr>
            <w:tcW w:w="474" w:type="pct"/>
          </w:tcPr>
          <w:p w:rsidR="00CF4B63" w:rsidRPr="00CF4B63" w:rsidRDefault="00CF4B63" w:rsidP="00CD1FD5">
            <w:pPr>
              <w:keepLines/>
              <w:spacing w:before="0" w:after="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2016 AQC</w:t>
            </w:r>
          </w:p>
        </w:tc>
        <w:tc>
          <w:tcPr>
            <w:tcW w:w="332" w:type="pct"/>
            <w:shd w:val="clear" w:color="auto" w:fill="FFFF00"/>
            <w:noWrap/>
          </w:tcPr>
          <w:p w:rsidR="00CF4B63" w:rsidRDefault="00753E42"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FF00"/>
            <w:noWrap/>
          </w:tcPr>
          <w:p w:rsidR="00CF4B63" w:rsidRDefault="00753E42" w:rsidP="00CD1FD5">
            <w:pPr>
              <w:keepLines/>
              <w:spacing w:before="0" w:after="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753E42" w:rsidP="00CD1FD5">
            <w:pPr>
              <w:keepLines/>
              <w:spacing w:before="0" w:after="0" w:line="200" w:lineRule="atLeast"/>
              <w:jc w:val="center"/>
              <w:rPr>
                <w:rFonts w:eastAsia="Times New Roman"/>
                <w:iCs/>
                <w:szCs w:val="17"/>
              </w:rPr>
            </w:pPr>
            <w:r>
              <w:rPr>
                <w:rFonts w:eastAsia="Times New Roman"/>
                <w:iCs/>
                <w:szCs w:val="17"/>
              </w:rPr>
              <w:t>4</w:t>
            </w:r>
          </w:p>
        </w:tc>
        <w:tc>
          <w:tcPr>
            <w:tcW w:w="401" w:type="pct"/>
            <w:shd w:val="clear" w:color="auto" w:fill="FF6600"/>
            <w:noWrap/>
          </w:tcPr>
          <w:p w:rsidR="00CF4B63" w:rsidRDefault="00753E42" w:rsidP="00CD1FD5">
            <w:pPr>
              <w:keepLines/>
              <w:spacing w:before="0" w:after="0" w:line="200" w:lineRule="atLeast"/>
              <w:jc w:val="center"/>
              <w:rPr>
                <w:rFonts w:eastAsia="Times New Roman"/>
                <w:iCs/>
                <w:szCs w:val="17"/>
              </w:rPr>
            </w:pPr>
            <w:r>
              <w:rPr>
                <w:rFonts w:eastAsia="Times New Roman"/>
                <w:iCs/>
                <w:szCs w:val="17"/>
              </w:rPr>
              <w:t>3</w:t>
            </w:r>
          </w:p>
        </w:tc>
        <w:tc>
          <w:tcPr>
            <w:tcW w:w="405" w:type="pct"/>
            <w:shd w:val="clear" w:color="auto" w:fill="FFFF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c>
          <w:tcPr>
            <w:tcW w:w="402" w:type="pct"/>
            <w:shd w:val="clear" w:color="auto" w:fill="FF6600"/>
            <w:noWrap/>
          </w:tcPr>
          <w:p w:rsidR="00CF4B63" w:rsidRDefault="00A87E44" w:rsidP="00CD1FD5">
            <w:pPr>
              <w:keepLines/>
              <w:spacing w:before="0" w:after="0" w:line="200" w:lineRule="atLeast"/>
              <w:jc w:val="center"/>
              <w:rPr>
                <w:rFonts w:eastAsia="Times New Roman"/>
                <w:iCs/>
                <w:szCs w:val="17"/>
              </w:rPr>
            </w:pPr>
            <w:r>
              <w:rPr>
                <w:rFonts w:eastAsia="Times New Roman"/>
                <w:iCs/>
                <w:szCs w:val="17"/>
              </w:rPr>
              <w:t>3</w:t>
            </w:r>
          </w:p>
        </w:tc>
        <w:tc>
          <w:tcPr>
            <w:tcW w:w="399" w:type="pct"/>
            <w:shd w:val="clear" w:color="auto" w:fill="FFFF00"/>
          </w:tcPr>
          <w:p w:rsidR="00CF4B63" w:rsidRDefault="00A87E44" w:rsidP="00CD1FD5">
            <w:pPr>
              <w:keepLines/>
              <w:spacing w:before="0" w:after="0" w:line="200" w:lineRule="atLeast"/>
              <w:jc w:val="center"/>
              <w:rPr>
                <w:rFonts w:eastAsia="Times New Roman"/>
                <w:iCs/>
                <w:szCs w:val="17"/>
              </w:rPr>
            </w:pPr>
            <w:r>
              <w:rPr>
                <w:rFonts w:eastAsia="Times New Roman"/>
                <w:iCs/>
                <w:szCs w:val="17"/>
              </w:rPr>
              <w:t>4</w:t>
            </w:r>
          </w:p>
        </w:tc>
      </w:tr>
      <w:tr w:rsidR="00CF4B63"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vMerge/>
          </w:tcPr>
          <w:p w:rsidR="00CF4B63" w:rsidRPr="001F73D8" w:rsidRDefault="00CF4B63" w:rsidP="00D15A00">
            <w:pPr>
              <w:keepLines/>
              <w:spacing w:before="40" w:after="40" w:line="200" w:lineRule="atLeast"/>
              <w:rPr>
                <w:rFonts w:asciiTheme="minorHAnsi" w:eastAsia="Times New Roman" w:hAnsiTheme="minorHAnsi"/>
                <w:iCs/>
                <w:szCs w:val="17"/>
                <w:lang w:eastAsia="en-US"/>
              </w:rPr>
            </w:pPr>
          </w:p>
        </w:tc>
        <w:tc>
          <w:tcPr>
            <w:tcW w:w="650" w:type="pct"/>
            <w:vMerge/>
          </w:tcPr>
          <w:p w:rsidR="00CF4B63" w:rsidRPr="001F73D8" w:rsidRDefault="00CF4B63" w:rsidP="00D15A00">
            <w:pPr>
              <w:keepLines/>
              <w:spacing w:before="40" w:after="40" w:line="200" w:lineRule="atLeast"/>
              <w:rPr>
                <w:rFonts w:asciiTheme="minorHAnsi" w:eastAsia="Times New Roman" w:hAnsiTheme="minorHAnsi"/>
                <w:iCs/>
                <w:szCs w:val="17"/>
                <w:lang w:eastAsia="en-US"/>
              </w:rPr>
            </w:pPr>
          </w:p>
        </w:tc>
        <w:tc>
          <w:tcPr>
            <w:tcW w:w="474" w:type="pct"/>
          </w:tcPr>
          <w:p w:rsidR="00CF4B63" w:rsidRPr="00CF4B63" w:rsidRDefault="00CF4B63" w:rsidP="00D15A00">
            <w:pPr>
              <w:keepLines/>
              <w:spacing w:before="40" w:after="40" w:line="200" w:lineRule="atLeast"/>
              <w:rPr>
                <w:rFonts w:asciiTheme="minorHAnsi" w:eastAsia="Times New Roman" w:hAnsiTheme="minorHAnsi"/>
                <w:iCs/>
                <w:szCs w:val="17"/>
                <w:lang w:eastAsia="en-US"/>
              </w:rPr>
            </w:pPr>
            <w:r w:rsidRPr="00A37FC3">
              <w:rPr>
                <w:rFonts w:asciiTheme="minorHAnsi" w:eastAsia="Times New Roman" w:hAnsiTheme="minorHAnsi"/>
                <w:iCs/>
                <w:szCs w:val="17"/>
                <w:lang w:eastAsia="en-US"/>
              </w:rPr>
              <w:t>2015 AQC</w:t>
            </w:r>
          </w:p>
        </w:tc>
        <w:tc>
          <w:tcPr>
            <w:tcW w:w="332" w:type="pct"/>
            <w:shd w:val="clear" w:color="auto" w:fill="92D050"/>
            <w:noWrap/>
          </w:tcPr>
          <w:p w:rsidR="00CF4B63" w:rsidRDefault="00CF4B63" w:rsidP="00CD1FD5">
            <w:pPr>
              <w:keepLines/>
              <w:spacing w:before="40" w:after="4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CF4B63" w:rsidRDefault="00CF4B63" w:rsidP="00CD1FD5">
            <w:pPr>
              <w:keepLines/>
              <w:spacing w:before="40" w:after="40" w:line="200" w:lineRule="atLeast"/>
              <w:jc w:val="center"/>
              <w:rPr>
                <w:rFonts w:eastAsia="Times New Roman"/>
                <w:iCs/>
                <w:szCs w:val="17"/>
              </w:rPr>
            </w:pPr>
            <w:r>
              <w:rPr>
                <w:rFonts w:eastAsia="Times New Roman"/>
                <w:iCs/>
                <w:szCs w:val="17"/>
              </w:rPr>
              <w:t>4</w:t>
            </w:r>
          </w:p>
        </w:tc>
        <w:tc>
          <w:tcPr>
            <w:tcW w:w="404" w:type="pct"/>
            <w:shd w:val="clear" w:color="auto" w:fill="FFFF00"/>
            <w:noWrap/>
          </w:tcPr>
          <w:p w:rsidR="00CF4B63" w:rsidRDefault="00CF4B63" w:rsidP="00CD1FD5">
            <w:pPr>
              <w:keepLines/>
              <w:spacing w:before="40" w:after="40" w:line="200" w:lineRule="atLeast"/>
              <w:jc w:val="center"/>
              <w:rPr>
                <w:rFonts w:eastAsia="Times New Roman"/>
                <w:iCs/>
                <w:szCs w:val="17"/>
              </w:rPr>
            </w:pPr>
            <w:r>
              <w:rPr>
                <w:rFonts w:eastAsia="Times New Roman"/>
                <w:iCs/>
                <w:szCs w:val="17"/>
              </w:rPr>
              <w:t>4</w:t>
            </w:r>
          </w:p>
        </w:tc>
        <w:tc>
          <w:tcPr>
            <w:tcW w:w="401" w:type="pct"/>
            <w:shd w:val="clear" w:color="auto" w:fill="FFFF00"/>
            <w:noWrap/>
          </w:tcPr>
          <w:p w:rsidR="00CF4B63" w:rsidRDefault="00CF4B63" w:rsidP="00CD1FD5">
            <w:pPr>
              <w:keepLines/>
              <w:spacing w:before="40" w:after="40" w:line="200" w:lineRule="atLeast"/>
              <w:jc w:val="center"/>
              <w:rPr>
                <w:rFonts w:eastAsia="Times New Roman"/>
                <w:iCs/>
                <w:szCs w:val="17"/>
              </w:rPr>
            </w:pPr>
            <w:r>
              <w:rPr>
                <w:rFonts w:eastAsia="Times New Roman"/>
                <w:iCs/>
                <w:szCs w:val="17"/>
              </w:rPr>
              <w:t>4</w:t>
            </w:r>
          </w:p>
        </w:tc>
        <w:tc>
          <w:tcPr>
            <w:tcW w:w="405" w:type="pct"/>
            <w:shd w:val="clear" w:color="auto" w:fill="92D050"/>
            <w:noWrap/>
          </w:tcPr>
          <w:p w:rsidR="00CF4B63" w:rsidRDefault="00CF4B63" w:rsidP="00CD1FD5">
            <w:pPr>
              <w:keepLines/>
              <w:spacing w:before="40" w:after="40" w:line="200" w:lineRule="atLeast"/>
              <w:jc w:val="center"/>
              <w:rPr>
                <w:rFonts w:eastAsia="Times New Roman"/>
                <w:iCs/>
                <w:szCs w:val="17"/>
              </w:rPr>
            </w:pPr>
            <w:r>
              <w:rPr>
                <w:rFonts w:eastAsia="Times New Roman"/>
                <w:iCs/>
                <w:szCs w:val="17"/>
              </w:rPr>
              <w:t>5</w:t>
            </w:r>
          </w:p>
        </w:tc>
        <w:tc>
          <w:tcPr>
            <w:tcW w:w="402" w:type="pct"/>
            <w:shd w:val="clear" w:color="auto" w:fill="FF6600"/>
            <w:noWrap/>
          </w:tcPr>
          <w:p w:rsidR="00CF4B63" w:rsidRDefault="00CF4B63" w:rsidP="00CD1FD5">
            <w:pPr>
              <w:keepLines/>
              <w:spacing w:before="40" w:after="40" w:line="200" w:lineRule="atLeast"/>
              <w:jc w:val="center"/>
              <w:rPr>
                <w:rFonts w:eastAsia="Times New Roman"/>
                <w:iCs/>
                <w:szCs w:val="17"/>
              </w:rPr>
            </w:pPr>
            <w:r>
              <w:rPr>
                <w:rFonts w:eastAsia="Times New Roman"/>
                <w:iCs/>
                <w:szCs w:val="17"/>
              </w:rPr>
              <w:t>3</w:t>
            </w:r>
          </w:p>
        </w:tc>
        <w:tc>
          <w:tcPr>
            <w:tcW w:w="399" w:type="pct"/>
            <w:shd w:val="clear" w:color="auto" w:fill="FFFF00"/>
          </w:tcPr>
          <w:p w:rsidR="00CF4B63" w:rsidRDefault="00CF4B63" w:rsidP="00CD1FD5">
            <w:pPr>
              <w:keepLines/>
              <w:spacing w:before="40" w:after="40" w:line="200" w:lineRule="atLeast"/>
              <w:jc w:val="center"/>
              <w:rPr>
                <w:rFonts w:eastAsia="Times New Roman"/>
                <w:iCs/>
                <w:szCs w:val="17"/>
              </w:rPr>
            </w:pPr>
            <w:r>
              <w:rPr>
                <w:rFonts w:eastAsia="Times New Roman"/>
                <w:iCs/>
                <w:szCs w:val="17"/>
              </w:rPr>
              <w:t>4</w:t>
            </w:r>
          </w:p>
        </w:tc>
      </w:tr>
      <w:tr w:rsidR="00165462" w:rsidRPr="00D6268A" w:rsidTr="00165462">
        <w:trPr>
          <w:cnfStyle w:val="000000010000" w:firstRow="0" w:lastRow="0" w:firstColumn="0" w:lastColumn="0" w:oddVBand="0" w:evenVBand="0" w:oddHBand="0" w:evenHBand="1" w:firstRowFirstColumn="0" w:firstRowLastColumn="0" w:lastRowFirstColumn="0" w:lastRowLastColumn="0"/>
          <w:trHeight w:val="241"/>
        </w:trPr>
        <w:tc>
          <w:tcPr>
            <w:tcW w:w="976" w:type="pct"/>
          </w:tcPr>
          <w:p w:rsidR="002540D8" w:rsidRPr="00434696" w:rsidRDefault="002540D8" w:rsidP="00434696">
            <w:pPr>
              <w:keepLines/>
              <w:spacing w:before="0" w:after="0" w:line="200" w:lineRule="atLeast"/>
              <w:rPr>
                <w:rFonts w:asciiTheme="minorHAnsi" w:eastAsia="Times New Roman" w:hAnsiTheme="minorHAnsi"/>
                <w:iCs/>
                <w:szCs w:val="17"/>
                <w:lang w:eastAsia="en-US"/>
              </w:rPr>
            </w:pPr>
            <w:r w:rsidRPr="00434696">
              <w:rPr>
                <w:rFonts w:asciiTheme="minorHAnsi" w:eastAsia="Times New Roman" w:hAnsiTheme="minorHAnsi"/>
                <w:iCs/>
                <w:szCs w:val="17"/>
                <w:lang w:eastAsia="en-US"/>
              </w:rPr>
              <w:t>Samoa Economic Reform Program</w:t>
            </w:r>
          </w:p>
        </w:tc>
        <w:tc>
          <w:tcPr>
            <w:tcW w:w="650" w:type="pct"/>
          </w:tcPr>
          <w:p w:rsidR="002540D8" w:rsidRPr="00434696" w:rsidRDefault="00434696" w:rsidP="00434696">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$5</w:t>
            </w:r>
            <w:r w:rsidR="002540D8" w:rsidRPr="00434696">
              <w:rPr>
                <w:rFonts w:asciiTheme="minorHAnsi" w:eastAsia="Times New Roman" w:hAnsiTheme="minorHAnsi"/>
                <w:iCs/>
                <w:szCs w:val="17"/>
                <w:lang w:eastAsia="en-US"/>
              </w:rPr>
              <w:t>,500,00</w:t>
            </w:r>
            <w:r>
              <w:rPr>
                <w:rFonts w:asciiTheme="minorHAnsi" w:eastAsia="Times New Roman" w:hAnsiTheme="minorHAnsi"/>
                <w:iCs/>
                <w:szCs w:val="17"/>
                <w:lang w:eastAsia="en-US"/>
              </w:rPr>
              <w:t>0</w:t>
            </w:r>
          </w:p>
          <w:p w:rsidR="002540D8" w:rsidRPr="00434696" w:rsidRDefault="00434696" w:rsidP="00434696">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(2013-2017</w:t>
            </w:r>
            <w:r w:rsidR="002540D8" w:rsidRPr="00434696">
              <w:rPr>
                <w:rFonts w:asciiTheme="minorHAnsi" w:eastAsia="Times New Roman" w:hAnsiTheme="minorHAnsi"/>
                <w:iCs/>
                <w:szCs w:val="17"/>
                <w:lang w:eastAsia="en-US"/>
              </w:rPr>
              <w:t>)</w:t>
            </w:r>
          </w:p>
        </w:tc>
        <w:tc>
          <w:tcPr>
            <w:tcW w:w="474" w:type="pct"/>
          </w:tcPr>
          <w:p w:rsidR="002540D8" w:rsidRPr="00A37FC3" w:rsidRDefault="002540D8" w:rsidP="00D15A00">
            <w:pPr>
              <w:keepLines/>
              <w:spacing w:before="40" w:after="40" w:line="200" w:lineRule="atLeast"/>
              <w:rPr>
                <w:rFonts w:eastAsia="Times New Roman"/>
                <w:iCs/>
                <w:szCs w:val="17"/>
              </w:rPr>
            </w:pPr>
            <w:r w:rsidRPr="00A37FC3">
              <w:rPr>
                <w:rFonts w:asciiTheme="minorHAnsi" w:eastAsia="Times New Roman" w:hAnsiTheme="minorHAnsi"/>
                <w:iCs/>
                <w:szCs w:val="17"/>
                <w:lang w:eastAsia="en-US"/>
              </w:rPr>
              <w:t>2016 AQC</w:t>
            </w:r>
          </w:p>
        </w:tc>
        <w:tc>
          <w:tcPr>
            <w:tcW w:w="332" w:type="pct"/>
            <w:shd w:val="clear" w:color="auto" w:fill="92D050"/>
            <w:noWrap/>
          </w:tcPr>
          <w:p w:rsidR="002540D8" w:rsidRDefault="00434696" w:rsidP="00CD1FD5">
            <w:pPr>
              <w:keepLines/>
              <w:spacing w:before="40" w:after="40" w:line="200" w:lineRule="atLeast"/>
              <w:jc w:val="center"/>
              <w:rPr>
                <w:rFonts w:eastAsia="Times New Roman"/>
                <w:iCs/>
                <w:szCs w:val="17"/>
              </w:rPr>
            </w:pPr>
            <w:r>
              <w:rPr>
                <w:rFonts w:eastAsia="Times New Roman"/>
                <w:iCs/>
                <w:szCs w:val="17"/>
              </w:rPr>
              <w:t>5</w:t>
            </w:r>
          </w:p>
        </w:tc>
        <w:tc>
          <w:tcPr>
            <w:tcW w:w="401" w:type="pct"/>
            <w:tcBorders>
              <w:bottom w:val="single" w:sz="12" w:space="0" w:color="000000" w:themeColor="text1"/>
            </w:tcBorders>
            <w:shd w:val="clear" w:color="auto" w:fill="92D050"/>
            <w:noWrap/>
          </w:tcPr>
          <w:p w:rsidR="002540D8" w:rsidRDefault="00434696" w:rsidP="00CD1FD5">
            <w:pPr>
              <w:keepLines/>
              <w:spacing w:before="40" w:after="40" w:line="200" w:lineRule="atLeast"/>
              <w:jc w:val="center"/>
              <w:rPr>
                <w:rFonts w:eastAsia="Times New Roman"/>
                <w:iCs/>
                <w:szCs w:val="17"/>
              </w:rPr>
            </w:pPr>
            <w:r>
              <w:rPr>
                <w:rFonts w:eastAsia="Times New Roman"/>
                <w:iCs/>
                <w:szCs w:val="17"/>
              </w:rPr>
              <w:t>5</w:t>
            </w:r>
          </w:p>
        </w:tc>
        <w:tc>
          <w:tcPr>
            <w:tcW w:w="404" w:type="pct"/>
            <w:tcBorders>
              <w:bottom w:val="single" w:sz="12" w:space="0" w:color="000000" w:themeColor="text1"/>
            </w:tcBorders>
            <w:shd w:val="clear" w:color="auto" w:fill="92D050"/>
            <w:noWrap/>
          </w:tcPr>
          <w:p w:rsidR="002540D8" w:rsidRDefault="00434696" w:rsidP="00CD1FD5">
            <w:pPr>
              <w:keepLines/>
              <w:spacing w:before="40" w:after="40" w:line="200" w:lineRule="atLeast"/>
              <w:jc w:val="center"/>
              <w:rPr>
                <w:rFonts w:eastAsia="Times New Roman"/>
                <w:iCs/>
                <w:szCs w:val="17"/>
              </w:rPr>
            </w:pPr>
            <w:r>
              <w:rPr>
                <w:rFonts w:eastAsia="Times New Roman"/>
                <w:iCs/>
                <w:szCs w:val="17"/>
              </w:rPr>
              <w:t>5</w:t>
            </w:r>
          </w:p>
        </w:tc>
        <w:tc>
          <w:tcPr>
            <w:tcW w:w="401" w:type="pct"/>
            <w:shd w:val="clear" w:color="auto" w:fill="FFFF00"/>
            <w:noWrap/>
          </w:tcPr>
          <w:p w:rsidR="002540D8" w:rsidRDefault="00434696" w:rsidP="00CD1FD5">
            <w:pPr>
              <w:keepLines/>
              <w:spacing w:before="40" w:after="40" w:line="200" w:lineRule="atLeast"/>
              <w:jc w:val="center"/>
              <w:rPr>
                <w:rFonts w:eastAsia="Times New Roman"/>
                <w:iCs/>
                <w:szCs w:val="17"/>
              </w:rPr>
            </w:pPr>
            <w:r>
              <w:rPr>
                <w:rFonts w:eastAsia="Times New Roman"/>
                <w:iCs/>
                <w:szCs w:val="17"/>
              </w:rPr>
              <w:t>4</w:t>
            </w:r>
          </w:p>
        </w:tc>
        <w:tc>
          <w:tcPr>
            <w:tcW w:w="405" w:type="pct"/>
            <w:shd w:val="clear" w:color="auto" w:fill="92D050"/>
            <w:noWrap/>
          </w:tcPr>
          <w:p w:rsidR="002540D8" w:rsidRDefault="00434696" w:rsidP="00CD1FD5">
            <w:pPr>
              <w:keepLines/>
              <w:spacing w:before="40" w:after="40" w:line="200" w:lineRule="atLeast"/>
              <w:jc w:val="center"/>
              <w:rPr>
                <w:rFonts w:eastAsia="Times New Roman"/>
                <w:iCs/>
                <w:szCs w:val="17"/>
              </w:rPr>
            </w:pPr>
            <w:r>
              <w:rPr>
                <w:rFonts w:eastAsia="Times New Roman"/>
                <w:iCs/>
                <w:szCs w:val="17"/>
              </w:rPr>
              <w:t>5</w:t>
            </w:r>
          </w:p>
        </w:tc>
        <w:tc>
          <w:tcPr>
            <w:tcW w:w="402" w:type="pct"/>
            <w:shd w:val="clear" w:color="auto" w:fill="FF6600"/>
            <w:noWrap/>
          </w:tcPr>
          <w:p w:rsidR="002540D8" w:rsidRDefault="00434696" w:rsidP="00CD1FD5">
            <w:pPr>
              <w:keepLines/>
              <w:spacing w:before="40" w:after="40" w:line="200" w:lineRule="atLeast"/>
              <w:jc w:val="center"/>
              <w:rPr>
                <w:rFonts w:eastAsia="Times New Roman"/>
                <w:iCs/>
                <w:szCs w:val="17"/>
              </w:rPr>
            </w:pPr>
            <w:r>
              <w:rPr>
                <w:rFonts w:eastAsia="Times New Roman"/>
                <w:iCs/>
                <w:szCs w:val="17"/>
              </w:rPr>
              <w:t>3</w:t>
            </w:r>
          </w:p>
        </w:tc>
        <w:tc>
          <w:tcPr>
            <w:tcW w:w="399" w:type="pct"/>
            <w:shd w:val="clear" w:color="auto" w:fill="FFFF00"/>
          </w:tcPr>
          <w:p w:rsidR="002540D8" w:rsidRDefault="00434696" w:rsidP="00CD1FD5">
            <w:pPr>
              <w:keepLines/>
              <w:spacing w:before="40" w:after="40" w:line="200" w:lineRule="atLeast"/>
              <w:jc w:val="center"/>
              <w:rPr>
                <w:rFonts w:eastAsia="Times New Roman"/>
                <w:iCs/>
                <w:szCs w:val="17"/>
              </w:rPr>
            </w:pPr>
            <w:r>
              <w:rPr>
                <w:rFonts w:eastAsia="Times New Roman"/>
                <w:iCs/>
                <w:szCs w:val="17"/>
              </w:rPr>
              <w:t>4</w:t>
            </w:r>
          </w:p>
        </w:tc>
      </w:tr>
    </w:tbl>
    <w:p w:rsidR="005E606B" w:rsidRPr="00D6268A" w:rsidRDefault="005E606B" w:rsidP="00D6268A">
      <w:pPr>
        <w:keepLines/>
        <w:spacing w:before="40" w:after="40" w:line="200" w:lineRule="atLeast"/>
        <w:rPr>
          <w:rFonts w:eastAsia="Times New Roman"/>
          <w:iCs/>
          <w:sz w:val="17"/>
          <w:szCs w:val="17"/>
        </w:rPr>
      </w:pPr>
    </w:p>
    <w:p w:rsidR="005E606B" w:rsidRPr="00C61187" w:rsidRDefault="005E606B" w:rsidP="005E606B">
      <w:pPr>
        <w:keepNext/>
        <w:numPr>
          <w:ilvl w:val="2"/>
          <w:numId w:val="0"/>
        </w:numPr>
        <w:spacing w:before="240" w:after="120"/>
        <w:outlineLvl w:val="2"/>
        <w:rPr>
          <w:rFonts w:ascii="Helvetica" w:eastAsia="Times New Roman" w:hAnsi="Helvetica" w:cs="Arial"/>
          <w:b/>
          <w:color w:val="124486"/>
          <w:kern w:val="28"/>
          <w:lang w:eastAsia="zh-CN"/>
        </w:rPr>
      </w:pPr>
      <w:r w:rsidRPr="00C61187">
        <w:rPr>
          <w:rFonts w:ascii="Helvetica" w:eastAsia="Times New Roman" w:hAnsi="Helvetica" w:cs="Arial"/>
          <w:b/>
          <w:color w:val="124486"/>
          <w:kern w:val="28"/>
          <w:lang w:eastAsia="zh-CN"/>
        </w:rPr>
        <w:br w:type="page"/>
      </w: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lastRenderedPageBreak/>
        <w:t xml:space="preserve">FAQC ratings </w:t>
      </w:r>
      <w:r w:rsidRPr="00A8197B">
        <w:rPr>
          <w:rStyle w:val="BodyTextChar"/>
          <w:rFonts w:asciiTheme="minorHAnsi" w:hAnsiTheme="minorHAnsi"/>
          <w:sz w:val="24"/>
          <w:lang w:val="en-GB" w:eastAsia="en-US"/>
        </w:rPr>
        <w:t>(include if relevant)</w:t>
      </w:r>
    </w:p>
    <w:p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71"/>
        <w:gridCol w:w="1284"/>
        <w:gridCol w:w="823"/>
        <w:gridCol w:w="821"/>
        <w:gridCol w:w="823"/>
        <w:gridCol w:w="821"/>
        <w:gridCol w:w="823"/>
        <w:gridCol w:w="821"/>
        <w:gridCol w:w="823"/>
        <w:gridCol w:w="828"/>
      </w:tblGrid>
      <w:tr w:rsidR="00A8197B" w:rsidRPr="003B0793" w:rsidTr="005D1239">
        <w:trPr>
          <w:cnfStyle w:val="000000010000" w:firstRow="0" w:lastRow="0" w:firstColumn="0" w:lastColumn="0" w:oddVBand="0" w:evenVBand="0" w:oddHBand="0" w:evenHBand="1" w:firstRowFirstColumn="0" w:firstRowLastColumn="0" w:lastRowFirstColumn="0" w:lastRowLastColumn="0"/>
          <w:trHeight w:val="1505"/>
        </w:trPr>
        <w:tc>
          <w:tcPr>
            <w:tcW w:w="897" w:type="pct"/>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2576" behindDoc="0" locked="0" layoutInCell="1" allowOverlap="1" wp14:anchorId="0A8477E5" wp14:editId="16F84690">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2"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3" w:type="pct"/>
            <w:noWrap/>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Overall rating</w:t>
            </w:r>
          </w:p>
        </w:tc>
        <w:tc>
          <w:tcPr>
            <w:tcW w:w="412" w:type="pct"/>
            <w:noWrap/>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3" w:type="pct"/>
            <w:noWrap/>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2" w:type="pct"/>
            <w:noWrap/>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3" w:type="pct"/>
            <w:noWrap/>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2" w:type="pct"/>
            <w:noWrap/>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3"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08"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A8197B" w:rsidRPr="003B0793" w:rsidTr="007E406E">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A8197B" w:rsidRPr="003B0793" w:rsidRDefault="00456C64" w:rsidP="00D15A00">
            <w:pPr>
              <w:keepLines/>
              <w:spacing w:before="40" w:after="40" w:line="200" w:lineRule="atLeast"/>
              <w:rPr>
                <w:rFonts w:asciiTheme="minorHAnsi" w:eastAsia="Times New Roman" w:hAnsiTheme="minorHAnsi"/>
                <w:iCs/>
                <w:szCs w:val="17"/>
                <w:lang w:eastAsia="en-US"/>
              </w:rPr>
            </w:pPr>
            <w:r w:rsidRPr="005B71ED">
              <w:rPr>
                <w:rFonts w:eastAsia="Times New Roman"/>
                <w:iCs/>
                <w:szCs w:val="17"/>
              </w:rPr>
              <w:t>Samoa Post-Tsunami Recovery &amp; Reconstruction</w:t>
            </w:r>
          </w:p>
        </w:tc>
        <w:tc>
          <w:tcPr>
            <w:tcW w:w="652" w:type="pct"/>
          </w:tcPr>
          <w:p w:rsidR="00A8197B" w:rsidRPr="005B71ED" w:rsidRDefault="00456C64" w:rsidP="005B71ED">
            <w:pPr>
              <w:autoSpaceDE w:val="0"/>
              <w:autoSpaceDN w:val="0"/>
              <w:adjustRightInd w:val="0"/>
              <w:rPr>
                <w:rFonts w:cs="Franklin Gothic Book"/>
                <w:color w:val="000000"/>
                <w:szCs w:val="17"/>
              </w:rPr>
            </w:pPr>
            <w:r w:rsidRPr="005B71ED">
              <w:rPr>
                <w:rFonts w:eastAsia="Times New Roman"/>
                <w:iCs/>
                <w:szCs w:val="17"/>
              </w:rPr>
              <w:t>$</w:t>
            </w:r>
            <w:r w:rsidRPr="005B71ED">
              <w:rPr>
                <w:rFonts w:cs="Franklin Gothic Book"/>
                <w:color w:val="000000"/>
                <w:szCs w:val="17"/>
              </w:rPr>
              <w:t>6.1m</w:t>
            </w:r>
          </w:p>
          <w:p w:rsidR="00456C64" w:rsidRPr="003B0793" w:rsidRDefault="00456C64" w:rsidP="005B71ED">
            <w:pPr>
              <w:autoSpaceDE w:val="0"/>
              <w:autoSpaceDN w:val="0"/>
              <w:adjustRightInd w:val="0"/>
              <w:rPr>
                <w:rFonts w:asciiTheme="minorHAnsi" w:eastAsia="Times New Roman" w:hAnsiTheme="minorHAnsi"/>
                <w:iCs/>
                <w:szCs w:val="17"/>
                <w:lang w:eastAsia="en-US"/>
              </w:rPr>
            </w:pPr>
            <w:r w:rsidRPr="005B71ED">
              <w:rPr>
                <w:rFonts w:cs="Franklin Gothic Book"/>
                <w:color w:val="000000"/>
                <w:szCs w:val="17"/>
              </w:rPr>
              <w:t>2009-2015</w:t>
            </w:r>
            <w:r w:rsidR="00A8197B" w:rsidRPr="003B0793">
              <w:rPr>
                <w:rFonts w:asciiTheme="minorHAnsi" w:eastAsia="Times New Roman" w:hAnsiTheme="minorHAnsi"/>
                <w:iCs/>
                <w:szCs w:val="17"/>
                <w:lang w:eastAsia="en-US"/>
              </w:rPr>
              <w:t xml:space="preserve"> </w:t>
            </w:r>
          </w:p>
        </w:tc>
        <w:tc>
          <w:tcPr>
            <w:tcW w:w="413" w:type="pct"/>
            <w:shd w:val="clear" w:color="auto" w:fill="FFFF00"/>
            <w:noWrap/>
          </w:tcPr>
          <w:p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c>
          <w:tcPr>
            <w:tcW w:w="412" w:type="pct"/>
            <w:shd w:val="clear" w:color="auto" w:fill="92D050"/>
            <w:noWrap/>
          </w:tcPr>
          <w:p w:rsidR="00A8197B" w:rsidRPr="003B0793" w:rsidRDefault="00456C6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92D050"/>
            <w:noWrap/>
          </w:tcPr>
          <w:p w:rsidR="00A8197B" w:rsidRPr="003B0793" w:rsidRDefault="00023A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rsidR="00A8197B" w:rsidRPr="003B0793" w:rsidRDefault="00023A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FFFF00"/>
            <w:noWrap/>
          </w:tcPr>
          <w:p w:rsidR="00A8197B" w:rsidRPr="003B0793" w:rsidRDefault="00023A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noWrap/>
          </w:tcPr>
          <w:p w:rsidR="00A8197B" w:rsidRPr="003B0793" w:rsidRDefault="00023A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FF6600"/>
          </w:tcPr>
          <w:p w:rsidR="00A8197B" w:rsidRPr="003B0793" w:rsidRDefault="00023A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8" w:type="pct"/>
            <w:shd w:val="clear" w:color="auto" w:fill="FFFF00"/>
          </w:tcPr>
          <w:p w:rsidR="00A8197B" w:rsidRPr="003B0793" w:rsidRDefault="00023A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456C64" w:rsidRPr="003B0793" w:rsidTr="007E406E">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023A77" w:rsidRDefault="00023A77" w:rsidP="00D15A00">
            <w:pPr>
              <w:keepLines/>
              <w:spacing w:before="40" w:after="40" w:line="200" w:lineRule="atLeast"/>
              <w:rPr>
                <w:rFonts w:eastAsia="Times New Roman"/>
                <w:iCs/>
                <w:szCs w:val="17"/>
              </w:rPr>
            </w:pPr>
          </w:p>
          <w:p w:rsidR="00456C64" w:rsidRPr="003B0793" w:rsidRDefault="00023A77" w:rsidP="00D15A00">
            <w:pPr>
              <w:keepLines/>
              <w:spacing w:before="40" w:after="40" w:line="200" w:lineRule="atLeast"/>
              <w:rPr>
                <w:rFonts w:eastAsia="Times New Roman"/>
                <w:iCs/>
                <w:szCs w:val="17"/>
              </w:rPr>
            </w:pPr>
            <w:r>
              <w:rPr>
                <w:rFonts w:eastAsia="Times New Roman"/>
                <w:iCs/>
                <w:szCs w:val="17"/>
              </w:rPr>
              <w:t>Samoa School Fees Grant Scheme</w:t>
            </w:r>
          </w:p>
        </w:tc>
        <w:tc>
          <w:tcPr>
            <w:tcW w:w="652" w:type="pct"/>
          </w:tcPr>
          <w:p w:rsidR="00023A77" w:rsidRPr="005B71ED" w:rsidRDefault="00023A77" w:rsidP="00D15A00">
            <w:pPr>
              <w:autoSpaceDE w:val="0"/>
              <w:autoSpaceDN w:val="0"/>
              <w:adjustRightInd w:val="0"/>
              <w:rPr>
                <w:rFonts w:cs="Franklin Gothic Book"/>
                <w:color w:val="000000"/>
                <w:szCs w:val="17"/>
              </w:rPr>
            </w:pPr>
            <w:r w:rsidRPr="005B71ED">
              <w:rPr>
                <w:rFonts w:cs="Franklin Gothic Book"/>
                <w:color w:val="000000"/>
                <w:szCs w:val="17"/>
              </w:rPr>
              <w:t>$3.5m</w:t>
            </w:r>
          </w:p>
          <w:p w:rsidR="00456C64" w:rsidRPr="003B0793" w:rsidRDefault="00023A77" w:rsidP="00D15A00">
            <w:pPr>
              <w:autoSpaceDE w:val="0"/>
              <w:autoSpaceDN w:val="0"/>
              <w:adjustRightInd w:val="0"/>
              <w:rPr>
                <w:rFonts w:cs="Franklin Gothic Book"/>
                <w:color w:val="000000"/>
                <w:szCs w:val="17"/>
              </w:rPr>
            </w:pPr>
            <w:r w:rsidRPr="005B71ED">
              <w:rPr>
                <w:rFonts w:cs="Franklin Gothic Book"/>
                <w:color w:val="000000"/>
                <w:szCs w:val="17"/>
              </w:rPr>
              <w:t>2011-2015</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92D05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5</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6600"/>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3</w:t>
            </w:r>
          </w:p>
        </w:tc>
        <w:tc>
          <w:tcPr>
            <w:tcW w:w="408" w:type="pct"/>
            <w:shd w:val="clear" w:color="auto" w:fill="FFFF00"/>
          </w:tcPr>
          <w:p w:rsidR="00456C64" w:rsidRPr="005B71ED" w:rsidRDefault="00023A77" w:rsidP="00D15A00">
            <w:pPr>
              <w:keepLines/>
              <w:spacing w:before="40" w:after="40" w:line="200" w:lineRule="atLeast"/>
              <w:jc w:val="center"/>
              <w:rPr>
                <w:rFonts w:asciiTheme="minorHAnsi" w:eastAsia="Times New Roman" w:hAnsiTheme="minorHAnsi"/>
                <w:iCs/>
                <w:szCs w:val="17"/>
                <w:lang w:eastAsia="en-US"/>
              </w:rPr>
            </w:pPr>
            <w:r w:rsidRPr="005B71ED">
              <w:rPr>
                <w:rFonts w:asciiTheme="minorHAnsi" w:eastAsia="Times New Roman" w:hAnsiTheme="minorHAnsi"/>
                <w:iCs/>
                <w:szCs w:val="17"/>
                <w:lang w:eastAsia="en-US"/>
              </w:rPr>
              <w:t>4</w:t>
            </w:r>
          </w:p>
        </w:tc>
      </w:tr>
      <w:tr w:rsidR="00456C64" w:rsidRPr="003B0793" w:rsidTr="003A3706">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456C64" w:rsidRPr="003B0793" w:rsidRDefault="00023A77" w:rsidP="00D15A00">
            <w:pPr>
              <w:keepLines/>
              <w:spacing w:before="40" w:after="40" w:line="200" w:lineRule="atLeast"/>
              <w:rPr>
                <w:rFonts w:eastAsia="Times New Roman"/>
                <w:iCs/>
                <w:szCs w:val="17"/>
              </w:rPr>
            </w:pPr>
            <w:r>
              <w:rPr>
                <w:rFonts w:eastAsia="Times New Roman"/>
                <w:iCs/>
                <w:szCs w:val="17"/>
              </w:rPr>
              <w:t>Samoa ESPII Implementation</w:t>
            </w:r>
          </w:p>
        </w:tc>
        <w:tc>
          <w:tcPr>
            <w:tcW w:w="652" w:type="pct"/>
          </w:tcPr>
          <w:p w:rsidR="00456C64" w:rsidRDefault="00023A77" w:rsidP="00D15A00">
            <w:pPr>
              <w:autoSpaceDE w:val="0"/>
              <w:autoSpaceDN w:val="0"/>
              <w:adjustRightInd w:val="0"/>
              <w:rPr>
                <w:rFonts w:cs="Franklin Gothic Book"/>
                <w:color w:val="000000"/>
                <w:szCs w:val="17"/>
              </w:rPr>
            </w:pPr>
            <w:r>
              <w:rPr>
                <w:rFonts w:cs="Franklin Gothic Book"/>
                <w:color w:val="000000"/>
                <w:szCs w:val="17"/>
              </w:rPr>
              <w:t>$10.4m</w:t>
            </w:r>
          </w:p>
          <w:p w:rsidR="00023A77" w:rsidRPr="003B0793" w:rsidRDefault="00023A77" w:rsidP="00D15A00">
            <w:pPr>
              <w:autoSpaceDE w:val="0"/>
              <w:autoSpaceDN w:val="0"/>
              <w:adjustRightInd w:val="0"/>
              <w:rPr>
                <w:rFonts w:cs="Franklin Gothic Book"/>
                <w:color w:val="000000"/>
                <w:szCs w:val="17"/>
              </w:rPr>
            </w:pPr>
            <w:r>
              <w:rPr>
                <w:rFonts w:cs="Franklin Gothic Book"/>
                <w:color w:val="000000"/>
                <w:szCs w:val="17"/>
              </w:rPr>
              <w:t>2006-2015</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92D05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5</w:t>
            </w:r>
          </w:p>
        </w:tc>
        <w:tc>
          <w:tcPr>
            <w:tcW w:w="413" w:type="pct"/>
            <w:shd w:val="clear" w:color="auto" w:fill="FF6600"/>
            <w:noWrap/>
          </w:tcPr>
          <w:p w:rsidR="00456C64" w:rsidRPr="003B0793" w:rsidRDefault="008C2880" w:rsidP="00D15A00">
            <w:pPr>
              <w:keepLines/>
              <w:spacing w:before="40" w:after="40" w:line="200" w:lineRule="atLeast"/>
              <w:jc w:val="center"/>
              <w:rPr>
                <w:rFonts w:eastAsia="Times New Roman"/>
                <w:iCs/>
                <w:szCs w:val="17"/>
              </w:rPr>
            </w:pPr>
            <w:r>
              <w:rPr>
                <w:rFonts w:eastAsia="Times New Roman"/>
                <w:iCs/>
                <w:szCs w:val="17"/>
              </w:rPr>
              <w:t>3</w:t>
            </w:r>
          </w:p>
        </w:tc>
        <w:tc>
          <w:tcPr>
            <w:tcW w:w="412" w:type="pct"/>
            <w:shd w:val="clear" w:color="auto" w:fill="FF6600"/>
            <w:noWrap/>
          </w:tcPr>
          <w:p w:rsidR="00456C64" w:rsidRPr="003B0793" w:rsidRDefault="008C2880" w:rsidP="00D15A00">
            <w:pPr>
              <w:keepLines/>
              <w:spacing w:before="40" w:after="40" w:line="200" w:lineRule="atLeast"/>
              <w:jc w:val="center"/>
              <w:rPr>
                <w:rFonts w:eastAsia="Times New Roman"/>
                <w:iCs/>
                <w:szCs w:val="17"/>
              </w:rPr>
            </w:pPr>
            <w:r>
              <w:rPr>
                <w:rFonts w:eastAsia="Times New Roman"/>
                <w:iCs/>
                <w:szCs w:val="17"/>
              </w:rPr>
              <w:t>3</w:t>
            </w:r>
          </w:p>
        </w:tc>
        <w:tc>
          <w:tcPr>
            <w:tcW w:w="413" w:type="pct"/>
            <w:shd w:val="clear" w:color="auto" w:fill="FF66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3</w:t>
            </w:r>
          </w:p>
        </w:tc>
        <w:tc>
          <w:tcPr>
            <w:tcW w:w="412"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FF00"/>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08" w:type="pct"/>
            <w:shd w:val="clear" w:color="auto" w:fill="FFFF00"/>
          </w:tcPr>
          <w:p w:rsidR="00456C64" w:rsidRPr="005B71ED" w:rsidRDefault="00023A77" w:rsidP="00D15A00">
            <w:pPr>
              <w:keepLines/>
              <w:spacing w:before="40" w:after="40" w:line="200" w:lineRule="atLeast"/>
              <w:jc w:val="center"/>
              <w:rPr>
                <w:rFonts w:asciiTheme="minorHAnsi" w:eastAsia="Times New Roman" w:hAnsiTheme="minorHAnsi"/>
                <w:iCs/>
                <w:szCs w:val="17"/>
                <w:lang w:eastAsia="en-US"/>
              </w:rPr>
            </w:pPr>
            <w:r w:rsidRPr="005B71ED">
              <w:rPr>
                <w:rFonts w:asciiTheme="minorHAnsi" w:eastAsia="Times New Roman" w:hAnsiTheme="minorHAnsi"/>
                <w:iCs/>
                <w:szCs w:val="17"/>
                <w:lang w:eastAsia="en-US"/>
              </w:rPr>
              <w:t>4</w:t>
            </w:r>
          </w:p>
        </w:tc>
      </w:tr>
      <w:tr w:rsidR="00456C64" w:rsidRPr="003B0793" w:rsidTr="00763FAF">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456C64" w:rsidRPr="003B0793" w:rsidRDefault="00023A77" w:rsidP="00D15A00">
            <w:pPr>
              <w:keepLines/>
              <w:spacing w:before="40" w:after="40" w:line="200" w:lineRule="atLeast"/>
              <w:rPr>
                <w:rFonts w:eastAsia="Times New Roman"/>
                <w:iCs/>
                <w:szCs w:val="17"/>
              </w:rPr>
            </w:pPr>
            <w:r>
              <w:rPr>
                <w:rFonts w:eastAsia="Times New Roman"/>
                <w:iCs/>
                <w:szCs w:val="17"/>
              </w:rPr>
              <w:t>Australian Development Scholarships-Apia</w:t>
            </w:r>
          </w:p>
        </w:tc>
        <w:tc>
          <w:tcPr>
            <w:tcW w:w="652" w:type="pct"/>
          </w:tcPr>
          <w:p w:rsidR="00456C64" w:rsidRDefault="00023A77" w:rsidP="00D15A00">
            <w:pPr>
              <w:autoSpaceDE w:val="0"/>
              <w:autoSpaceDN w:val="0"/>
              <w:adjustRightInd w:val="0"/>
              <w:rPr>
                <w:rFonts w:cs="Franklin Gothic Book"/>
                <w:color w:val="000000"/>
                <w:szCs w:val="17"/>
              </w:rPr>
            </w:pPr>
            <w:r>
              <w:rPr>
                <w:rFonts w:cs="Franklin Gothic Book"/>
                <w:color w:val="000000"/>
                <w:szCs w:val="17"/>
              </w:rPr>
              <w:t>$4.4m</w:t>
            </w:r>
          </w:p>
          <w:p w:rsidR="00023A77" w:rsidRPr="003B0793" w:rsidRDefault="00023A77" w:rsidP="00D15A00">
            <w:pPr>
              <w:autoSpaceDE w:val="0"/>
              <w:autoSpaceDN w:val="0"/>
              <w:adjustRightInd w:val="0"/>
              <w:rPr>
                <w:rFonts w:cs="Franklin Gothic Book"/>
                <w:color w:val="000000"/>
                <w:szCs w:val="17"/>
              </w:rPr>
            </w:pPr>
            <w:r>
              <w:rPr>
                <w:rFonts w:cs="Franklin Gothic Book"/>
                <w:color w:val="000000"/>
                <w:szCs w:val="17"/>
              </w:rPr>
              <w:t>2010-2016</w:t>
            </w:r>
          </w:p>
        </w:tc>
        <w:tc>
          <w:tcPr>
            <w:tcW w:w="413" w:type="pct"/>
            <w:shd w:val="clear" w:color="auto" w:fill="92D05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5</w:t>
            </w:r>
          </w:p>
        </w:tc>
        <w:tc>
          <w:tcPr>
            <w:tcW w:w="412" w:type="pct"/>
            <w:shd w:val="clear" w:color="auto" w:fill="92D05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5</w:t>
            </w:r>
          </w:p>
        </w:tc>
        <w:tc>
          <w:tcPr>
            <w:tcW w:w="413" w:type="pct"/>
            <w:shd w:val="clear" w:color="auto" w:fill="92D050"/>
            <w:noWrap/>
          </w:tcPr>
          <w:p w:rsidR="00456C64" w:rsidRPr="003B0793" w:rsidRDefault="00763FAF" w:rsidP="00D15A00">
            <w:pPr>
              <w:keepLines/>
              <w:spacing w:before="40" w:after="40" w:line="200" w:lineRule="atLeast"/>
              <w:jc w:val="center"/>
              <w:rPr>
                <w:rFonts w:eastAsia="Times New Roman"/>
                <w:iCs/>
                <w:szCs w:val="17"/>
              </w:rPr>
            </w:pPr>
            <w:r>
              <w:rPr>
                <w:rFonts w:eastAsia="Times New Roman"/>
                <w:iCs/>
                <w:szCs w:val="17"/>
              </w:rPr>
              <w:t>5</w:t>
            </w:r>
          </w:p>
        </w:tc>
        <w:tc>
          <w:tcPr>
            <w:tcW w:w="412"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92D05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5</w:t>
            </w:r>
          </w:p>
        </w:tc>
        <w:tc>
          <w:tcPr>
            <w:tcW w:w="413" w:type="pct"/>
            <w:shd w:val="clear" w:color="auto" w:fill="92D050"/>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5</w:t>
            </w:r>
          </w:p>
        </w:tc>
        <w:tc>
          <w:tcPr>
            <w:tcW w:w="408" w:type="pct"/>
            <w:shd w:val="clear" w:color="auto" w:fill="92D050"/>
          </w:tcPr>
          <w:p w:rsidR="00456C64" w:rsidRPr="005B71ED" w:rsidRDefault="00023A77" w:rsidP="00D15A00">
            <w:pPr>
              <w:keepLines/>
              <w:spacing w:before="40" w:after="40" w:line="200" w:lineRule="atLeast"/>
              <w:jc w:val="center"/>
              <w:rPr>
                <w:rFonts w:asciiTheme="minorHAnsi" w:eastAsia="Times New Roman" w:hAnsiTheme="minorHAnsi"/>
                <w:iCs/>
                <w:szCs w:val="17"/>
                <w:lang w:eastAsia="en-US"/>
              </w:rPr>
            </w:pPr>
            <w:r w:rsidRPr="005B71ED">
              <w:rPr>
                <w:rFonts w:asciiTheme="minorHAnsi" w:eastAsia="Times New Roman" w:hAnsiTheme="minorHAnsi"/>
                <w:iCs/>
                <w:szCs w:val="17"/>
                <w:lang w:eastAsia="en-US"/>
              </w:rPr>
              <w:t>5</w:t>
            </w:r>
          </w:p>
        </w:tc>
      </w:tr>
      <w:tr w:rsidR="00456C64" w:rsidRPr="003B0793" w:rsidTr="007E406E">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456C64" w:rsidRPr="003B0793" w:rsidRDefault="00023A77" w:rsidP="00D15A00">
            <w:pPr>
              <w:keepLines/>
              <w:spacing w:before="40" w:after="40" w:line="200" w:lineRule="atLeast"/>
              <w:rPr>
                <w:rFonts w:eastAsia="Times New Roman"/>
                <w:iCs/>
                <w:szCs w:val="17"/>
              </w:rPr>
            </w:pPr>
            <w:r>
              <w:rPr>
                <w:rFonts w:eastAsia="Times New Roman"/>
                <w:iCs/>
                <w:szCs w:val="17"/>
              </w:rPr>
              <w:t>Samoa Governance and Economic Stability</w:t>
            </w:r>
          </w:p>
        </w:tc>
        <w:tc>
          <w:tcPr>
            <w:tcW w:w="652" w:type="pct"/>
          </w:tcPr>
          <w:p w:rsidR="00456C64" w:rsidRDefault="00023A77" w:rsidP="00D15A00">
            <w:pPr>
              <w:autoSpaceDE w:val="0"/>
              <w:autoSpaceDN w:val="0"/>
              <w:adjustRightInd w:val="0"/>
              <w:rPr>
                <w:rFonts w:cs="Franklin Gothic Book"/>
                <w:color w:val="000000"/>
                <w:szCs w:val="17"/>
              </w:rPr>
            </w:pPr>
            <w:r>
              <w:rPr>
                <w:rFonts w:cs="Franklin Gothic Book"/>
                <w:color w:val="000000"/>
                <w:szCs w:val="17"/>
              </w:rPr>
              <w:t>$21.1m</w:t>
            </w:r>
          </w:p>
          <w:p w:rsidR="00023A77" w:rsidRPr="003B0793" w:rsidRDefault="00023A77" w:rsidP="00D15A00">
            <w:pPr>
              <w:autoSpaceDE w:val="0"/>
              <w:autoSpaceDN w:val="0"/>
              <w:adjustRightInd w:val="0"/>
              <w:rPr>
                <w:rFonts w:cs="Franklin Gothic Book"/>
                <w:color w:val="000000"/>
                <w:szCs w:val="17"/>
              </w:rPr>
            </w:pPr>
            <w:r>
              <w:rPr>
                <w:rFonts w:cs="Franklin Gothic Book"/>
                <w:color w:val="000000"/>
                <w:szCs w:val="17"/>
              </w:rPr>
              <w:t>2010-2017</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92D05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FFFF00"/>
            <w:noWrap/>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6600"/>
          </w:tcPr>
          <w:p w:rsidR="00456C64" w:rsidRPr="003B0793" w:rsidRDefault="00023A77" w:rsidP="00D15A00">
            <w:pPr>
              <w:keepLines/>
              <w:spacing w:before="40" w:after="40" w:line="200" w:lineRule="atLeast"/>
              <w:jc w:val="center"/>
              <w:rPr>
                <w:rFonts w:eastAsia="Times New Roman"/>
                <w:iCs/>
                <w:szCs w:val="17"/>
              </w:rPr>
            </w:pPr>
            <w:r>
              <w:rPr>
                <w:rFonts w:eastAsia="Times New Roman"/>
                <w:iCs/>
                <w:szCs w:val="17"/>
              </w:rPr>
              <w:t>3</w:t>
            </w:r>
          </w:p>
        </w:tc>
        <w:tc>
          <w:tcPr>
            <w:tcW w:w="408" w:type="pct"/>
            <w:shd w:val="clear" w:color="auto" w:fill="FFFF00"/>
          </w:tcPr>
          <w:p w:rsidR="00456C64" w:rsidRPr="005B71ED" w:rsidRDefault="00023A77" w:rsidP="00D15A00">
            <w:pPr>
              <w:keepLines/>
              <w:spacing w:before="40" w:after="40" w:line="200" w:lineRule="atLeast"/>
              <w:jc w:val="center"/>
              <w:rPr>
                <w:rFonts w:asciiTheme="minorHAnsi" w:eastAsia="Times New Roman" w:hAnsiTheme="minorHAnsi"/>
                <w:iCs/>
                <w:szCs w:val="17"/>
                <w:lang w:eastAsia="en-US"/>
              </w:rPr>
            </w:pPr>
            <w:r w:rsidRPr="005B71ED">
              <w:rPr>
                <w:rFonts w:asciiTheme="minorHAnsi" w:eastAsia="Times New Roman" w:hAnsiTheme="minorHAnsi"/>
                <w:iCs/>
                <w:szCs w:val="17"/>
                <w:lang w:eastAsia="en-US"/>
              </w:rPr>
              <w:t>4</w:t>
            </w:r>
          </w:p>
        </w:tc>
      </w:tr>
      <w:tr w:rsidR="005D1239" w:rsidRPr="003B0793" w:rsidTr="003A3706">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5D1239" w:rsidRDefault="005D1239" w:rsidP="00D15A00">
            <w:pPr>
              <w:keepLines/>
              <w:spacing w:before="40" w:after="40" w:line="200" w:lineRule="atLeast"/>
              <w:rPr>
                <w:rFonts w:eastAsia="Times New Roman"/>
                <w:iCs/>
                <w:szCs w:val="17"/>
              </w:rPr>
            </w:pPr>
            <w:r>
              <w:rPr>
                <w:rFonts w:eastAsia="Times New Roman"/>
                <w:iCs/>
                <w:szCs w:val="17"/>
              </w:rPr>
              <w:t>Samoa Law and Justice Sector Program</w:t>
            </w:r>
          </w:p>
        </w:tc>
        <w:tc>
          <w:tcPr>
            <w:tcW w:w="652" w:type="pct"/>
          </w:tcPr>
          <w:p w:rsidR="005D1239" w:rsidRDefault="005D1239" w:rsidP="00D15A00">
            <w:pPr>
              <w:autoSpaceDE w:val="0"/>
              <w:autoSpaceDN w:val="0"/>
              <w:adjustRightInd w:val="0"/>
              <w:rPr>
                <w:rFonts w:cs="Franklin Gothic Book"/>
                <w:color w:val="000000"/>
                <w:szCs w:val="17"/>
              </w:rPr>
            </w:pPr>
            <w:r>
              <w:rPr>
                <w:rFonts w:cs="Franklin Gothic Book"/>
                <w:color w:val="000000"/>
                <w:szCs w:val="17"/>
              </w:rPr>
              <w:t>$4.9m</w:t>
            </w:r>
          </w:p>
          <w:p w:rsidR="005D1239" w:rsidRDefault="005D1239" w:rsidP="00D15A00">
            <w:pPr>
              <w:autoSpaceDE w:val="0"/>
              <w:autoSpaceDN w:val="0"/>
              <w:adjustRightInd w:val="0"/>
              <w:rPr>
                <w:rFonts w:cs="Franklin Gothic Book"/>
                <w:color w:val="000000"/>
                <w:szCs w:val="17"/>
              </w:rPr>
            </w:pPr>
            <w:r>
              <w:rPr>
                <w:rFonts w:cs="Franklin Gothic Book"/>
                <w:color w:val="000000"/>
                <w:szCs w:val="17"/>
              </w:rPr>
              <w:t>2007-2016</w:t>
            </w:r>
          </w:p>
        </w:tc>
        <w:tc>
          <w:tcPr>
            <w:tcW w:w="413" w:type="pct"/>
            <w:shd w:val="clear" w:color="auto" w:fill="FFFF00"/>
            <w:noWrap/>
          </w:tcPr>
          <w:p w:rsidR="005D1239" w:rsidRDefault="005D1239"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92D050"/>
            <w:noWrap/>
          </w:tcPr>
          <w:p w:rsidR="005D1239" w:rsidRDefault="005D1239" w:rsidP="00D15A00">
            <w:pPr>
              <w:keepLines/>
              <w:spacing w:before="40" w:after="40" w:line="200" w:lineRule="atLeast"/>
              <w:jc w:val="center"/>
              <w:rPr>
                <w:rFonts w:eastAsia="Times New Roman"/>
                <w:iCs/>
                <w:szCs w:val="17"/>
              </w:rPr>
            </w:pPr>
            <w:r>
              <w:rPr>
                <w:rFonts w:eastAsia="Times New Roman"/>
                <w:iCs/>
                <w:szCs w:val="17"/>
              </w:rPr>
              <w:t>5</w:t>
            </w:r>
          </w:p>
        </w:tc>
        <w:tc>
          <w:tcPr>
            <w:tcW w:w="413" w:type="pct"/>
            <w:shd w:val="clear" w:color="auto" w:fill="FF6600"/>
            <w:noWrap/>
          </w:tcPr>
          <w:p w:rsidR="005D1239" w:rsidRDefault="008C2880" w:rsidP="00D15A00">
            <w:pPr>
              <w:keepLines/>
              <w:spacing w:before="40" w:after="40" w:line="200" w:lineRule="atLeast"/>
              <w:jc w:val="center"/>
              <w:rPr>
                <w:rFonts w:eastAsia="Times New Roman"/>
                <w:iCs/>
                <w:szCs w:val="17"/>
              </w:rPr>
            </w:pPr>
            <w:r>
              <w:rPr>
                <w:rFonts w:eastAsia="Times New Roman"/>
                <w:iCs/>
                <w:szCs w:val="17"/>
              </w:rPr>
              <w:t>3</w:t>
            </w:r>
          </w:p>
        </w:tc>
        <w:tc>
          <w:tcPr>
            <w:tcW w:w="412" w:type="pct"/>
            <w:shd w:val="clear" w:color="auto" w:fill="FFFF00"/>
            <w:noWrap/>
          </w:tcPr>
          <w:p w:rsidR="005D1239" w:rsidRDefault="005D1239"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6600"/>
            <w:noWrap/>
          </w:tcPr>
          <w:p w:rsidR="005D1239" w:rsidRDefault="005D1239" w:rsidP="00E25B88">
            <w:pPr>
              <w:keepLines/>
              <w:spacing w:before="0" w:after="0" w:line="200" w:lineRule="atLeast"/>
              <w:jc w:val="center"/>
              <w:rPr>
                <w:rFonts w:eastAsia="Times New Roman"/>
                <w:iCs/>
                <w:szCs w:val="17"/>
              </w:rPr>
            </w:pPr>
            <w:r>
              <w:rPr>
                <w:rFonts w:eastAsia="Times New Roman"/>
                <w:iCs/>
                <w:szCs w:val="17"/>
              </w:rPr>
              <w:t>3</w:t>
            </w:r>
          </w:p>
        </w:tc>
        <w:tc>
          <w:tcPr>
            <w:tcW w:w="412" w:type="pct"/>
            <w:shd w:val="clear" w:color="auto" w:fill="FFFF00"/>
            <w:noWrap/>
          </w:tcPr>
          <w:p w:rsidR="005D1239" w:rsidRDefault="005D1239" w:rsidP="00D15A00">
            <w:pPr>
              <w:keepLines/>
              <w:spacing w:before="40" w:after="40" w:line="200" w:lineRule="atLeast"/>
              <w:jc w:val="center"/>
              <w:rPr>
                <w:rFonts w:eastAsia="Times New Roman"/>
                <w:iCs/>
                <w:szCs w:val="17"/>
              </w:rPr>
            </w:pPr>
            <w:r>
              <w:rPr>
                <w:rFonts w:eastAsia="Times New Roman"/>
                <w:iCs/>
                <w:szCs w:val="17"/>
              </w:rPr>
              <w:t>4</w:t>
            </w:r>
          </w:p>
        </w:tc>
        <w:tc>
          <w:tcPr>
            <w:tcW w:w="413" w:type="pct"/>
            <w:shd w:val="clear" w:color="auto" w:fill="FF6600"/>
          </w:tcPr>
          <w:p w:rsidR="005D1239" w:rsidRDefault="005D1239" w:rsidP="00D15A00">
            <w:pPr>
              <w:keepLines/>
              <w:spacing w:before="40" w:after="40" w:line="200" w:lineRule="atLeast"/>
              <w:jc w:val="center"/>
              <w:rPr>
                <w:rFonts w:eastAsia="Times New Roman"/>
                <w:iCs/>
                <w:szCs w:val="17"/>
              </w:rPr>
            </w:pPr>
            <w:r>
              <w:rPr>
                <w:rFonts w:eastAsia="Times New Roman"/>
                <w:iCs/>
                <w:szCs w:val="17"/>
              </w:rPr>
              <w:t>3</w:t>
            </w:r>
          </w:p>
        </w:tc>
        <w:tc>
          <w:tcPr>
            <w:tcW w:w="408" w:type="pct"/>
            <w:shd w:val="clear" w:color="auto" w:fill="FFFF00"/>
          </w:tcPr>
          <w:p w:rsidR="005D1239" w:rsidRPr="005B71ED" w:rsidRDefault="005D1239" w:rsidP="00D15A00">
            <w:pPr>
              <w:keepLines/>
              <w:spacing w:before="40" w:after="40" w:line="200" w:lineRule="atLeast"/>
              <w:jc w:val="center"/>
              <w:rPr>
                <w:rFonts w:asciiTheme="minorHAnsi" w:eastAsia="Times New Roman" w:hAnsiTheme="minorHAnsi"/>
                <w:iCs/>
                <w:szCs w:val="17"/>
                <w:lang w:eastAsia="en-US"/>
              </w:rPr>
            </w:pPr>
            <w:r w:rsidRPr="005B71ED">
              <w:rPr>
                <w:rFonts w:asciiTheme="minorHAnsi" w:eastAsia="Times New Roman" w:hAnsiTheme="minorHAnsi"/>
                <w:iCs/>
                <w:szCs w:val="17"/>
                <w:lang w:eastAsia="en-US"/>
              </w:rPr>
              <w:t>4</w:t>
            </w:r>
          </w:p>
        </w:tc>
      </w:tr>
      <w:tr w:rsidR="00023A77" w:rsidRPr="003B0793" w:rsidTr="003A3706">
        <w:trPr>
          <w:cnfStyle w:val="000000010000" w:firstRow="0" w:lastRow="0" w:firstColumn="0" w:lastColumn="0" w:oddVBand="0" w:evenVBand="0" w:oddHBand="0" w:evenHBand="1" w:firstRowFirstColumn="0" w:firstRowLastColumn="0" w:lastRowFirstColumn="0" w:lastRowLastColumn="0"/>
          <w:trHeight w:val="931"/>
        </w:trPr>
        <w:tc>
          <w:tcPr>
            <w:tcW w:w="897" w:type="pct"/>
          </w:tcPr>
          <w:p w:rsidR="00023A77" w:rsidRDefault="00023A77" w:rsidP="00D15A00">
            <w:pPr>
              <w:keepLines/>
              <w:spacing w:before="40" w:after="40" w:line="200" w:lineRule="atLeast"/>
              <w:rPr>
                <w:rFonts w:eastAsia="Times New Roman"/>
                <w:iCs/>
                <w:szCs w:val="17"/>
              </w:rPr>
            </w:pPr>
            <w:r>
              <w:rPr>
                <w:rFonts w:eastAsia="Times New Roman"/>
                <w:iCs/>
                <w:szCs w:val="17"/>
              </w:rPr>
              <w:t>Samoa Civil Society Support Program Phase II</w:t>
            </w:r>
          </w:p>
        </w:tc>
        <w:tc>
          <w:tcPr>
            <w:tcW w:w="652" w:type="pct"/>
          </w:tcPr>
          <w:p w:rsidR="00023A77" w:rsidRDefault="00023A77" w:rsidP="00D15A00">
            <w:pPr>
              <w:autoSpaceDE w:val="0"/>
              <w:autoSpaceDN w:val="0"/>
              <w:adjustRightInd w:val="0"/>
              <w:rPr>
                <w:rFonts w:cs="Franklin Gothic Book"/>
                <w:color w:val="000000"/>
                <w:szCs w:val="17"/>
              </w:rPr>
            </w:pPr>
            <w:r>
              <w:rPr>
                <w:rFonts w:cs="Franklin Gothic Book"/>
                <w:color w:val="000000"/>
                <w:szCs w:val="17"/>
              </w:rPr>
              <w:t>$</w:t>
            </w:r>
            <w:r w:rsidR="005B71ED">
              <w:rPr>
                <w:rFonts w:cs="Franklin Gothic Book"/>
                <w:color w:val="000000"/>
                <w:szCs w:val="17"/>
              </w:rPr>
              <w:t>7.5m</w:t>
            </w:r>
          </w:p>
          <w:p w:rsidR="005B71ED" w:rsidRDefault="005B71ED" w:rsidP="00D15A00">
            <w:pPr>
              <w:autoSpaceDE w:val="0"/>
              <w:autoSpaceDN w:val="0"/>
              <w:adjustRightInd w:val="0"/>
              <w:rPr>
                <w:rFonts w:cs="Franklin Gothic Book"/>
                <w:color w:val="000000"/>
                <w:szCs w:val="17"/>
              </w:rPr>
            </w:pPr>
            <w:r>
              <w:rPr>
                <w:rFonts w:cs="Franklin Gothic Book"/>
                <w:color w:val="000000"/>
                <w:szCs w:val="17"/>
              </w:rPr>
              <w:t>2010-2016</w:t>
            </w:r>
          </w:p>
          <w:p w:rsidR="00023A77" w:rsidRDefault="00023A77" w:rsidP="00D15A00">
            <w:pPr>
              <w:autoSpaceDE w:val="0"/>
              <w:autoSpaceDN w:val="0"/>
              <w:adjustRightInd w:val="0"/>
              <w:rPr>
                <w:rFonts w:cs="Franklin Gothic Book"/>
                <w:color w:val="000000"/>
                <w:szCs w:val="17"/>
              </w:rPr>
            </w:pPr>
          </w:p>
        </w:tc>
        <w:tc>
          <w:tcPr>
            <w:tcW w:w="413" w:type="pct"/>
            <w:shd w:val="clear" w:color="auto" w:fill="FFFF00"/>
            <w:noWrap/>
          </w:tcPr>
          <w:p w:rsidR="00023A77" w:rsidRDefault="005B71ED"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92D050"/>
            <w:noWrap/>
          </w:tcPr>
          <w:p w:rsidR="00023A77" w:rsidRDefault="005B71ED" w:rsidP="00D15A00">
            <w:pPr>
              <w:keepLines/>
              <w:spacing w:before="40" w:after="40" w:line="200" w:lineRule="atLeast"/>
              <w:jc w:val="center"/>
              <w:rPr>
                <w:rFonts w:eastAsia="Times New Roman"/>
                <w:iCs/>
                <w:szCs w:val="17"/>
              </w:rPr>
            </w:pPr>
            <w:r>
              <w:rPr>
                <w:rFonts w:eastAsia="Times New Roman"/>
                <w:iCs/>
                <w:szCs w:val="17"/>
              </w:rPr>
              <w:t>5</w:t>
            </w:r>
          </w:p>
        </w:tc>
        <w:tc>
          <w:tcPr>
            <w:tcW w:w="413" w:type="pct"/>
            <w:shd w:val="clear" w:color="auto" w:fill="FFFF00"/>
            <w:noWrap/>
          </w:tcPr>
          <w:p w:rsidR="00023A77" w:rsidRDefault="005B71ED"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FF6600"/>
            <w:noWrap/>
          </w:tcPr>
          <w:p w:rsidR="00023A77" w:rsidRDefault="008C2880" w:rsidP="00D15A00">
            <w:pPr>
              <w:keepLines/>
              <w:spacing w:before="40" w:after="40" w:line="200" w:lineRule="atLeast"/>
              <w:jc w:val="center"/>
              <w:rPr>
                <w:rFonts w:eastAsia="Times New Roman"/>
                <w:iCs/>
                <w:szCs w:val="17"/>
              </w:rPr>
            </w:pPr>
            <w:r>
              <w:rPr>
                <w:rFonts w:eastAsia="Times New Roman"/>
                <w:iCs/>
                <w:szCs w:val="17"/>
              </w:rPr>
              <w:t>3</w:t>
            </w:r>
          </w:p>
        </w:tc>
        <w:tc>
          <w:tcPr>
            <w:tcW w:w="413" w:type="pct"/>
            <w:shd w:val="clear" w:color="auto" w:fill="FFFF00"/>
            <w:noWrap/>
          </w:tcPr>
          <w:p w:rsidR="00023A77" w:rsidRDefault="005B71ED" w:rsidP="00D15A00">
            <w:pPr>
              <w:keepLines/>
              <w:spacing w:before="40" w:after="40" w:line="200" w:lineRule="atLeast"/>
              <w:jc w:val="center"/>
              <w:rPr>
                <w:rFonts w:eastAsia="Times New Roman"/>
                <w:iCs/>
                <w:szCs w:val="17"/>
              </w:rPr>
            </w:pPr>
            <w:r>
              <w:rPr>
                <w:rFonts w:eastAsia="Times New Roman"/>
                <w:iCs/>
                <w:szCs w:val="17"/>
              </w:rPr>
              <w:t>4</w:t>
            </w:r>
          </w:p>
        </w:tc>
        <w:tc>
          <w:tcPr>
            <w:tcW w:w="412" w:type="pct"/>
            <w:shd w:val="clear" w:color="auto" w:fill="FF6600"/>
            <w:noWrap/>
          </w:tcPr>
          <w:p w:rsidR="00023A77" w:rsidRDefault="008C2880" w:rsidP="00D15A00">
            <w:pPr>
              <w:keepLines/>
              <w:spacing w:before="40" w:after="40" w:line="200" w:lineRule="atLeast"/>
              <w:jc w:val="center"/>
              <w:rPr>
                <w:rFonts w:eastAsia="Times New Roman"/>
                <w:iCs/>
                <w:szCs w:val="17"/>
              </w:rPr>
            </w:pPr>
            <w:r>
              <w:rPr>
                <w:rFonts w:eastAsia="Times New Roman"/>
                <w:iCs/>
                <w:szCs w:val="17"/>
              </w:rPr>
              <w:t>3</w:t>
            </w:r>
          </w:p>
        </w:tc>
        <w:tc>
          <w:tcPr>
            <w:tcW w:w="413" w:type="pct"/>
            <w:shd w:val="clear" w:color="auto" w:fill="FFFF00"/>
          </w:tcPr>
          <w:p w:rsidR="00023A77" w:rsidRDefault="005B71ED" w:rsidP="00D15A00">
            <w:pPr>
              <w:keepLines/>
              <w:spacing w:before="40" w:after="40" w:line="200" w:lineRule="atLeast"/>
              <w:jc w:val="center"/>
              <w:rPr>
                <w:rFonts w:eastAsia="Times New Roman"/>
                <w:iCs/>
                <w:szCs w:val="17"/>
              </w:rPr>
            </w:pPr>
            <w:r>
              <w:rPr>
                <w:rFonts w:eastAsia="Times New Roman"/>
                <w:iCs/>
                <w:szCs w:val="17"/>
              </w:rPr>
              <w:t>4</w:t>
            </w:r>
          </w:p>
        </w:tc>
        <w:tc>
          <w:tcPr>
            <w:tcW w:w="408" w:type="pct"/>
            <w:shd w:val="clear" w:color="auto" w:fill="FFFF00"/>
          </w:tcPr>
          <w:p w:rsidR="00023A77" w:rsidRPr="005B71ED" w:rsidRDefault="005B71ED" w:rsidP="00D15A00">
            <w:pPr>
              <w:keepLines/>
              <w:spacing w:before="40" w:after="40" w:line="200" w:lineRule="atLeast"/>
              <w:jc w:val="center"/>
              <w:rPr>
                <w:rFonts w:asciiTheme="minorHAnsi" w:eastAsia="Times New Roman" w:hAnsiTheme="minorHAnsi"/>
                <w:iCs/>
                <w:szCs w:val="17"/>
                <w:lang w:eastAsia="en-US"/>
              </w:rPr>
            </w:pPr>
            <w:r w:rsidRPr="005B71ED">
              <w:rPr>
                <w:rFonts w:asciiTheme="minorHAnsi" w:eastAsia="Times New Roman" w:hAnsiTheme="minorHAnsi"/>
                <w:iCs/>
                <w:szCs w:val="17"/>
                <w:lang w:eastAsia="en-US"/>
              </w:rPr>
              <w:t>4</w:t>
            </w:r>
          </w:p>
        </w:tc>
      </w:tr>
    </w:tbl>
    <w:p w:rsidR="00A8197B" w:rsidRPr="003B0793" w:rsidRDefault="00A8197B" w:rsidP="00A8197B">
      <w:pPr>
        <w:spacing w:before="20" w:after="20" w:line="180" w:lineRule="atLeast"/>
        <w:jc w:val="both"/>
        <w:rPr>
          <w:rFonts w:eastAsia="Times New Roman"/>
          <w:b/>
          <w:sz w:val="16"/>
          <w:szCs w:val="14"/>
        </w:rPr>
      </w:pP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Definitions of rating scale:</w:t>
      </w:r>
      <w:r w:rsidRPr="003B0793">
        <w:rPr>
          <w:rFonts w:eastAsia="Times New Roman"/>
          <w:b/>
          <w:sz w:val="16"/>
          <w:szCs w:val="14"/>
        </w:rPr>
        <w:tab/>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Satisfactory (4, 5 and 6)</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xml:space="preserve"> 6 = Very good; satisfies criteria in all areas.  </w:t>
      </w:r>
      <w:r w:rsidRPr="003B0793">
        <w:rPr>
          <w:rFonts w:eastAsia="Times New Roman"/>
          <w:b/>
          <w:color w:val="72AF2F"/>
          <w:sz w:val="16"/>
          <w:szCs w:val="14"/>
        </w:rPr>
        <w:sym w:font="Webdings" w:char="F067"/>
      </w:r>
      <w:r w:rsidRPr="003B0793">
        <w:rPr>
          <w:rFonts w:eastAsia="Times New Roman"/>
          <w:b/>
          <w:sz w:val="16"/>
          <w:szCs w:val="14"/>
        </w:rPr>
        <w:t xml:space="preserve"> 5 = Good; satisfies criteria in almost all areas.</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FFFF00"/>
          <w:sz w:val="16"/>
          <w:szCs w:val="14"/>
        </w:rPr>
        <w:sym w:font="Webdings" w:char="F067"/>
      </w:r>
      <w:r w:rsidRPr="003B0793">
        <w:rPr>
          <w:rFonts w:eastAsia="Times New Roman"/>
          <w:b/>
          <w:sz w:val="16"/>
          <w:szCs w:val="14"/>
        </w:rPr>
        <w:t xml:space="preserve"> 4 = Adequate; on balance, satisfies criteria; does not fail in any major area.</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Less than satisfactory (1, 2 and 3)</w:t>
      </w:r>
    </w:p>
    <w:p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color w:val="E36C0A"/>
          <w:sz w:val="16"/>
          <w:szCs w:val="14"/>
        </w:rPr>
        <w:t xml:space="preserve"> </w:t>
      </w:r>
      <w:r w:rsidRPr="003B0793">
        <w:rPr>
          <w:rFonts w:eastAsia="Times New Roman"/>
          <w:b/>
          <w:sz w:val="16"/>
          <w:szCs w:val="14"/>
        </w:rPr>
        <w:t>3 = Less than adequate; on balance does not satisfy criteria and/or fails in at least one major area.</w:t>
      </w:r>
    </w:p>
    <w:p w:rsidR="00A8197B" w:rsidRPr="003B0793" w:rsidRDefault="00A8197B" w:rsidP="00A8197B">
      <w:pPr>
        <w:spacing w:before="20" w:after="20" w:line="180" w:lineRule="atLeast"/>
        <w:rPr>
          <w:sz w:val="24"/>
        </w:rPr>
      </w:pPr>
      <w:r w:rsidRPr="003B0793">
        <w:rPr>
          <w:rFonts w:eastAsia="Times New Roman"/>
          <w:b/>
          <w:color w:val="FF0000"/>
          <w:sz w:val="16"/>
          <w:szCs w:val="14"/>
        </w:rPr>
        <w:sym w:font="Webdings" w:char="F067"/>
      </w:r>
      <w:r w:rsidRPr="003B0793">
        <w:rPr>
          <w:rFonts w:eastAsia="Times New Roman"/>
          <w:b/>
          <w:sz w:val="16"/>
          <w:szCs w:val="14"/>
        </w:rPr>
        <w:t xml:space="preserve"> 2 = Poor; does not satisfy criteria in major areas.  </w:t>
      </w:r>
      <w:r w:rsidRPr="003B0793">
        <w:rPr>
          <w:rFonts w:eastAsia="Times New Roman"/>
          <w:b/>
          <w:color w:val="FF0000"/>
          <w:sz w:val="16"/>
          <w:szCs w:val="14"/>
        </w:rPr>
        <w:sym w:font="Webdings" w:char="F067"/>
      </w:r>
      <w:r w:rsidRPr="003B0793">
        <w:rPr>
          <w:rFonts w:eastAsia="Times New Roman"/>
          <w:b/>
          <w:sz w:val="16"/>
          <w:szCs w:val="14"/>
        </w:rPr>
        <w:t xml:space="preserve"> 1 = Very poor; does not satisfy criteria in many major area.</w:t>
      </w:r>
    </w:p>
    <w:sectPr w:rsidR="00A8197B" w:rsidRPr="003B0793" w:rsidSect="00CD1FD5">
      <w:headerReference w:type="default" r:id="rId19"/>
      <w:headerReference w:type="first" r:id="rId20"/>
      <w:pgSz w:w="11906" w:h="16838" w:code="9"/>
      <w:pgMar w:top="1952" w:right="1134" w:bottom="851" w:left="1134" w:header="1560"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1D" w:rsidRDefault="006C691D" w:rsidP="00EF4574">
      <w:pPr>
        <w:spacing w:before="0" w:after="0" w:line="240" w:lineRule="auto"/>
      </w:pPr>
      <w:r>
        <w:separator/>
      </w:r>
    </w:p>
  </w:endnote>
  <w:endnote w:type="continuationSeparator" w:id="0">
    <w:p w:rsidR="006C691D" w:rsidRDefault="006C691D"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1D" w:rsidRPr="008C5A0E" w:rsidRDefault="006C691D" w:rsidP="001D663E">
      <w:pPr>
        <w:pStyle w:val="Footer"/>
        <w:pBdr>
          <w:top w:val="single" w:sz="4" w:space="1" w:color="495965" w:themeColor="text2"/>
        </w:pBdr>
      </w:pPr>
    </w:p>
  </w:footnote>
  <w:footnote w:type="continuationSeparator" w:id="0">
    <w:p w:rsidR="006C691D" w:rsidRDefault="006C691D" w:rsidP="00EF4574">
      <w:pPr>
        <w:spacing w:before="0" w:after="0" w:line="240" w:lineRule="auto"/>
      </w:pPr>
      <w:r>
        <w:continuationSeparator/>
      </w:r>
    </w:p>
  </w:footnote>
  <w:footnote w:id="1">
    <w:p w:rsidR="00D12871" w:rsidRPr="00D10079" w:rsidRDefault="00D12871" w:rsidP="00D81F80">
      <w:pPr>
        <w:pStyle w:val="FootnoteText"/>
        <w:rPr>
          <w:lang w:val="en-AU"/>
        </w:rPr>
      </w:pPr>
      <w:r>
        <w:rPr>
          <w:rStyle w:val="FootnoteReference"/>
        </w:rPr>
        <w:footnoteRef/>
      </w:r>
      <w:r>
        <w:t xml:space="preserve"> </w:t>
      </w:r>
      <w:r>
        <w:rPr>
          <w:lang w:val="en-AU"/>
        </w:rPr>
        <w:t>In 2015 Samoa’s Gross Domestic Product was USD 761 million: http://data.worldbank.org/country/samoa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71" w:rsidRPr="00333501" w:rsidRDefault="00D12871" w:rsidP="008F56A8">
    <w:pPr>
      <w:pStyle w:val="Header"/>
      <w:jc w:val="left"/>
    </w:pPr>
    <w:r>
      <w:rPr>
        <w:noProof/>
        <w:lang w:val="en-AU" w:eastAsia="en-AU"/>
      </w:rPr>
      <w:drawing>
        <wp:anchor distT="0" distB="0" distL="114300" distR="114300" simplePos="0" relativeHeight="251671552" behindDoc="1" locked="1" layoutInCell="1" allowOverlap="1" wp14:anchorId="47680598" wp14:editId="7CAB8024">
          <wp:simplePos x="0" y="0"/>
          <wp:positionH relativeFrom="page">
            <wp:posOffset>-69850</wp:posOffset>
          </wp:positionH>
          <wp:positionV relativeFrom="page">
            <wp:posOffset>15875</wp:posOffset>
          </wp:positionV>
          <wp:extent cx="7624445" cy="1067816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624445" cy="10678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71" w:rsidRPr="003D352D" w:rsidRDefault="00D12871" w:rsidP="003D352D">
    <w:pPr>
      <w:pStyle w:val="Header"/>
      <w:jc w:val="left"/>
    </w:pPr>
    <w:r>
      <w:rPr>
        <w:noProof/>
        <w:lang w:val="en-AU" w:eastAsia="en-AU"/>
      </w:rPr>
      <w:drawing>
        <wp:anchor distT="0" distB="0" distL="114300" distR="114300" simplePos="0" relativeHeight="251669504" behindDoc="1" locked="1" layoutInCell="1" allowOverlap="1" wp14:anchorId="5A5FE2CE" wp14:editId="2B8CF119">
          <wp:simplePos x="0" y="0"/>
          <wp:positionH relativeFrom="page">
            <wp:posOffset>-23495</wp:posOffset>
          </wp:positionH>
          <wp:positionV relativeFrom="page">
            <wp:posOffset>15875</wp:posOffset>
          </wp:positionV>
          <wp:extent cx="7734935" cy="108292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A0" w:rsidRPr="00333501" w:rsidRDefault="007964A0" w:rsidP="008F56A8">
    <w:pPr>
      <w:pStyle w:val="Header"/>
      <w:jc w:val="left"/>
    </w:pPr>
    <w:r>
      <w:rPr>
        <w:noProof/>
        <w:lang w:val="en-AU" w:eastAsia="en-AU"/>
      </w:rPr>
      <w:drawing>
        <wp:anchor distT="0" distB="0" distL="114300" distR="114300" simplePos="0" relativeHeight="251685888" behindDoc="1" locked="1" layoutInCell="1" allowOverlap="1" wp14:anchorId="32C003F0" wp14:editId="0B63D5D3">
          <wp:simplePos x="0" y="0"/>
          <wp:positionH relativeFrom="page">
            <wp:align>left</wp:align>
          </wp:positionH>
          <wp:positionV relativeFrom="page">
            <wp:align>top</wp:align>
          </wp:positionV>
          <wp:extent cx="10629900" cy="7534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29900" cy="7534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71" w:rsidRPr="003D352D" w:rsidRDefault="00D12871" w:rsidP="003D352D">
    <w:pPr>
      <w:pStyle w:val="Header"/>
      <w:jc w:val="left"/>
    </w:pPr>
    <w:r>
      <w:rPr>
        <w:noProof/>
        <w:lang w:val="en-AU" w:eastAsia="en-AU"/>
      </w:rPr>
      <w:drawing>
        <wp:anchor distT="0" distB="0" distL="114300" distR="114300" simplePos="0" relativeHeight="251673600" behindDoc="1" locked="1" layoutInCell="1" allowOverlap="1" wp14:anchorId="0DE0B58B" wp14:editId="00A14142">
          <wp:simplePos x="0" y="0"/>
          <wp:positionH relativeFrom="page">
            <wp:posOffset>0</wp:posOffset>
          </wp:positionH>
          <wp:positionV relativeFrom="page">
            <wp:posOffset>0</wp:posOffset>
          </wp:positionV>
          <wp:extent cx="10694035" cy="7465695"/>
          <wp:effectExtent l="0" t="0" r="0" b="1905"/>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71" w:rsidRPr="003D352D" w:rsidRDefault="00D12871" w:rsidP="003D352D">
    <w:pPr>
      <w:pStyle w:val="Header"/>
      <w:jc w:val="left"/>
    </w:pPr>
    <w:r>
      <w:rPr>
        <w:noProof/>
        <w:lang w:val="en-AU" w:eastAsia="en-AU"/>
      </w:rPr>
      <w:drawing>
        <wp:anchor distT="0" distB="0" distL="114300" distR="114300" simplePos="0" relativeHeight="251675648" behindDoc="1" locked="1" layoutInCell="1" allowOverlap="1" wp14:anchorId="45513773" wp14:editId="57C912A4">
          <wp:simplePos x="0" y="0"/>
          <wp:positionH relativeFrom="page">
            <wp:posOffset>-371475</wp:posOffset>
          </wp:positionH>
          <wp:positionV relativeFrom="page">
            <wp:posOffset>47625</wp:posOffset>
          </wp:positionV>
          <wp:extent cx="11064240" cy="7467600"/>
          <wp:effectExtent l="0" t="0" r="381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064240" cy="746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71" w:rsidRPr="00333501" w:rsidRDefault="00D12871" w:rsidP="008F56A8">
    <w:pPr>
      <w:pStyle w:val="Header"/>
      <w:jc w:val="left"/>
    </w:pPr>
    <w:r>
      <w:rPr>
        <w:noProof/>
        <w:lang w:val="en-AU" w:eastAsia="en-AU"/>
      </w:rPr>
      <w:drawing>
        <wp:anchor distT="0" distB="0" distL="114300" distR="114300" simplePos="0" relativeHeight="251683840" behindDoc="1" locked="1" layoutInCell="1" allowOverlap="1" wp14:anchorId="721ACD38" wp14:editId="093FD562">
          <wp:simplePos x="0" y="0"/>
          <wp:positionH relativeFrom="page">
            <wp:posOffset>-7620</wp:posOffset>
          </wp:positionH>
          <wp:positionV relativeFrom="page">
            <wp:posOffset>31750</wp:posOffset>
          </wp:positionV>
          <wp:extent cx="10813415" cy="10567035"/>
          <wp:effectExtent l="0" t="0" r="6985" b="571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13415" cy="1056703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A0" w:rsidRPr="003D352D" w:rsidRDefault="007964A0" w:rsidP="003D352D">
    <w:pPr>
      <w:pStyle w:val="Header"/>
      <w:jc w:val="left"/>
    </w:pPr>
    <w:r>
      <w:rPr>
        <w:noProof/>
        <w:lang w:val="en-AU" w:eastAsia="en-AU"/>
      </w:rPr>
      <w:drawing>
        <wp:anchor distT="0" distB="0" distL="114300" distR="114300" simplePos="0" relativeHeight="251687936" behindDoc="1" locked="1" layoutInCell="1" allowOverlap="1" wp14:anchorId="1CF561F1" wp14:editId="0CBB1A78">
          <wp:simplePos x="0" y="0"/>
          <wp:positionH relativeFrom="page">
            <wp:align>left</wp:align>
          </wp:positionH>
          <wp:positionV relativeFrom="page">
            <wp:align>bottom</wp:align>
          </wp:positionV>
          <wp:extent cx="7553325" cy="10706100"/>
          <wp:effectExtent l="0" t="0" r="952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3325" cy="10706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BB2218"/>
    <w:multiLevelType w:val="hybridMultilevel"/>
    <w:tmpl w:val="E472A878"/>
    <w:lvl w:ilvl="0" w:tplc="B82278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330319"/>
    <w:multiLevelType w:val="hybridMultilevel"/>
    <w:tmpl w:val="070ED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2A6E9E"/>
    <w:multiLevelType w:val="hybridMultilevel"/>
    <w:tmpl w:val="D026F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603638"/>
    <w:multiLevelType w:val="hybridMultilevel"/>
    <w:tmpl w:val="0CD47E82"/>
    <w:lvl w:ilvl="0" w:tplc="EA928738">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D3C1EA7"/>
    <w:multiLevelType w:val="multilevel"/>
    <w:tmpl w:val="43428892"/>
    <w:numStyleLink w:val="BulletsList"/>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1"/>
  </w:num>
  <w:num w:numId="2">
    <w:abstractNumId w:val="0"/>
  </w:num>
  <w:num w:numId="3">
    <w:abstractNumId w:val="4"/>
  </w:num>
  <w:num w:numId="4">
    <w:abstractNumId w:val="8"/>
  </w:num>
  <w:num w:numId="5">
    <w:abstractNumId w:val="10"/>
  </w:num>
  <w:num w:numId="6">
    <w:abstractNumId w:val="4"/>
  </w:num>
  <w:num w:numId="7">
    <w:abstractNumId w:val="9"/>
  </w:num>
  <w:num w:numId="8">
    <w:abstractNumId w:val="0"/>
  </w:num>
  <w:num w:numId="9">
    <w:abstractNumId w:val="7"/>
  </w:num>
  <w:num w:numId="10">
    <w:abstractNumId w:val="2"/>
  </w:num>
  <w:num w:numId="11">
    <w:abstractNumId w:val="3"/>
  </w:num>
  <w:num w:numId="12">
    <w:abstractNumId w:val="5"/>
  </w:num>
  <w:num w:numId="13">
    <w:abstractNumId w:val="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622E"/>
    <w:rsid w:val="00015316"/>
    <w:rsid w:val="000202D8"/>
    <w:rsid w:val="0002080A"/>
    <w:rsid w:val="000221E5"/>
    <w:rsid w:val="00023A77"/>
    <w:rsid w:val="00023E6A"/>
    <w:rsid w:val="0002782F"/>
    <w:rsid w:val="00031512"/>
    <w:rsid w:val="00042AD8"/>
    <w:rsid w:val="000437C2"/>
    <w:rsid w:val="00045C06"/>
    <w:rsid w:val="00050819"/>
    <w:rsid w:val="00054E4D"/>
    <w:rsid w:val="0005798C"/>
    <w:rsid w:val="00060073"/>
    <w:rsid w:val="00060268"/>
    <w:rsid w:val="00062185"/>
    <w:rsid w:val="0007178F"/>
    <w:rsid w:val="00084201"/>
    <w:rsid w:val="00084483"/>
    <w:rsid w:val="000A005B"/>
    <w:rsid w:val="000B24B9"/>
    <w:rsid w:val="000B4BF2"/>
    <w:rsid w:val="000B53C1"/>
    <w:rsid w:val="000D4CBD"/>
    <w:rsid w:val="000D66D6"/>
    <w:rsid w:val="000D762F"/>
    <w:rsid w:val="000E2870"/>
    <w:rsid w:val="000E314A"/>
    <w:rsid w:val="000E7AA9"/>
    <w:rsid w:val="00102157"/>
    <w:rsid w:val="00125586"/>
    <w:rsid w:val="0012666F"/>
    <w:rsid w:val="0013336D"/>
    <w:rsid w:val="00151550"/>
    <w:rsid w:val="001533D4"/>
    <w:rsid w:val="001541EA"/>
    <w:rsid w:val="001549E0"/>
    <w:rsid w:val="00156343"/>
    <w:rsid w:val="00163186"/>
    <w:rsid w:val="00163AEE"/>
    <w:rsid w:val="00164DFC"/>
    <w:rsid w:val="00165462"/>
    <w:rsid w:val="0018753F"/>
    <w:rsid w:val="00190B28"/>
    <w:rsid w:val="001915C9"/>
    <w:rsid w:val="001C7A06"/>
    <w:rsid w:val="001D663E"/>
    <w:rsid w:val="001E1DC0"/>
    <w:rsid w:val="001F73D8"/>
    <w:rsid w:val="002077B9"/>
    <w:rsid w:val="00215DC1"/>
    <w:rsid w:val="0022004C"/>
    <w:rsid w:val="00224379"/>
    <w:rsid w:val="00234423"/>
    <w:rsid w:val="00235F81"/>
    <w:rsid w:val="00236A53"/>
    <w:rsid w:val="0023747E"/>
    <w:rsid w:val="002540D8"/>
    <w:rsid w:val="00261F07"/>
    <w:rsid w:val="00265068"/>
    <w:rsid w:val="00273EDA"/>
    <w:rsid w:val="00275DB7"/>
    <w:rsid w:val="00283E09"/>
    <w:rsid w:val="00284957"/>
    <w:rsid w:val="0028602A"/>
    <w:rsid w:val="0029059D"/>
    <w:rsid w:val="00297D3A"/>
    <w:rsid w:val="002A51CA"/>
    <w:rsid w:val="002B3E95"/>
    <w:rsid w:val="002B5E10"/>
    <w:rsid w:val="002E0091"/>
    <w:rsid w:val="002E3249"/>
    <w:rsid w:val="002F22EE"/>
    <w:rsid w:val="002F4C5F"/>
    <w:rsid w:val="002F4D47"/>
    <w:rsid w:val="002F6C0B"/>
    <w:rsid w:val="003002C0"/>
    <w:rsid w:val="00301144"/>
    <w:rsid w:val="00304EC5"/>
    <w:rsid w:val="0030612D"/>
    <w:rsid w:val="0031444D"/>
    <w:rsid w:val="003148B7"/>
    <w:rsid w:val="003158C3"/>
    <w:rsid w:val="003274CD"/>
    <w:rsid w:val="003319E8"/>
    <w:rsid w:val="0033320B"/>
    <w:rsid w:val="00333501"/>
    <w:rsid w:val="00333A3C"/>
    <w:rsid w:val="00341FB0"/>
    <w:rsid w:val="0034498D"/>
    <w:rsid w:val="003457C4"/>
    <w:rsid w:val="0035119D"/>
    <w:rsid w:val="0035281B"/>
    <w:rsid w:val="00355862"/>
    <w:rsid w:val="003751AE"/>
    <w:rsid w:val="003948CF"/>
    <w:rsid w:val="003A3706"/>
    <w:rsid w:val="003A3C36"/>
    <w:rsid w:val="003B06EB"/>
    <w:rsid w:val="003B0793"/>
    <w:rsid w:val="003B45B2"/>
    <w:rsid w:val="003B4F12"/>
    <w:rsid w:val="003B529A"/>
    <w:rsid w:val="003C0CA3"/>
    <w:rsid w:val="003C6093"/>
    <w:rsid w:val="003D352D"/>
    <w:rsid w:val="003F33E8"/>
    <w:rsid w:val="003F6D17"/>
    <w:rsid w:val="00400B0F"/>
    <w:rsid w:val="00402ACC"/>
    <w:rsid w:val="004120EC"/>
    <w:rsid w:val="00421BF3"/>
    <w:rsid w:val="00423F31"/>
    <w:rsid w:val="004251D1"/>
    <w:rsid w:val="00431899"/>
    <w:rsid w:val="00434696"/>
    <w:rsid w:val="004406B4"/>
    <w:rsid w:val="00452CE8"/>
    <w:rsid w:val="00456C64"/>
    <w:rsid w:val="00460771"/>
    <w:rsid w:val="00486804"/>
    <w:rsid w:val="004977A1"/>
    <w:rsid w:val="004B2573"/>
    <w:rsid w:val="004B3775"/>
    <w:rsid w:val="004B3F0B"/>
    <w:rsid w:val="004B553C"/>
    <w:rsid w:val="004C5AB9"/>
    <w:rsid w:val="004C6F3C"/>
    <w:rsid w:val="004D0BA0"/>
    <w:rsid w:val="004E0264"/>
    <w:rsid w:val="004E058F"/>
    <w:rsid w:val="004E3B87"/>
    <w:rsid w:val="00510921"/>
    <w:rsid w:val="00510AD3"/>
    <w:rsid w:val="00513348"/>
    <w:rsid w:val="005146B3"/>
    <w:rsid w:val="0053014D"/>
    <w:rsid w:val="00532DDE"/>
    <w:rsid w:val="00533764"/>
    <w:rsid w:val="00533B5D"/>
    <w:rsid w:val="00544D1E"/>
    <w:rsid w:val="0054779A"/>
    <w:rsid w:val="005511BF"/>
    <w:rsid w:val="00570835"/>
    <w:rsid w:val="00582C41"/>
    <w:rsid w:val="005839F4"/>
    <w:rsid w:val="0059146A"/>
    <w:rsid w:val="00597FA7"/>
    <w:rsid w:val="005A03D2"/>
    <w:rsid w:val="005B3E3D"/>
    <w:rsid w:val="005B5769"/>
    <w:rsid w:val="005B71ED"/>
    <w:rsid w:val="005C7233"/>
    <w:rsid w:val="005D1239"/>
    <w:rsid w:val="005D3655"/>
    <w:rsid w:val="005E3355"/>
    <w:rsid w:val="005E606B"/>
    <w:rsid w:val="005F5572"/>
    <w:rsid w:val="005F76C2"/>
    <w:rsid w:val="00601326"/>
    <w:rsid w:val="006110C8"/>
    <w:rsid w:val="00623BA1"/>
    <w:rsid w:val="006346BC"/>
    <w:rsid w:val="00636325"/>
    <w:rsid w:val="00642BAD"/>
    <w:rsid w:val="00646F0B"/>
    <w:rsid w:val="00654F45"/>
    <w:rsid w:val="006550D1"/>
    <w:rsid w:val="00665577"/>
    <w:rsid w:val="0066652A"/>
    <w:rsid w:val="006729A5"/>
    <w:rsid w:val="00672C9B"/>
    <w:rsid w:val="00680522"/>
    <w:rsid w:val="00681F08"/>
    <w:rsid w:val="00682167"/>
    <w:rsid w:val="00693944"/>
    <w:rsid w:val="006A3BAA"/>
    <w:rsid w:val="006A3DA7"/>
    <w:rsid w:val="006B3F48"/>
    <w:rsid w:val="006B4772"/>
    <w:rsid w:val="006C42AF"/>
    <w:rsid w:val="006C557D"/>
    <w:rsid w:val="006C691D"/>
    <w:rsid w:val="006D143B"/>
    <w:rsid w:val="006E32C9"/>
    <w:rsid w:val="006E35D5"/>
    <w:rsid w:val="006F0E3F"/>
    <w:rsid w:val="006F27B1"/>
    <w:rsid w:val="00700458"/>
    <w:rsid w:val="00701ECC"/>
    <w:rsid w:val="00711D8E"/>
    <w:rsid w:val="00712672"/>
    <w:rsid w:val="00725075"/>
    <w:rsid w:val="00725946"/>
    <w:rsid w:val="00727E25"/>
    <w:rsid w:val="00734E3F"/>
    <w:rsid w:val="00736524"/>
    <w:rsid w:val="00736985"/>
    <w:rsid w:val="0074092D"/>
    <w:rsid w:val="00741188"/>
    <w:rsid w:val="00745DF5"/>
    <w:rsid w:val="00750C06"/>
    <w:rsid w:val="00753302"/>
    <w:rsid w:val="00753E42"/>
    <w:rsid w:val="0076250F"/>
    <w:rsid w:val="00763FAF"/>
    <w:rsid w:val="007710AD"/>
    <w:rsid w:val="00771B53"/>
    <w:rsid w:val="007730FB"/>
    <w:rsid w:val="00777B6D"/>
    <w:rsid w:val="00784031"/>
    <w:rsid w:val="00792257"/>
    <w:rsid w:val="007964A0"/>
    <w:rsid w:val="007B6200"/>
    <w:rsid w:val="007C4CEB"/>
    <w:rsid w:val="007D187F"/>
    <w:rsid w:val="007D4740"/>
    <w:rsid w:val="007E157D"/>
    <w:rsid w:val="007E406E"/>
    <w:rsid w:val="007E44F8"/>
    <w:rsid w:val="007F3395"/>
    <w:rsid w:val="00801B9F"/>
    <w:rsid w:val="008057FD"/>
    <w:rsid w:val="0083489F"/>
    <w:rsid w:val="00844408"/>
    <w:rsid w:val="008475F0"/>
    <w:rsid w:val="00856BCC"/>
    <w:rsid w:val="00864210"/>
    <w:rsid w:val="00865EBE"/>
    <w:rsid w:val="00867F37"/>
    <w:rsid w:val="00880F34"/>
    <w:rsid w:val="00884064"/>
    <w:rsid w:val="008A2F84"/>
    <w:rsid w:val="008A5AFE"/>
    <w:rsid w:val="008A619C"/>
    <w:rsid w:val="008B110C"/>
    <w:rsid w:val="008B6447"/>
    <w:rsid w:val="008B68D7"/>
    <w:rsid w:val="008C2795"/>
    <w:rsid w:val="008C2880"/>
    <w:rsid w:val="008C2F58"/>
    <w:rsid w:val="008C5A0E"/>
    <w:rsid w:val="008D051F"/>
    <w:rsid w:val="008E5E71"/>
    <w:rsid w:val="008F56A8"/>
    <w:rsid w:val="0091044E"/>
    <w:rsid w:val="0092149F"/>
    <w:rsid w:val="00922139"/>
    <w:rsid w:val="00955BCA"/>
    <w:rsid w:val="00964519"/>
    <w:rsid w:val="00976D23"/>
    <w:rsid w:val="009822D6"/>
    <w:rsid w:val="009903F3"/>
    <w:rsid w:val="00992C76"/>
    <w:rsid w:val="0099300A"/>
    <w:rsid w:val="009A3BB1"/>
    <w:rsid w:val="009A4E67"/>
    <w:rsid w:val="009A7B45"/>
    <w:rsid w:val="009B4D3B"/>
    <w:rsid w:val="009C6911"/>
    <w:rsid w:val="009D1596"/>
    <w:rsid w:val="009D1D36"/>
    <w:rsid w:val="009D2134"/>
    <w:rsid w:val="009D2942"/>
    <w:rsid w:val="009D3B5E"/>
    <w:rsid w:val="009D57D4"/>
    <w:rsid w:val="009D7407"/>
    <w:rsid w:val="009E0866"/>
    <w:rsid w:val="009F1059"/>
    <w:rsid w:val="009F14F1"/>
    <w:rsid w:val="009F5488"/>
    <w:rsid w:val="009F6423"/>
    <w:rsid w:val="00A067AE"/>
    <w:rsid w:val="00A07493"/>
    <w:rsid w:val="00A1142A"/>
    <w:rsid w:val="00A13865"/>
    <w:rsid w:val="00A16B41"/>
    <w:rsid w:val="00A2095D"/>
    <w:rsid w:val="00A24A62"/>
    <w:rsid w:val="00A31C9F"/>
    <w:rsid w:val="00A3407E"/>
    <w:rsid w:val="00A37852"/>
    <w:rsid w:val="00A37FC3"/>
    <w:rsid w:val="00A4144F"/>
    <w:rsid w:val="00A41986"/>
    <w:rsid w:val="00A427C6"/>
    <w:rsid w:val="00A56F14"/>
    <w:rsid w:val="00A80F95"/>
    <w:rsid w:val="00A8197B"/>
    <w:rsid w:val="00A83B28"/>
    <w:rsid w:val="00A87E44"/>
    <w:rsid w:val="00A91F97"/>
    <w:rsid w:val="00A93C4F"/>
    <w:rsid w:val="00AA3D1B"/>
    <w:rsid w:val="00AA480C"/>
    <w:rsid w:val="00AA6072"/>
    <w:rsid w:val="00AA7BE3"/>
    <w:rsid w:val="00AC164A"/>
    <w:rsid w:val="00AC627C"/>
    <w:rsid w:val="00AD3CAF"/>
    <w:rsid w:val="00AF1B85"/>
    <w:rsid w:val="00AF2050"/>
    <w:rsid w:val="00AF220F"/>
    <w:rsid w:val="00B00FBC"/>
    <w:rsid w:val="00B02B67"/>
    <w:rsid w:val="00B03CA8"/>
    <w:rsid w:val="00B04E4C"/>
    <w:rsid w:val="00B25860"/>
    <w:rsid w:val="00B259AE"/>
    <w:rsid w:val="00B31D4A"/>
    <w:rsid w:val="00B32A54"/>
    <w:rsid w:val="00B331DC"/>
    <w:rsid w:val="00B332E8"/>
    <w:rsid w:val="00B41906"/>
    <w:rsid w:val="00B42392"/>
    <w:rsid w:val="00B438D3"/>
    <w:rsid w:val="00B53D71"/>
    <w:rsid w:val="00B5557E"/>
    <w:rsid w:val="00B55E19"/>
    <w:rsid w:val="00B72914"/>
    <w:rsid w:val="00B76F5E"/>
    <w:rsid w:val="00B76FBC"/>
    <w:rsid w:val="00B82304"/>
    <w:rsid w:val="00BA4B6D"/>
    <w:rsid w:val="00BB0BE6"/>
    <w:rsid w:val="00BB26C5"/>
    <w:rsid w:val="00BB736E"/>
    <w:rsid w:val="00BC1898"/>
    <w:rsid w:val="00BD10B9"/>
    <w:rsid w:val="00BD2F78"/>
    <w:rsid w:val="00BF3844"/>
    <w:rsid w:val="00BF4DE6"/>
    <w:rsid w:val="00C01760"/>
    <w:rsid w:val="00C04FC8"/>
    <w:rsid w:val="00C06E92"/>
    <w:rsid w:val="00C210E4"/>
    <w:rsid w:val="00C42CDE"/>
    <w:rsid w:val="00C5182A"/>
    <w:rsid w:val="00C51BCD"/>
    <w:rsid w:val="00C63EE9"/>
    <w:rsid w:val="00C6626C"/>
    <w:rsid w:val="00C66D9E"/>
    <w:rsid w:val="00C76F31"/>
    <w:rsid w:val="00C86A36"/>
    <w:rsid w:val="00C96693"/>
    <w:rsid w:val="00C969EC"/>
    <w:rsid w:val="00CA37B1"/>
    <w:rsid w:val="00CA4376"/>
    <w:rsid w:val="00CB1959"/>
    <w:rsid w:val="00CD0E4B"/>
    <w:rsid w:val="00CD1FD5"/>
    <w:rsid w:val="00CD2D88"/>
    <w:rsid w:val="00CD2E60"/>
    <w:rsid w:val="00CE0155"/>
    <w:rsid w:val="00CE2C66"/>
    <w:rsid w:val="00CE550B"/>
    <w:rsid w:val="00CE7A38"/>
    <w:rsid w:val="00CF4B63"/>
    <w:rsid w:val="00D00802"/>
    <w:rsid w:val="00D0296C"/>
    <w:rsid w:val="00D10079"/>
    <w:rsid w:val="00D12871"/>
    <w:rsid w:val="00D146A2"/>
    <w:rsid w:val="00D15A00"/>
    <w:rsid w:val="00D163EE"/>
    <w:rsid w:val="00D16BE2"/>
    <w:rsid w:val="00D22F1E"/>
    <w:rsid w:val="00D236BB"/>
    <w:rsid w:val="00D341EE"/>
    <w:rsid w:val="00D5470C"/>
    <w:rsid w:val="00D6268A"/>
    <w:rsid w:val="00D64BD1"/>
    <w:rsid w:val="00D661D8"/>
    <w:rsid w:val="00D72760"/>
    <w:rsid w:val="00D81F80"/>
    <w:rsid w:val="00D85056"/>
    <w:rsid w:val="00D9688E"/>
    <w:rsid w:val="00DA4545"/>
    <w:rsid w:val="00DC0486"/>
    <w:rsid w:val="00DC7E19"/>
    <w:rsid w:val="00DD1986"/>
    <w:rsid w:val="00DE084C"/>
    <w:rsid w:val="00DE2441"/>
    <w:rsid w:val="00DE4307"/>
    <w:rsid w:val="00DE7ECA"/>
    <w:rsid w:val="00DF2F7E"/>
    <w:rsid w:val="00E0465B"/>
    <w:rsid w:val="00E25B88"/>
    <w:rsid w:val="00E357B7"/>
    <w:rsid w:val="00E47539"/>
    <w:rsid w:val="00E53800"/>
    <w:rsid w:val="00E6081F"/>
    <w:rsid w:val="00E62CFA"/>
    <w:rsid w:val="00E64E99"/>
    <w:rsid w:val="00E71492"/>
    <w:rsid w:val="00E86697"/>
    <w:rsid w:val="00E866DB"/>
    <w:rsid w:val="00E93321"/>
    <w:rsid w:val="00E978D9"/>
    <w:rsid w:val="00EA04B2"/>
    <w:rsid w:val="00EA20F3"/>
    <w:rsid w:val="00EA7215"/>
    <w:rsid w:val="00EA79BD"/>
    <w:rsid w:val="00ED0CFF"/>
    <w:rsid w:val="00ED2831"/>
    <w:rsid w:val="00ED43D1"/>
    <w:rsid w:val="00ED6F02"/>
    <w:rsid w:val="00EE0FCE"/>
    <w:rsid w:val="00EE17CB"/>
    <w:rsid w:val="00EE36DD"/>
    <w:rsid w:val="00EE3BAC"/>
    <w:rsid w:val="00EE4EE1"/>
    <w:rsid w:val="00EF036E"/>
    <w:rsid w:val="00EF1E32"/>
    <w:rsid w:val="00EF4574"/>
    <w:rsid w:val="00EF6479"/>
    <w:rsid w:val="00F07C0F"/>
    <w:rsid w:val="00F1219A"/>
    <w:rsid w:val="00F2083C"/>
    <w:rsid w:val="00F213D1"/>
    <w:rsid w:val="00F24A5E"/>
    <w:rsid w:val="00F24BE1"/>
    <w:rsid w:val="00F24E03"/>
    <w:rsid w:val="00F2684E"/>
    <w:rsid w:val="00F30A28"/>
    <w:rsid w:val="00F30A7B"/>
    <w:rsid w:val="00F43E09"/>
    <w:rsid w:val="00F5404C"/>
    <w:rsid w:val="00F668E5"/>
    <w:rsid w:val="00F729EF"/>
    <w:rsid w:val="00F72BB3"/>
    <w:rsid w:val="00F75A5C"/>
    <w:rsid w:val="00F77CAE"/>
    <w:rsid w:val="00F82271"/>
    <w:rsid w:val="00F83428"/>
    <w:rsid w:val="00F94420"/>
    <w:rsid w:val="00F96BB9"/>
    <w:rsid w:val="00F97E5C"/>
    <w:rsid w:val="00FA7A89"/>
    <w:rsid w:val="00FB2017"/>
    <w:rsid w:val="00FB36A1"/>
    <w:rsid w:val="00FB5819"/>
    <w:rsid w:val="00FC1455"/>
    <w:rsid w:val="00FC4F8D"/>
    <w:rsid w:val="00FE6D51"/>
    <w:rsid w:val="00FE7F91"/>
    <w:rsid w:val="00FF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73C7BD3-FD7A-4872-985F-B1D3A658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ListParagraph">
    <w:name w:val="List Paragraph"/>
    <w:basedOn w:val="Normal"/>
    <w:uiPriority w:val="34"/>
    <w:qFormat/>
    <w:rsid w:val="00FB2017"/>
    <w:pPr>
      <w:ind w:left="720"/>
      <w:contextualSpacing/>
    </w:pPr>
  </w:style>
  <w:style w:type="character" w:styleId="CommentReference">
    <w:name w:val="annotation reference"/>
    <w:basedOn w:val="DefaultParagraphFont"/>
    <w:uiPriority w:val="99"/>
    <w:semiHidden/>
    <w:unhideWhenUsed/>
    <w:rsid w:val="00125586"/>
    <w:rPr>
      <w:sz w:val="16"/>
      <w:szCs w:val="16"/>
    </w:rPr>
  </w:style>
  <w:style w:type="paragraph" w:styleId="CommentText">
    <w:name w:val="annotation text"/>
    <w:basedOn w:val="Normal"/>
    <w:link w:val="CommentTextChar"/>
    <w:uiPriority w:val="99"/>
    <w:semiHidden/>
    <w:unhideWhenUsed/>
    <w:rsid w:val="00125586"/>
    <w:pPr>
      <w:spacing w:line="240" w:lineRule="auto"/>
    </w:pPr>
    <w:rPr>
      <w:sz w:val="20"/>
      <w:szCs w:val="20"/>
    </w:rPr>
  </w:style>
  <w:style w:type="character" w:customStyle="1" w:styleId="CommentTextChar">
    <w:name w:val="Comment Text Char"/>
    <w:basedOn w:val="DefaultParagraphFont"/>
    <w:link w:val="CommentText"/>
    <w:uiPriority w:val="99"/>
    <w:semiHidden/>
    <w:rsid w:val="0012558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25586"/>
    <w:rPr>
      <w:b/>
      <w:bCs/>
    </w:rPr>
  </w:style>
  <w:style w:type="character" w:customStyle="1" w:styleId="CommentSubjectChar">
    <w:name w:val="Comment Subject Char"/>
    <w:basedOn w:val="CommentTextChar"/>
    <w:link w:val="CommentSubject"/>
    <w:uiPriority w:val="99"/>
    <w:semiHidden/>
    <w:rsid w:val="00125586"/>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758">
      <w:bodyDiv w:val="1"/>
      <w:marLeft w:val="0"/>
      <w:marRight w:val="0"/>
      <w:marTop w:val="0"/>
      <w:marBottom w:val="0"/>
      <w:divBdr>
        <w:top w:val="none" w:sz="0" w:space="0" w:color="auto"/>
        <w:left w:val="none" w:sz="0" w:space="0" w:color="auto"/>
        <w:bottom w:val="none" w:sz="0" w:space="0" w:color="auto"/>
        <w:right w:val="none" w:sz="0" w:space="0" w:color="auto"/>
      </w:divBdr>
    </w:div>
    <w:div w:id="433287089">
      <w:bodyDiv w:val="1"/>
      <w:marLeft w:val="0"/>
      <w:marRight w:val="0"/>
      <w:marTop w:val="0"/>
      <w:marBottom w:val="0"/>
      <w:divBdr>
        <w:top w:val="none" w:sz="0" w:space="0" w:color="auto"/>
        <w:left w:val="none" w:sz="0" w:space="0" w:color="auto"/>
        <w:bottom w:val="none" w:sz="0" w:space="0" w:color="auto"/>
        <w:right w:val="none" w:sz="0" w:space="0" w:color="auto"/>
      </w:divBdr>
    </w:div>
    <w:div w:id="768237636">
      <w:bodyDiv w:val="1"/>
      <w:marLeft w:val="0"/>
      <w:marRight w:val="0"/>
      <w:marTop w:val="0"/>
      <w:marBottom w:val="0"/>
      <w:divBdr>
        <w:top w:val="none" w:sz="0" w:space="0" w:color="auto"/>
        <w:left w:val="none" w:sz="0" w:space="0" w:color="auto"/>
        <w:bottom w:val="none" w:sz="0" w:space="0" w:color="auto"/>
        <w:right w:val="none" w:sz="0" w:space="0" w:color="auto"/>
      </w:divBdr>
    </w:div>
    <w:div w:id="1682463683">
      <w:bodyDiv w:val="1"/>
      <w:marLeft w:val="0"/>
      <w:marRight w:val="0"/>
      <w:marTop w:val="0"/>
      <w:marBottom w:val="0"/>
      <w:divBdr>
        <w:top w:val="none" w:sz="0" w:space="0" w:color="auto"/>
        <w:left w:val="none" w:sz="0" w:space="0" w:color="auto"/>
        <w:bottom w:val="none" w:sz="0" w:space="0" w:color="auto"/>
        <w:right w:val="none" w:sz="0" w:space="0" w:color="auto"/>
      </w:divBdr>
    </w:div>
    <w:div w:id="2131851992">
      <w:bodyDiv w:val="1"/>
      <w:marLeft w:val="0"/>
      <w:marRight w:val="0"/>
      <w:marTop w:val="0"/>
      <w:marBottom w:val="0"/>
      <w:divBdr>
        <w:top w:val="none" w:sz="0" w:space="0" w:color="auto"/>
        <w:left w:val="none" w:sz="0" w:space="0" w:color="auto"/>
        <w:bottom w:val="none" w:sz="0" w:space="0" w:color="auto"/>
        <w:right w:val="none" w:sz="0" w:space="0" w:color="auto"/>
      </w:divBdr>
    </w:div>
    <w:div w:id="21324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6BF69-4B58-4CAE-8C0F-B79D359E5676}"/>
</file>

<file path=customXml/itemProps2.xml><?xml version="1.0" encoding="utf-8"?>
<ds:datastoreItem xmlns:ds="http://schemas.openxmlformats.org/officeDocument/2006/customXml" ds:itemID="{34E885FC-C911-4F11-A664-D9DB91BA3DE6}"/>
</file>

<file path=customXml/itemProps3.xml><?xml version="1.0" encoding="utf-8"?>
<ds:datastoreItem xmlns:ds="http://schemas.openxmlformats.org/officeDocument/2006/customXml" ds:itemID="{0A5E9E5B-E248-4551-A9E4-8E4CC03F9A3F}"/>
</file>

<file path=customXml/itemProps4.xml><?xml version="1.0" encoding="utf-8"?>
<ds:datastoreItem xmlns:ds="http://schemas.openxmlformats.org/officeDocument/2006/customXml" ds:itemID="{34268C56-12CA-4EDC-B367-C8A1DCCCBA15}"/>
</file>

<file path=docProps/app.xml><?xml version="1.0" encoding="utf-8"?>
<Properties xmlns="http://schemas.openxmlformats.org/officeDocument/2006/extended-properties" xmlns:vt="http://schemas.openxmlformats.org/officeDocument/2006/docPropsVTypes">
  <Template>Normal.dotm</Template>
  <TotalTime>10</TotalTime>
  <Pages>12</Pages>
  <Words>4244</Words>
  <Characters>24194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Bomball, David</dc:creator>
  <cp:lastModifiedBy>Carpenter, Sydney</cp:lastModifiedBy>
  <cp:revision>5</cp:revision>
  <cp:lastPrinted>2017-02-14T02:15:00Z</cp:lastPrinted>
  <dcterms:created xsi:type="dcterms:W3CDTF">2017-01-20T02:11:00Z</dcterms:created>
  <dcterms:modified xsi:type="dcterms:W3CDTF">2017-02-14T02:23:00Z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407d9ddf-a84e-4aba-af15-1807d9ce9937</vt:lpwstr>
  </property>
  <property fmtid="{D5CDD505-2E9C-101B-9397-08002B2CF9AE}" pid="3" name="ContentTypeId">
    <vt:lpwstr>0x01010050F19AC2165D2E47A5E6B7F563E4CF00</vt:lpwstr>
  </property>
  <property fmtid="{D5CDD505-2E9C-101B-9397-08002B2CF9AE}" pid="4" name="Order">
    <vt:r8>1057700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hptrimdataset">
    <vt:lpwstr>CH</vt:lpwstr>
  </property>
  <property fmtid="{D5CDD505-2E9C-101B-9397-08002B2CF9AE}" pid="11" name="hptrimfileref">
    <vt:lpwstr>16/912</vt:lpwstr>
  </property>
  <property fmtid="{D5CDD505-2E9C-101B-9397-08002B2CF9AE}" pid="12" name="hptrimrecordref">
    <vt:lpwstr/>
  </property>
  <property fmtid="{D5CDD505-2E9C-101B-9397-08002B2CF9AE}" pid="13" name="SEC">
    <vt:lpwstr>UNCLASSIFIED</vt:lpwstr>
  </property>
  <property fmtid="{D5CDD505-2E9C-101B-9397-08002B2CF9AE}" pid="14" name="DLM">
    <vt:lpwstr>No DLM</vt:lpwstr>
  </property>
</Properties>
</file>