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B32DE0" w:rsidRDefault="00B32DE0"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Aid</w:t>
      </w:r>
      <w:r w:rsidR="008D280D">
        <w:rPr>
          <w:noProof/>
          <w:color w:val="FFFFFF"/>
          <w:spacing w:val="0"/>
          <w:sz w:val="50"/>
          <w:szCs w:val="50"/>
          <w:lang w:val="en-US" w:eastAsia="en-US"/>
        </w:rPr>
        <w:t xml:space="preserve"> Program Performance Report 2014-15</w:t>
      </w:r>
      <w:r w:rsidRPr="001227C3">
        <w:rPr>
          <w:noProof/>
          <w:color w:val="FFFFFF"/>
          <w:spacing w:val="0"/>
          <w:sz w:val="50"/>
          <w:szCs w:val="50"/>
          <w:lang w:val="en-US" w:eastAsia="en-US"/>
        </w:rPr>
        <w:t xml:space="preserve"> </w:t>
      </w:r>
      <w:bookmarkStart w:id="0" w:name="_GoBack"/>
      <w:r w:rsidRPr="001227C3">
        <w:rPr>
          <w:noProof/>
          <w:color w:val="FFFFFF"/>
          <w:spacing w:val="0"/>
          <w:sz w:val="50"/>
          <w:szCs w:val="50"/>
        </w:rPr>
        <w:drawing>
          <wp:anchor distT="0" distB="0" distL="114300" distR="114300" simplePos="0" relativeHeight="251662336" behindDoc="1" locked="1" layoutInCell="1" allowOverlap="1" wp14:anchorId="723B2DFD" wp14:editId="6360291C">
            <wp:simplePos x="0" y="0"/>
            <wp:positionH relativeFrom="page">
              <wp:posOffset>-195580</wp:posOffset>
            </wp:positionH>
            <wp:positionV relativeFrom="page">
              <wp:posOffset>-189865</wp:posOffset>
            </wp:positionV>
            <wp:extent cx="7950200" cy="11245850"/>
            <wp:effectExtent l="0" t="0" r="0"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950200" cy="11245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0D733F" w:rsidRPr="001905FA" w:rsidRDefault="00DD547F" w:rsidP="000D733F">
      <w:pPr>
        <w:pStyle w:val="Subtitle"/>
        <w:ind w:left="2694" w:right="-624"/>
        <w:rPr>
          <w:noProof/>
          <w:color w:val="FF0000"/>
          <w:spacing w:val="0"/>
          <w:sz w:val="32"/>
          <w:szCs w:val="32"/>
          <w:lang w:val="en-US" w:eastAsia="en-US"/>
        </w:rPr>
      </w:pPr>
      <w:r>
        <w:rPr>
          <w:noProof/>
          <w:color w:val="FFFFFF"/>
          <w:spacing w:val="0"/>
          <w:sz w:val="32"/>
          <w:szCs w:val="32"/>
          <w:lang w:val="en-US" w:eastAsia="en-US"/>
        </w:rPr>
        <w:t xml:space="preserve">Samoa </w:t>
      </w:r>
    </w:p>
    <w:p w:rsidR="001D6059" w:rsidRPr="00CE1DFB" w:rsidRDefault="00125002" w:rsidP="00CE1DFB">
      <w:pPr>
        <w:pStyle w:val="Date"/>
        <w:spacing w:before="200" w:after="600" w:line="380" w:lineRule="atLeast"/>
        <w:ind w:left="2694" w:right="-624"/>
        <w:rPr>
          <w:rFonts w:ascii="Helvetica" w:eastAsia="Times New Roman" w:hAnsi="Helvetica"/>
          <w:noProof/>
          <w:color w:val="FFFFFF"/>
          <w:kern w:val="28"/>
          <w:sz w:val="24"/>
          <w:lang w:val="en-US" w:eastAsia="en-US"/>
        </w:rPr>
      </w:pPr>
      <w:r>
        <w:rPr>
          <w:rFonts w:ascii="Helvetica" w:eastAsia="Times New Roman" w:hAnsi="Helvetica"/>
          <w:noProof/>
          <w:color w:val="FFFFFF"/>
          <w:kern w:val="28"/>
          <w:sz w:val="24"/>
          <w:lang w:val="en-US" w:eastAsia="en-US"/>
        </w:rPr>
        <w:t>November</w:t>
      </w:r>
      <w:r w:rsidR="000D733F" w:rsidRPr="001227C3">
        <w:rPr>
          <w:rFonts w:ascii="Helvetica" w:eastAsia="Times New Roman" w:hAnsi="Helvetica"/>
          <w:noProof/>
          <w:color w:val="FFFFFF"/>
          <w:kern w:val="28"/>
          <w:sz w:val="24"/>
          <w:lang w:val="en-US" w:eastAsia="en-US"/>
        </w:rPr>
        <w:t xml:space="preserve"> 201</w:t>
      </w:r>
      <w:r>
        <w:rPr>
          <w:rFonts w:ascii="Helvetica" w:eastAsia="Times New Roman" w:hAnsi="Helvetica"/>
          <w:noProof/>
          <w:color w:val="FFFFFF"/>
          <w:kern w:val="28"/>
          <w:sz w:val="24"/>
          <w:lang w:val="en-US" w:eastAsia="en-US"/>
        </w:rPr>
        <w:t>5</w:t>
      </w:r>
    </w:p>
    <w:p w:rsidR="000D733F" w:rsidRPr="00B43B60" w:rsidRDefault="000D733F" w:rsidP="002660AA">
      <w:pPr>
        <w:pStyle w:val="Heading2"/>
        <w:rPr>
          <w:rStyle w:val="BodyTextChar"/>
          <w:color w:val="auto"/>
        </w:rPr>
      </w:pPr>
      <w:bookmarkStart w:id="1" w:name="_Toc373853205"/>
      <w:r w:rsidRPr="002660AA">
        <w:rPr>
          <w:sz w:val="28"/>
        </w:rPr>
        <w:t>Key Messages</w:t>
      </w:r>
      <w:bookmarkEnd w:id="1"/>
      <w:r w:rsidRPr="002660AA">
        <w:rPr>
          <w:sz w:val="28"/>
        </w:rPr>
        <w:tab/>
      </w:r>
      <w:r w:rsidRPr="009E38C1">
        <w:tab/>
      </w:r>
      <w:r>
        <w:rPr>
          <w:sz w:val="32"/>
          <w:szCs w:val="32"/>
        </w:rPr>
        <w:tab/>
      </w:r>
      <w:r>
        <w:rPr>
          <w:sz w:val="32"/>
          <w:szCs w:val="32"/>
        </w:rPr>
        <w:tab/>
      </w:r>
      <w:r>
        <w:rPr>
          <w:sz w:val="32"/>
          <w:szCs w:val="32"/>
        </w:rPr>
        <w:tab/>
      </w:r>
      <w:r>
        <w:rPr>
          <w:sz w:val="32"/>
          <w:szCs w:val="32"/>
        </w:rPr>
        <w:tab/>
      </w:r>
    </w:p>
    <w:p w:rsidR="00B32DE0" w:rsidRDefault="00B32DE0" w:rsidP="00BF0839">
      <w:pPr>
        <w:pStyle w:val="ListBullet"/>
        <w:numPr>
          <w:ilvl w:val="0"/>
          <w:numId w:val="0"/>
        </w:numPr>
        <w:tabs>
          <w:tab w:val="clear" w:pos="284"/>
        </w:tabs>
      </w:pPr>
    </w:p>
    <w:p w:rsidR="00B32DE0" w:rsidRDefault="00FA6B79" w:rsidP="009A4A63">
      <w:pPr>
        <w:pStyle w:val="Heading1"/>
        <w:spacing w:before="240"/>
      </w:pPr>
      <w:r>
        <w:lastRenderedPageBreak/>
        <w:t>Key Messages</w:t>
      </w:r>
    </w:p>
    <w:p w:rsidR="00D25F87" w:rsidRDefault="00D25F87" w:rsidP="001905FA">
      <w:pPr>
        <w:spacing w:before="120" w:after="120"/>
        <w:rPr>
          <w:rFonts w:ascii="Franklin Gothic Book" w:hAnsi="Franklin Gothic Book"/>
          <w:sz w:val="21"/>
        </w:rPr>
      </w:pPr>
      <w:r w:rsidRPr="000555E2">
        <w:rPr>
          <w:rFonts w:ascii="Franklin Gothic Book" w:eastAsia="Times New Roman" w:hAnsi="Franklin Gothic Book"/>
          <w:sz w:val="21"/>
        </w:rPr>
        <w:t xml:space="preserve">This report outlines progress made towards the objectives of the Australian Government’s aid program to Samoa from July 2014 to July 2015 as articulated in the Partnership for </w:t>
      </w:r>
      <w:r w:rsidR="009F6F80" w:rsidRPr="000555E2">
        <w:rPr>
          <w:rFonts w:ascii="Franklin Gothic Book" w:eastAsia="Times New Roman" w:hAnsi="Franklin Gothic Book"/>
          <w:sz w:val="21"/>
        </w:rPr>
        <w:t>Development</w:t>
      </w:r>
      <w:r w:rsidR="00CB4411">
        <w:rPr>
          <w:rFonts w:ascii="Franklin Gothic Book" w:eastAsia="Times New Roman" w:hAnsi="Franklin Gothic Book"/>
          <w:sz w:val="21"/>
        </w:rPr>
        <w:t>, 2009</w:t>
      </w:r>
      <w:r w:rsidR="002672F8">
        <w:rPr>
          <w:rFonts w:ascii="Franklin Gothic Book" w:eastAsia="Times New Roman" w:hAnsi="Franklin Gothic Book"/>
          <w:sz w:val="21"/>
        </w:rPr>
        <w:t>–</w:t>
      </w:r>
      <w:r w:rsidR="00CB4411">
        <w:rPr>
          <w:rFonts w:ascii="Franklin Gothic Book" w:eastAsia="Times New Roman" w:hAnsi="Franklin Gothic Book"/>
          <w:sz w:val="21"/>
        </w:rPr>
        <w:t>15</w:t>
      </w:r>
      <w:r w:rsidR="00832BDE">
        <w:rPr>
          <w:rFonts w:ascii="Franklin Gothic Book" w:eastAsia="Times New Roman" w:hAnsi="Franklin Gothic Book"/>
          <w:sz w:val="21"/>
        </w:rPr>
        <w:t xml:space="preserve">. It makes </w:t>
      </w:r>
      <w:r w:rsidR="009F6F80" w:rsidRPr="000555E2">
        <w:rPr>
          <w:rFonts w:ascii="Franklin Gothic Book" w:eastAsia="Times New Roman" w:hAnsi="Franklin Gothic Book"/>
          <w:sz w:val="21"/>
        </w:rPr>
        <w:t xml:space="preserve">recommendations </w:t>
      </w:r>
      <w:r w:rsidR="00832BDE">
        <w:rPr>
          <w:rFonts w:ascii="Franklin Gothic Book" w:eastAsia="Times New Roman" w:hAnsi="Franklin Gothic Book"/>
          <w:sz w:val="21"/>
        </w:rPr>
        <w:t>to improve overall</w:t>
      </w:r>
      <w:r w:rsidR="009F6F80" w:rsidRPr="000555E2">
        <w:rPr>
          <w:rFonts w:ascii="Franklin Gothic Book" w:eastAsia="Times New Roman" w:hAnsi="Franklin Gothic Book"/>
          <w:sz w:val="21"/>
        </w:rPr>
        <w:t xml:space="preserve"> program performance going forward.</w:t>
      </w:r>
    </w:p>
    <w:p w:rsidR="009F6F80" w:rsidRDefault="009F6F80" w:rsidP="001905FA">
      <w:pPr>
        <w:spacing w:before="120" w:after="120"/>
      </w:pPr>
      <w:r w:rsidRPr="005F1B86">
        <w:rPr>
          <w:rFonts w:ascii="Franklin Gothic Book" w:eastAsia="Times New Roman" w:hAnsi="Franklin Gothic Book"/>
          <w:sz w:val="21"/>
        </w:rPr>
        <w:t>During 2014</w:t>
      </w:r>
      <w:r w:rsidR="002672F8">
        <w:rPr>
          <w:rFonts w:ascii="Franklin Gothic Book" w:eastAsia="Times New Roman" w:hAnsi="Franklin Gothic Book"/>
          <w:sz w:val="21"/>
        </w:rPr>
        <w:t>–</w:t>
      </w:r>
      <w:r w:rsidRPr="005F1B86">
        <w:rPr>
          <w:rFonts w:ascii="Franklin Gothic Book" w:eastAsia="Times New Roman" w:hAnsi="Franklin Gothic Book"/>
          <w:sz w:val="21"/>
        </w:rPr>
        <w:t>15</w:t>
      </w:r>
      <w:r w:rsidR="0002564E">
        <w:rPr>
          <w:rFonts w:ascii="Franklin Gothic Book" w:eastAsia="Times New Roman" w:hAnsi="Franklin Gothic Book"/>
          <w:sz w:val="21"/>
        </w:rPr>
        <w:t>,</w:t>
      </w:r>
      <w:r w:rsidRPr="005F1B86">
        <w:rPr>
          <w:rFonts w:ascii="Franklin Gothic Book" w:eastAsia="Times New Roman" w:hAnsi="Franklin Gothic Book"/>
          <w:sz w:val="21"/>
        </w:rPr>
        <w:t xml:space="preserve"> </w:t>
      </w:r>
      <w:r w:rsidR="00771415">
        <w:rPr>
          <w:rFonts w:ascii="Franklin Gothic Book" w:eastAsia="Times New Roman" w:hAnsi="Franklin Gothic Book"/>
          <w:sz w:val="21"/>
        </w:rPr>
        <w:t>several</w:t>
      </w:r>
      <w:r w:rsidRPr="005F1B86">
        <w:rPr>
          <w:rFonts w:ascii="Franklin Gothic Book" w:eastAsia="Times New Roman" w:hAnsi="Franklin Gothic Book"/>
          <w:sz w:val="21"/>
        </w:rPr>
        <w:t xml:space="preserve"> key initiatives came to an end including DFAT’s support to the law and justice sector and </w:t>
      </w:r>
      <w:r w:rsidR="00E26E6C">
        <w:rPr>
          <w:rFonts w:ascii="Franklin Gothic Book" w:eastAsia="Times New Roman" w:hAnsi="Franklin Gothic Book"/>
          <w:sz w:val="21"/>
        </w:rPr>
        <w:t xml:space="preserve">the current phase of support </w:t>
      </w:r>
      <w:r w:rsidRPr="005F1B86">
        <w:rPr>
          <w:rFonts w:ascii="Franklin Gothic Book" w:eastAsia="Times New Roman" w:hAnsi="Franklin Gothic Book"/>
          <w:sz w:val="21"/>
        </w:rPr>
        <w:t>to the Ministry o</w:t>
      </w:r>
      <w:r w:rsidR="00E26E6C">
        <w:rPr>
          <w:rFonts w:ascii="Franklin Gothic Book" w:eastAsia="Times New Roman" w:hAnsi="Franklin Gothic Book"/>
          <w:sz w:val="21"/>
        </w:rPr>
        <w:t xml:space="preserve">f Education, Sports and Culture.  </w:t>
      </w:r>
      <w:r w:rsidRPr="005F1B86">
        <w:rPr>
          <w:rFonts w:ascii="Franklin Gothic Book" w:eastAsia="Times New Roman" w:hAnsi="Franklin Gothic Book"/>
          <w:sz w:val="21"/>
        </w:rPr>
        <w:t xml:space="preserve">Both were evaluated </w:t>
      </w:r>
      <w:r w:rsidR="00E26E6C">
        <w:rPr>
          <w:rFonts w:ascii="Franklin Gothic Book" w:eastAsia="Times New Roman" w:hAnsi="Franklin Gothic Book"/>
          <w:sz w:val="21"/>
        </w:rPr>
        <w:t xml:space="preserve">and </w:t>
      </w:r>
      <w:r w:rsidRPr="005F1B86">
        <w:rPr>
          <w:rFonts w:ascii="Franklin Gothic Book" w:eastAsia="Times New Roman" w:hAnsi="Franklin Gothic Book"/>
          <w:sz w:val="21"/>
        </w:rPr>
        <w:t xml:space="preserve">recommendations will be carefully considered by DFAT </w:t>
      </w:r>
      <w:r w:rsidR="002F58C6">
        <w:rPr>
          <w:rFonts w:ascii="Franklin Gothic Book" w:eastAsia="Times New Roman" w:hAnsi="Franklin Gothic Book"/>
          <w:sz w:val="21"/>
        </w:rPr>
        <w:t>in implementing</w:t>
      </w:r>
      <w:r w:rsidRPr="005F1B86">
        <w:rPr>
          <w:rFonts w:ascii="Franklin Gothic Book" w:eastAsia="Times New Roman" w:hAnsi="Franklin Gothic Book"/>
          <w:sz w:val="21"/>
        </w:rPr>
        <w:t xml:space="preserve"> future investments.</w:t>
      </w:r>
      <w:r w:rsidR="00E26E6C">
        <w:rPr>
          <w:rFonts w:ascii="Franklin Gothic Book" w:eastAsia="Times New Roman" w:hAnsi="Franklin Gothic Book"/>
          <w:sz w:val="21"/>
        </w:rPr>
        <w:t xml:space="preserve"> </w:t>
      </w:r>
      <w:r w:rsidR="00771415">
        <w:rPr>
          <w:rFonts w:ascii="Franklin Gothic Book" w:eastAsia="Times New Roman" w:hAnsi="Franklin Gothic Book"/>
          <w:sz w:val="21"/>
        </w:rPr>
        <w:t>Also during the reporting period</w:t>
      </w:r>
      <w:r w:rsidR="00E26E6C">
        <w:rPr>
          <w:rFonts w:ascii="Franklin Gothic Book" w:eastAsia="Times New Roman" w:hAnsi="Franklin Gothic Book"/>
          <w:sz w:val="21"/>
        </w:rPr>
        <w:t xml:space="preserve"> new programs were finalised for gender</w:t>
      </w:r>
      <w:r w:rsidR="00CB4411">
        <w:rPr>
          <w:rFonts w:ascii="Franklin Gothic Book" w:eastAsia="Times New Roman" w:hAnsi="Franklin Gothic Book"/>
          <w:sz w:val="21"/>
        </w:rPr>
        <w:t xml:space="preserve"> and </w:t>
      </w:r>
      <w:r w:rsidR="00E26E6C">
        <w:rPr>
          <w:rFonts w:ascii="Franklin Gothic Book" w:eastAsia="Times New Roman" w:hAnsi="Franklin Gothic Book"/>
          <w:sz w:val="21"/>
        </w:rPr>
        <w:t>education and progressed in economic infrastructure and health.</w:t>
      </w:r>
    </w:p>
    <w:p w:rsidR="00D25F87" w:rsidRDefault="00D25F87" w:rsidP="001905FA">
      <w:pPr>
        <w:spacing w:before="120" w:after="120"/>
      </w:pPr>
      <w:r w:rsidRPr="005F1B86">
        <w:rPr>
          <w:rFonts w:ascii="Franklin Gothic Book" w:eastAsia="Times New Roman" w:hAnsi="Franklin Gothic Book"/>
          <w:sz w:val="21"/>
        </w:rPr>
        <w:t>Key achievements included:</w:t>
      </w:r>
    </w:p>
    <w:p w:rsidR="00BE3935" w:rsidRPr="005E429C" w:rsidRDefault="00BE3935" w:rsidP="002672F8">
      <w:pPr>
        <w:pStyle w:val="ListParagraph"/>
        <w:numPr>
          <w:ilvl w:val="0"/>
          <w:numId w:val="43"/>
        </w:numPr>
        <w:spacing w:before="120" w:after="0"/>
        <w:ind w:left="714" w:hanging="357"/>
        <w:rPr>
          <w:rFonts w:ascii="Franklin Gothic Book" w:hAnsi="Franklin Gothic Book"/>
          <w:sz w:val="21"/>
        </w:rPr>
      </w:pPr>
      <w:r>
        <w:rPr>
          <w:rFonts w:ascii="Franklin Gothic Book" w:hAnsi="Franklin Gothic Book"/>
          <w:sz w:val="21"/>
        </w:rPr>
        <w:t xml:space="preserve">The </w:t>
      </w:r>
      <w:r w:rsidR="00771415">
        <w:rPr>
          <w:rFonts w:ascii="Franklin Gothic Book" w:hAnsi="Franklin Gothic Book"/>
          <w:sz w:val="21"/>
        </w:rPr>
        <w:t>renovation and rebuilding</w:t>
      </w:r>
      <w:r>
        <w:rPr>
          <w:rFonts w:ascii="Franklin Gothic Book" w:hAnsi="Franklin Gothic Book"/>
          <w:sz w:val="21"/>
        </w:rPr>
        <w:t xml:space="preserve"> of key health and education buildings, supported by Australia through the Cyclone Recovery Program</w:t>
      </w:r>
      <w:r w:rsidR="00521A78">
        <w:rPr>
          <w:rFonts w:ascii="Franklin Gothic Book" w:hAnsi="Franklin Gothic Book"/>
          <w:sz w:val="21"/>
        </w:rPr>
        <w:t xml:space="preserve"> and the Education Sector Program II (ESP II)</w:t>
      </w:r>
      <w:r w:rsidR="00CB4411">
        <w:rPr>
          <w:rFonts w:ascii="Franklin Gothic Book" w:hAnsi="Franklin Gothic Book"/>
          <w:sz w:val="21"/>
        </w:rPr>
        <w:t>.  This included 39 ref</w:t>
      </w:r>
      <w:r>
        <w:rPr>
          <w:rFonts w:ascii="Franklin Gothic Book" w:hAnsi="Franklin Gothic Book"/>
          <w:sz w:val="21"/>
        </w:rPr>
        <w:t>urbished or renovated schools; the rebuilding of the Sataua District Hospital and renovation of the Poutasi District Hospital.</w:t>
      </w:r>
      <w:r w:rsidR="00C5201A">
        <w:rPr>
          <w:rFonts w:ascii="Franklin Gothic Book" w:hAnsi="Franklin Gothic Book"/>
          <w:sz w:val="21"/>
        </w:rPr>
        <w:t xml:space="preserve"> </w:t>
      </w:r>
    </w:p>
    <w:p w:rsidR="00BE3935" w:rsidRDefault="00BE3935"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Co</w:t>
      </w:r>
      <w:r w:rsidR="00771415">
        <w:rPr>
          <w:rFonts w:ascii="Franklin Gothic Book" w:hAnsi="Franklin Gothic Book"/>
          <w:sz w:val="21"/>
        </w:rPr>
        <w:t xml:space="preserve">nstruction </w:t>
      </w:r>
      <w:r>
        <w:rPr>
          <w:rFonts w:ascii="Franklin Gothic Book" w:hAnsi="Franklin Gothic Book"/>
          <w:sz w:val="21"/>
        </w:rPr>
        <w:t xml:space="preserve">of a new prosthetic and orthotics clinic under the Health Sector Wide Approach Program </w:t>
      </w:r>
      <w:r w:rsidR="002672F8">
        <w:rPr>
          <w:rFonts w:ascii="Franklin Gothic Book" w:hAnsi="Franklin Gothic Book"/>
          <w:sz w:val="21"/>
        </w:rPr>
        <w:t xml:space="preserve">(SWAp) </w:t>
      </w:r>
      <w:r>
        <w:rPr>
          <w:rFonts w:ascii="Franklin Gothic Book" w:hAnsi="Franklin Gothic Book"/>
          <w:sz w:val="21"/>
        </w:rPr>
        <w:t xml:space="preserve">and opening of a new </w:t>
      </w:r>
      <w:r w:rsidR="00771415">
        <w:rPr>
          <w:rFonts w:ascii="Franklin Gothic Book" w:hAnsi="Franklin Gothic Book"/>
          <w:sz w:val="21"/>
        </w:rPr>
        <w:t>Mobility Device Clinic</w:t>
      </w:r>
      <w:r>
        <w:rPr>
          <w:rFonts w:ascii="Franklin Gothic Book" w:hAnsi="Franklin Gothic Book"/>
          <w:sz w:val="21"/>
        </w:rPr>
        <w:t xml:space="preserve"> which will provide services to around 600 people with mobility disabilities </w:t>
      </w:r>
      <w:r w:rsidR="00771415">
        <w:rPr>
          <w:rFonts w:ascii="Franklin Gothic Book" w:hAnsi="Franklin Gothic Book"/>
          <w:sz w:val="21"/>
        </w:rPr>
        <w:t xml:space="preserve">each </w:t>
      </w:r>
      <w:r>
        <w:rPr>
          <w:rFonts w:ascii="Franklin Gothic Book" w:hAnsi="Franklin Gothic Book"/>
          <w:sz w:val="21"/>
        </w:rPr>
        <w:t>year.</w:t>
      </w:r>
    </w:p>
    <w:p w:rsidR="008343CF" w:rsidRPr="00771415" w:rsidRDefault="008343CF"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Commenc</w:t>
      </w:r>
      <w:r w:rsidR="00CC482D">
        <w:rPr>
          <w:rFonts w:ascii="Franklin Gothic Book" w:hAnsi="Franklin Gothic Book"/>
          <w:sz w:val="21"/>
        </w:rPr>
        <w:t>ed</w:t>
      </w:r>
      <w:r>
        <w:rPr>
          <w:rFonts w:ascii="Franklin Gothic Book" w:hAnsi="Franklin Gothic Book"/>
          <w:sz w:val="21"/>
        </w:rPr>
        <w:t xml:space="preserve"> a trial of targeted </w:t>
      </w:r>
      <w:r w:rsidRPr="00771415">
        <w:rPr>
          <w:rFonts w:ascii="Franklin Gothic Book" w:hAnsi="Franklin Gothic Book"/>
          <w:sz w:val="21"/>
        </w:rPr>
        <w:t xml:space="preserve">scholarships </w:t>
      </w:r>
      <w:r>
        <w:rPr>
          <w:rFonts w:ascii="Franklin Gothic Book" w:hAnsi="Franklin Gothic Book"/>
          <w:sz w:val="21"/>
        </w:rPr>
        <w:t xml:space="preserve">in </w:t>
      </w:r>
      <w:r w:rsidRPr="00771415">
        <w:rPr>
          <w:rFonts w:ascii="Franklin Gothic Book" w:hAnsi="Franklin Gothic Book"/>
          <w:sz w:val="21"/>
        </w:rPr>
        <w:t>education and health.</w:t>
      </w:r>
    </w:p>
    <w:p w:rsidR="008343CF" w:rsidRPr="005E429C" w:rsidRDefault="008343CF"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Strengthen</w:t>
      </w:r>
      <w:r w:rsidR="00CC482D">
        <w:rPr>
          <w:rFonts w:ascii="Franklin Gothic Book" w:hAnsi="Franklin Gothic Book"/>
          <w:sz w:val="21"/>
        </w:rPr>
        <w:t>ed</w:t>
      </w:r>
      <w:r>
        <w:rPr>
          <w:rFonts w:ascii="Franklin Gothic Book" w:hAnsi="Franklin Gothic Book"/>
          <w:sz w:val="21"/>
        </w:rPr>
        <w:t xml:space="preserve"> post school education and training (PSET) by supporting the Samoan Qualifications Authority to provide 259 scholarships to study with local PSET providers and ‘skilling up’ 41 local trainers to do Australian certified qualifications in training and assessments through the Australia Pacific Technical College (APTC). In addition, 132 places were provided to Samoan students to study at the APTC.</w:t>
      </w:r>
    </w:p>
    <w:p w:rsidR="008343CF" w:rsidRPr="005E429C" w:rsidRDefault="008343CF"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Agreed</w:t>
      </w:r>
      <w:r w:rsidRPr="00CD7853">
        <w:rPr>
          <w:rFonts w:ascii="Franklin Gothic Book" w:hAnsi="Franklin Gothic Book"/>
          <w:sz w:val="21"/>
        </w:rPr>
        <w:t xml:space="preserve"> final revised design for Samoa’s </w:t>
      </w:r>
      <w:r>
        <w:rPr>
          <w:rFonts w:ascii="Franklin Gothic Book" w:hAnsi="Franklin Gothic Book"/>
          <w:sz w:val="21"/>
        </w:rPr>
        <w:t xml:space="preserve">new </w:t>
      </w:r>
      <w:r w:rsidRPr="00CD7853">
        <w:rPr>
          <w:rFonts w:ascii="Franklin Gothic Book" w:hAnsi="Franklin Gothic Book"/>
          <w:sz w:val="21"/>
        </w:rPr>
        <w:t>Parliament House which meets Samoa’s 21</w:t>
      </w:r>
      <w:r w:rsidRPr="005E429C">
        <w:rPr>
          <w:rFonts w:ascii="Franklin Gothic Book" w:hAnsi="Franklin Gothic Book"/>
          <w:sz w:val="21"/>
        </w:rPr>
        <w:t>st</w:t>
      </w:r>
      <w:r>
        <w:rPr>
          <w:rFonts w:ascii="Franklin Gothic Book" w:hAnsi="Franklin Gothic Book"/>
          <w:sz w:val="21"/>
        </w:rPr>
        <w:t xml:space="preserve"> century p</w:t>
      </w:r>
      <w:r w:rsidRPr="00CD7853">
        <w:rPr>
          <w:rFonts w:ascii="Franklin Gothic Book" w:hAnsi="Franklin Gothic Book"/>
          <w:sz w:val="21"/>
        </w:rPr>
        <w:t>arliamentary needs.</w:t>
      </w:r>
    </w:p>
    <w:p w:rsidR="00CD7853" w:rsidRDefault="002F58C6"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Publication</w:t>
      </w:r>
      <w:r w:rsidR="00771415">
        <w:rPr>
          <w:rFonts w:ascii="Franklin Gothic Book" w:hAnsi="Franklin Gothic Book"/>
          <w:sz w:val="21"/>
        </w:rPr>
        <w:t xml:space="preserve"> of digital</w:t>
      </w:r>
      <w:r>
        <w:rPr>
          <w:rFonts w:ascii="Franklin Gothic Book" w:hAnsi="Franklin Gothic Book"/>
          <w:sz w:val="21"/>
        </w:rPr>
        <w:t xml:space="preserve"> Land and Titles Court r</w:t>
      </w:r>
      <w:r w:rsidR="00CD7853" w:rsidRPr="004D0A61">
        <w:rPr>
          <w:rFonts w:ascii="Franklin Gothic Book" w:hAnsi="Franklin Gothic Book"/>
          <w:sz w:val="21"/>
        </w:rPr>
        <w:t xml:space="preserve">ecords </w:t>
      </w:r>
      <w:r w:rsidR="00771415">
        <w:rPr>
          <w:rFonts w:ascii="Franklin Gothic Book" w:hAnsi="Franklin Gothic Book"/>
          <w:sz w:val="21"/>
        </w:rPr>
        <w:t>which preserve</w:t>
      </w:r>
      <w:r w:rsidR="00CB4411">
        <w:rPr>
          <w:rFonts w:ascii="Franklin Gothic Book" w:hAnsi="Franklin Gothic Book"/>
          <w:sz w:val="21"/>
        </w:rPr>
        <w:t>s</w:t>
      </w:r>
      <w:r w:rsidR="00771415">
        <w:rPr>
          <w:rFonts w:ascii="Franklin Gothic Book" w:hAnsi="Franklin Gothic Book"/>
          <w:sz w:val="21"/>
        </w:rPr>
        <w:t xml:space="preserve"> and improve</w:t>
      </w:r>
      <w:r w:rsidR="00CB4411">
        <w:rPr>
          <w:rFonts w:ascii="Franklin Gothic Book" w:hAnsi="Franklin Gothic Book"/>
          <w:sz w:val="21"/>
        </w:rPr>
        <w:t>s</w:t>
      </w:r>
      <w:r w:rsidR="00CD7853" w:rsidRPr="004D0A61">
        <w:rPr>
          <w:rFonts w:ascii="Franklin Gothic Book" w:hAnsi="Franklin Gothic Book"/>
          <w:sz w:val="21"/>
        </w:rPr>
        <w:t xml:space="preserve"> public access to critical </w:t>
      </w:r>
      <w:r w:rsidR="00C055E3">
        <w:rPr>
          <w:rFonts w:ascii="Franklin Gothic Book" w:hAnsi="Franklin Gothic Book"/>
          <w:sz w:val="21"/>
        </w:rPr>
        <w:t xml:space="preserve">Land and Titles </w:t>
      </w:r>
      <w:r w:rsidR="00392149">
        <w:rPr>
          <w:rFonts w:ascii="Franklin Gothic Book" w:hAnsi="Franklin Gothic Book"/>
          <w:sz w:val="21"/>
        </w:rPr>
        <w:t>information</w:t>
      </w:r>
      <w:r w:rsidR="00C055E3">
        <w:rPr>
          <w:rFonts w:ascii="Franklin Gothic Book" w:hAnsi="Franklin Gothic Book"/>
          <w:sz w:val="21"/>
        </w:rPr>
        <w:t>.</w:t>
      </w:r>
      <w:r w:rsidR="002672F8">
        <w:rPr>
          <w:rFonts w:ascii="Franklin Gothic Book" w:hAnsi="Franklin Gothic Book"/>
          <w:sz w:val="21"/>
        </w:rPr>
        <w:t xml:space="preserve"> </w:t>
      </w:r>
      <w:r w:rsidR="00CD7853" w:rsidRPr="004D0A61">
        <w:rPr>
          <w:rFonts w:ascii="Franklin Gothic Book" w:hAnsi="Franklin Gothic Book"/>
          <w:sz w:val="21"/>
        </w:rPr>
        <w:t xml:space="preserve">The potential contribution of this project to future community </w:t>
      </w:r>
      <w:r w:rsidR="00771415">
        <w:rPr>
          <w:rFonts w:ascii="Franklin Gothic Book" w:hAnsi="Franklin Gothic Book"/>
          <w:sz w:val="21"/>
        </w:rPr>
        <w:t>stability is significant.</w:t>
      </w:r>
    </w:p>
    <w:p w:rsidR="00BE3935" w:rsidRDefault="00CC482D" w:rsidP="002672F8">
      <w:pPr>
        <w:pStyle w:val="ListParagraph"/>
        <w:numPr>
          <w:ilvl w:val="0"/>
          <w:numId w:val="43"/>
        </w:numPr>
        <w:spacing w:after="0"/>
        <w:ind w:left="714" w:hanging="357"/>
        <w:rPr>
          <w:rFonts w:ascii="Franklin Gothic Book" w:hAnsi="Franklin Gothic Book"/>
          <w:sz w:val="21"/>
        </w:rPr>
      </w:pPr>
      <w:r>
        <w:rPr>
          <w:rFonts w:ascii="Franklin Gothic Book" w:hAnsi="Franklin Gothic Book"/>
          <w:sz w:val="21"/>
        </w:rPr>
        <w:t>Launched</w:t>
      </w:r>
      <w:r w:rsidDel="00CC482D">
        <w:rPr>
          <w:rFonts w:ascii="Franklin Gothic Book" w:hAnsi="Franklin Gothic Book"/>
          <w:sz w:val="21"/>
        </w:rPr>
        <w:t xml:space="preserve"> </w:t>
      </w:r>
      <w:r w:rsidR="00BE3935">
        <w:rPr>
          <w:rFonts w:ascii="Franklin Gothic Book" w:hAnsi="Franklin Gothic Book"/>
          <w:sz w:val="21"/>
        </w:rPr>
        <w:t>the Samoa Gender Country Plan</w:t>
      </w:r>
      <w:r w:rsidR="00392149">
        <w:rPr>
          <w:rFonts w:ascii="Franklin Gothic Book" w:hAnsi="Franklin Gothic Book"/>
          <w:sz w:val="21"/>
        </w:rPr>
        <w:t>,</w:t>
      </w:r>
      <w:r w:rsidR="00BE3935">
        <w:rPr>
          <w:rFonts w:ascii="Franklin Gothic Book" w:hAnsi="Franklin Gothic Book"/>
          <w:sz w:val="21"/>
        </w:rPr>
        <w:t xml:space="preserve"> which commits Australia to provid</w:t>
      </w:r>
      <w:r w:rsidR="00771415">
        <w:rPr>
          <w:rFonts w:ascii="Franklin Gothic Book" w:hAnsi="Franklin Gothic Book"/>
          <w:sz w:val="21"/>
        </w:rPr>
        <w:t>e</w:t>
      </w:r>
      <w:r w:rsidR="00BE3935">
        <w:rPr>
          <w:rFonts w:ascii="Franklin Gothic Book" w:hAnsi="Franklin Gothic Book"/>
          <w:sz w:val="21"/>
        </w:rPr>
        <w:t xml:space="preserve"> $4.3 million to assist Samoa to improve gender equality from 2015-20. An early activity under this plan brought village women representatives from all over Samoa to hear from sitting Parliamentarians about the Samoa</w:t>
      </w:r>
      <w:r w:rsidR="00B87741">
        <w:rPr>
          <w:rFonts w:ascii="Franklin Gothic Book" w:hAnsi="Franklin Gothic Book"/>
          <w:sz w:val="21"/>
        </w:rPr>
        <w:t>n Government</w:t>
      </w:r>
      <w:r w:rsidR="00BE3935">
        <w:rPr>
          <w:rFonts w:ascii="Franklin Gothic Book" w:hAnsi="Franklin Gothic Book"/>
          <w:sz w:val="21"/>
        </w:rPr>
        <w:t xml:space="preserve"> plans to get more women into Parliament at the 2016 election. </w:t>
      </w:r>
    </w:p>
    <w:p w:rsidR="008343CF" w:rsidRDefault="008343CF" w:rsidP="002672F8">
      <w:pPr>
        <w:pStyle w:val="ListParagraph"/>
        <w:numPr>
          <w:ilvl w:val="0"/>
          <w:numId w:val="43"/>
        </w:numPr>
        <w:spacing w:after="0"/>
        <w:ind w:left="714" w:hanging="357"/>
        <w:rPr>
          <w:rFonts w:ascii="Franklin Gothic Book" w:hAnsi="Franklin Gothic Book"/>
          <w:sz w:val="21"/>
        </w:rPr>
      </w:pPr>
      <w:r w:rsidRPr="00771415">
        <w:rPr>
          <w:rFonts w:ascii="Franklin Gothic Book" w:hAnsi="Franklin Gothic Book"/>
          <w:sz w:val="21"/>
        </w:rPr>
        <w:t>Support</w:t>
      </w:r>
      <w:r w:rsidR="00CC482D">
        <w:rPr>
          <w:rFonts w:ascii="Franklin Gothic Book" w:hAnsi="Franklin Gothic Book"/>
          <w:sz w:val="21"/>
        </w:rPr>
        <w:t>ed</w:t>
      </w:r>
      <w:r w:rsidRPr="00771415">
        <w:rPr>
          <w:rFonts w:ascii="Franklin Gothic Book" w:hAnsi="Franklin Gothic Book"/>
          <w:sz w:val="21"/>
        </w:rPr>
        <w:t xml:space="preserve"> Samoa to host a successful </w:t>
      </w:r>
      <w:r w:rsidR="00C5201A">
        <w:rPr>
          <w:rFonts w:ascii="Franklin Gothic Book" w:hAnsi="Franklin Gothic Book"/>
          <w:sz w:val="21"/>
        </w:rPr>
        <w:t>Small Island Developing States (</w:t>
      </w:r>
      <w:r w:rsidRPr="00771415">
        <w:rPr>
          <w:rFonts w:ascii="Franklin Gothic Book" w:hAnsi="Franklin Gothic Book"/>
          <w:sz w:val="21"/>
        </w:rPr>
        <w:t>SIDS</w:t>
      </w:r>
      <w:r w:rsidR="00C5201A">
        <w:rPr>
          <w:rFonts w:ascii="Franklin Gothic Book" w:hAnsi="Franklin Gothic Book"/>
          <w:sz w:val="21"/>
        </w:rPr>
        <w:t>)</w:t>
      </w:r>
      <w:r w:rsidRPr="00771415">
        <w:rPr>
          <w:rFonts w:ascii="Franklin Gothic Book" w:hAnsi="Franklin Gothic Book"/>
          <w:sz w:val="21"/>
        </w:rPr>
        <w:t xml:space="preserve"> Conference (September 2014) and provid</w:t>
      </w:r>
      <w:r w:rsidR="00CC482D">
        <w:rPr>
          <w:rFonts w:ascii="Franklin Gothic Book" w:hAnsi="Franklin Gothic Book"/>
          <w:sz w:val="21"/>
        </w:rPr>
        <w:t>ed</w:t>
      </w:r>
      <w:r w:rsidRPr="00771415">
        <w:rPr>
          <w:rFonts w:ascii="Franklin Gothic Book" w:hAnsi="Franklin Gothic Book"/>
          <w:sz w:val="21"/>
        </w:rPr>
        <w:t xml:space="preserve"> </w:t>
      </w:r>
      <w:r w:rsidRPr="00EF7AFC">
        <w:rPr>
          <w:rFonts w:ascii="Franklin Gothic Book" w:hAnsi="Franklin Gothic Book"/>
          <w:sz w:val="21"/>
        </w:rPr>
        <w:t xml:space="preserve">technical assistance </w:t>
      </w:r>
      <w:r>
        <w:rPr>
          <w:rFonts w:ascii="Franklin Gothic Book" w:hAnsi="Franklin Gothic Book"/>
          <w:sz w:val="21"/>
        </w:rPr>
        <w:t>towards preparations</w:t>
      </w:r>
      <w:r w:rsidRPr="00EF7AFC">
        <w:rPr>
          <w:rFonts w:ascii="Franklin Gothic Book" w:hAnsi="Franklin Gothic Book"/>
          <w:sz w:val="21"/>
        </w:rPr>
        <w:t xml:space="preserve"> for the 2015 </w:t>
      </w:r>
      <w:r>
        <w:rPr>
          <w:rFonts w:ascii="Franklin Gothic Book" w:hAnsi="Franklin Gothic Book"/>
          <w:sz w:val="21"/>
        </w:rPr>
        <w:t xml:space="preserve">Commonwealth Youth </w:t>
      </w:r>
      <w:r w:rsidRPr="00EF7AFC">
        <w:rPr>
          <w:rFonts w:ascii="Franklin Gothic Book" w:hAnsi="Franklin Gothic Book"/>
          <w:sz w:val="21"/>
        </w:rPr>
        <w:t>games</w:t>
      </w:r>
      <w:r>
        <w:rPr>
          <w:rFonts w:ascii="Franklin Gothic Book" w:hAnsi="Franklin Gothic Book"/>
          <w:sz w:val="21"/>
        </w:rPr>
        <w:t xml:space="preserve"> through the</w:t>
      </w:r>
      <w:r w:rsidRPr="00EF7AFC">
        <w:rPr>
          <w:rFonts w:ascii="Franklin Gothic Book" w:hAnsi="Franklin Gothic Book"/>
          <w:sz w:val="21"/>
        </w:rPr>
        <w:t xml:space="preserve"> Gold Coast 2018 Commonwealth Games Cor</w:t>
      </w:r>
      <w:r>
        <w:rPr>
          <w:rFonts w:ascii="Franklin Gothic Book" w:hAnsi="Franklin Gothic Book"/>
          <w:sz w:val="21"/>
        </w:rPr>
        <w:t xml:space="preserve">poration (GOLDOC) (September 2015). </w:t>
      </w:r>
      <w:r w:rsidRPr="00771415">
        <w:rPr>
          <w:rFonts w:ascii="Franklin Gothic Book" w:hAnsi="Franklin Gothic Book"/>
          <w:sz w:val="21"/>
        </w:rPr>
        <w:t xml:space="preserve">These events highlighted Samoa as </w:t>
      </w:r>
      <w:r w:rsidR="000A1E6F">
        <w:rPr>
          <w:rFonts w:ascii="Franklin Gothic Book" w:hAnsi="Franklin Gothic Book"/>
          <w:sz w:val="21"/>
        </w:rPr>
        <w:t>a</w:t>
      </w:r>
      <w:r>
        <w:rPr>
          <w:rFonts w:ascii="Franklin Gothic Book" w:hAnsi="Franklin Gothic Book"/>
          <w:sz w:val="21"/>
        </w:rPr>
        <w:t xml:space="preserve"> venue </w:t>
      </w:r>
      <w:r w:rsidR="000A1E6F">
        <w:rPr>
          <w:rFonts w:ascii="Franklin Gothic Book" w:hAnsi="Franklin Gothic Book"/>
          <w:sz w:val="21"/>
        </w:rPr>
        <w:t>to host</w:t>
      </w:r>
      <w:r>
        <w:rPr>
          <w:rFonts w:ascii="Franklin Gothic Book" w:hAnsi="Franklin Gothic Book"/>
          <w:sz w:val="21"/>
        </w:rPr>
        <w:t xml:space="preserve"> large events and </w:t>
      </w:r>
      <w:r w:rsidRPr="00771415">
        <w:rPr>
          <w:rFonts w:ascii="Franklin Gothic Book" w:hAnsi="Franklin Gothic Book"/>
          <w:sz w:val="21"/>
        </w:rPr>
        <w:t>as a tourist destination</w:t>
      </w:r>
      <w:r>
        <w:rPr>
          <w:rFonts w:ascii="Franklin Gothic Book" w:hAnsi="Franklin Gothic Book"/>
          <w:sz w:val="21"/>
        </w:rPr>
        <w:t>.</w:t>
      </w:r>
    </w:p>
    <w:p w:rsidR="000D733F" w:rsidRPr="00B43B60" w:rsidRDefault="000D733F" w:rsidP="002E3195">
      <w:pPr>
        <w:pStyle w:val="Heading2"/>
        <w:spacing w:before="240"/>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rsidR="00D5505D" w:rsidRPr="00C5201A" w:rsidRDefault="00D5505D"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Samoa is one of the most remote of the Pacific islands, located approximately 1140 kilometres east of Fiji. </w:t>
      </w:r>
      <w:r w:rsidR="00B87741">
        <w:rPr>
          <w:rFonts w:ascii="Franklin Gothic Book" w:eastAsia="Times New Roman" w:hAnsi="Franklin Gothic Book"/>
          <w:sz w:val="21"/>
        </w:rPr>
        <w:t>Samoa has a population of 192,000 and i</w:t>
      </w:r>
      <w:r w:rsidRPr="00C5201A">
        <w:rPr>
          <w:rFonts w:ascii="Franklin Gothic Book" w:eastAsia="Times New Roman" w:hAnsi="Franklin Gothic Book"/>
          <w:sz w:val="21"/>
        </w:rPr>
        <w:t xml:space="preserve">ts economy relies on tourism, remittances and development aid. Prior to the Global Financial Crisis, Samoa was one of the fastest growing countries in the Pacific. However, Samoa is prone to natural disasters. </w:t>
      </w:r>
      <w:r w:rsidR="002672F8">
        <w:rPr>
          <w:rFonts w:ascii="Franklin Gothic Book" w:eastAsia="Times New Roman" w:hAnsi="Franklin Gothic Book"/>
          <w:sz w:val="21"/>
        </w:rPr>
        <w:t>I</w:t>
      </w:r>
      <w:r w:rsidRPr="00C5201A">
        <w:rPr>
          <w:rFonts w:ascii="Franklin Gothic Book" w:eastAsia="Times New Roman" w:hAnsi="Franklin Gothic Book"/>
          <w:sz w:val="21"/>
        </w:rPr>
        <w:t>n December 2012</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 </w:t>
      </w:r>
      <w:r w:rsidR="002672F8">
        <w:rPr>
          <w:rFonts w:ascii="Franklin Gothic Book" w:eastAsia="Times New Roman" w:hAnsi="Franklin Gothic Book"/>
          <w:sz w:val="21"/>
        </w:rPr>
        <w:t>C</w:t>
      </w:r>
      <w:r w:rsidRPr="00C5201A">
        <w:rPr>
          <w:rFonts w:ascii="Franklin Gothic Book" w:eastAsia="Times New Roman" w:hAnsi="Franklin Gothic Book"/>
          <w:sz w:val="21"/>
        </w:rPr>
        <w:t>yclone Evan caused major destruction</w:t>
      </w:r>
      <w:r w:rsidR="00392149">
        <w:rPr>
          <w:rFonts w:ascii="Franklin Gothic Book" w:eastAsia="Times New Roman" w:hAnsi="Franklin Gothic Book"/>
          <w:sz w:val="21"/>
        </w:rPr>
        <w:t>.</w:t>
      </w:r>
      <w:r w:rsidR="002F7CE2">
        <w:rPr>
          <w:rFonts w:ascii="Franklin Gothic Book" w:eastAsia="Times New Roman" w:hAnsi="Franklin Gothic Book"/>
          <w:sz w:val="21"/>
        </w:rPr>
        <w:t xml:space="preserve"> </w:t>
      </w:r>
      <w:r w:rsidR="00392149">
        <w:rPr>
          <w:rFonts w:ascii="Franklin Gothic Book" w:eastAsia="Times New Roman" w:hAnsi="Franklin Gothic Book"/>
          <w:sz w:val="21"/>
        </w:rPr>
        <w:t>T</w:t>
      </w:r>
      <w:r w:rsidRPr="00C5201A">
        <w:rPr>
          <w:rFonts w:ascii="Franklin Gothic Book" w:eastAsia="Times New Roman" w:hAnsi="Franklin Gothic Book"/>
          <w:sz w:val="21"/>
        </w:rPr>
        <w:t>his</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 combined with the impact of the tsunami in 2009, led to reconstruction costs estimated to be 40 per cent of GDP and added about 15 per cent of GDP to Samoa’s external debt. </w:t>
      </w:r>
      <w:r w:rsidR="002672F8" w:rsidRPr="00C5201A">
        <w:rPr>
          <w:rFonts w:ascii="Franklin Gothic Book" w:eastAsia="Times New Roman" w:hAnsi="Franklin Gothic Book"/>
          <w:sz w:val="21"/>
        </w:rPr>
        <w:t xml:space="preserve">Samoa has maintained macroeconomic stability </w:t>
      </w:r>
      <w:r w:rsidR="002672F8">
        <w:rPr>
          <w:rFonts w:ascii="Franklin Gothic Book" w:eastAsia="Times New Roman" w:hAnsi="Franklin Gothic Book"/>
          <w:sz w:val="21"/>
        </w:rPr>
        <w:t>i</w:t>
      </w:r>
      <w:r w:rsidRPr="00C5201A">
        <w:rPr>
          <w:rFonts w:ascii="Franklin Gothic Book" w:eastAsia="Times New Roman" w:hAnsi="Franklin Gothic Book"/>
          <w:sz w:val="21"/>
        </w:rPr>
        <w:t xml:space="preserve">n the face </w:t>
      </w:r>
      <w:r w:rsidR="002672F8">
        <w:rPr>
          <w:rFonts w:ascii="Franklin Gothic Book" w:eastAsia="Times New Roman" w:hAnsi="Franklin Gothic Book"/>
          <w:sz w:val="21"/>
        </w:rPr>
        <w:t xml:space="preserve">of </w:t>
      </w:r>
      <w:r w:rsidRPr="00C5201A">
        <w:rPr>
          <w:rFonts w:ascii="Franklin Gothic Book" w:eastAsia="Times New Roman" w:hAnsi="Franklin Gothic Book"/>
          <w:sz w:val="21"/>
        </w:rPr>
        <w:t xml:space="preserve">these external </w:t>
      </w:r>
      <w:r w:rsidR="002672F8" w:rsidRPr="00C5201A">
        <w:rPr>
          <w:rFonts w:ascii="Franklin Gothic Book" w:eastAsia="Times New Roman" w:hAnsi="Franklin Gothic Book"/>
          <w:sz w:val="21"/>
        </w:rPr>
        <w:t>shocks</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 however debt increased rapidly from 30 per cent of GDP in 2008 to 55 per cent in 2014</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well above the authorities’ medium-term target of 50 per cent of GDP. </w:t>
      </w:r>
    </w:p>
    <w:p w:rsidR="005A17D6" w:rsidRPr="00C5201A" w:rsidRDefault="005A17D6" w:rsidP="009A4A63">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The risk of high levels of debt to Samoa’s </w:t>
      </w:r>
      <w:r w:rsidR="002672F8">
        <w:rPr>
          <w:rFonts w:ascii="Franklin Gothic Book" w:eastAsia="Times New Roman" w:hAnsi="Franklin Gothic Book"/>
          <w:sz w:val="21"/>
        </w:rPr>
        <w:t xml:space="preserve">ongoing </w:t>
      </w:r>
      <w:r w:rsidRPr="00C5201A">
        <w:rPr>
          <w:rFonts w:ascii="Franklin Gothic Book" w:eastAsia="Times New Roman" w:hAnsi="Franklin Gothic Book"/>
          <w:sz w:val="21"/>
        </w:rPr>
        <w:t xml:space="preserve">macroeconomic stability was </w:t>
      </w:r>
      <w:r w:rsidR="002901F8">
        <w:rPr>
          <w:rFonts w:ascii="Franklin Gothic Book" w:eastAsia="Times New Roman" w:hAnsi="Franklin Gothic Book"/>
          <w:sz w:val="21"/>
        </w:rPr>
        <w:t>a matter for policy dialogue</w:t>
      </w:r>
      <w:r w:rsidRPr="00C5201A">
        <w:rPr>
          <w:rFonts w:ascii="Franklin Gothic Book" w:eastAsia="Times New Roman" w:hAnsi="Franklin Gothic Book"/>
          <w:sz w:val="21"/>
        </w:rPr>
        <w:t xml:space="preserve"> between development partners and Samoa during 2014</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15. In its 2015–16 Budget, the Samoan </w:t>
      </w:r>
      <w:r w:rsidR="00B620E3">
        <w:rPr>
          <w:rFonts w:ascii="Franklin Gothic Book" w:eastAsia="Times New Roman" w:hAnsi="Franklin Gothic Book"/>
          <w:sz w:val="21"/>
        </w:rPr>
        <w:t>G</w:t>
      </w:r>
      <w:r w:rsidRPr="00C5201A">
        <w:rPr>
          <w:rFonts w:ascii="Franklin Gothic Book" w:eastAsia="Times New Roman" w:hAnsi="Franklin Gothic Book"/>
          <w:sz w:val="21"/>
        </w:rPr>
        <w:t xml:space="preserve">overnment committed to </w:t>
      </w:r>
      <w:r w:rsidR="00392149">
        <w:rPr>
          <w:rFonts w:ascii="Franklin Gothic Book" w:eastAsia="Times New Roman" w:hAnsi="Franklin Gothic Book"/>
          <w:sz w:val="21"/>
        </w:rPr>
        <w:t>only</w:t>
      </w:r>
      <w:r w:rsidR="00392149" w:rsidRPr="00C5201A">
        <w:rPr>
          <w:rFonts w:ascii="Franklin Gothic Book" w:eastAsia="Times New Roman" w:hAnsi="Franklin Gothic Book"/>
          <w:sz w:val="21"/>
        </w:rPr>
        <w:t xml:space="preserve"> </w:t>
      </w:r>
      <w:r w:rsidRPr="00C5201A">
        <w:rPr>
          <w:rFonts w:ascii="Franklin Gothic Book" w:eastAsia="Times New Roman" w:hAnsi="Franklin Gothic Book"/>
          <w:sz w:val="21"/>
        </w:rPr>
        <w:t xml:space="preserve">taking on new loans that are in line with its medium-term debt management strategy and contribute positively to economic growth. </w:t>
      </w:r>
      <w:r w:rsidR="00F90FEB" w:rsidRPr="00C5201A">
        <w:rPr>
          <w:rFonts w:ascii="Franklin Gothic Book" w:eastAsia="Times New Roman" w:hAnsi="Franklin Gothic Book"/>
          <w:sz w:val="21"/>
        </w:rPr>
        <w:t xml:space="preserve">Samoa’s debt situation </w:t>
      </w:r>
      <w:r w:rsidR="00F90FEB">
        <w:rPr>
          <w:rFonts w:ascii="Franklin Gothic Book" w:eastAsia="Times New Roman" w:hAnsi="Franklin Gothic Book"/>
          <w:sz w:val="21"/>
        </w:rPr>
        <w:t>was r</w:t>
      </w:r>
      <w:r w:rsidRPr="00C5201A">
        <w:rPr>
          <w:rFonts w:ascii="Franklin Gothic Book" w:eastAsia="Times New Roman" w:hAnsi="Franklin Gothic Book"/>
          <w:sz w:val="21"/>
        </w:rPr>
        <w:t>eclassifi</w:t>
      </w:r>
      <w:r w:rsidR="00F90FEB">
        <w:rPr>
          <w:rFonts w:ascii="Franklin Gothic Book" w:eastAsia="Times New Roman" w:hAnsi="Franklin Gothic Book"/>
          <w:sz w:val="21"/>
        </w:rPr>
        <w:t>ed</w:t>
      </w:r>
      <w:r w:rsidRPr="00C5201A">
        <w:rPr>
          <w:rFonts w:ascii="Franklin Gothic Book" w:eastAsia="Times New Roman" w:hAnsi="Franklin Gothic Book"/>
          <w:sz w:val="21"/>
        </w:rPr>
        <w:t xml:space="preserve"> </w:t>
      </w:r>
      <w:r w:rsidR="00F90FEB">
        <w:rPr>
          <w:rFonts w:ascii="Franklin Gothic Book" w:eastAsia="Times New Roman" w:hAnsi="Franklin Gothic Book"/>
          <w:sz w:val="21"/>
        </w:rPr>
        <w:t xml:space="preserve">in 2014-15 </w:t>
      </w:r>
      <w:r w:rsidRPr="00C5201A">
        <w:rPr>
          <w:rFonts w:ascii="Franklin Gothic Book" w:eastAsia="Times New Roman" w:hAnsi="Franklin Gothic Book"/>
          <w:sz w:val="21"/>
        </w:rPr>
        <w:t xml:space="preserve">from high to </w:t>
      </w:r>
      <w:r w:rsidR="00F90FEB" w:rsidRPr="00C5201A">
        <w:rPr>
          <w:rFonts w:ascii="Franklin Gothic Book" w:eastAsia="Times New Roman" w:hAnsi="Franklin Gothic Book"/>
          <w:sz w:val="21"/>
        </w:rPr>
        <w:t>medium</w:t>
      </w:r>
      <w:r w:rsidR="00F90FEB">
        <w:rPr>
          <w:rFonts w:ascii="Franklin Gothic Book" w:eastAsia="Times New Roman" w:hAnsi="Franklin Gothic Book"/>
          <w:sz w:val="21"/>
        </w:rPr>
        <w:t>-</w:t>
      </w:r>
      <w:r w:rsidRPr="00C5201A">
        <w:rPr>
          <w:rFonts w:ascii="Franklin Gothic Book" w:eastAsia="Times New Roman" w:hAnsi="Franklin Gothic Book"/>
          <w:sz w:val="21"/>
        </w:rPr>
        <w:t>debt distress</w:t>
      </w:r>
      <w:r w:rsidR="00F90FEB">
        <w:rPr>
          <w:rFonts w:ascii="Franklin Gothic Book" w:eastAsia="Times New Roman" w:hAnsi="Franklin Gothic Book"/>
          <w:sz w:val="21"/>
        </w:rPr>
        <w:t>. This was</w:t>
      </w:r>
      <w:r w:rsidRPr="00C5201A">
        <w:rPr>
          <w:rFonts w:ascii="Franklin Gothic Book" w:eastAsia="Times New Roman" w:hAnsi="Franklin Gothic Book"/>
          <w:sz w:val="21"/>
        </w:rPr>
        <w:t xml:space="preserve"> largely due to changes in the way debt is assessed</w:t>
      </w:r>
      <w:r w:rsidR="00F90FEB">
        <w:rPr>
          <w:rFonts w:ascii="Franklin Gothic Book" w:eastAsia="Times New Roman" w:hAnsi="Franklin Gothic Book"/>
          <w:sz w:val="21"/>
        </w:rPr>
        <w:t xml:space="preserve"> and</w:t>
      </w:r>
      <w:r w:rsidRPr="00C5201A">
        <w:rPr>
          <w:rFonts w:ascii="Franklin Gothic Book" w:eastAsia="Times New Roman" w:hAnsi="Franklin Gothic Book"/>
          <w:sz w:val="21"/>
        </w:rPr>
        <w:t xml:space="preserve"> resulted in Samoa no longer qualifying for 100</w:t>
      </w:r>
      <w:r w:rsidR="002672F8">
        <w:rPr>
          <w:rFonts w:ascii="Franklin Gothic Book" w:eastAsia="Times New Roman" w:hAnsi="Franklin Gothic Book"/>
          <w:sz w:val="21"/>
        </w:rPr>
        <w:t> </w:t>
      </w:r>
      <w:r w:rsidRPr="00C5201A">
        <w:rPr>
          <w:rFonts w:ascii="Franklin Gothic Book" w:eastAsia="Times New Roman" w:hAnsi="Franklin Gothic Book"/>
          <w:sz w:val="21"/>
        </w:rPr>
        <w:t>per</w:t>
      </w:r>
      <w:r w:rsidR="002672F8">
        <w:rPr>
          <w:rFonts w:ascii="Franklin Gothic Book" w:eastAsia="Times New Roman" w:hAnsi="Franklin Gothic Book"/>
          <w:sz w:val="21"/>
        </w:rPr>
        <w:t> </w:t>
      </w:r>
      <w:r w:rsidRPr="00C5201A">
        <w:rPr>
          <w:rFonts w:ascii="Franklin Gothic Book" w:eastAsia="Times New Roman" w:hAnsi="Franklin Gothic Book"/>
          <w:sz w:val="21"/>
        </w:rPr>
        <w:t xml:space="preserve">cent grant finance from the World Bank and </w:t>
      </w:r>
      <w:r w:rsidR="00392149">
        <w:rPr>
          <w:rFonts w:ascii="Franklin Gothic Book" w:eastAsia="Times New Roman" w:hAnsi="Franklin Gothic Book"/>
          <w:sz w:val="21"/>
        </w:rPr>
        <w:t>the Asian Development Bank (</w:t>
      </w:r>
      <w:r w:rsidRPr="00C5201A">
        <w:rPr>
          <w:rFonts w:ascii="Franklin Gothic Book" w:eastAsia="Times New Roman" w:hAnsi="Franklin Gothic Book"/>
          <w:sz w:val="21"/>
        </w:rPr>
        <w:t>ADB</w:t>
      </w:r>
      <w:r w:rsidR="00392149">
        <w:rPr>
          <w:rFonts w:ascii="Franklin Gothic Book" w:eastAsia="Times New Roman" w:hAnsi="Franklin Gothic Book"/>
          <w:sz w:val="21"/>
        </w:rPr>
        <w:t>)</w:t>
      </w:r>
      <w:r w:rsidRPr="00C5201A">
        <w:rPr>
          <w:rFonts w:ascii="Franklin Gothic Book" w:eastAsia="Times New Roman" w:hAnsi="Franklin Gothic Book"/>
          <w:sz w:val="21"/>
        </w:rPr>
        <w:t>.</w:t>
      </w:r>
    </w:p>
    <w:p w:rsidR="00BD4BD5" w:rsidRPr="00C5201A" w:rsidRDefault="00414E38"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lastRenderedPageBreak/>
        <w:t>The 2014</w:t>
      </w:r>
      <w:r w:rsidR="002672F8">
        <w:rPr>
          <w:rFonts w:ascii="Franklin Gothic Book" w:eastAsia="Times New Roman" w:hAnsi="Franklin Gothic Book"/>
          <w:sz w:val="21"/>
        </w:rPr>
        <w:t>–</w:t>
      </w:r>
      <w:r w:rsidRPr="00C5201A">
        <w:rPr>
          <w:rFonts w:ascii="Franklin Gothic Book" w:eastAsia="Times New Roman" w:hAnsi="Franklin Gothic Book"/>
          <w:sz w:val="21"/>
        </w:rPr>
        <w:t xml:space="preserve">15 fiscal year </w:t>
      </w:r>
      <w:r w:rsidR="00AB7298" w:rsidRPr="00C5201A">
        <w:rPr>
          <w:rFonts w:ascii="Franklin Gothic Book" w:eastAsia="Times New Roman" w:hAnsi="Franklin Gothic Book"/>
          <w:sz w:val="21"/>
        </w:rPr>
        <w:t>saw economic growth of 1</w:t>
      </w:r>
      <w:r w:rsidRPr="00C5201A">
        <w:rPr>
          <w:rFonts w:ascii="Franklin Gothic Book" w:eastAsia="Times New Roman" w:hAnsi="Franklin Gothic Book"/>
          <w:sz w:val="21"/>
        </w:rPr>
        <w:t>.</w:t>
      </w:r>
      <w:r w:rsidR="00AB7298" w:rsidRPr="00C5201A">
        <w:rPr>
          <w:rFonts w:ascii="Franklin Gothic Book" w:eastAsia="Times New Roman" w:hAnsi="Franklin Gothic Book"/>
          <w:sz w:val="21"/>
        </w:rPr>
        <w:t>4</w:t>
      </w:r>
      <w:r w:rsidRPr="00C5201A">
        <w:rPr>
          <w:rFonts w:ascii="Franklin Gothic Book" w:eastAsia="Times New Roman" w:hAnsi="Franklin Gothic Book"/>
          <w:sz w:val="21"/>
        </w:rPr>
        <w:t xml:space="preserve"> per cent</w:t>
      </w:r>
      <w:r w:rsidR="00AB7298" w:rsidRPr="002672F8">
        <w:rPr>
          <w:rStyle w:val="FootnoteReference"/>
          <w:rFonts w:ascii="Franklin Gothic Book" w:eastAsia="Times New Roman" w:hAnsi="Franklin Gothic Book"/>
          <w:sz w:val="12"/>
        </w:rPr>
        <w:footnoteReference w:id="1"/>
      </w:r>
      <w:r w:rsidR="0065447B" w:rsidRPr="00C5201A">
        <w:rPr>
          <w:rFonts w:ascii="Franklin Gothic Book" w:eastAsia="Times New Roman" w:hAnsi="Franklin Gothic Book"/>
          <w:sz w:val="21"/>
        </w:rPr>
        <w:t>. This was, in part, attributable to</w:t>
      </w:r>
      <w:r w:rsidR="00AB7298" w:rsidRPr="00C5201A">
        <w:rPr>
          <w:rFonts w:ascii="Franklin Gothic Book" w:eastAsia="Times New Roman" w:hAnsi="Franklin Gothic Book"/>
          <w:sz w:val="21"/>
        </w:rPr>
        <w:t xml:space="preserve"> </w:t>
      </w:r>
      <w:r w:rsidRPr="00C5201A">
        <w:rPr>
          <w:rFonts w:ascii="Franklin Gothic Book" w:eastAsia="Times New Roman" w:hAnsi="Franklin Gothic Book"/>
          <w:sz w:val="21"/>
        </w:rPr>
        <w:t xml:space="preserve">Samoa’s successful hosting of the UN </w:t>
      </w:r>
      <w:r w:rsidR="002672F8">
        <w:rPr>
          <w:rFonts w:ascii="Franklin Gothic Book" w:eastAsia="Times New Roman" w:hAnsi="Franklin Gothic Book"/>
          <w:sz w:val="21"/>
        </w:rPr>
        <w:t>SIDS</w:t>
      </w:r>
      <w:r w:rsidRPr="00C5201A">
        <w:rPr>
          <w:rFonts w:ascii="Franklin Gothic Book" w:eastAsia="Times New Roman" w:hAnsi="Franklin Gothic Book"/>
          <w:sz w:val="21"/>
        </w:rPr>
        <w:t xml:space="preserve"> conference in September 2014, associated construction or refurbishment of several major hotels and continuing road reconstruction and other recovery works from Cyclone Evan</w:t>
      </w:r>
      <w:r w:rsidR="00AB7298" w:rsidRPr="00C5201A">
        <w:rPr>
          <w:rFonts w:ascii="Franklin Gothic Book" w:eastAsia="Times New Roman" w:hAnsi="Franklin Gothic Book"/>
          <w:sz w:val="21"/>
        </w:rPr>
        <w:t xml:space="preserve">. </w:t>
      </w:r>
      <w:r w:rsidR="00BD4BD5" w:rsidRPr="00C5201A">
        <w:rPr>
          <w:rFonts w:ascii="Franklin Gothic Book" w:eastAsia="Times New Roman" w:hAnsi="Franklin Gothic Book"/>
          <w:sz w:val="21"/>
        </w:rPr>
        <w:t>The Samoa</w:t>
      </w:r>
      <w:r w:rsidR="00B87741">
        <w:rPr>
          <w:rFonts w:ascii="Franklin Gothic Book" w:eastAsia="Times New Roman" w:hAnsi="Franklin Gothic Book"/>
          <w:sz w:val="21"/>
        </w:rPr>
        <w:t>n Government</w:t>
      </w:r>
      <w:r w:rsidR="00BD4BD5" w:rsidRPr="00C5201A">
        <w:rPr>
          <w:rFonts w:ascii="Franklin Gothic Book" w:eastAsia="Times New Roman" w:hAnsi="Franklin Gothic Book"/>
          <w:sz w:val="21"/>
        </w:rPr>
        <w:t xml:space="preserve"> </w:t>
      </w:r>
      <w:r w:rsidR="00E26E6C" w:rsidRPr="00C5201A">
        <w:rPr>
          <w:rFonts w:ascii="Franklin Gothic Book" w:eastAsia="Times New Roman" w:hAnsi="Franklin Gothic Book"/>
          <w:sz w:val="21"/>
        </w:rPr>
        <w:t xml:space="preserve">predicts </w:t>
      </w:r>
      <w:r w:rsidR="00BD4BD5" w:rsidRPr="00C5201A">
        <w:rPr>
          <w:rFonts w:ascii="Franklin Gothic Book" w:eastAsia="Times New Roman" w:hAnsi="Franklin Gothic Book"/>
          <w:sz w:val="21"/>
        </w:rPr>
        <w:t>growth of 1.9</w:t>
      </w:r>
      <w:r w:rsidR="00B87741">
        <w:rPr>
          <w:rFonts w:ascii="Franklin Gothic Book" w:eastAsia="Times New Roman" w:hAnsi="Franklin Gothic Book"/>
          <w:sz w:val="21"/>
        </w:rPr>
        <w:t> </w:t>
      </w:r>
      <w:r w:rsidR="00BD4BD5" w:rsidRPr="00C5201A">
        <w:rPr>
          <w:rFonts w:ascii="Franklin Gothic Book" w:eastAsia="Times New Roman" w:hAnsi="Franklin Gothic Book"/>
          <w:sz w:val="21"/>
        </w:rPr>
        <w:t>per</w:t>
      </w:r>
      <w:r w:rsidR="00B87741">
        <w:rPr>
          <w:rFonts w:ascii="Franklin Gothic Book" w:eastAsia="Times New Roman" w:hAnsi="Franklin Gothic Book"/>
          <w:sz w:val="21"/>
        </w:rPr>
        <w:t> </w:t>
      </w:r>
      <w:r w:rsidR="00BD4BD5" w:rsidRPr="00C5201A">
        <w:rPr>
          <w:rFonts w:ascii="Franklin Gothic Book" w:eastAsia="Times New Roman" w:hAnsi="Franklin Gothic Book"/>
          <w:sz w:val="21"/>
        </w:rPr>
        <w:t xml:space="preserve">cent </w:t>
      </w:r>
      <w:r w:rsidR="00E26E6C" w:rsidRPr="00C5201A">
        <w:rPr>
          <w:rFonts w:ascii="Franklin Gothic Book" w:eastAsia="Times New Roman" w:hAnsi="Franklin Gothic Book"/>
          <w:sz w:val="21"/>
        </w:rPr>
        <w:t xml:space="preserve">for </w:t>
      </w:r>
      <w:r w:rsidR="00BD4BD5" w:rsidRPr="00C5201A">
        <w:rPr>
          <w:rFonts w:ascii="Franklin Gothic Book" w:eastAsia="Times New Roman" w:hAnsi="Franklin Gothic Book"/>
          <w:sz w:val="21"/>
        </w:rPr>
        <w:t>2015</w:t>
      </w:r>
      <w:r w:rsidR="002672F8">
        <w:rPr>
          <w:rFonts w:ascii="Franklin Gothic Book" w:eastAsia="Times New Roman" w:hAnsi="Franklin Gothic Book"/>
          <w:sz w:val="21"/>
        </w:rPr>
        <w:t>–</w:t>
      </w:r>
      <w:r w:rsidR="00BD4BD5" w:rsidRPr="00C5201A">
        <w:rPr>
          <w:rFonts w:ascii="Franklin Gothic Book" w:eastAsia="Times New Roman" w:hAnsi="Franklin Gothic Book"/>
          <w:sz w:val="21"/>
        </w:rPr>
        <w:t>16</w:t>
      </w:r>
      <w:r w:rsidR="00B640CC" w:rsidRPr="00323111">
        <w:rPr>
          <w:rStyle w:val="FootnoteReference"/>
          <w:rFonts w:ascii="Franklin Gothic Book" w:hAnsi="Franklin Gothic Book"/>
          <w:sz w:val="12"/>
        </w:rPr>
        <w:footnoteReference w:id="2"/>
      </w:r>
      <w:r w:rsidR="00BD4BD5" w:rsidRPr="00C5201A">
        <w:rPr>
          <w:rFonts w:ascii="Franklin Gothic Book" w:eastAsia="Times New Roman" w:hAnsi="Franklin Gothic Book"/>
          <w:sz w:val="21"/>
        </w:rPr>
        <w:t>. GDP per capita was US$4,308 in 2014</w:t>
      </w:r>
      <w:r w:rsidR="00BD4BD5" w:rsidRPr="002672F8">
        <w:rPr>
          <w:rStyle w:val="FootnoteReference"/>
          <w:rFonts w:ascii="Franklin Gothic Book" w:hAnsi="Franklin Gothic Book"/>
          <w:sz w:val="12"/>
        </w:rPr>
        <w:footnoteReference w:id="3"/>
      </w:r>
      <w:r w:rsidR="00BD4BD5" w:rsidRPr="00C5201A">
        <w:rPr>
          <w:rFonts w:ascii="Franklin Gothic Book" w:eastAsia="Times New Roman" w:hAnsi="Franklin Gothic Book"/>
          <w:sz w:val="21"/>
        </w:rPr>
        <w:t>.</w:t>
      </w:r>
      <w:r w:rsidR="00EF7AFC" w:rsidRPr="00C5201A">
        <w:rPr>
          <w:rFonts w:ascii="Franklin Gothic Book" w:eastAsia="Times New Roman" w:hAnsi="Franklin Gothic Book"/>
          <w:sz w:val="21"/>
        </w:rPr>
        <w:t xml:space="preserve"> </w:t>
      </w:r>
      <w:r w:rsidR="00BD4BD5" w:rsidRPr="00C5201A">
        <w:rPr>
          <w:rFonts w:ascii="Franklin Gothic Book" w:eastAsia="Times New Roman" w:hAnsi="Franklin Gothic Book"/>
          <w:sz w:val="21"/>
        </w:rPr>
        <w:t xml:space="preserve">To help boost growth, the Samoan </w:t>
      </w:r>
      <w:r w:rsidR="006154FD">
        <w:rPr>
          <w:rFonts w:ascii="Franklin Gothic Book" w:eastAsia="Times New Roman" w:hAnsi="Franklin Gothic Book"/>
          <w:sz w:val="21"/>
        </w:rPr>
        <w:t>G</w:t>
      </w:r>
      <w:r w:rsidR="006154FD" w:rsidRPr="00C5201A">
        <w:rPr>
          <w:rFonts w:ascii="Franklin Gothic Book" w:eastAsia="Times New Roman" w:hAnsi="Franklin Gothic Book"/>
          <w:sz w:val="21"/>
        </w:rPr>
        <w:t>overnment</w:t>
      </w:r>
      <w:r w:rsidR="00BD4BD5" w:rsidRPr="00C5201A">
        <w:rPr>
          <w:rFonts w:ascii="Franklin Gothic Book" w:eastAsia="Times New Roman" w:hAnsi="Franklin Gothic Book"/>
          <w:sz w:val="21"/>
        </w:rPr>
        <w:t>, with support from donors, continu</w:t>
      </w:r>
      <w:r w:rsidR="00F90FEB">
        <w:rPr>
          <w:rFonts w:ascii="Franklin Gothic Book" w:eastAsia="Times New Roman" w:hAnsi="Franklin Gothic Book"/>
          <w:sz w:val="21"/>
        </w:rPr>
        <w:t>ed</w:t>
      </w:r>
      <w:r w:rsidR="00BD4BD5" w:rsidRPr="00C5201A">
        <w:rPr>
          <w:rFonts w:ascii="Franklin Gothic Book" w:eastAsia="Times New Roman" w:hAnsi="Franklin Gothic Book"/>
          <w:sz w:val="21"/>
        </w:rPr>
        <w:t xml:space="preserve"> to implement a series of structural reform</w:t>
      </w:r>
      <w:r w:rsidR="002F58C6" w:rsidRPr="00C5201A">
        <w:rPr>
          <w:rFonts w:ascii="Franklin Gothic Book" w:eastAsia="Times New Roman" w:hAnsi="Franklin Gothic Book"/>
          <w:sz w:val="21"/>
        </w:rPr>
        <w:t>s</w:t>
      </w:r>
      <w:r w:rsidR="00BD4BD5" w:rsidRPr="00C5201A">
        <w:rPr>
          <w:rFonts w:ascii="Franklin Gothic Book" w:eastAsia="Times New Roman" w:hAnsi="Franklin Gothic Book"/>
          <w:sz w:val="21"/>
        </w:rPr>
        <w:t xml:space="preserve"> </w:t>
      </w:r>
      <w:r w:rsidR="00AB7298" w:rsidRPr="00C5201A">
        <w:rPr>
          <w:rFonts w:ascii="Franklin Gothic Book" w:eastAsia="Times New Roman" w:hAnsi="Franklin Gothic Book"/>
          <w:sz w:val="21"/>
        </w:rPr>
        <w:t>to</w:t>
      </w:r>
      <w:r w:rsidR="00BD4BD5" w:rsidRPr="00C5201A">
        <w:rPr>
          <w:rFonts w:ascii="Franklin Gothic Book" w:eastAsia="Times New Roman" w:hAnsi="Franklin Gothic Book"/>
          <w:sz w:val="21"/>
        </w:rPr>
        <w:t xml:space="preserve"> revitali</w:t>
      </w:r>
      <w:r w:rsidR="00AB7298" w:rsidRPr="00C5201A">
        <w:rPr>
          <w:rFonts w:ascii="Franklin Gothic Book" w:eastAsia="Times New Roman" w:hAnsi="Franklin Gothic Book"/>
          <w:sz w:val="21"/>
        </w:rPr>
        <w:t>se</w:t>
      </w:r>
      <w:r w:rsidR="00BD4BD5" w:rsidRPr="00C5201A">
        <w:rPr>
          <w:rFonts w:ascii="Franklin Gothic Book" w:eastAsia="Times New Roman" w:hAnsi="Franklin Gothic Book"/>
          <w:sz w:val="21"/>
        </w:rPr>
        <w:t xml:space="preserve"> agriculture and food processing, tourism, and </w:t>
      </w:r>
      <w:r w:rsidR="00AB7298" w:rsidRPr="00C5201A">
        <w:rPr>
          <w:rFonts w:ascii="Franklin Gothic Book" w:eastAsia="Times New Roman" w:hAnsi="Franklin Gothic Book"/>
          <w:sz w:val="21"/>
        </w:rPr>
        <w:t>improve the</w:t>
      </w:r>
      <w:r w:rsidR="00BD4BD5" w:rsidRPr="00C5201A">
        <w:rPr>
          <w:rFonts w:ascii="Franklin Gothic Book" w:eastAsia="Times New Roman" w:hAnsi="Franklin Gothic Book"/>
          <w:sz w:val="21"/>
        </w:rPr>
        <w:t xml:space="preserve"> enabling environment for business. </w:t>
      </w:r>
    </w:p>
    <w:p w:rsidR="0065447B" w:rsidRPr="00C5201A" w:rsidRDefault="00541E42"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Samoa’s progress towards meeting the Millennium Development Goals (MDGs) </w:t>
      </w:r>
      <w:r w:rsidR="00F90FEB">
        <w:rPr>
          <w:rFonts w:ascii="Franklin Gothic Book" w:eastAsia="Times New Roman" w:hAnsi="Franklin Gothic Book"/>
          <w:sz w:val="21"/>
        </w:rPr>
        <w:t>wa</w:t>
      </w:r>
      <w:r w:rsidR="00B620E3">
        <w:rPr>
          <w:rFonts w:ascii="Franklin Gothic Book" w:eastAsia="Times New Roman" w:hAnsi="Franklin Gothic Book"/>
          <w:sz w:val="21"/>
        </w:rPr>
        <w:t>s</w:t>
      </w:r>
      <w:r w:rsidRPr="00C5201A">
        <w:rPr>
          <w:rFonts w:ascii="Franklin Gothic Book" w:eastAsia="Times New Roman" w:hAnsi="Franklin Gothic Book"/>
          <w:sz w:val="21"/>
        </w:rPr>
        <w:t xml:space="preserve"> mixed</w:t>
      </w:r>
      <w:r w:rsidR="005A17D6" w:rsidRPr="00C5201A">
        <w:rPr>
          <w:rFonts w:ascii="Franklin Gothic Book" w:eastAsia="Times New Roman" w:hAnsi="Franklin Gothic Book"/>
          <w:sz w:val="21"/>
        </w:rPr>
        <w:t>.</w:t>
      </w:r>
      <w:r w:rsidRPr="00C5201A">
        <w:rPr>
          <w:rFonts w:ascii="Franklin Gothic Book" w:eastAsia="Times New Roman" w:hAnsi="Franklin Gothic Book"/>
          <w:sz w:val="21"/>
        </w:rPr>
        <w:t xml:space="preserve"> Targets relating to universal primary education</w:t>
      </w:r>
      <w:r w:rsidR="00BA60BB" w:rsidRPr="00C5201A">
        <w:rPr>
          <w:rFonts w:ascii="Franklin Gothic Book" w:eastAsia="Times New Roman" w:hAnsi="Franklin Gothic Book"/>
          <w:sz w:val="21"/>
        </w:rPr>
        <w:t xml:space="preserve"> (MDG2), gender equality in education (MDG3) and ensuring environmental sustainability (MDG7) are on track or achieved.</w:t>
      </w:r>
      <w:r w:rsidR="005D1763" w:rsidRPr="00C5201A">
        <w:rPr>
          <w:rFonts w:ascii="Franklin Gothic Book" w:eastAsia="Times New Roman" w:hAnsi="Franklin Gothic Book"/>
          <w:sz w:val="21"/>
        </w:rPr>
        <w:t xml:space="preserve"> </w:t>
      </w:r>
      <w:r w:rsidR="003868CD" w:rsidRPr="00C5201A">
        <w:rPr>
          <w:rFonts w:ascii="Franklin Gothic Book" w:eastAsia="Times New Roman" w:hAnsi="Franklin Gothic Book"/>
          <w:sz w:val="21"/>
        </w:rPr>
        <w:t>MDGs relating to poverty and hunger (MDG1), reducing child mortality (MDG4), maternal health (MDG5) and HIV/AIDs and other diseases (MDG6) are showing slower progress</w:t>
      </w:r>
      <w:r w:rsidR="005A17D6" w:rsidRPr="009A4A63">
        <w:rPr>
          <w:rStyle w:val="FootnoteReference"/>
          <w:rFonts w:ascii="Franklin Gothic Book" w:hAnsi="Franklin Gothic Book"/>
          <w:sz w:val="12"/>
        </w:rPr>
        <w:footnoteReference w:id="4"/>
      </w:r>
      <w:r w:rsidR="005A17D6" w:rsidRPr="00C5201A">
        <w:rPr>
          <w:rFonts w:ascii="Franklin Gothic Book" w:eastAsia="Times New Roman" w:hAnsi="Franklin Gothic Book"/>
          <w:sz w:val="21"/>
        </w:rPr>
        <w:t>.</w:t>
      </w:r>
      <w:r w:rsidR="001B128B" w:rsidRPr="00C5201A">
        <w:rPr>
          <w:rFonts w:ascii="Franklin Gothic Book" w:eastAsia="Times New Roman" w:hAnsi="Franklin Gothic Book"/>
          <w:sz w:val="21"/>
        </w:rPr>
        <w:t xml:space="preserve">  </w:t>
      </w:r>
    </w:p>
    <w:p w:rsidR="001B128B" w:rsidRPr="00C5201A" w:rsidRDefault="00EF7AFC"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During the last year Samoa graduated from the status of Least Developed Country to a Middle Income Country.</w:t>
      </w:r>
      <w:r w:rsidR="0065447B" w:rsidRPr="00C5201A">
        <w:rPr>
          <w:rFonts w:ascii="Franklin Gothic Book" w:eastAsia="Times New Roman" w:hAnsi="Franklin Gothic Book"/>
          <w:sz w:val="21"/>
        </w:rPr>
        <w:t xml:space="preserve"> </w:t>
      </w:r>
      <w:r w:rsidR="001B128B" w:rsidRPr="00C5201A">
        <w:rPr>
          <w:rFonts w:ascii="Franklin Gothic Book" w:eastAsia="Times New Roman" w:hAnsi="Franklin Gothic Book"/>
          <w:sz w:val="21"/>
        </w:rPr>
        <w:t xml:space="preserve">Samoa </w:t>
      </w:r>
      <w:r w:rsidRPr="00C5201A">
        <w:rPr>
          <w:rFonts w:ascii="Franklin Gothic Book" w:eastAsia="Times New Roman" w:hAnsi="Franklin Gothic Book"/>
          <w:sz w:val="21"/>
        </w:rPr>
        <w:t xml:space="preserve">also </w:t>
      </w:r>
      <w:r w:rsidR="001B128B" w:rsidRPr="00C5201A">
        <w:rPr>
          <w:rFonts w:ascii="Franklin Gothic Book" w:eastAsia="Times New Roman" w:hAnsi="Franklin Gothic Book"/>
          <w:sz w:val="21"/>
        </w:rPr>
        <w:t xml:space="preserve">played an active role in the development of the Sustainable Development Goals to replace the Millennium Development Goals and is one of two Pacific country members of the United Nations Inter Agency </w:t>
      </w:r>
      <w:r w:rsidR="006154FD">
        <w:rPr>
          <w:rFonts w:ascii="Franklin Gothic Book" w:eastAsia="Times New Roman" w:hAnsi="Franklin Gothic Book"/>
          <w:sz w:val="21"/>
        </w:rPr>
        <w:t>E</w:t>
      </w:r>
      <w:r w:rsidR="001B128B" w:rsidRPr="00C5201A">
        <w:rPr>
          <w:rFonts w:ascii="Franklin Gothic Book" w:eastAsia="Times New Roman" w:hAnsi="Franklin Gothic Book"/>
          <w:sz w:val="21"/>
        </w:rPr>
        <w:t xml:space="preserve">xpert </w:t>
      </w:r>
      <w:r w:rsidR="006154FD">
        <w:rPr>
          <w:rFonts w:ascii="Franklin Gothic Book" w:eastAsia="Times New Roman" w:hAnsi="Franklin Gothic Book"/>
          <w:sz w:val="21"/>
        </w:rPr>
        <w:t>G</w:t>
      </w:r>
      <w:r w:rsidR="001B128B" w:rsidRPr="00C5201A">
        <w:rPr>
          <w:rFonts w:ascii="Franklin Gothic Book" w:eastAsia="Times New Roman" w:hAnsi="Franklin Gothic Book"/>
          <w:sz w:val="21"/>
        </w:rPr>
        <w:t>roup that is developing global indicators that will measure their progress.</w:t>
      </w:r>
    </w:p>
    <w:p w:rsidR="00BD4BD5" w:rsidRDefault="00670CFA"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While </w:t>
      </w:r>
      <w:r w:rsidR="00414E38" w:rsidRPr="00C5201A">
        <w:rPr>
          <w:rFonts w:ascii="Franklin Gothic Book" w:eastAsia="Times New Roman" w:hAnsi="Franklin Gothic Book"/>
          <w:sz w:val="21"/>
        </w:rPr>
        <w:t>h</w:t>
      </w:r>
      <w:r w:rsidR="00541E42" w:rsidRPr="00C5201A">
        <w:rPr>
          <w:rFonts w:ascii="Franklin Gothic Book" w:eastAsia="Times New Roman" w:hAnsi="Franklin Gothic Book"/>
          <w:sz w:val="21"/>
        </w:rPr>
        <w:t>unger is rare</w:t>
      </w:r>
      <w:r w:rsidR="00BD4BD5" w:rsidRPr="00C5201A">
        <w:rPr>
          <w:rFonts w:ascii="Franklin Gothic Book" w:eastAsia="Times New Roman" w:hAnsi="Franklin Gothic Book"/>
          <w:sz w:val="21"/>
        </w:rPr>
        <w:t>,</w:t>
      </w:r>
      <w:r w:rsidR="000555E2" w:rsidRPr="00C5201A">
        <w:rPr>
          <w:rFonts w:ascii="Franklin Gothic Book" w:eastAsia="Times New Roman" w:hAnsi="Franklin Gothic Book"/>
          <w:sz w:val="21"/>
        </w:rPr>
        <w:t xml:space="preserve"> the las</w:t>
      </w:r>
      <w:r w:rsidR="00832BDE" w:rsidRPr="00C5201A">
        <w:rPr>
          <w:rFonts w:ascii="Franklin Gothic Book" w:eastAsia="Times New Roman" w:hAnsi="Franklin Gothic Book"/>
          <w:sz w:val="21"/>
        </w:rPr>
        <w:t>t Household Income and Expendit</w:t>
      </w:r>
      <w:r w:rsidR="000555E2" w:rsidRPr="00C5201A">
        <w:rPr>
          <w:rFonts w:ascii="Franklin Gothic Book" w:eastAsia="Times New Roman" w:hAnsi="Franklin Gothic Book"/>
          <w:sz w:val="21"/>
        </w:rPr>
        <w:t>u</w:t>
      </w:r>
      <w:r w:rsidR="00832BDE" w:rsidRPr="00C5201A">
        <w:rPr>
          <w:rFonts w:ascii="Franklin Gothic Book" w:eastAsia="Times New Roman" w:hAnsi="Franklin Gothic Book"/>
          <w:sz w:val="21"/>
        </w:rPr>
        <w:t>r</w:t>
      </w:r>
      <w:r w:rsidR="000555E2" w:rsidRPr="00C5201A">
        <w:rPr>
          <w:rFonts w:ascii="Franklin Gothic Book" w:eastAsia="Times New Roman" w:hAnsi="Franklin Gothic Book"/>
          <w:sz w:val="21"/>
        </w:rPr>
        <w:t>e Survey in 2008 found that basic needs poverty is an estimated 20</w:t>
      </w:r>
      <w:r w:rsidR="00BD4BD5" w:rsidRPr="00C5201A">
        <w:rPr>
          <w:rFonts w:ascii="Franklin Gothic Book" w:eastAsia="Times New Roman" w:hAnsi="Franklin Gothic Book"/>
          <w:sz w:val="21"/>
        </w:rPr>
        <w:t xml:space="preserve"> per cent</w:t>
      </w:r>
      <w:r w:rsidR="009A4A63">
        <w:rPr>
          <w:rFonts w:ascii="Franklin Gothic Book" w:eastAsia="Times New Roman" w:hAnsi="Franklin Gothic Book"/>
          <w:sz w:val="21"/>
        </w:rPr>
        <w:t>—</w:t>
      </w:r>
      <w:r w:rsidR="000555E2" w:rsidRPr="00C5201A">
        <w:rPr>
          <w:rFonts w:ascii="Franklin Gothic Book" w:eastAsia="Times New Roman" w:hAnsi="Franklin Gothic Book"/>
          <w:sz w:val="21"/>
        </w:rPr>
        <w:t>higher in rural than urban areas</w:t>
      </w:r>
      <w:r w:rsidR="00BD4BD5" w:rsidRPr="00C5201A">
        <w:rPr>
          <w:rFonts w:ascii="Franklin Gothic Book" w:eastAsia="Times New Roman" w:hAnsi="Franklin Gothic Book"/>
          <w:sz w:val="21"/>
        </w:rPr>
        <w:t>. This</w:t>
      </w:r>
      <w:r w:rsidR="000555E2" w:rsidRPr="00C5201A">
        <w:rPr>
          <w:rFonts w:ascii="Franklin Gothic Book" w:eastAsia="Times New Roman" w:hAnsi="Franklin Gothic Book"/>
          <w:sz w:val="21"/>
        </w:rPr>
        <w:t xml:space="preserve"> reflect</w:t>
      </w:r>
      <w:r w:rsidR="00BD4BD5" w:rsidRPr="00C5201A">
        <w:rPr>
          <w:rFonts w:ascii="Franklin Gothic Book" w:eastAsia="Times New Roman" w:hAnsi="Franklin Gothic Book"/>
          <w:sz w:val="21"/>
        </w:rPr>
        <w:t>s</w:t>
      </w:r>
      <w:r w:rsidR="000555E2" w:rsidRPr="00C5201A">
        <w:rPr>
          <w:rFonts w:ascii="Franklin Gothic Book" w:eastAsia="Times New Roman" w:hAnsi="Franklin Gothic Book"/>
          <w:sz w:val="21"/>
        </w:rPr>
        <w:t xml:space="preserve"> the struggle of households to cover the costs of essential non-food basic needs.</w:t>
      </w:r>
      <w:r w:rsidR="00832BDE" w:rsidRPr="00C5201A">
        <w:rPr>
          <w:rFonts w:ascii="Franklin Gothic Book" w:eastAsia="Times New Roman" w:hAnsi="Franklin Gothic Book"/>
          <w:sz w:val="21"/>
        </w:rPr>
        <w:t xml:space="preserve"> </w:t>
      </w:r>
      <w:r w:rsidR="00541E42" w:rsidRPr="00C5201A">
        <w:rPr>
          <w:rFonts w:ascii="Franklin Gothic Book" w:eastAsia="Times New Roman" w:hAnsi="Franklin Gothic Book"/>
          <w:sz w:val="21"/>
        </w:rPr>
        <w:t xml:space="preserve">Samoa’s first State of Human Rights Report </w:t>
      </w:r>
      <w:r w:rsidR="000555E2" w:rsidRPr="00C5201A">
        <w:rPr>
          <w:rFonts w:ascii="Franklin Gothic Book" w:eastAsia="Times New Roman" w:hAnsi="Franklin Gothic Book"/>
          <w:sz w:val="21"/>
        </w:rPr>
        <w:t xml:space="preserve">launched in </w:t>
      </w:r>
      <w:r w:rsidR="00541E42" w:rsidRPr="00C5201A">
        <w:rPr>
          <w:rFonts w:ascii="Franklin Gothic Book" w:eastAsia="Times New Roman" w:hAnsi="Franklin Gothic Book"/>
          <w:sz w:val="21"/>
        </w:rPr>
        <w:t xml:space="preserve">August 2015 </w:t>
      </w:r>
      <w:r w:rsidR="00E26E6C" w:rsidRPr="00C5201A">
        <w:rPr>
          <w:rFonts w:ascii="Franklin Gothic Book" w:eastAsia="Times New Roman" w:hAnsi="Franklin Gothic Book"/>
          <w:sz w:val="21"/>
        </w:rPr>
        <w:t>further highlighted</w:t>
      </w:r>
      <w:r w:rsidR="000555E2" w:rsidRPr="00C5201A">
        <w:rPr>
          <w:rFonts w:ascii="Franklin Gothic Book" w:eastAsia="Times New Roman" w:hAnsi="Franklin Gothic Book"/>
          <w:sz w:val="21"/>
        </w:rPr>
        <w:t xml:space="preserve"> this issue</w:t>
      </w:r>
      <w:r w:rsidR="00BD4BD5" w:rsidRPr="00C5201A">
        <w:rPr>
          <w:rFonts w:ascii="Franklin Gothic Book" w:eastAsia="Times New Roman" w:hAnsi="Franklin Gothic Book"/>
          <w:sz w:val="21"/>
        </w:rPr>
        <w:t>,</w:t>
      </w:r>
      <w:r w:rsidR="000555E2" w:rsidRPr="00C5201A">
        <w:rPr>
          <w:rFonts w:ascii="Franklin Gothic Book" w:eastAsia="Times New Roman" w:hAnsi="Franklin Gothic Book"/>
          <w:sz w:val="21"/>
        </w:rPr>
        <w:t xml:space="preserve"> including the stress that cultural and religious financial obligations can place on families.</w:t>
      </w:r>
      <w:r w:rsidR="00832BDE" w:rsidRPr="00C5201A">
        <w:rPr>
          <w:rFonts w:ascii="Franklin Gothic Book" w:eastAsia="Times New Roman" w:hAnsi="Franklin Gothic Book"/>
          <w:sz w:val="21"/>
        </w:rPr>
        <w:t xml:space="preserve">  </w:t>
      </w:r>
    </w:p>
    <w:p w:rsidR="00A978A0" w:rsidRPr="00C5201A" w:rsidRDefault="00832BDE"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Samoa took steps to address </w:t>
      </w:r>
      <w:r w:rsidR="00021660">
        <w:rPr>
          <w:rFonts w:ascii="Franklin Gothic Book" w:eastAsia="Times New Roman" w:hAnsi="Franklin Gothic Book"/>
          <w:bCs/>
          <w:sz w:val="21"/>
        </w:rPr>
        <w:t xml:space="preserve">disability and </w:t>
      </w:r>
      <w:r w:rsidR="005950D0" w:rsidRPr="002C6701">
        <w:rPr>
          <w:rFonts w:ascii="Franklin Gothic Book" w:eastAsia="Times New Roman" w:hAnsi="Franklin Gothic Book"/>
          <w:bCs/>
          <w:sz w:val="21"/>
        </w:rPr>
        <w:t xml:space="preserve">gender </w:t>
      </w:r>
      <w:r w:rsidR="00021660">
        <w:rPr>
          <w:rFonts w:ascii="Franklin Gothic Book" w:eastAsia="Times New Roman" w:hAnsi="Franklin Gothic Book"/>
          <w:bCs/>
          <w:sz w:val="21"/>
        </w:rPr>
        <w:t>in</w:t>
      </w:r>
      <w:r w:rsidR="005950D0" w:rsidRPr="002C6701">
        <w:rPr>
          <w:rFonts w:ascii="Franklin Gothic Book" w:eastAsia="Times New Roman" w:hAnsi="Franklin Gothic Book"/>
          <w:bCs/>
          <w:sz w:val="21"/>
        </w:rPr>
        <w:t>equity</w:t>
      </w:r>
      <w:r w:rsidR="005950D0">
        <w:rPr>
          <w:rFonts w:ascii="Franklin Gothic Book" w:eastAsia="Times New Roman" w:hAnsi="Franklin Gothic Book"/>
          <w:bCs/>
          <w:sz w:val="21"/>
        </w:rPr>
        <w:t xml:space="preserve"> during 2014-15. The</w:t>
      </w:r>
      <w:r w:rsidRPr="00C5201A">
        <w:rPr>
          <w:rFonts w:ascii="Franklin Gothic Book" w:eastAsia="Times New Roman" w:hAnsi="Franklin Gothic Book"/>
          <w:sz w:val="21"/>
        </w:rPr>
        <w:t xml:space="preserve"> Convention on the Rights of Persons with Disabilities </w:t>
      </w:r>
      <w:r w:rsidR="005A0430">
        <w:rPr>
          <w:rFonts w:ascii="Franklin Gothic Book" w:eastAsia="Times New Roman" w:hAnsi="Franklin Gothic Book"/>
          <w:sz w:val="21"/>
        </w:rPr>
        <w:t xml:space="preserve">was signed </w:t>
      </w:r>
      <w:r w:rsidR="004F3700" w:rsidRPr="00C5201A">
        <w:rPr>
          <w:rFonts w:ascii="Franklin Gothic Book" w:eastAsia="Times New Roman" w:hAnsi="Franklin Gothic Book"/>
          <w:sz w:val="21"/>
        </w:rPr>
        <w:t>in December 2014</w:t>
      </w:r>
      <w:r w:rsidR="006154FD">
        <w:rPr>
          <w:rFonts w:ascii="Franklin Gothic Book" w:eastAsia="Times New Roman" w:hAnsi="Franklin Gothic Book"/>
          <w:sz w:val="21"/>
        </w:rPr>
        <w:t>.</w:t>
      </w:r>
      <w:r w:rsidR="004F3700" w:rsidRPr="00C5201A">
        <w:rPr>
          <w:rFonts w:ascii="Franklin Gothic Book" w:eastAsia="Times New Roman" w:hAnsi="Franklin Gothic Book"/>
          <w:sz w:val="21"/>
        </w:rPr>
        <w:t xml:space="preserve"> </w:t>
      </w:r>
      <w:r w:rsidR="006154FD">
        <w:rPr>
          <w:rFonts w:ascii="Franklin Gothic Book" w:eastAsia="Times New Roman" w:hAnsi="Franklin Gothic Book"/>
          <w:sz w:val="21"/>
        </w:rPr>
        <w:t>Samoa</w:t>
      </w:r>
      <w:r w:rsidR="004F3700" w:rsidRPr="00C5201A">
        <w:rPr>
          <w:rFonts w:ascii="Franklin Gothic Book" w:eastAsia="Times New Roman" w:hAnsi="Franklin Gothic Book"/>
          <w:sz w:val="21"/>
        </w:rPr>
        <w:t xml:space="preserve"> </w:t>
      </w:r>
      <w:r w:rsidR="005950D0">
        <w:rPr>
          <w:rFonts w:ascii="Franklin Gothic Book" w:eastAsia="Times New Roman" w:hAnsi="Franklin Gothic Book"/>
          <w:sz w:val="21"/>
        </w:rPr>
        <w:t>introduced legislation</w:t>
      </w:r>
      <w:r w:rsidR="0065447B" w:rsidRPr="00C5201A">
        <w:rPr>
          <w:rFonts w:ascii="Franklin Gothic Book" w:eastAsia="Times New Roman" w:hAnsi="Franklin Gothic Book"/>
          <w:sz w:val="21"/>
        </w:rPr>
        <w:t xml:space="preserve"> </w:t>
      </w:r>
      <w:r w:rsidR="004F3700" w:rsidRPr="00C5201A">
        <w:rPr>
          <w:rFonts w:ascii="Franklin Gothic Book" w:eastAsia="Times New Roman" w:hAnsi="Franklin Gothic Book"/>
          <w:sz w:val="21"/>
        </w:rPr>
        <w:t xml:space="preserve">encouraging </w:t>
      </w:r>
      <w:r w:rsidRPr="00C5201A">
        <w:rPr>
          <w:rFonts w:ascii="Franklin Gothic Book" w:eastAsia="Times New Roman" w:hAnsi="Franklin Gothic Book"/>
          <w:sz w:val="21"/>
        </w:rPr>
        <w:t xml:space="preserve">more women to enter Parliament </w:t>
      </w:r>
      <w:r w:rsidR="00BD4BD5" w:rsidRPr="00C5201A">
        <w:rPr>
          <w:rFonts w:ascii="Franklin Gothic Book" w:eastAsia="Times New Roman" w:hAnsi="Franklin Gothic Book"/>
          <w:sz w:val="21"/>
        </w:rPr>
        <w:t xml:space="preserve">by </w:t>
      </w:r>
      <w:r w:rsidRPr="00C5201A">
        <w:rPr>
          <w:rFonts w:ascii="Franklin Gothic Book" w:eastAsia="Times New Roman" w:hAnsi="Franklin Gothic Book"/>
          <w:sz w:val="21"/>
        </w:rPr>
        <w:t xml:space="preserve">guaranteed </w:t>
      </w:r>
      <w:r w:rsidR="00BD4BD5" w:rsidRPr="00C5201A">
        <w:rPr>
          <w:rFonts w:ascii="Franklin Gothic Book" w:eastAsia="Times New Roman" w:hAnsi="Franklin Gothic Book"/>
          <w:sz w:val="21"/>
        </w:rPr>
        <w:t>five</w:t>
      </w:r>
      <w:r w:rsidRPr="00C5201A">
        <w:rPr>
          <w:rFonts w:ascii="Franklin Gothic Book" w:eastAsia="Times New Roman" w:hAnsi="Franklin Gothic Book"/>
          <w:sz w:val="21"/>
        </w:rPr>
        <w:t xml:space="preserve"> seats for women at the next election</w:t>
      </w:r>
      <w:r w:rsidR="0065447B" w:rsidRPr="00C5201A">
        <w:rPr>
          <w:rFonts w:ascii="Franklin Gothic Book" w:eastAsia="Times New Roman" w:hAnsi="Franklin Gothic Book"/>
          <w:sz w:val="21"/>
        </w:rPr>
        <w:t xml:space="preserve"> in March 2016</w:t>
      </w:r>
      <w:r w:rsidRPr="00C5201A">
        <w:rPr>
          <w:rFonts w:ascii="Franklin Gothic Book" w:eastAsia="Times New Roman" w:hAnsi="Franklin Gothic Book"/>
          <w:sz w:val="21"/>
        </w:rPr>
        <w:t>.</w:t>
      </w:r>
      <w:r w:rsidR="001D6BEB">
        <w:rPr>
          <w:rFonts w:ascii="Franklin Gothic Book" w:eastAsia="Times New Roman" w:hAnsi="Franklin Gothic Book"/>
          <w:sz w:val="21"/>
        </w:rPr>
        <w:t xml:space="preserve"> </w:t>
      </w:r>
    </w:p>
    <w:p w:rsidR="009A4A63" w:rsidRPr="001D6BEB" w:rsidRDefault="009A4A63" w:rsidP="009A4A63">
      <w:pPr>
        <w:pStyle w:val="head1"/>
        <w:tabs>
          <w:tab w:val="left" w:pos="0"/>
        </w:tabs>
        <w:spacing w:before="120" w:after="120"/>
        <w:rPr>
          <w:rFonts w:ascii="Franklin Gothic Book" w:eastAsia="Times New Roman" w:hAnsi="Franklin Gothic Book" w:cs="Times New Roman"/>
          <w:b w:val="0"/>
          <w:bCs w:val="0"/>
          <w:color w:val="auto"/>
          <w:kern w:val="0"/>
          <w:sz w:val="21"/>
        </w:rPr>
      </w:pPr>
      <w:r>
        <w:rPr>
          <w:rFonts w:ascii="Franklin Gothic Book" w:eastAsia="Times New Roman" w:hAnsi="Franklin Gothic Book" w:cs="Times New Roman"/>
          <w:b w:val="0"/>
          <w:bCs w:val="0"/>
          <w:color w:val="auto"/>
          <w:kern w:val="0"/>
          <w:sz w:val="21"/>
        </w:rPr>
        <w:t>W</w:t>
      </w:r>
      <w:r w:rsidRPr="001D6BEB">
        <w:rPr>
          <w:rFonts w:ascii="Franklin Gothic Book" w:eastAsia="Times New Roman" w:hAnsi="Franklin Gothic Book" w:cs="Times New Roman"/>
          <w:b w:val="0"/>
          <w:bCs w:val="0"/>
          <w:color w:val="auto"/>
          <w:kern w:val="0"/>
          <w:sz w:val="21"/>
        </w:rPr>
        <w:t xml:space="preserve">omen </w:t>
      </w:r>
      <w:r>
        <w:rPr>
          <w:rFonts w:ascii="Franklin Gothic Book" w:eastAsia="Times New Roman" w:hAnsi="Franklin Gothic Book" w:cs="Times New Roman"/>
          <w:b w:val="0"/>
          <w:bCs w:val="0"/>
          <w:color w:val="auto"/>
          <w:kern w:val="0"/>
          <w:sz w:val="21"/>
        </w:rPr>
        <w:t xml:space="preserve">now occupy 12 out of the 34 </w:t>
      </w:r>
      <w:r w:rsidR="006154FD">
        <w:rPr>
          <w:rFonts w:ascii="Franklin Gothic Book" w:eastAsia="Times New Roman" w:hAnsi="Franklin Gothic Book" w:cs="Times New Roman"/>
          <w:b w:val="0"/>
          <w:bCs w:val="0"/>
          <w:color w:val="auto"/>
          <w:kern w:val="0"/>
          <w:sz w:val="21"/>
        </w:rPr>
        <w:t>Chief Executive Officer (CEO)</w:t>
      </w:r>
      <w:r w:rsidR="006154FD" w:rsidRPr="001D6BEB">
        <w:rPr>
          <w:rFonts w:ascii="Franklin Gothic Book" w:eastAsia="Times New Roman" w:hAnsi="Franklin Gothic Book" w:cs="Times New Roman"/>
          <w:b w:val="0"/>
          <w:bCs w:val="0"/>
          <w:color w:val="auto"/>
          <w:kern w:val="0"/>
          <w:sz w:val="21"/>
        </w:rPr>
        <w:t xml:space="preserve"> </w:t>
      </w:r>
      <w:r w:rsidRPr="001D6BEB">
        <w:rPr>
          <w:rFonts w:ascii="Franklin Gothic Book" w:eastAsia="Times New Roman" w:hAnsi="Franklin Gothic Book" w:cs="Times New Roman"/>
          <w:b w:val="0"/>
          <w:bCs w:val="0"/>
          <w:color w:val="auto"/>
          <w:kern w:val="0"/>
          <w:sz w:val="21"/>
        </w:rPr>
        <w:t xml:space="preserve">positions in </w:t>
      </w:r>
      <w:r w:rsidR="006154FD">
        <w:rPr>
          <w:rFonts w:ascii="Franklin Gothic Book" w:eastAsia="Times New Roman" w:hAnsi="Franklin Gothic Book" w:cs="Times New Roman"/>
          <w:b w:val="0"/>
          <w:bCs w:val="0"/>
          <w:color w:val="auto"/>
          <w:kern w:val="0"/>
          <w:sz w:val="21"/>
        </w:rPr>
        <w:t>g</w:t>
      </w:r>
      <w:r w:rsidRPr="001D6BEB">
        <w:rPr>
          <w:rFonts w:ascii="Franklin Gothic Book" w:eastAsia="Times New Roman" w:hAnsi="Franklin Gothic Book" w:cs="Times New Roman"/>
          <w:b w:val="0"/>
          <w:bCs w:val="0"/>
          <w:color w:val="auto"/>
          <w:kern w:val="0"/>
          <w:sz w:val="21"/>
        </w:rPr>
        <w:t>overnment ministries</w:t>
      </w:r>
      <w:r>
        <w:rPr>
          <w:rFonts w:ascii="Franklin Gothic Book" w:eastAsia="Times New Roman" w:hAnsi="Franklin Gothic Book" w:cs="Times New Roman"/>
          <w:b w:val="0"/>
          <w:bCs w:val="0"/>
          <w:color w:val="auto"/>
          <w:kern w:val="0"/>
          <w:sz w:val="21"/>
        </w:rPr>
        <w:t xml:space="preserve"> and</w:t>
      </w:r>
      <w:r w:rsidRPr="001D6BEB">
        <w:rPr>
          <w:rFonts w:ascii="Franklin Gothic Book" w:eastAsia="Times New Roman" w:hAnsi="Franklin Gothic Book" w:cs="Times New Roman"/>
          <w:b w:val="0"/>
          <w:bCs w:val="0"/>
          <w:color w:val="auto"/>
          <w:kern w:val="0"/>
          <w:sz w:val="21"/>
        </w:rPr>
        <w:t xml:space="preserve"> </w:t>
      </w:r>
      <w:r>
        <w:rPr>
          <w:rFonts w:ascii="Franklin Gothic Book" w:eastAsia="Times New Roman" w:hAnsi="Franklin Gothic Book" w:cs="Times New Roman"/>
          <w:b w:val="0"/>
          <w:bCs w:val="0"/>
          <w:color w:val="auto"/>
          <w:kern w:val="0"/>
          <w:sz w:val="21"/>
        </w:rPr>
        <w:t>m</w:t>
      </w:r>
      <w:r w:rsidRPr="001D6BEB">
        <w:rPr>
          <w:rFonts w:ascii="Franklin Gothic Book" w:eastAsia="Times New Roman" w:hAnsi="Franklin Gothic Book" w:cs="Times New Roman"/>
          <w:b w:val="0"/>
          <w:bCs w:val="0"/>
          <w:color w:val="auto"/>
          <w:kern w:val="0"/>
          <w:sz w:val="21"/>
        </w:rPr>
        <w:t xml:space="preserve">ore females are enrolled at secondary and tertiary levels than males. </w:t>
      </w:r>
      <w:r>
        <w:rPr>
          <w:rFonts w:ascii="Franklin Gothic Book" w:eastAsia="Times New Roman" w:hAnsi="Franklin Gothic Book" w:cs="Times New Roman"/>
          <w:b w:val="0"/>
          <w:bCs w:val="0"/>
          <w:color w:val="auto"/>
          <w:kern w:val="0"/>
          <w:sz w:val="21"/>
        </w:rPr>
        <w:t>Challenges remain. W</w:t>
      </w:r>
      <w:r w:rsidRPr="001D6BEB">
        <w:rPr>
          <w:rFonts w:ascii="Franklin Gothic Book" w:eastAsia="Times New Roman" w:hAnsi="Franklin Gothic Book" w:cs="Times New Roman"/>
          <w:b w:val="0"/>
          <w:bCs w:val="0"/>
          <w:color w:val="auto"/>
          <w:kern w:val="0"/>
          <w:sz w:val="21"/>
        </w:rPr>
        <w:t>omen continu</w:t>
      </w:r>
      <w:r>
        <w:rPr>
          <w:rFonts w:ascii="Franklin Gothic Book" w:eastAsia="Times New Roman" w:hAnsi="Franklin Gothic Book" w:cs="Times New Roman"/>
          <w:b w:val="0"/>
          <w:bCs w:val="0"/>
          <w:color w:val="auto"/>
          <w:kern w:val="0"/>
          <w:sz w:val="21"/>
        </w:rPr>
        <w:t xml:space="preserve">e </w:t>
      </w:r>
      <w:r w:rsidRPr="001D6BEB">
        <w:rPr>
          <w:rFonts w:ascii="Franklin Gothic Book" w:eastAsia="Times New Roman" w:hAnsi="Franklin Gothic Book" w:cs="Times New Roman"/>
          <w:b w:val="0"/>
          <w:bCs w:val="0"/>
          <w:color w:val="auto"/>
          <w:kern w:val="0"/>
          <w:sz w:val="21"/>
        </w:rPr>
        <w:t>to face barriers in poli</w:t>
      </w:r>
      <w:r>
        <w:rPr>
          <w:rFonts w:ascii="Franklin Gothic Book" w:eastAsia="Times New Roman" w:hAnsi="Franklin Gothic Book" w:cs="Times New Roman"/>
          <w:b w:val="0"/>
          <w:bCs w:val="0"/>
          <w:color w:val="auto"/>
          <w:kern w:val="0"/>
          <w:sz w:val="21"/>
        </w:rPr>
        <w:t xml:space="preserve">tical and </w:t>
      </w:r>
      <w:r w:rsidRPr="001D6BEB">
        <w:rPr>
          <w:rFonts w:ascii="Franklin Gothic Book" w:eastAsia="Times New Roman" w:hAnsi="Franklin Gothic Book" w:cs="Times New Roman"/>
          <w:b w:val="0"/>
          <w:bCs w:val="0"/>
          <w:color w:val="auto"/>
          <w:kern w:val="0"/>
          <w:sz w:val="21"/>
        </w:rPr>
        <w:t>economic life</w:t>
      </w:r>
      <w:r>
        <w:rPr>
          <w:rFonts w:ascii="Franklin Gothic Book" w:eastAsia="Times New Roman" w:hAnsi="Franklin Gothic Book" w:cs="Times New Roman"/>
          <w:b w:val="0"/>
          <w:bCs w:val="0"/>
          <w:color w:val="auto"/>
          <w:kern w:val="0"/>
          <w:sz w:val="21"/>
        </w:rPr>
        <w:t xml:space="preserve"> and gender-based violence remains a problem</w:t>
      </w:r>
      <w:r w:rsidRPr="001D6BEB">
        <w:rPr>
          <w:rFonts w:ascii="Franklin Gothic Book" w:eastAsia="Times New Roman" w:hAnsi="Franklin Gothic Book" w:cs="Times New Roman"/>
          <w:b w:val="0"/>
          <w:bCs w:val="0"/>
          <w:color w:val="auto"/>
          <w:kern w:val="0"/>
          <w:sz w:val="21"/>
        </w:rPr>
        <w:t xml:space="preserve">. </w:t>
      </w:r>
      <w:r w:rsidRPr="00EF68E5">
        <w:rPr>
          <w:rFonts w:ascii="Franklin Gothic Book" w:eastAsia="Times New Roman" w:hAnsi="Franklin Gothic Book" w:cs="Times New Roman"/>
          <w:b w:val="0"/>
          <w:bCs w:val="0"/>
          <w:color w:val="auto"/>
          <w:kern w:val="0"/>
          <w:sz w:val="21"/>
        </w:rPr>
        <w:t>A 2000 surv</w:t>
      </w:r>
      <w:r>
        <w:rPr>
          <w:rFonts w:ascii="Franklin Gothic Book" w:eastAsia="Times New Roman" w:hAnsi="Franklin Gothic Book" w:cs="Times New Roman"/>
          <w:b w:val="0"/>
          <w:bCs w:val="0"/>
          <w:color w:val="auto"/>
          <w:kern w:val="0"/>
          <w:sz w:val="21"/>
        </w:rPr>
        <w:t xml:space="preserve">ey by </w:t>
      </w:r>
      <w:r w:rsidR="006154FD">
        <w:rPr>
          <w:rFonts w:ascii="Franklin Gothic Book" w:eastAsia="Times New Roman" w:hAnsi="Franklin Gothic Book" w:cs="Times New Roman"/>
          <w:b w:val="0"/>
          <w:bCs w:val="0"/>
          <w:color w:val="auto"/>
          <w:kern w:val="0"/>
          <w:sz w:val="21"/>
        </w:rPr>
        <w:t>g</w:t>
      </w:r>
      <w:r>
        <w:rPr>
          <w:rFonts w:ascii="Franklin Gothic Book" w:eastAsia="Times New Roman" w:hAnsi="Franklin Gothic Book" w:cs="Times New Roman"/>
          <w:b w:val="0"/>
          <w:bCs w:val="0"/>
          <w:color w:val="auto"/>
          <w:kern w:val="0"/>
          <w:sz w:val="21"/>
        </w:rPr>
        <w:t xml:space="preserve">overnment, </w:t>
      </w:r>
      <w:r w:rsidR="006154FD" w:rsidRPr="006154FD">
        <w:rPr>
          <w:rFonts w:ascii="Franklin Gothic Book" w:eastAsia="Times New Roman" w:hAnsi="Franklin Gothic Book" w:cs="Times New Roman"/>
          <w:b w:val="0"/>
          <w:bCs w:val="0"/>
          <w:color w:val="auto"/>
          <w:kern w:val="0"/>
          <w:sz w:val="21"/>
        </w:rPr>
        <w:t>Secretariat of the Pacific Community</w:t>
      </w:r>
      <w:r w:rsidR="006154FD">
        <w:rPr>
          <w:rFonts w:ascii="Franklin Gothic Book" w:eastAsia="Times New Roman" w:hAnsi="Franklin Gothic Book" w:cs="Times New Roman"/>
          <w:b w:val="0"/>
          <w:bCs w:val="0"/>
          <w:color w:val="auto"/>
          <w:kern w:val="0"/>
          <w:sz w:val="21"/>
        </w:rPr>
        <w:t xml:space="preserve"> (</w:t>
      </w:r>
      <w:r>
        <w:rPr>
          <w:rFonts w:ascii="Franklin Gothic Book" w:eastAsia="Times New Roman" w:hAnsi="Franklin Gothic Book" w:cs="Times New Roman"/>
          <w:b w:val="0"/>
          <w:bCs w:val="0"/>
          <w:color w:val="auto"/>
          <w:kern w:val="0"/>
          <w:sz w:val="21"/>
        </w:rPr>
        <w:t>SPC</w:t>
      </w:r>
      <w:r w:rsidR="006154FD">
        <w:rPr>
          <w:rFonts w:ascii="Franklin Gothic Book" w:eastAsia="Times New Roman" w:hAnsi="Franklin Gothic Book" w:cs="Times New Roman"/>
          <w:b w:val="0"/>
          <w:bCs w:val="0"/>
          <w:color w:val="auto"/>
          <w:kern w:val="0"/>
          <w:sz w:val="21"/>
        </w:rPr>
        <w:t>)</w:t>
      </w:r>
      <w:r>
        <w:rPr>
          <w:rFonts w:ascii="Franklin Gothic Book" w:eastAsia="Times New Roman" w:hAnsi="Franklin Gothic Book" w:cs="Times New Roman"/>
          <w:b w:val="0"/>
          <w:bCs w:val="0"/>
          <w:color w:val="auto"/>
          <w:kern w:val="0"/>
          <w:sz w:val="21"/>
        </w:rPr>
        <w:t xml:space="preserve"> and UN</w:t>
      </w:r>
      <w:r w:rsidR="006154FD">
        <w:rPr>
          <w:rFonts w:ascii="Franklin Gothic Book" w:eastAsia="Times New Roman" w:hAnsi="Franklin Gothic Book" w:cs="Times New Roman"/>
          <w:b w:val="0"/>
          <w:bCs w:val="0"/>
          <w:color w:val="auto"/>
          <w:kern w:val="0"/>
          <w:sz w:val="21"/>
        </w:rPr>
        <w:t xml:space="preserve"> Population Fund (UN</w:t>
      </w:r>
      <w:r>
        <w:rPr>
          <w:rFonts w:ascii="Franklin Gothic Book" w:eastAsia="Times New Roman" w:hAnsi="Franklin Gothic Book" w:cs="Times New Roman"/>
          <w:b w:val="0"/>
          <w:bCs w:val="0"/>
          <w:color w:val="auto"/>
          <w:kern w:val="0"/>
          <w:sz w:val="21"/>
        </w:rPr>
        <w:t>FPA</w:t>
      </w:r>
      <w:r w:rsidR="006154FD">
        <w:rPr>
          <w:rFonts w:ascii="Franklin Gothic Book" w:eastAsia="Times New Roman" w:hAnsi="Franklin Gothic Book" w:cs="Times New Roman"/>
          <w:b w:val="0"/>
          <w:bCs w:val="0"/>
          <w:color w:val="auto"/>
          <w:kern w:val="0"/>
          <w:sz w:val="21"/>
        </w:rPr>
        <w:t>)</w:t>
      </w:r>
      <w:r w:rsidRPr="00EF68E5">
        <w:rPr>
          <w:rFonts w:ascii="Franklin Gothic Book" w:eastAsia="Times New Roman" w:hAnsi="Franklin Gothic Book" w:cs="Times New Roman"/>
          <w:b w:val="0"/>
          <w:bCs w:val="0"/>
          <w:color w:val="auto"/>
          <w:kern w:val="0"/>
          <w:sz w:val="21"/>
        </w:rPr>
        <w:t xml:space="preserve"> (using W</w:t>
      </w:r>
      <w:r w:rsidR="006154FD">
        <w:rPr>
          <w:rFonts w:ascii="Franklin Gothic Book" w:eastAsia="Times New Roman" w:hAnsi="Franklin Gothic Book" w:cs="Times New Roman"/>
          <w:b w:val="0"/>
          <w:bCs w:val="0"/>
          <w:color w:val="auto"/>
          <w:kern w:val="0"/>
          <w:sz w:val="21"/>
        </w:rPr>
        <w:t xml:space="preserve">orld </w:t>
      </w:r>
      <w:r w:rsidRPr="00EF68E5">
        <w:rPr>
          <w:rFonts w:ascii="Franklin Gothic Book" w:eastAsia="Times New Roman" w:hAnsi="Franklin Gothic Book" w:cs="Times New Roman"/>
          <w:b w:val="0"/>
          <w:bCs w:val="0"/>
          <w:color w:val="auto"/>
          <w:kern w:val="0"/>
          <w:sz w:val="21"/>
        </w:rPr>
        <w:t>H</w:t>
      </w:r>
      <w:r w:rsidR="006154FD">
        <w:rPr>
          <w:rFonts w:ascii="Franklin Gothic Book" w:eastAsia="Times New Roman" w:hAnsi="Franklin Gothic Book" w:cs="Times New Roman"/>
          <w:b w:val="0"/>
          <w:bCs w:val="0"/>
          <w:color w:val="auto"/>
          <w:kern w:val="0"/>
          <w:sz w:val="21"/>
        </w:rPr>
        <w:t xml:space="preserve">ealth </w:t>
      </w:r>
      <w:r w:rsidRPr="00EF68E5">
        <w:rPr>
          <w:rFonts w:ascii="Franklin Gothic Book" w:eastAsia="Times New Roman" w:hAnsi="Franklin Gothic Book" w:cs="Times New Roman"/>
          <w:b w:val="0"/>
          <w:bCs w:val="0"/>
          <w:color w:val="auto"/>
          <w:kern w:val="0"/>
          <w:sz w:val="21"/>
        </w:rPr>
        <w:t>O</w:t>
      </w:r>
      <w:r w:rsidR="006154FD">
        <w:rPr>
          <w:rFonts w:ascii="Franklin Gothic Book" w:eastAsia="Times New Roman" w:hAnsi="Franklin Gothic Book" w:cs="Times New Roman"/>
          <w:b w:val="0"/>
          <w:bCs w:val="0"/>
          <w:color w:val="auto"/>
          <w:kern w:val="0"/>
          <w:sz w:val="21"/>
        </w:rPr>
        <w:t>rganization</w:t>
      </w:r>
      <w:r w:rsidRPr="00EF68E5">
        <w:rPr>
          <w:rFonts w:ascii="Franklin Gothic Book" w:eastAsia="Times New Roman" w:hAnsi="Franklin Gothic Book" w:cs="Times New Roman"/>
          <w:b w:val="0"/>
          <w:bCs w:val="0"/>
          <w:color w:val="auto"/>
          <w:kern w:val="0"/>
          <w:sz w:val="21"/>
        </w:rPr>
        <w:t xml:space="preserve"> methodology) showed 41</w:t>
      </w:r>
      <w:r>
        <w:rPr>
          <w:rFonts w:ascii="Franklin Gothic Book" w:eastAsia="Times New Roman" w:hAnsi="Franklin Gothic Book" w:cs="Times New Roman"/>
          <w:b w:val="0"/>
          <w:bCs w:val="0"/>
          <w:color w:val="auto"/>
          <w:kern w:val="0"/>
          <w:sz w:val="21"/>
        </w:rPr>
        <w:t xml:space="preserve"> per cent</w:t>
      </w:r>
      <w:r w:rsidRPr="00EF68E5">
        <w:rPr>
          <w:rFonts w:ascii="Franklin Gothic Book" w:eastAsia="Times New Roman" w:hAnsi="Franklin Gothic Book" w:cs="Times New Roman"/>
          <w:b w:val="0"/>
          <w:bCs w:val="0"/>
          <w:color w:val="auto"/>
          <w:kern w:val="0"/>
          <w:sz w:val="21"/>
        </w:rPr>
        <w:t xml:space="preserve"> of Samoan women surveyed had experienced physical violence by an intimate partner, while 20</w:t>
      </w:r>
      <w:r>
        <w:rPr>
          <w:rFonts w:ascii="Franklin Gothic Book" w:eastAsia="Times New Roman" w:hAnsi="Franklin Gothic Book" w:cs="Times New Roman"/>
          <w:b w:val="0"/>
          <w:bCs w:val="0"/>
          <w:color w:val="auto"/>
          <w:kern w:val="0"/>
          <w:sz w:val="21"/>
        </w:rPr>
        <w:t xml:space="preserve"> per cent</w:t>
      </w:r>
      <w:r w:rsidRPr="00EF68E5">
        <w:rPr>
          <w:rFonts w:ascii="Franklin Gothic Book" w:eastAsia="Times New Roman" w:hAnsi="Franklin Gothic Book" w:cs="Times New Roman"/>
          <w:b w:val="0"/>
          <w:bCs w:val="0"/>
          <w:color w:val="auto"/>
          <w:kern w:val="0"/>
          <w:sz w:val="21"/>
        </w:rPr>
        <w:t xml:space="preserve"> had experienced sexual violence in their lifetime</w:t>
      </w:r>
      <w:r w:rsidRPr="009A4A63">
        <w:rPr>
          <w:rStyle w:val="FootnoteReference"/>
          <w:rFonts w:ascii="Franklin Gothic Book" w:eastAsia="SimSun" w:hAnsi="Franklin Gothic Book" w:cs="Times New Roman"/>
          <w:b w:val="0"/>
          <w:bCs w:val="0"/>
          <w:color w:val="auto"/>
          <w:kern w:val="0"/>
          <w:sz w:val="12"/>
        </w:rPr>
        <w:footnoteReference w:id="5"/>
      </w:r>
      <w:r w:rsidRPr="00EF68E5">
        <w:rPr>
          <w:rFonts w:ascii="Franklin Gothic Book" w:eastAsia="Times New Roman" w:hAnsi="Franklin Gothic Book" w:cs="Times New Roman"/>
          <w:b w:val="0"/>
          <w:bCs w:val="0"/>
          <w:color w:val="auto"/>
          <w:kern w:val="0"/>
          <w:sz w:val="21"/>
        </w:rPr>
        <w:t>.</w:t>
      </w:r>
      <w:r>
        <w:rPr>
          <w:rFonts w:ascii="Franklin Gothic Book" w:eastAsia="Times New Roman" w:hAnsi="Franklin Gothic Book" w:cs="Times New Roman"/>
          <w:b w:val="0"/>
          <w:bCs w:val="0"/>
          <w:color w:val="auto"/>
          <w:kern w:val="0"/>
          <w:sz w:val="21"/>
        </w:rPr>
        <w:t xml:space="preserve"> </w:t>
      </w:r>
    </w:p>
    <w:p w:rsidR="00BD4BD5" w:rsidRDefault="00BD4BD5"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 xml:space="preserve">The priorities for Australia’s development assistance </w:t>
      </w:r>
      <w:r w:rsidR="006154FD">
        <w:rPr>
          <w:rFonts w:ascii="Franklin Gothic Book" w:eastAsia="Times New Roman" w:hAnsi="Franklin Gothic Book"/>
          <w:sz w:val="21"/>
        </w:rPr>
        <w:t>in</w:t>
      </w:r>
      <w:r w:rsidR="006154FD" w:rsidRPr="00C5201A">
        <w:rPr>
          <w:rFonts w:ascii="Franklin Gothic Book" w:eastAsia="Times New Roman" w:hAnsi="Franklin Gothic Book"/>
          <w:sz w:val="21"/>
        </w:rPr>
        <w:t xml:space="preserve"> </w:t>
      </w:r>
      <w:r w:rsidRPr="00C5201A">
        <w:rPr>
          <w:rFonts w:ascii="Franklin Gothic Book" w:eastAsia="Times New Roman" w:hAnsi="Franklin Gothic Book"/>
          <w:sz w:val="21"/>
        </w:rPr>
        <w:t>2014</w:t>
      </w:r>
      <w:r w:rsidR="009A4A63">
        <w:rPr>
          <w:rFonts w:ascii="Franklin Gothic Book" w:eastAsia="Times New Roman" w:hAnsi="Franklin Gothic Book"/>
          <w:sz w:val="21"/>
        </w:rPr>
        <w:t>–</w:t>
      </w:r>
      <w:r w:rsidRPr="00C5201A">
        <w:rPr>
          <w:rFonts w:ascii="Franklin Gothic Book" w:eastAsia="Times New Roman" w:hAnsi="Franklin Gothic Book"/>
          <w:sz w:val="21"/>
        </w:rPr>
        <w:t xml:space="preserve">15 were health, education, </w:t>
      </w:r>
      <w:r w:rsidR="009A4A63" w:rsidRPr="00C5201A">
        <w:rPr>
          <w:rFonts w:ascii="Franklin Gothic Book" w:eastAsia="Times New Roman" w:hAnsi="Franklin Gothic Book"/>
          <w:sz w:val="21"/>
        </w:rPr>
        <w:t xml:space="preserve">governance </w:t>
      </w:r>
      <w:r w:rsidR="009A4A63">
        <w:rPr>
          <w:rFonts w:ascii="Franklin Gothic Book" w:eastAsia="Times New Roman" w:hAnsi="Franklin Gothic Book"/>
          <w:sz w:val="21"/>
        </w:rPr>
        <w:t xml:space="preserve">and </w:t>
      </w:r>
      <w:r w:rsidRPr="00C5201A">
        <w:rPr>
          <w:rFonts w:ascii="Franklin Gothic Book" w:eastAsia="Times New Roman" w:hAnsi="Franklin Gothic Book"/>
          <w:sz w:val="21"/>
        </w:rPr>
        <w:t xml:space="preserve">economic </w:t>
      </w:r>
      <w:r w:rsidR="009A4A63">
        <w:rPr>
          <w:rFonts w:ascii="Franklin Gothic Book" w:eastAsia="Times New Roman" w:hAnsi="Franklin Gothic Book"/>
          <w:sz w:val="21"/>
        </w:rPr>
        <w:t>growth (</w:t>
      </w:r>
      <w:r w:rsidR="00EF7AFC" w:rsidRPr="00C5201A">
        <w:rPr>
          <w:rFonts w:ascii="Franklin Gothic Book" w:eastAsia="Times New Roman" w:hAnsi="Franklin Gothic Book"/>
          <w:sz w:val="21"/>
        </w:rPr>
        <w:t>including</w:t>
      </w:r>
      <w:r w:rsidRPr="00C5201A">
        <w:rPr>
          <w:rFonts w:ascii="Franklin Gothic Book" w:eastAsia="Times New Roman" w:hAnsi="Franklin Gothic Book"/>
          <w:sz w:val="21"/>
        </w:rPr>
        <w:t xml:space="preserve"> economic infrastruct</w:t>
      </w:r>
      <w:r w:rsidR="00EF7AFC" w:rsidRPr="00C5201A">
        <w:rPr>
          <w:rFonts w:ascii="Franklin Gothic Book" w:eastAsia="Times New Roman" w:hAnsi="Franklin Gothic Book"/>
          <w:sz w:val="21"/>
        </w:rPr>
        <w:t>ure such as roads and bridges)</w:t>
      </w:r>
      <w:r w:rsidR="001D6BEB">
        <w:rPr>
          <w:rFonts w:ascii="Franklin Gothic Book" w:eastAsia="Times New Roman" w:hAnsi="Franklin Gothic Book"/>
          <w:sz w:val="21"/>
        </w:rPr>
        <w:t>, gender</w:t>
      </w:r>
      <w:r w:rsidR="00EF7AFC" w:rsidRPr="00C5201A">
        <w:rPr>
          <w:rFonts w:ascii="Franklin Gothic Book" w:eastAsia="Times New Roman" w:hAnsi="Franklin Gothic Book"/>
          <w:sz w:val="21"/>
        </w:rPr>
        <w:t xml:space="preserve"> and law and justice. </w:t>
      </w:r>
      <w:r w:rsidRPr="00C5201A">
        <w:rPr>
          <w:rFonts w:ascii="Franklin Gothic Book" w:eastAsia="Times New Roman" w:hAnsi="Franklin Gothic Book"/>
          <w:sz w:val="21"/>
        </w:rPr>
        <w:t>Samoa’s strong governance means the majority of Australia’s funding—63 per cent in 2014</w:t>
      </w:r>
      <w:r w:rsidR="009A4A63">
        <w:rPr>
          <w:rFonts w:ascii="Franklin Gothic Book" w:eastAsia="Times New Roman" w:hAnsi="Franklin Gothic Book"/>
          <w:sz w:val="21"/>
        </w:rPr>
        <w:t>–</w:t>
      </w:r>
      <w:r w:rsidRPr="00C5201A">
        <w:rPr>
          <w:rFonts w:ascii="Franklin Gothic Book" w:eastAsia="Times New Roman" w:hAnsi="Franklin Gothic Book"/>
          <w:sz w:val="21"/>
        </w:rPr>
        <w:t>15—</w:t>
      </w:r>
      <w:r w:rsidR="005A0430">
        <w:rPr>
          <w:rFonts w:ascii="Franklin Gothic Book" w:eastAsia="Times New Roman" w:hAnsi="Franklin Gothic Book"/>
          <w:sz w:val="21"/>
        </w:rPr>
        <w:t>wa</w:t>
      </w:r>
      <w:r w:rsidRPr="00C5201A">
        <w:rPr>
          <w:rFonts w:ascii="Franklin Gothic Book" w:eastAsia="Times New Roman" w:hAnsi="Franklin Gothic Book"/>
          <w:sz w:val="21"/>
        </w:rPr>
        <w:t xml:space="preserve">s delivered through Samoan </w:t>
      </w:r>
      <w:r w:rsidR="006154FD">
        <w:rPr>
          <w:rFonts w:ascii="Franklin Gothic Book" w:eastAsia="Times New Roman" w:hAnsi="Franklin Gothic Book"/>
          <w:sz w:val="21"/>
        </w:rPr>
        <w:t>g</w:t>
      </w:r>
      <w:r w:rsidRPr="00C5201A">
        <w:rPr>
          <w:rFonts w:ascii="Franklin Gothic Book" w:eastAsia="Times New Roman" w:hAnsi="Franklin Gothic Book"/>
          <w:sz w:val="21"/>
        </w:rPr>
        <w:t xml:space="preserve">overnment systems (with appropriate risk management measures). </w:t>
      </w:r>
      <w:r w:rsidR="00482F7A" w:rsidRPr="00482F7A">
        <w:rPr>
          <w:rFonts w:ascii="Franklin Gothic Book" w:eastAsia="Times New Roman" w:hAnsi="Franklin Gothic Book"/>
          <w:sz w:val="21"/>
        </w:rPr>
        <w:t>DFAT</w:t>
      </w:r>
      <w:r w:rsidR="006154FD">
        <w:rPr>
          <w:rFonts w:ascii="Franklin Gothic Book" w:eastAsia="Times New Roman" w:hAnsi="Franklin Gothic Book"/>
          <w:sz w:val="21"/>
        </w:rPr>
        <w:t>’s</w:t>
      </w:r>
      <w:r w:rsidR="00482F7A" w:rsidRPr="00482F7A">
        <w:rPr>
          <w:rFonts w:ascii="Franklin Gothic Book" w:eastAsia="Times New Roman" w:hAnsi="Franklin Gothic Book"/>
          <w:sz w:val="21"/>
        </w:rPr>
        <w:t xml:space="preserve"> assessment of Samoa’s public financial management and procurement systems</w:t>
      </w:r>
      <w:r w:rsidR="00482F7A">
        <w:rPr>
          <w:rFonts w:ascii="Franklin Gothic Book" w:eastAsia="Times New Roman" w:hAnsi="Franklin Gothic Book"/>
          <w:sz w:val="21"/>
        </w:rPr>
        <w:t xml:space="preserve"> c</w:t>
      </w:r>
      <w:r w:rsidR="00482F7A" w:rsidRPr="00482F7A">
        <w:rPr>
          <w:rFonts w:ascii="Franklin Gothic Book" w:eastAsia="Times New Roman" w:hAnsi="Franklin Gothic Book"/>
          <w:sz w:val="21"/>
        </w:rPr>
        <w:t>onclu</w:t>
      </w:r>
      <w:r w:rsidR="00482F7A">
        <w:rPr>
          <w:rFonts w:ascii="Franklin Gothic Book" w:eastAsia="Times New Roman" w:hAnsi="Franklin Gothic Book"/>
          <w:sz w:val="21"/>
        </w:rPr>
        <w:t>ded</w:t>
      </w:r>
      <w:r w:rsidR="00482F7A" w:rsidRPr="00482F7A">
        <w:rPr>
          <w:rFonts w:ascii="Franklin Gothic Book" w:eastAsia="Times New Roman" w:hAnsi="Franklin Gothic Book"/>
          <w:sz w:val="21"/>
        </w:rPr>
        <w:t xml:space="preserve"> </w:t>
      </w:r>
      <w:r w:rsidR="00482F7A">
        <w:rPr>
          <w:rFonts w:ascii="Franklin Gothic Book" w:eastAsia="Times New Roman" w:hAnsi="Franklin Gothic Book"/>
          <w:sz w:val="21"/>
        </w:rPr>
        <w:t>t</w:t>
      </w:r>
      <w:r w:rsidRPr="00C5201A">
        <w:rPr>
          <w:rFonts w:ascii="Franklin Gothic Book" w:eastAsia="Times New Roman" w:hAnsi="Franklin Gothic Book"/>
          <w:sz w:val="21"/>
        </w:rPr>
        <w:t>he Samoan Government has demonstrated the ability to manage and account for Australian aid funds effectively.</w:t>
      </w:r>
    </w:p>
    <w:p w:rsidR="00545F86" w:rsidRPr="00E26E6C" w:rsidRDefault="00A978A0" w:rsidP="001905FA">
      <w:pPr>
        <w:spacing w:before="120" w:after="120"/>
        <w:rPr>
          <w:rFonts w:ascii="Franklin Gothic Book" w:eastAsia="Times New Roman" w:hAnsi="Franklin Gothic Book"/>
          <w:sz w:val="21"/>
        </w:rPr>
      </w:pPr>
      <w:r w:rsidRPr="00C5201A">
        <w:rPr>
          <w:rFonts w:ascii="Franklin Gothic Book" w:eastAsia="Times New Roman" w:hAnsi="Franklin Gothic Book"/>
          <w:sz w:val="21"/>
        </w:rPr>
        <w:t>Australia remains Samoa’s largest</w:t>
      </w:r>
      <w:r w:rsidR="00AB7298" w:rsidRPr="00C5201A">
        <w:rPr>
          <w:rFonts w:ascii="Franklin Gothic Book" w:eastAsia="Times New Roman" w:hAnsi="Franklin Gothic Book"/>
          <w:sz w:val="21"/>
        </w:rPr>
        <w:t xml:space="preserve"> </w:t>
      </w:r>
      <w:r w:rsidRPr="00C5201A">
        <w:rPr>
          <w:rFonts w:ascii="Franklin Gothic Book" w:eastAsia="Times New Roman" w:hAnsi="Franklin Gothic Book"/>
          <w:sz w:val="21"/>
        </w:rPr>
        <w:t xml:space="preserve">development partner, with our 2013 official development assistance representing 28 per cent of all aid from OECD DAC donors to Samoa. </w:t>
      </w:r>
      <w:r w:rsidR="00AB7298" w:rsidRPr="00C5201A">
        <w:rPr>
          <w:rFonts w:ascii="Franklin Gothic Book" w:eastAsia="Times New Roman" w:hAnsi="Franklin Gothic Book"/>
          <w:sz w:val="21"/>
        </w:rPr>
        <w:t>Other</w:t>
      </w:r>
      <w:r w:rsidRPr="00C5201A">
        <w:rPr>
          <w:rFonts w:ascii="Franklin Gothic Book" w:eastAsia="Times New Roman" w:hAnsi="Franklin Gothic Book"/>
          <w:sz w:val="21"/>
        </w:rPr>
        <w:t xml:space="preserve"> donors </w:t>
      </w:r>
      <w:r w:rsidR="00AB7298" w:rsidRPr="00C5201A">
        <w:rPr>
          <w:rFonts w:ascii="Franklin Gothic Book" w:eastAsia="Times New Roman" w:hAnsi="Franklin Gothic Book"/>
          <w:sz w:val="21"/>
        </w:rPr>
        <w:t>include</w:t>
      </w:r>
      <w:r w:rsidR="005A0430">
        <w:rPr>
          <w:rFonts w:ascii="Franklin Gothic Book" w:eastAsia="Times New Roman" w:hAnsi="Franklin Gothic Book"/>
          <w:sz w:val="21"/>
        </w:rPr>
        <w:t>d</w:t>
      </w:r>
      <w:r w:rsidRPr="00C5201A">
        <w:rPr>
          <w:rFonts w:ascii="Franklin Gothic Book" w:eastAsia="Times New Roman" w:hAnsi="Franklin Gothic Book"/>
          <w:sz w:val="21"/>
        </w:rPr>
        <w:t xml:space="preserve"> New Zealand (17.4 per cent), </w:t>
      </w:r>
      <w:r w:rsidR="00BD4BD5" w:rsidRPr="00C5201A">
        <w:rPr>
          <w:rFonts w:ascii="Franklin Gothic Book" w:eastAsia="Times New Roman" w:hAnsi="Franklin Gothic Book"/>
          <w:sz w:val="21"/>
        </w:rPr>
        <w:t xml:space="preserve">the </w:t>
      </w:r>
      <w:r w:rsidRPr="00C5201A">
        <w:rPr>
          <w:rFonts w:ascii="Franklin Gothic Book" w:eastAsia="Times New Roman" w:hAnsi="Franklin Gothic Book"/>
          <w:sz w:val="21"/>
        </w:rPr>
        <w:t xml:space="preserve">World Bank (14.5 per cent), and </w:t>
      </w:r>
      <w:r w:rsidR="00BD4BD5" w:rsidRPr="00C5201A">
        <w:rPr>
          <w:rFonts w:ascii="Franklin Gothic Book" w:eastAsia="Times New Roman" w:hAnsi="Franklin Gothic Book"/>
          <w:sz w:val="21"/>
        </w:rPr>
        <w:t xml:space="preserve">the </w:t>
      </w:r>
      <w:r w:rsidR="00B640CC">
        <w:rPr>
          <w:rFonts w:ascii="Franklin Gothic Book" w:eastAsia="Times New Roman" w:hAnsi="Franklin Gothic Book"/>
          <w:sz w:val="21"/>
        </w:rPr>
        <w:t>ADB</w:t>
      </w:r>
      <w:r w:rsidRPr="00C5201A">
        <w:rPr>
          <w:rFonts w:ascii="Franklin Gothic Book" w:eastAsia="Times New Roman" w:hAnsi="Franklin Gothic Book"/>
          <w:sz w:val="21"/>
        </w:rPr>
        <w:t xml:space="preserve"> (13.9 per cent</w:t>
      </w:r>
      <w:r w:rsidR="00832BDE" w:rsidRPr="00C5201A">
        <w:rPr>
          <w:rFonts w:ascii="Franklin Gothic Book" w:eastAsia="Times New Roman" w:hAnsi="Franklin Gothic Book"/>
          <w:sz w:val="21"/>
        </w:rPr>
        <w:t xml:space="preserve">). </w:t>
      </w:r>
      <w:r w:rsidR="00545F86" w:rsidRPr="00C5201A">
        <w:rPr>
          <w:rFonts w:ascii="Franklin Gothic Book" w:eastAsia="Times New Roman" w:hAnsi="Franklin Gothic Book"/>
          <w:sz w:val="21"/>
        </w:rPr>
        <w:t xml:space="preserve">China </w:t>
      </w:r>
      <w:r w:rsidR="005A0430">
        <w:rPr>
          <w:rFonts w:ascii="Franklin Gothic Book" w:eastAsia="Times New Roman" w:hAnsi="Franklin Gothic Book"/>
          <w:sz w:val="21"/>
        </w:rPr>
        <w:t>wa</w:t>
      </w:r>
      <w:r w:rsidR="00545F86" w:rsidRPr="00C5201A">
        <w:rPr>
          <w:rFonts w:ascii="Franklin Gothic Book" w:eastAsia="Times New Roman" w:hAnsi="Franklin Gothic Book"/>
          <w:sz w:val="21"/>
        </w:rPr>
        <w:t>s also a major donor</w:t>
      </w:r>
      <w:r w:rsidR="00297541" w:rsidRPr="00C5201A">
        <w:rPr>
          <w:rFonts w:ascii="Franklin Gothic Book" w:eastAsia="Times New Roman" w:hAnsi="Franklin Gothic Book"/>
          <w:sz w:val="21"/>
        </w:rPr>
        <w:t xml:space="preserve">, providing a mix of soft loans and cash grants. Precise figures are unavailable, however it is estimated that China is </w:t>
      </w:r>
      <w:r w:rsidR="00414E38" w:rsidRPr="00C5201A">
        <w:rPr>
          <w:rFonts w:ascii="Franklin Gothic Book" w:eastAsia="Times New Roman" w:hAnsi="Franklin Gothic Book"/>
          <w:sz w:val="21"/>
        </w:rPr>
        <w:t xml:space="preserve">now </w:t>
      </w:r>
      <w:r w:rsidR="00297541" w:rsidRPr="00C5201A">
        <w:rPr>
          <w:rFonts w:ascii="Franklin Gothic Book" w:eastAsia="Times New Roman" w:hAnsi="Franklin Gothic Book"/>
          <w:sz w:val="21"/>
        </w:rPr>
        <w:t>the second largest bilateral donor in Samoa</w:t>
      </w:r>
      <w:r w:rsidR="00297541" w:rsidRPr="009A4A63">
        <w:rPr>
          <w:rStyle w:val="FootnoteReference"/>
          <w:rFonts w:ascii="Franklin Gothic Book" w:hAnsi="Franklin Gothic Book"/>
          <w:sz w:val="12"/>
        </w:rPr>
        <w:footnoteReference w:id="6"/>
      </w:r>
      <w:r w:rsidR="00297541" w:rsidRPr="00C5201A">
        <w:rPr>
          <w:rFonts w:ascii="Franklin Gothic Book" w:eastAsia="Times New Roman" w:hAnsi="Franklin Gothic Book"/>
          <w:sz w:val="21"/>
        </w:rPr>
        <w:t>.</w:t>
      </w:r>
      <w:r w:rsidR="00832BDE" w:rsidRPr="00C5201A">
        <w:rPr>
          <w:rFonts w:ascii="Franklin Gothic Book" w:eastAsia="Times New Roman" w:hAnsi="Franklin Gothic Book"/>
          <w:sz w:val="21"/>
        </w:rPr>
        <w:t xml:space="preserve">  Japan and E</w:t>
      </w:r>
      <w:r w:rsidR="00B640CC">
        <w:rPr>
          <w:rFonts w:ascii="Franklin Gothic Book" w:eastAsia="Times New Roman" w:hAnsi="Franklin Gothic Book"/>
          <w:sz w:val="21"/>
        </w:rPr>
        <w:t xml:space="preserve">uropean </w:t>
      </w:r>
      <w:r w:rsidR="00832BDE" w:rsidRPr="00C5201A">
        <w:rPr>
          <w:rFonts w:ascii="Franklin Gothic Book" w:eastAsia="Times New Roman" w:hAnsi="Franklin Gothic Book"/>
          <w:sz w:val="21"/>
        </w:rPr>
        <w:t>U</w:t>
      </w:r>
      <w:r w:rsidR="00B640CC">
        <w:rPr>
          <w:rFonts w:ascii="Franklin Gothic Book" w:eastAsia="Times New Roman" w:hAnsi="Franklin Gothic Book"/>
          <w:sz w:val="21"/>
        </w:rPr>
        <w:t>nion</w:t>
      </w:r>
      <w:r w:rsidR="00832BDE" w:rsidRPr="00C5201A">
        <w:rPr>
          <w:rFonts w:ascii="Franklin Gothic Book" w:eastAsia="Times New Roman" w:hAnsi="Franklin Gothic Book"/>
          <w:sz w:val="21"/>
        </w:rPr>
        <w:t xml:space="preserve"> </w:t>
      </w:r>
      <w:r w:rsidR="005A0430">
        <w:rPr>
          <w:rFonts w:ascii="Franklin Gothic Book" w:eastAsia="Times New Roman" w:hAnsi="Franklin Gothic Book"/>
          <w:sz w:val="21"/>
        </w:rPr>
        <w:t>we</w:t>
      </w:r>
      <w:r w:rsidR="00832BDE" w:rsidRPr="00C5201A">
        <w:rPr>
          <w:rFonts w:ascii="Franklin Gothic Book" w:eastAsia="Times New Roman" w:hAnsi="Franklin Gothic Book"/>
          <w:sz w:val="21"/>
        </w:rPr>
        <w:t>re also active donors to Samoa.</w:t>
      </w:r>
    </w:p>
    <w:p w:rsidR="000D733F" w:rsidRPr="009E38C1" w:rsidRDefault="000D733F" w:rsidP="000D733F">
      <w:pPr>
        <w:pStyle w:val="Heading2"/>
        <w:rPr>
          <w:sz w:val="28"/>
        </w:rPr>
      </w:pPr>
      <w:r w:rsidRPr="009E38C1">
        <w:rPr>
          <w:sz w:val="28"/>
        </w:rPr>
        <w:lastRenderedPageBreak/>
        <w:t>Expenditure</w:t>
      </w:r>
    </w:p>
    <w:p w:rsidR="000D733F" w:rsidRDefault="000D733F" w:rsidP="00687B2F">
      <w:pPr>
        <w:pStyle w:val="Caption"/>
        <w:keepLines/>
      </w:pPr>
      <w:bookmarkStart w:id="2" w:name="_Toc373853206"/>
      <w:r w:rsidRPr="005901D2">
        <w:t xml:space="preserve">Table </w:t>
      </w:r>
      <w:fldSimple w:instr=" SEQ Table \* ARABIC ">
        <w:r w:rsidR="00335A7A">
          <w:rPr>
            <w:noProof/>
          </w:rPr>
          <w:t>1</w:t>
        </w:r>
      </w:fldSimple>
      <w:r w:rsidRPr="005901D2">
        <w:t xml:space="preserve"> </w:t>
      </w:r>
      <w:r w:rsidR="00687B2F">
        <w:t>Total ODA Expenditure in FY 2014-15</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687B2F" w:rsidRPr="00687B2F" w:rsidTr="002C5722">
        <w:tc>
          <w:tcPr>
            <w:tcW w:w="6204" w:type="dxa"/>
          </w:tcPr>
          <w:p w:rsidR="00687B2F" w:rsidRPr="00687B2F" w:rsidRDefault="00687B2F" w:rsidP="00687B2F">
            <w:pPr>
              <w:pStyle w:val="BodyText"/>
              <w:keepNext/>
              <w:rPr>
                <w:b/>
                <w:sz w:val="17"/>
                <w:szCs w:val="17"/>
              </w:rPr>
            </w:pPr>
            <w:r w:rsidRPr="00687B2F">
              <w:rPr>
                <w:b/>
                <w:sz w:val="17"/>
                <w:szCs w:val="17"/>
              </w:rPr>
              <w:t>Objective</w:t>
            </w:r>
          </w:p>
        </w:tc>
        <w:tc>
          <w:tcPr>
            <w:tcW w:w="992" w:type="dxa"/>
          </w:tcPr>
          <w:p w:rsidR="00687B2F" w:rsidRPr="00687B2F" w:rsidRDefault="00687B2F" w:rsidP="00687B2F">
            <w:pPr>
              <w:pStyle w:val="BodyText"/>
              <w:keepNext/>
              <w:rPr>
                <w:sz w:val="17"/>
                <w:szCs w:val="17"/>
              </w:rPr>
            </w:pPr>
            <w:r w:rsidRPr="00687B2F">
              <w:rPr>
                <w:b/>
                <w:sz w:val="17"/>
                <w:szCs w:val="17"/>
              </w:rPr>
              <w:t>A$ million</w:t>
            </w:r>
          </w:p>
        </w:tc>
        <w:tc>
          <w:tcPr>
            <w:tcW w:w="1525" w:type="dxa"/>
          </w:tcPr>
          <w:p w:rsidR="00687B2F" w:rsidRPr="00687B2F" w:rsidRDefault="00687B2F" w:rsidP="00687B2F">
            <w:pPr>
              <w:pStyle w:val="BodyText"/>
              <w:keepNext/>
              <w:rPr>
                <w:sz w:val="17"/>
                <w:szCs w:val="17"/>
              </w:rPr>
            </w:pPr>
            <w:r w:rsidRPr="00687B2F">
              <w:rPr>
                <w:b/>
                <w:sz w:val="17"/>
                <w:szCs w:val="17"/>
              </w:rPr>
              <w:t>% of total ODA</w:t>
            </w:r>
          </w:p>
        </w:tc>
      </w:tr>
      <w:tr w:rsidR="00687B2F" w:rsidRPr="00687B2F" w:rsidTr="002C5722">
        <w:tc>
          <w:tcPr>
            <w:tcW w:w="6204" w:type="dxa"/>
          </w:tcPr>
          <w:p w:rsidR="00687B2F" w:rsidRPr="00687B2F" w:rsidRDefault="00687B2F" w:rsidP="00687B2F">
            <w:pPr>
              <w:pStyle w:val="BodyText"/>
              <w:keepNext/>
              <w:rPr>
                <w:b/>
                <w:i/>
                <w:sz w:val="17"/>
                <w:szCs w:val="17"/>
              </w:rPr>
            </w:pPr>
            <w:r w:rsidRPr="00687B2F">
              <w:rPr>
                <w:b/>
                <w:i/>
                <w:sz w:val="17"/>
                <w:szCs w:val="17"/>
              </w:rPr>
              <w:t xml:space="preserve">Bilateral </w:t>
            </w:r>
          </w:p>
        </w:tc>
        <w:tc>
          <w:tcPr>
            <w:tcW w:w="992" w:type="dxa"/>
          </w:tcPr>
          <w:p w:rsidR="00687B2F" w:rsidRPr="00687B2F" w:rsidRDefault="00687B2F" w:rsidP="00687B2F">
            <w:pPr>
              <w:pStyle w:val="BodyText"/>
              <w:keepNext/>
              <w:rPr>
                <w:b/>
                <w:sz w:val="17"/>
                <w:szCs w:val="17"/>
              </w:rPr>
            </w:pPr>
          </w:p>
        </w:tc>
        <w:tc>
          <w:tcPr>
            <w:tcW w:w="1525" w:type="dxa"/>
          </w:tcPr>
          <w:p w:rsidR="00687B2F" w:rsidRPr="00687B2F" w:rsidRDefault="00687B2F" w:rsidP="00687B2F">
            <w:pPr>
              <w:pStyle w:val="BodyText"/>
              <w:keepNext/>
              <w:rPr>
                <w:b/>
                <w:sz w:val="17"/>
                <w:szCs w:val="17"/>
              </w:rPr>
            </w:pPr>
          </w:p>
        </w:tc>
      </w:tr>
      <w:tr w:rsidR="00687B2F" w:rsidRPr="00687B2F" w:rsidTr="002C5722">
        <w:tc>
          <w:tcPr>
            <w:tcW w:w="6204" w:type="dxa"/>
          </w:tcPr>
          <w:p w:rsidR="00687B2F" w:rsidRPr="00687B2F" w:rsidRDefault="00065D23" w:rsidP="002C5722">
            <w:pPr>
              <w:pStyle w:val="BodyText"/>
              <w:keepNext/>
              <w:spacing w:before="40" w:after="40"/>
              <w:rPr>
                <w:sz w:val="17"/>
                <w:szCs w:val="17"/>
              </w:rPr>
            </w:pPr>
            <w:r>
              <w:rPr>
                <w:sz w:val="17"/>
                <w:szCs w:val="17"/>
              </w:rPr>
              <w:t>Support Samoa’s ambition to achieve and move beyond MDG targets to address better quality and more equitable education for all</w:t>
            </w:r>
          </w:p>
        </w:tc>
        <w:tc>
          <w:tcPr>
            <w:tcW w:w="992" w:type="dxa"/>
          </w:tcPr>
          <w:p w:rsidR="00687B2F" w:rsidRPr="00687B2F" w:rsidRDefault="00A360DB" w:rsidP="002C5722">
            <w:pPr>
              <w:pStyle w:val="BodyText"/>
              <w:keepNext/>
              <w:spacing w:before="40" w:after="40"/>
              <w:rPr>
                <w:sz w:val="17"/>
                <w:szCs w:val="17"/>
              </w:rPr>
            </w:pPr>
            <w:r>
              <w:rPr>
                <w:sz w:val="17"/>
                <w:szCs w:val="17"/>
              </w:rPr>
              <w:t>7.15</w:t>
            </w:r>
          </w:p>
        </w:tc>
        <w:tc>
          <w:tcPr>
            <w:tcW w:w="1525" w:type="dxa"/>
          </w:tcPr>
          <w:p w:rsidR="00687B2F" w:rsidRPr="00687B2F" w:rsidRDefault="00A77AE8" w:rsidP="002C5722">
            <w:pPr>
              <w:pStyle w:val="BodyText"/>
              <w:keepNext/>
              <w:spacing w:before="40" w:after="40"/>
              <w:rPr>
                <w:sz w:val="17"/>
                <w:szCs w:val="17"/>
              </w:rPr>
            </w:pPr>
            <w:r>
              <w:rPr>
                <w:sz w:val="17"/>
                <w:szCs w:val="17"/>
              </w:rPr>
              <w:t>19%</w:t>
            </w:r>
          </w:p>
        </w:tc>
      </w:tr>
      <w:tr w:rsidR="00687B2F" w:rsidRPr="00687B2F" w:rsidTr="002C5722">
        <w:tc>
          <w:tcPr>
            <w:tcW w:w="6204" w:type="dxa"/>
          </w:tcPr>
          <w:p w:rsidR="00687B2F" w:rsidRPr="00687B2F" w:rsidRDefault="00065D23" w:rsidP="002C5722">
            <w:pPr>
              <w:pStyle w:val="BodyText"/>
              <w:keepNext/>
              <w:spacing w:before="40" w:after="40"/>
              <w:rPr>
                <w:sz w:val="17"/>
                <w:szCs w:val="17"/>
              </w:rPr>
            </w:pPr>
            <w:r>
              <w:rPr>
                <w:sz w:val="17"/>
                <w:szCs w:val="17"/>
              </w:rPr>
              <w:t>Enable Samoa to provide better quality and more equitable health services to the people of Samoa</w:t>
            </w:r>
          </w:p>
        </w:tc>
        <w:tc>
          <w:tcPr>
            <w:tcW w:w="992" w:type="dxa"/>
          </w:tcPr>
          <w:p w:rsidR="00687B2F" w:rsidRPr="00687B2F" w:rsidRDefault="00A360DB" w:rsidP="00B640CC">
            <w:pPr>
              <w:pStyle w:val="BodyText"/>
              <w:keepNext/>
              <w:spacing w:before="40" w:after="40"/>
              <w:rPr>
                <w:sz w:val="17"/>
                <w:szCs w:val="17"/>
              </w:rPr>
            </w:pPr>
            <w:r>
              <w:rPr>
                <w:sz w:val="17"/>
                <w:szCs w:val="17"/>
              </w:rPr>
              <w:t>5.1</w:t>
            </w:r>
          </w:p>
        </w:tc>
        <w:tc>
          <w:tcPr>
            <w:tcW w:w="1525" w:type="dxa"/>
          </w:tcPr>
          <w:p w:rsidR="00687B2F" w:rsidRPr="00687B2F" w:rsidRDefault="00A77AE8" w:rsidP="002C5722">
            <w:pPr>
              <w:pStyle w:val="BodyText"/>
              <w:keepNext/>
              <w:spacing w:before="40" w:after="40"/>
              <w:rPr>
                <w:sz w:val="17"/>
                <w:szCs w:val="17"/>
              </w:rPr>
            </w:pPr>
            <w:r>
              <w:rPr>
                <w:sz w:val="17"/>
                <w:szCs w:val="17"/>
              </w:rPr>
              <w:t>13%</w:t>
            </w:r>
          </w:p>
        </w:tc>
      </w:tr>
      <w:tr w:rsidR="00687B2F" w:rsidRPr="00687B2F" w:rsidTr="002C5722">
        <w:tc>
          <w:tcPr>
            <w:tcW w:w="6204" w:type="dxa"/>
          </w:tcPr>
          <w:p w:rsidR="00687B2F" w:rsidRPr="00687B2F" w:rsidRDefault="00065D23" w:rsidP="002C5722">
            <w:pPr>
              <w:pStyle w:val="BodyText"/>
              <w:keepNext/>
              <w:spacing w:before="40" w:after="40"/>
              <w:rPr>
                <w:sz w:val="17"/>
                <w:szCs w:val="17"/>
              </w:rPr>
            </w:pPr>
            <w:r>
              <w:rPr>
                <w:sz w:val="17"/>
                <w:szCs w:val="17"/>
              </w:rPr>
              <w:t>To enable Samoa to achieve its goal of sustained macroeconomic stability and improved governance</w:t>
            </w:r>
          </w:p>
        </w:tc>
        <w:tc>
          <w:tcPr>
            <w:tcW w:w="992" w:type="dxa"/>
          </w:tcPr>
          <w:p w:rsidR="00687B2F" w:rsidRPr="00687B2F" w:rsidRDefault="00A360DB" w:rsidP="002C5722">
            <w:pPr>
              <w:pStyle w:val="BodyText"/>
              <w:keepNext/>
              <w:spacing w:before="40" w:after="40"/>
              <w:rPr>
                <w:sz w:val="17"/>
                <w:szCs w:val="17"/>
              </w:rPr>
            </w:pPr>
            <w:r>
              <w:rPr>
                <w:sz w:val="17"/>
                <w:szCs w:val="17"/>
              </w:rPr>
              <w:t>7.36</w:t>
            </w:r>
          </w:p>
        </w:tc>
        <w:tc>
          <w:tcPr>
            <w:tcW w:w="1525" w:type="dxa"/>
          </w:tcPr>
          <w:p w:rsidR="00687B2F" w:rsidRPr="00687B2F" w:rsidRDefault="00A77AE8" w:rsidP="002C5722">
            <w:pPr>
              <w:pStyle w:val="BodyText"/>
              <w:keepNext/>
              <w:spacing w:before="40" w:after="40"/>
              <w:rPr>
                <w:sz w:val="17"/>
                <w:szCs w:val="17"/>
              </w:rPr>
            </w:pPr>
            <w:r>
              <w:rPr>
                <w:sz w:val="17"/>
                <w:szCs w:val="17"/>
              </w:rPr>
              <w:t>19%</w:t>
            </w:r>
          </w:p>
        </w:tc>
      </w:tr>
      <w:tr w:rsidR="00065D23" w:rsidRPr="00687B2F" w:rsidTr="002C5722">
        <w:tc>
          <w:tcPr>
            <w:tcW w:w="6204" w:type="dxa"/>
          </w:tcPr>
          <w:p w:rsidR="00065D23" w:rsidRPr="00687B2F" w:rsidRDefault="004B4934" w:rsidP="002C5722">
            <w:pPr>
              <w:pStyle w:val="BodyText"/>
              <w:keepNext/>
              <w:spacing w:before="40" w:after="40"/>
              <w:rPr>
                <w:sz w:val="17"/>
                <w:szCs w:val="17"/>
              </w:rPr>
            </w:pPr>
            <w:r>
              <w:rPr>
                <w:sz w:val="17"/>
                <w:szCs w:val="17"/>
              </w:rPr>
              <w:t>To enable Samoa to have safer communities, better access to justice and integration between the customary and formal justice systems</w:t>
            </w:r>
          </w:p>
        </w:tc>
        <w:tc>
          <w:tcPr>
            <w:tcW w:w="992" w:type="dxa"/>
          </w:tcPr>
          <w:p w:rsidR="00065D23" w:rsidRPr="00687B2F" w:rsidRDefault="00A360DB" w:rsidP="002C5722">
            <w:pPr>
              <w:pStyle w:val="BodyText"/>
              <w:keepNext/>
              <w:spacing w:before="40" w:after="40"/>
              <w:rPr>
                <w:sz w:val="17"/>
                <w:szCs w:val="17"/>
              </w:rPr>
            </w:pPr>
            <w:r>
              <w:rPr>
                <w:sz w:val="17"/>
                <w:szCs w:val="17"/>
              </w:rPr>
              <w:t>3.02</w:t>
            </w:r>
          </w:p>
        </w:tc>
        <w:tc>
          <w:tcPr>
            <w:tcW w:w="1525" w:type="dxa"/>
          </w:tcPr>
          <w:p w:rsidR="00065D23" w:rsidRPr="00687B2F" w:rsidRDefault="00A77AE8" w:rsidP="002C5722">
            <w:pPr>
              <w:pStyle w:val="BodyText"/>
              <w:keepNext/>
              <w:spacing w:before="40" w:after="40"/>
              <w:rPr>
                <w:sz w:val="17"/>
                <w:szCs w:val="17"/>
              </w:rPr>
            </w:pPr>
            <w:r>
              <w:rPr>
                <w:sz w:val="17"/>
                <w:szCs w:val="17"/>
              </w:rPr>
              <w:t>8%</w:t>
            </w:r>
          </w:p>
        </w:tc>
      </w:tr>
      <w:tr w:rsidR="00687B2F" w:rsidRPr="00687B2F" w:rsidTr="002C5722">
        <w:tc>
          <w:tcPr>
            <w:tcW w:w="6204" w:type="dxa"/>
          </w:tcPr>
          <w:p w:rsidR="00687B2F" w:rsidRPr="00687B2F" w:rsidRDefault="00687B2F" w:rsidP="00687B2F">
            <w:pPr>
              <w:pStyle w:val="BodyText"/>
              <w:keepNext/>
              <w:rPr>
                <w:b/>
                <w:sz w:val="17"/>
                <w:szCs w:val="17"/>
              </w:rPr>
            </w:pPr>
            <w:r w:rsidRPr="00687B2F">
              <w:rPr>
                <w:b/>
                <w:sz w:val="17"/>
                <w:szCs w:val="17"/>
              </w:rPr>
              <w:t>Sub-Total Bilateral</w:t>
            </w:r>
          </w:p>
        </w:tc>
        <w:tc>
          <w:tcPr>
            <w:tcW w:w="992" w:type="dxa"/>
          </w:tcPr>
          <w:p w:rsidR="00687B2F" w:rsidRPr="00687B2F" w:rsidRDefault="00A360DB" w:rsidP="00687B2F">
            <w:pPr>
              <w:pStyle w:val="BodyText"/>
              <w:keepNext/>
              <w:rPr>
                <w:sz w:val="17"/>
                <w:szCs w:val="17"/>
              </w:rPr>
            </w:pPr>
            <w:r>
              <w:rPr>
                <w:sz w:val="17"/>
                <w:szCs w:val="17"/>
              </w:rPr>
              <w:t>22.63</w:t>
            </w:r>
          </w:p>
        </w:tc>
        <w:tc>
          <w:tcPr>
            <w:tcW w:w="1525" w:type="dxa"/>
          </w:tcPr>
          <w:p w:rsidR="00687B2F" w:rsidRPr="00687B2F" w:rsidRDefault="00A77AE8" w:rsidP="00687B2F">
            <w:pPr>
              <w:pStyle w:val="BodyText"/>
              <w:keepNext/>
              <w:rPr>
                <w:sz w:val="17"/>
                <w:szCs w:val="17"/>
              </w:rPr>
            </w:pPr>
            <w:r>
              <w:rPr>
                <w:sz w:val="17"/>
                <w:szCs w:val="17"/>
              </w:rPr>
              <w:t>60%</w:t>
            </w:r>
          </w:p>
        </w:tc>
      </w:tr>
      <w:tr w:rsidR="00687B2F" w:rsidRPr="00687B2F" w:rsidTr="002C5722">
        <w:tc>
          <w:tcPr>
            <w:tcW w:w="6204" w:type="dxa"/>
          </w:tcPr>
          <w:p w:rsidR="00687B2F" w:rsidRPr="00687B2F" w:rsidRDefault="00687B2F" w:rsidP="002C5722">
            <w:pPr>
              <w:pStyle w:val="BodyText"/>
              <w:keepNext/>
              <w:spacing w:before="40" w:after="40"/>
              <w:rPr>
                <w:sz w:val="17"/>
                <w:szCs w:val="17"/>
              </w:rPr>
            </w:pPr>
            <w:r w:rsidRPr="00687B2F">
              <w:rPr>
                <w:sz w:val="17"/>
                <w:szCs w:val="17"/>
              </w:rPr>
              <w:t>Regional and Global</w:t>
            </w:r>
          </w:p>
        </w:tc>
        <w:tc>
          <w:tcPr>
            <w:tcW w:w="992" w:type="dxa"/>
          </w:tcPr>
          <w:p w:rsidR="00687B2F" w:rsidRPr="00687B2F" w:rsidRDefault="00A77AE8" w:rsidP="002C5722">
            <w:pPr>
              <w:pStyle w:val="BodyText"/>
              <w:keepNext/>
              <w:spacing w:before="40" w:after="40"/>
              <w:rPr>
                <w:sz w:val="17"/>
                <w:szCs w:val="17"/>
              </w:rPr>
            </w:pPr>
            <w:r>
              <w:rPr>
                <w:sz w:val="17"/>
                <w:szCs w:val="17"/>
              </w:rPr>
              <w:t>12.9</w:t>
            </w:r>
          </w:p>
        </w:tc>
        <w:tc>
          <w:tcPr>
            <w:tcW w:w="1525" w:type="dxa"/>
          </w:tcPr>
          <w:p w:rsidR="00687B2F" w:rsidRPr="00687B2F" w:rsidRDefault="00A77AE8" w:rsidP="002C5722">
            <w:pPr>
              <w:pStyle w:val="BodyText"/>
              <w:keepNext/>
              <w:spacing w:before="40" w:after="40"/>
              <w:rPr>
                <w:sz w:val="17"/>
                <w:szCs w:val="17"/>
              </w:rPr>
            </w:pPr>
            <w:r>
              <w:rPr>
                <w:sz w:val="17"/>
                <w:szCs w:val="17"/>
              </w:rPr>
              <w:t>34%</w:t>
            </w:r>
          </w:p>
        </w:tc>
      </w:tr>
      <w:tr w:rsidR="00687B2F" w:rsidRPr="00687B2F" w:rsidTr="002C5722">
        <w:tc>
          <w:tcPr>
            <w:tcW w:w="6204" w:type="dxa"/>
          </w:tcPr>
          <w:p w:rsidR="00687B2F" w:rsidRPr="00687B2F" w:rsidRDefault="00687B2F" w:rsidP="002C5722">
            <w:pPr>
              <w:pStyle w:val="BodyText"/>
              <w:keepNext/>
              <w:spacing w:before="40" w:after="40"/>
              <w:rPr>
                <w:sz w:val="17"/>
                <w:szCs w:val="17"/>
              </w:rPr>
            </w:pPr>
            <w:r w:rsidRPr="00687B2F">
              <w:rPr>
                <w:sz w:val="17"/>
                <w:szCs w:val="17"/>
              </w:rPr>
              <w:t>Other Government Departments</w:t>
            </w:r>
          </w:p>
        </w:tc>
        <w:tc>
          <w:tcPr>
            <w:tcW w:w="992" w:type="dxa"/>
          </w:tcPr>
          <w:p w:rsidR="00687B2F" w:rsidRPr="00687B2F" w:rsidRDefault="00A77AE8" w:rsidP="002C5722">
            <w:pPr>
              <w:pStyle w:val="BodyText"/>
              <w:keepNext/>
              <w:spacing w:before="40" w:after="40"/>
              <w:rPr>
                <w:sz w:val="17"/>
                <w:szCs w:val="17"/>
              </w:rPr>
            </w:pPr>
            <w:r>
              <w:rPr>
                <w:sz w:val="17"/>
                <w:szCs w:val="17"/>
              </w:rPr>
              <w:t>2.3</w:t>
            </w:r>
          </w:p>
        </w:tc>
        <w:tc>
          <w:tcPr>
            <w:tcW w:w="1525" w:type="dxa"/>
          </w:tcPr>
          <w:p w:rsidR="00687B2F" w:rsidRPr="00687B2F" w:rsidRDefault="00A77AE8" w:rsidP="002C5722">
            <w:pPr>
              <w:pStyle w:val="BodyText"/>
              <w:keepNext/>
              <w:spacing w:before="40" w:after="40"/>
              <w:rPr>
                <w:sz w:val="17"/>
                <w:szCs w:val="17"/>
              </w:rPr>
            </w:pPr>
            <w:r>
              <w:rPr>
                <w:sz w:val="17"/>
                <w:szCs w:val="17"/>
              </w:rPr>
              <w:t>6%</w:t>
            </w:r>
          </w:p>
        </w:tc>
      </w:tr>
      <w:tr w:rsidR="00687B2F" w:rsidRPr="00687B2F" w:rsidTr="002C5722">
        <w:tc>
          <w:tcPr>
            <w:tcW w:w="6204" w:type="dxa"/>
          </w:tcPr>
          <w:p w:rsidR="00687B2F" w:rsidRPr="00687B2F" w:rsidRDefault="00687B2F" w:rsidP="00687B2F">
            <w:pPr>
              <w:pStyle w:val="BodyText"/>
              <w:keepNext/>
              <w:rPr>
                <w:b/>
                <w:sz w:val="17"/>
                <w:szCs w:val="17"/>
              </w:rPr>
            </w:pPr>
            <w:r w:rsidRPr="00687B2F">
              <w:rPr>
                <w:b/>
                <w:sz w:val="17"/>
                <w:szCs w:val="17"/>
              </w:rPr>
              <w:t>Total</w:t>
            </w:r>
            <w:r w:rsidR="002C5722">
              <w:rPr>
                <w:b/>
                <w:sz w:val="17"/>
                <w:szCs w:val="17"/>
              </w:rPr>
              <w:t xml:space="preserve"> ODA Expenditure</w:t>
            </w:r>
          </w:p>
        </w:tc>
        <w:tc>
          <w:tcPr>
            <w:tcW w:w="992" w:type="dxa"/>
          </w:tcPr>
          <w:p w:rsidR="00687B2F" w:rsidRPr="00687B2F" w:rsidRDefault="00A77AE8" w:rsidP="00687B2F">
            <w:pPr>
              <w:pStyle w:val="BodyText"/>
              <w:keepNext/>
              <w:rPr>
                <w:sz w:val="17"/>
                <w:szCs w:val="17"/>
              </w:rPr>
            </w:pPr>
            <w:r>
              <w:rPr>
                <w:sz w:val="17"/>
                <w:szCs w:val="17"/>
              </w:rPr>
              <w:t>37.8</w:t>
            </w:r>
          </w:p>
        </w:tc>
        <w:tc>
          <w:tcPr>
            <w:tcW w:w="1525" w:type="dxa"/>
          </w:tcPr>
          <w:p w:rsidR="00687B2F" w:rsidRPr="00687B2F" w:rsidRDefault="00687B2F" w:rsidP="00687B2F">
            <w:pPr>
              <w:pStyle w:val="BodyText"/>
              <w:keepNext/>
              <w:rPr>
                <w:sz w:val="17"/>
                <w:szCs w:val="17"/>
              </w:rPr>
            </w:pPr>
          </w:p>
        </w:tc>
      </w:tr>
    </w:tbl>
    <w:p w:rsidR="000D733F" w:rsidRPr="00511A0F" w:rsidRDefault="00511A0F" w:rsidP="002E3195">
      <w:pPr>
        <w:pStyle w:val="Heading2"/>
        <w:spacing w:before="240"/>
        <w:rPr>
          <w:sz w:val="28"/>
        </w:rPr>
      </w:pPr>
      <w:r>
        <w:rPr>
          <w:sz w:val="28"/>
        </w:rPr>
        <w:t xml:space="preserve">Progress </w:t>
      </w:r>
      <w:r w:rsidR="00E15678">
        <w:rPr>
          <w:sz w:val="28"/>
        </w:rPr>
        <w:t>towards</w:t>
      </w:r>
      <w:r>
        <w:rPr>
          <w:sz w:val="28"/>
        </w:rPr>
        <w:t xml:space="preserve"> O</w:t>
      </w:r>
      <w:r w:rsidR="000D733F" w:rsidRPr="00511A0F">
        <w:rPr>
          <w:sz w:val="28"/>
        </w:rPr>
        <w:t>bjectives</w:t>
      </w:r>
      <w:r w:rsidR="000D733F" w:rsidRPr="00511A0F">
        <w:rPr>
          <w:sz w:val="28"/>
        </w:rPr>
        <w:tab/>
      </w:r>
    </w:p>
    <w:p w:rsidR="000D733F" w:rsidRDefault="000D733F" w:rsidP="005901D2">
      <w:pPr>
        <w:pStyle w:val="Caption"/>
      </w:pPr>
      <w:r>
        <w:t xml:space="preserve">Table </w:t>
      </w:r>
      <w:fldSimple w:instr=" SEQ Table \* ARABIC ">
        <w:r w:rsidR="00335A7A">
          <w:rPr>
            <w:noProof/>
          </w:rPr>
          <w:t>2</w:t>
        </w:r>
      </w:fldSimple>
      <w:r w:rsidR="00582C22">
        <w:t xml:space="preserve"> Rating of the Program's P</w:t>
      </w:r>
      <w:r>
        <w:t xml:space="preserve">rogress towards Australia’s </w:t>
      </w:r>
      <w:r w:rsidR="00582C22">
        <w:t>A</w:t>
      </w:r>
      <w:r w:rsidR="00D206B3">
        <w:t xml:space="preserve">id </w:t>
      </w:r>
      <w:r w:rsidR="00582C22">
        <w:t>O</w:t>
      </w:r>
      <w:r>
        <w:t>bjectives</w:t>
      </w:r>
    </w:p>
    <w:tbl>
      <w:tblPr>
        <w:tblStyle w:val="APPR"/>
        <w:tblW w:w="5000" w:type="pct"/>
        <w:tblLook w:val="0000" w:firstRow="0" w:lastRow="0" w:firstColumn="0" w:lastColumn="0" w:noHBand="0" w:noVBand="0"/>
      </w:tblPr>
      <w:tblGrid>
        <w:gridCol w:w="6538"/>
        <w:gridCol w:w="1075"/>
        <w:gridCol w:w="446"/>
        <w:gridCol w:w="1143"/>
      </w:tblGrid>
      <w:tr w:rsidR="000D733F" w:rsidRPr="0019341B" w:rsidTr="004B4934">
        <w:trPr>
          <w:cnfStyle w:val="000000010000" w:firstRow="0" w:lastRow="0" w:firstColumn="0" w:lastColumn="0" w:oddVBand="0" w:evenVBand="0" w:oddHBand="0" w:evenHBand="1" w:firstRowFirstColumn="0" w:firstRowLastColumn="0" w:lastRowFirstColumn="0" w:lastRowLastColumn="0"/>
          <w:trHeight w:val="651"/>
        </w:trPr>
        <w:tc>
          <w:tcPr>
            <w:tcW w:w="6192" w:type="dxa"/>
          </w:tcPr>
          <w:p w:rsidR="000D733F" w:rsidRPr="0019341B" w:rsidRDefault="000D733F" w:rsidP="00F451BD">
            <w:pPr>
              <w:pStyle w:val="TableTextColumnHeading"/>
            </w:pPr>
            <w:r w:rsidRPr="0019341B">
              <w:rPr>
                <w:noProof/>
                <w:lang w:eastAsia="en-AU"/>
              </w:rPr>
              <w:drawing>
                <wp:anchor distT="0" distB="0" distL="114300" distR="114300" simplePos="0" relativeHeight="251663360" behindDoc="0" locked="0" layoutInCell="1" allowOverlap="1" wp14:anchorId="7B160E14" wp14:editId="18271F96">
                  <wp:simplePos x="0" y="0"/>
                  <wp:positionH relativeFrom="column">
                    <wp:posOffset>0</wp:posOffset>
                  </wp:positionH>
                  <wp:positionV relativeFrom="paragraph">
                    <wp:posOffset>0</wp:posOffset>
                  </wp:positionV>
                  <wp:extent cx="1857375" cy="228600"/>
                  <wp:effectExtent l="0" t="0" r="9525" b="0"/>
                  <wp:wrapNone/>
                  <wp:docPr id="12" name="Picture 1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rsidR="000D733F" w:rsidRPr="0019341B" w:rsidRDefault="004F4630" w:rsidP="00F451BD">
            <w:pPr>
              <w:pStyle w:val="TableTextColumnHeading"/>
            </w:pPr>
            <w:r>
              <w:t>Previous Rating</w:t>
            </w:r>
          </w:p>
        </w:tc>
        <w:tc>
          <w:tcPr>
            <w:tcW w:w="398" w:type="dxa"/>
          </w:tcPr>
          <w:p w:rsidR="000D733F" w:rsidRDefault="000D733F" w:rsidP="00F451BD">
            <w:pPr>
              <w:pStyle w:val="TableTextColumnHeading"/>
            </w:pPr>
          </w:p>
        </w:tc>
        <w:tc>
          <w:tcPr>
            <w:tcW w:w="1049" w:type="dxa"/>
          </w:tcPr>
          <w:p w:rsidR="000D733F" w:rsidRPr="0019341B" w:rsidRDefault="004F4630" w:rsidP="00F451BD">
            <w:pPr>
              <w:pStyle w:val="TableTextColumnHeading"/>
            </w:pPr>
            <w:r>
              <w:t>Current Rating</w:t>
            </w:r>
          </w:p>
        </w:tc>
      </w:tr>
      <w:tr w:rsidR="007F3673" w:rsidRPr="009D53C4" w:rsidTr="007F3673">
        <w:trPr>
          <w:cnfStyle w:val="000000010000" w:firstRow="0" w:lastRow="0" w:firstColumn="0" w:lastColumn="0" w:oddVBand="0" w:evenVBand="0" w:oddHBand="0" w:evenHBand="1" w:firstRowFirstColumn="0" w:firstRowLastColumn="0" w:lastRowFirstColumn="0" w:lastRowLastColumn="0"/>
        </w:trPr>
        <w:tc>
          <w:tcPr>
            <w:tcW w:w="6192" w:type="dxa"/>
          </w:tcPr>
          <w:p w:rsidR="007F3673" w:rsidRPr="00687B2F" w:rsidRDefault="007F3673" w:rsidP="002A4A85">
            <w:pPr>
              <w:pStyle w:val="BodyText"/>
              <w:keepNext/>
              <w:spacing w:before="40" w:after="40"/>
              <w:rPr>
                <w:sz w:val="17"/>
                <w:szCs w:val="17"/>
              </w:rPr>
            </w:pPr>
            <w:r>
              <w:rPr>
                <w:sz w:val="17"/>
                <w:szCs w:val="17"/>
              </w:rPr>
              <w:t>Support Samoa’s ambition to achieve and move beyond MDG targets to address better quality and more equitable education for all</w:t>
            </w:r>
          </w:p>
        </w:tc>
        <w:tc>
          <w:tcPr>
            <w:tcW w:w="998" w:type="dxa"/>
            <w:shd w:val="clear" w:color="auto" w:fill="E36C0A" w:themeFill="accent6" w:themeFillShade="BF"/>
            <w:noWrap/>
          </w:tcPr>
          <w:p w:rsidR="007F3673" w:rsidRPr="00443639" w:rsidRDefault="007F3673" w:rsidP="007C298D">
            <w:pPr>
              <w:pStyle w:val="TableTextEntries"/>
              <w:jc w:val="center"/>
              <w:rPr>
                <w:color w:val="FFFFFF" w:themeColor="background1"/>
              </w:rPr>
            </w:pPr>
            <w:r w:rsidRPr="00443639">
              <w:rPr>
                <w:color w:val="FFFFFF" w:themeColor="background1"/>
              </w:rPr>
              <w:t>Amber</w:t>
            </w:r>
          </w:p>
        </w:tc>
        <w:tc>
          <w:tcPr>
            <w:tcW w:w="398" w:type="dxa"/>
          </w:tcPr>
          <w:p w:rsidR="007F3673" w:rsidRPr="00443639" w:rsidRDefault="007F3673" w:rsidP="000D733F">
            <w:pPr>
              <w:pStyle w:val="TableTextEntries"/>
              <w:jc w:val="center"/>
              <w:rPr>
                <w:color w:val="FFFFFF" w:themeColor="background1"/>
              </w:rPr>
            </w:pPr>
          </w:p>
        </w:tc>
        <w:tc>
          <w:tcPr>
            <w:tcW w:w="1049" w:type="dxa"/>
            <w:shd w:val="clear" w:color="auto" w:fill="76923C" w:themeFill="accent3" w:themeFillShade="BF"/>
            <w:noWrap/>
          </w:tcPr>
          <w:p w:rsidR="007F3673" w:rsidRPr="007B789A" w:rsidRDefault="007F3673" w:rsidP="00392149">
            <w:pPr>
              <w:pStyle w:val="TableTextEntries"/>
              <w:jc w:val="center"/>
              <w:rPr>
                <w:color w:val="FFFFFF" w:themeColor="background1"/>
              </w:rPr>
            </w:pPr>
            <w:r>
              <w:rPr>
                <w:color w:val="FFFFFF" w:themeColor="background1"/>
              </w:rPr>
              <w:t>Green</w:t>
            </w:r>
          </w:p>
          <w:p w:rsidR="007F3673" w:rsidRPr="007F3673" w:rsidRDefault="007F3673" w:rsidP="00392149">
            <w:pPr>
              <w:pStyle w:val="TableTextEntries"/>
              <w:jc w:val="center"/>
              <w:rPr>
                <w:color w:val="FFFFFF" w:themeColor="background1"/>
              </w:rPr>
            </w:pPr>
          </w:p>
        </w:tc>
      </w:tr>
      <w:tr w:rsidR="007B789A" w:rsidRPr="009D53C4" w:rsidTr="007B789A">
        <w:trPr>
          <w:cnfStyle w:val="000000010000" w:firstRow="0" w:lastRow="0" w:firstColumn="0" w:lastColumn="0" w:oddVBand="0" w:evenVBand="0" w:oddHBand="0" w:evenHBand="1" w:firstRowFirstColumn="0" w:firstRowLastColumn="0" w:lastRowFirstColumn="0" w:lastRowLastColumn="0"/>
        </w:trPr>
        <w:tc>
          <w:tcPr>
            <w:tcW w:w="6192" w:type="dxa"/>
          </w:tcPr>
          <w:p w:rsidR="007B789A" w:rsidRPr="00687B2F" w:rsidRDefault="007B789A" w:rsidP="002A4A85">
            <w:pPr>
              <w:pStyle w:val="BodyText"/>
              <w:keepNext/>
              <w:spacing w:before="40" w:after="40"/>
              <w:rPr>
                <w:sz w:val="17"/>
                <w:szCs w:val="17"/>
              </w:rPr>
            </w:pPr>
            <w:r>
              <w:rPr>
                <w:sz w:val="17"/>
                <w:szCs w:val="17"/>
              </w:rPr>
              <w:t>Enable Samoa to provide better quality and more equitable health services to the people of Samoa</w:t>
            </w:r>
          </w:p>
        </w:tc>
        <w:tc>
          <w:tcPr>
            <w:tcW w:w="998" w:type="dxa"/>
            <w:shd w:val="clear" w:color="auto" w:fill="E36C0A"/>
            <w:noWrap/>
          </w:tcPr>
          <w:p w:rsidR="007B789A" w:rsidRPr="00443639" w:rsidRDefault="007B789A" w:rsidP="000D733F">
            <w:pPr>
              <w:pStyle w:val="TableTextEntries"/>
              <w:jc w:val="center"/>
              <w:rPr>
                <w:color w:val="FFFFFF" w:themeColor="background1"/>
              </w:rPr>
            </w:pPr>
            <w:r w:rsidRPr="00443639">
              <w:rPr>
                <w:color w:val="FFFFFF" w:themeColor="background1"/>
              </w:rPr>
              <w:t>Amber</w:t>
            </w:r>
          </w:p>
        </w:tc>
        <w:tc>
          <w:tcPr>
            <w:tcW w:w="398" w:type="dxa"/>
          </w:tcPr>
          <w:p w:rsidR="007B789A" w:rsidRPr="00443639" w:rsidRDefault="007B789A" w:rsidP="000D733F">
            <w:pPr>
              <w:pStyle w:val="TableTextEntries"/>
              <w:jc w:val="center"/>
              <w:rPr>
                <w:color w:val="FFFFFF" w:themeColor="background1"/>
              </w:rPr>
            </w:pPr>
          </w:p>
        </w:tc>
        <w:tc>
          <w:tcPr>
            <w:tcW w:w="1049" w:type="dxa"/>
            <w:shd w:val="clear" w:color="auto" w:fill="E36C0A" w:themeFill="accent6" w:themeFillShade="BF"/>
            <w:noWrap/>
          </w:tcPr>
          <w:p w:rsidR="007B789A" w:rsidRPr="007B789A" w:rsidRDefault="007B789A" w:rsidP="007B789A">
            <w:pPr>
              <w:pStyle w:val="TableTextEntries"/>
              <w:jc w:val="center"/>
              <w:rPr>
                <w:color w:val="FFFFFF" w:themeColor="background1"/>
              </w:rPr>
            </w:pPr>
            <w:r w:rsidRPr="007B789A">
              <w:rPr>
                <w:color w:val="FFFFFF" w:themeColor="background1"/>
              </w:rPr>
              <w:t>Amber</w:t>
            </w:r>
          </w:p>
        </w:tc>
      </w:tr>
      <w:tr w:rsidR="004B4934" w:rsidRPr="009D53C4" w:rsidTr="00410C7E">
        <w:trPr>
          <w:cnfStyle w:val="000000010000" w:firstRow="0" w:lastRow="0" w:firstColumn="0" w:lastColumn="0" w:oddVBand="0" w:evenVBand="0" w:oddHBand="0" w:evenHBand="1" w:firstRowFirstColumn="0" w:firstRowLastColumn="0" w:lastRowFirstColumn="0" w:lastRowLastColumn="0"/>
        </w:trPr>
        <w:tc>
          <w:tcPr>
            <w:tcW w:w="6192" w:type="dxa"/>
          </w:tcPr>
          <w:p w:rsidR="004B4934" w:rsidRPr="00687B2F" w:rsidRDefault="004B4934" w:rsidP="002A4A85">
            <w:pPr>
              <w:pStyle w:val="BodyText"/>
              <w:keepNext/>
              <w:spacing w:before="40" w:after="40"/>
              <w:rPr>
                <w:sz w:val="17"/>
                <w:szCs w:val="17"/>
              </w:rPr>
            </w:pPr>
            <w:r>
              <w:rPr>
                <w:sz w:val="17"/>
                <w:szCs w:val="17"/>
              </w:rPr>
              <w:t>To enable Samoa to achieve its goal of sustained macroeconomic stability and improved governance</w:t>
            </w:r>
          </w:p>
        </w:tc>
        <w:tc>
          <w:tcPr>
            <w:tcW w:w="998" w:type="dxa"/>
            <w:shd w:val="clear" w:color="auto" w:fill="76923C" w:themeFill="accent3" w:themeFillShade="BF"/>
            <w:noWrap/>
          </w:tcPr>
          <w:p w:rsidR="004B4934" w:rsidRPr="00443639" w:rsidRDefault="002578C6" w:rsidP="000D733F">
            <w:pPr>
              <w:pStyle w:val="TableTextEntries"/>
              <w:jc w:val="center"/>
              <w:rPr>
                <w:color w:val="FFFFFF" w:themeColor="background1"/>
              </w:rPr>
            </w:pPr>
            <w:r>
              <w:rPr>
                <w:color w:val="FFFFFF" w:themeColor="background1"/>
              </w:rPr>
              <w:t>Green</w:t>
            </w:r>
          </w:p>
        </w:tc>
        <w:tc>
          <w:tcPr>
            <w:tcW w:w="398" w:type="dxa"/>
          </w:tcPr>
          <w:p w:rsidR="004B4934" w:rsidRPr="00443639" w:rsidRDefault="004B4934" w:rsidP="000D733F">
            <w:pPr>
              <w:pStyle w:val="TableTextEntries"/>
              <w:jc w:val="center"/>
              <w:rPr>
                <w:color w:val="FFFFFF" w:themeColor="background1"/>
              </w:rPr>
            </w:pPr>
          </w:p>
        </w:tc>
        <w:tc>
          <w:tcPr>
            <w:tcW w:w="1049" w:type="dxa"/>
            <w:shd w:val="clear" w:color="auto" w:fill="76923C" w:themeFill="accent3" w:themeFillShade="BF"/>
            <w:noWrap/>
          </w:tcPr>
          <w:p w:rsidR="004B4934" w:rsidRPr="007B789A" w:rsidRDefault="00410C7E" w:rsidP="000D733F">
            <w:pPr>
              <w:pStyle w:val="TableTextEntries"/>
              <w:jc w:val="center"/>
              <w:rPr>
                <w:color w:val="FFFFFF" w:themeColor="background1"/>
              </w:rPr>
            </w:pPr>
            <w:r>
              <w:rPr>
                <w:color w:val="FFFFFF" w:themeColor="background1"/>
              </w:rPr>
              <w:t>Green</w:t>
            </w:r>
          </w:p>
          <w:p w:rsidR="007B789A" w:rsidRPr="00410C7E" w:rsidRDefault="007B789A" w:rsidP="000D733F">
            <w:pPr>
              <w:pStyle w:val="TableTextEntries"/>
              <w:jc w:val="center"/>
              <w:rPr>
                <w:color w:val="9BBB59" w:themeColor="accent3"/>
              </w:rPr>
            </w:pPr>
          </w:p>
        </w:tc>
      </w:tr>
      <w:tr w:rsidR="004B4934" w:rsidRPr="009D53C4" w:rsidTr="007B789A">
        <w:trPr>
          <w:cnfStyle w:val="000000010000" w:firstRow="0" w:lastRow="0" w:firstColumn="0" w:lastColumn="0" w:oddVBand="0" w:evenVBand="0" w:oddHBand="0" w:evenHBand="1" w:firstRowFirstColumn="0" w:firstRowLastColumn="0" w:lastRowFirstColumn="0" w:lastRowLastColumn="0"/>
        </w:trPr>
        <w:tc>
          <w:tcPr>
            <w:tcW w:w="6192" w:type="dxa"/>
          </w:tcPr>
          <w:p w:rsidR="004B4934" w:rsidRPr="00687B2F" w:rsidRDefault="004B4934" w:rsidP="002A4A85">
            <w:pPr>
              <w:pStyle w:val="BodyText"/>
              <w:keepNext/>
              <w:spacing w:before="40" w:after="40"/>
              <w:rPr>
                <w:sz w:val="17"/>
                <w:szCs w:val="17"/>
              </w:rPr>
            </w:pPr>
            <w:r>
              <w:rPr>
                <w:sz w:val="17"/>
                <w:szCs w:val="17"/>
              </w:rPr>
              <w:t>To enable Samoa to have safer communities, better access to justice and integration between the customary and formal justice systems</w:t>
            </w:r>
          </w:p>
        </w:tc>
        <w:tc>
          <w:tcPr>
            <w:tcW w:w="998" w:type="dxa"/>
            <w:shd w:val="clear" w:color="auto" w:fill="E36C0A" w:themeFill="accent6" w:themeFillShade="BF"/>
            <w:noWrap/>
          </w:tcPr>
          <w:p w:rsidR="004B4934" w:rsidRPr="00443639" w:rsidRDefault="002578C6" w:rsidP="000D733F">
            <w:pPr>
              <w:pStyle w:val="TableTextEntries"/>
              <w:jc w:val="center"/>
              <w:rPr>
                <w:color w:val="FFFFFF" w:themeColor="background1"/>
              </w:rPr>
            </w:pPr>
            <w:r>
              <w:rPr>
                <w:color w:val="FFFFFF" w:themeColor="background1"/>
              </w:rPr>
              <w:t>Amber</w:t>
            </w:r>
          </w:p>
        </w:tc>
        <w:tc>
          <w:tcPr>
            <w:tcW w:w="398" w:type="dxa"/>
          </w:tcPr>
          <w:p w:rsidR="004B4934" w:rsidRPr="00443639" w:rsidRDefault="004B4934" w:rsidP="000D733F">
            <w:pPr>
              <w:pStyle w:val="TableTextEntries"/>
              <w:jc w:val="center"/>
              <w:rPr>
                <w:color w:val="FFFFFF" w:themeColor="background1"/>
              </w:rPr>
            </w:pPr>
          </w:p>
        </w:tc>
        <w:tc>
          <w:tcPr>
            <w:tcW w:w="1049" w:type="dxa"/>
            <w:shd w:val="clear" w:color="auto" w:fill="76923C" w:themeFill="accent3" w:themeFillShade="BF"/>
            <w:noWrap/>
          </w:tcPr>
          <w:p w:rsidR="004B4934" w:rsidRPr="007B789A" w:rsidRDefault="007B789A" w:rsidP="000D733F">
            <w:pPr>
              <w:pStyle w:val="TableTextEntries"/>
              <w:jc w:val="center"/>
              <w:rPr>
                <w:color w:val="FFFFFF" w:themeColor="background1"/>
              </w:rPr>
            </w:pPr>
            <w:r w:rsidRPr="007B789A">
              <w:rPr>
                <w:color w:val="FFFFFF" w:themeColor="background1"/>
              </w:rPr>
              <w:t>Green</w:t>
            </w:r>
          </w:p>
        </w:tc>
      </w:tr>
    </w:tbl>
    <w:p w:rsidR="000D733F" w:rsidRPr="00180B19" w:rsidRDefault="000D733F" w:rsidP="00582C22">
      <w:pPr>
        <w:pStyle w:val="Note"/>
      </w:pPr>
      <w:r w:rsidRPr="00180B19">
        <w:t xml:space="preserve">Note: </w:t>
      </w:r>
    </w:p>
    <w:p w:rsidR="000D733F" w:rsidRPr="00180B19" w:rsidRDefault="000D733F" w:rsidP="00582C22">
      <w:pPr>
        <w:pStyle w:val="Note"/>
      </w:pPr>
      <w:r w:rsidRPr="00E74404">
        <w:rPr>
          <w:color w:val="72AF2F"/>
        </w:rPr>
        <w:sym w:font="Webdings" w:char="F067"/>
      </w:r>
      <w:r w:rsidRPr="00180B19">
        <w:t> </w:t>
      </w:r>
      <w:r w:rsidRPr="00180B19">
        <w:t xml:space="preserve"> </w:t>
      </w:r>
      <w:r>
        <w:t xml:space="preserve">Green. </w:t>
      </w:r>
      <w:r w:rsidRPr="00180B19">
        <w:t xml:space="preserve">Progress is as expected </w:t>
      </w:r>
      <w:r w:rsidR="00581979">
        <w:t xml:space="preserve">at this stage of implementation </w:t>
      </w:r>
      <w:r w:rsidRPr="00180B19">
        <w:t>and it is likely that the objective will be achieved. Standard program management practices are sufficient.</w:t>
      </w:r>
    </w:p>
    <w:p w:rsidR="000D733F" w:rsidRPr="00180B19" w:rsidRDefault="000D733F" w:rsidP="00582C22">
      <w:pPr>
        <w:pStyle w:val="Note"/>
      </w:pPr>
      <w:r w:rsidRPr="00E74404">
        <w:rPr>
          <w:color w:val="E36C0A"/>
        </w:rPr>
        <w:sym w:font="Webdings" w:char="F067"/>
      </w:r>
      <w:r w:rsidRPr="00180B19">
        <w:t> </w:t>
      </w:r>
      <w:r w:rsidRPr="00180B19">
        <w:t xml:space="preserve"> </w:t>
      </w:r>
      <w:r>
        <w:t xml:space="preserve">Amber. </w:t>
      </w:r>
      <w:r w:rsidRPr="00180B19">
        <w:t xml:space="preserve">Progress is somewhat less than expected </w:t>
      </w:r>
      <w:r w:rsidR="00581979">
        <w:t xml:space="preserve">at this stage of implementation </w:t>
      </w:r>
      <w:r w:rsidRPr="00180B19">
        <w:t>and restorative action will be necessary if the objective is to be achieved. Close performance monitoring is recommended.</w:t>
      </w:r>
    </w:p>
    <w:p w:rsidR="000D733F" w:rsidRDefault="000D733F" w:rsidP="00582C22">
      <w:pPr>
        <w:pStyle w:val="Note"/>
      </w:pPr>
      <w:r w:rsidRPr="004C4A3E">
        <w:rPr>
          <w:color w:val="FF0000"/>
        </w:rPr>
        <w:sym w:font="Webdings" w:char="F067"/>
      </w:r>
      <w:r w:rsidRPr="00180B19">
        <w:t> </w:t>
      </w:r>
      <w:r w:rsidRPr="00180B19">
        <w:t xml:space="preserve"> </w:t>
      </w:r>
      <w:r>
        <w:t xml:space="preserve">Red. </w:t>
      </w:r>
      <w:r w:rsidRPr="00180B19">
        <w:t xml:space="preserve">Progress is significantly less than expected </w:t>
      </w:r>
      <w:r w:rsidR="00581979">
        <w:t xml:space="preserve">at this stage of implementation </w:t>
      </w:r>
      <w:r w:rsidRPr="00180B19">
        <w:t>and the objective is not likely to be met given available resources and priorities. Recasting the objective may be required.</w:t>
      </w:r>
    </w:p>
    <w:p w:rsidR="000D733F" w:rsidRDefault="000D733F" w:rsidP="00582C22">
      <w:pPr>
        <w:pStyle w:val="Note"/>
      </w:pPr>
      <w:r>
        <w:t xml:space="preserve">Reporting period: </w:t>
      </w:r>
      <w:r w:rsidRPr="00180B19">
        <w:t xml:space="preserve"> </w:t>
      </w:r>
    </w:p>
    <w:p w:rsidR="001E3B7A" w:rsidRPr="002311BD" w:rsidRDefault="001E3B7A" w:rsidP="001E3B7A">
      <w:pPr>
        <w:pStyle w:val="ListBullet"/>
        <w:numPr>
          <w:ilvl w:val="0"/>
          <w:numId w:val="0"/>
        </w:numPr>
        <w:rPr>
          <w:b/>
        </w:rPr>
      </w:pPr>
      <w:r w:rsidRPr="002311BD">
        <w:rPr>
          <w:b/>
        </w:rPr>
        <w:t>Objective 1: Support Samoa’s ambition to achieve and move beyond MDG targets to address better quality and more equitable education for all</w:t>
      </w:r>
    </w:p>
    <w:p w:rsidR="001E3B7A" w:rsidRDefault="0013302E" w:rsidP="001905FA">
      <w:pPr>
        <w:pStyle w:val="ListBullet"/>
        <w:numPr>
          <w:ilvl w:val="0"/>
          <w:numId w:val="0"/>
        </w:numPr>
        <w:tabs>
          <w:tab w:val="clear" w:pos="284"/>
        </w:tabs>
        <w:spacing w:before="120" w:line="240" w:lineRule="auto"/>
      </w:pPr>
      <w:r>
        <w:t>We achieved</w:t>
      </w:r>
      <w:r w:rsidR="00087160" w:rsidRPr="00087160">
        <w:t xml:space="preserve"> good progress on outputs and improvements in access to education during the reporting period, however </w:t>
      </w:r>
      <w:r w:rsidR="00087160">
        <w:t xml:space="preserve">improvement to the quality of education was less than expected. </w:t>
      </w:r>
      <w:r w:rsidR="00C055E3">
        <w:t>The main initiatives supported during this period were the Education Support Program II (ESPII) which was completed in December 2014 and evaluated during the reporting period, the Samoa Inclusive Education Demonstration Program, Technical Vocational Education and Training (TVET)</w:t>
      </w:r>
      <w:r w:rsidR="008F72D8">
        <w:t xml:space="preserve"> II and scholarships provided through the Australia Awards program. These bilateral programs were </w:t>
      </w:r>
      <w:r w:rsidR="00C055E3">
        <w:t>comple</w:t>
      </w:r>
      <w:r w:rsidR="008F72D8">
        <w:t>ment</w:t>
      </w:r>
      <w:r w:rsidR="00C055E3">
        <w:t xml:space="preserve">ed by </w:t>
      </w:r>
      <w:r w:rsidR="00FA1BD5">
        <w:t xml:space="preserve">two </w:t>
      </w:r>
      <w:r w:rsidR="00C055E3">
        <w:t>regional programs</w:t>
      </w:r>
      <w:r w:rsidR="00477283">
        <w:t>:</w:t>
      </w:r>
      <w:r w:rsidR="00C055E3">
        <w:t xml:space="preserve"> the Australia Pacific Technical College (APTC) and Pacific Benchmarking for Education Results (PABER).  </w:t>
      </w:r>
    </w:p>
    <w:p w:rsidR="002252D4" w:rsidRDefault="002252D4" w:rsidP="001905FA">
      <w:pPr>
        <w:spacing w:before="120" w:after="120"/>
        <w:ind w:left="68" w:hanging="68"/>
        <w:rPr>
          <w:rFonts w:ascii="Franklin Gothic Book" w:hAnsi="Franklin Gothic Book"/>
          <w:sz w:val="21"/>
          <w:szCs w:val="21"/>
        </w:rPr>
      </w:pPr>
    </w:p>
    <w:p w:rsidR="008F72D8" w:rsidRPr="008F72D8" w:rsidRDefault="008F72D8" w:rsidP="001905FA">
      <w:pPr>
        <w:spacing w:before="120" w:after="120"/>
        <w:ind w:left="68" w:hanging="68"/>
        <w:rPr>
          <w:rFonts w:ascii="Franklin Gothic Book" w:hAnsi="Franklin Gothic Book"/>
          <w:sz w:val="21"/>
          <w:szCs w:val="21"/>
        </w:rPr>
      </w:pPr>
      <w:r w:rsidRPr="008F72D8">
        <w:rPr>
          <w:rFonts w:ascii="Franklin Gothic Book" w:hAnsi="Franklin Gothic Book"/>
          <w:sz w:val="21"/>
          <w:szCs w:val="21"/>
        </w:rPr>
        <w:lastRenderedPageBreak/>
        <w:t>Key achievements supported by Australia during 2014</w:t>
      </w:r>
      <w:r w:rsidR="009A4A63">
        <w:rPr>
          <w:rFonts w:ascii="Franklin Gothic Book" w:hAnsi="Franklin Gothic Book"/>
          <w:sz w:val="21"/>
          <w:szCs w:val="21"/>
        </w:rPr>
        <w:t>–</w:t>
      </w:r>
      <w:r w:rsidRPr="008F72D8">
        <w:rPr>
          <w:rFonts w:ascii="Franklin Gothic Book" w:hAnsi="Franklin Gothic Book"/>
          <w:sz w:val="21"/>
          <w:szCs w:val="21"/>
        </w:rPr>
        <w:t>15, include:</w:t>
      </w:r>
    </w:p>
    <w:p w:rsidR="001E3B7A" w:rsidRPr="00E26E6C" w:rsidRDefault="00B640CC" w:rsidP="009A4A63">
      <w:pPr>
        <w:pStyle w:val="Subtitle"/>
        <w:numPr>
          <w:ilvl w:val="0"/>
          <w:numId w:val="20"/>
        </w:numPr>
        <w:spacing w:after="0"/>
        <w:ind w:left="777" w:hanging="357"/>
        <w:rPr>
          <w:rFonts w:ascii="Franklin Gothic Book" w:hAnsi="Franklin Gothic Book"/>
          <w:color w:val="auto"/>
          <w:spacing w:val="0"/>
          <w:sz w:val="21"/>
        </w:rPr>
      </w:pPr>
      <w:r>
        <w:rPr>
          <w:rFonts w:ascii="Franklin Gothic Book" w:hAnsi="Franklin Gothic Book"/>
          <w:color w:val="auto"/>
          <w:spacing w:val="0"/>
          <w:sz w:val="21"/>
        </w:rPr>
        <w:t>r</w:t>
      </w:r>
      <w:r w:rsidR="00D5505D">
        <w:rPr>
          <w:rFonts w:ascii="Franklin Gothic Book" w:hAnsi="Franklin Gothic Book"/>
          <w:color w:val="auto"/>
          <w:spacing w:val="0"/>
          <w:sz w:val="21"/>
        </w:rPr>
        <w:t>eported n</w:t>
      </w:r>
      <w:r w:rsidR="00E53F77">
        <w:rPr>
          <w:rFonts w:ascii="Franklin Gothic Book" w:hAnsi="Franklin Gothic Book"/>
          <w:color w:val="auto"/>
          <w:spacing w:val="0"/>
          <w:sz w:val="21"/>
        </w:rPr>
        <w:t>ear universal attendance at schools</w:t>
      </w:r>
      <w:r w:rsidR="009A4A63">
        <w:rPr>
          <w:rFonts w:ascii="Franklin Gothic Book" w:hAnsi="Franklin Gothic Book"/>
          <w:color w:val="auto"/>
          <w:spacing w:val="0"/>
          <w:sz w:val="21"/>
        </w:rPr>
        <w:t>—</w:t>
      </w:r>
      <w:r w:rsidR="00CB4411">
        <w:rPr>
          <w:rFonts w:ascii="Franklin Gothic Book" w:hAnsi="Franklin Gothic Book"/>
          <w:color w:val="auto"/>
          <w:spacing w:val="0"/>
          <w:sz w:val="21"/>
        </w:rPr>
        <w:t>by supporting</w:t>
      </w:r>
      <w:r w:rsidR="00CB4411" w:rsidRPr="001B5733">
        <w:rPr>
          <w:rFonts w:ascii="Franklin Gothic Book" w:hAnsi="Franklin Gothic Book"/>
          <w:color w:val="auto"/>
          <w:spacing w:val="0"/>
          <w:sz w:val="21"/>
        </w:rPr>
        <w:t xml:space="preserve"> around 39,000 primary </w:t>
      </w:r>
      <w:r w:rsidR="00CB4411">
        <w:rPr>
          <w:rFonts w:ascii="Franklin Gothic Book" w:hAnsi="Franklin Gothic Book"/>
          <w:color w:val="auto"/>
          <w:spacing w:val="0"/>
          <w:sz w:val="21"/>
        </w:rPr>
        <w:t>students with school fee relief and providing 163</w:t>
      </w:r>
      <w:r w:rsidR="00E53F77">
        <w:rPr>
          <w:rFonts w:ascii="Franklin Gothic Book" w:hAnsi="Franklin Gothic Book"/>
          <w:color w:val="auto"/>
          <w:spacing w:val="0"/>
          <w:sz w:val="21"/>
        </w:rPr>
        <w:t xml:space="preserve"> </w:t>
      </w:r>
      <w:r w:rsidR="001E3B7A" w:rsidRPr="001B5733">
        <w:rPr>
          <w:rFonts w:ascii="Franklin Gothic Book" w:hAnsi="Franklin Gothic Book"/>
          <w:color w:val="auto"/>
          <w:spacing w:val="0"/>
          <w:sz w:val="21"/>
        </w:rPr>
        <w:t>school</w:t>
      </w:r>
      <w:r w:rsidR="009A4A63">
        <w:rPr>
          <w:rFonts w:ascii="Franklin Gothic Book" w:hAnsi="Franklin Gothic Book"/>
          <w:color w:val="auto"/>
          <w:spacing w:val="0"/>
          <w:sz w:val="21"/>
        </w:rPr>
        <w:t>s with learning resources</w:t>
      </w:r>
    </w:p>
    <w:p w:rsidR="001E3B7A" w:rsidRDefault="00B640CC" w:rsidP="009A4A63">
      <w:pPr>
        <w:pStyle w:val="Subtitle"/>
        <w:numPr>
          <w:ilvl w:val="0"/>
          <w:numId w:val="20"/>
        </w:numPr>
        <w:spacing w:before="0" w:after="0"/>
        <w:ind w:left="777" w:hanging="357"/>
        <w:rPr>
          <w:rFonts w:ascii="Franklin Gothic Book" w:hAnsi="Franklin Gothic Book"/>
          <w:color w:val="auto"/>
          <w:spacing w:val="0"/>
          <w:sz w:val="21"/>
        </w:rPr>
      </w:pPr>
      <w:r>
        <w:rPr>
          <w:rFonts w:ascii="Franklin Gothic Book" w:hAnsi="Franklin Gothic Book"/>
          <w:color w:val="auto"/>
          <w:spacing w:val="0"/>
          <w:sz w:val="21"/>
        </w:rPr>
        <w:t>i</w:t>
      </w:r>
      <w:r w:rsidR="001E3B7A" w:rsidRPr="001B5733">
        <w:rPr>
          <w:rFonts w:ascii="Franklin Gothic Book" w:hAnsi="Franklin Gothic Book"/>
          <w:color w:val="auto"/>
          <w:spacing w:val="0"/>
          <w:sz w:val="21"/>
        </w:rPr>
        <w:t>mprov</w:t>
      </w:r>
      <w:r w:rsidR="005A0430">
        <w:rPr>
          <w:rFonts w:ascii="Franklin Gothic Book" w:hAnsi="Franklin Gothic Book"/>
          <w:color w:val="auto"/>
          <w:spacing w:val="0"/>
          <w:sz w:val="21"/>
        </w:rPr>
        <w:t>ed</w:t>
      </w:r>
      <w:r w:rsidR="001E3B7A" w:rsidRPr="00E26E6C">
        <w:rPr>
          <w:rFonts w:ascii="Franklin Gothic Book" w:hAnsi="Franklin Gothic Book"/>
          <w:color w:val="auto"/>
          <w:spacing w:val="0"/>
          <w:sz w:val="21"/>
        </w:rPr>
        <w:t xml:space="preserve"> </w:t>
      </w:r>
      <w:r w:rsidR="001E3B7A" w:rsidRPr="001B5733">
        <w:rPr>
          <w:rFonts w:ascii="Franklin Gothic Book" w:hAnsi="Franklin Gothic Book"/>
          <w:color w:val="auto"/>
          <w:spacing w:val="0"/>
          <w:sz w:val="21"/>
        </w:rPr>
        <w:t xml:space="preserve">learning environments in </w:t>
      </w:r>
      <w:r w:rsidR="001E3B7A" w:rsidRPr="00E26E6C">
        <w:rPr>
          <w:rFonts w:ascii="Franklin Gothic Book" w:hAnsi="Franklin Gothic Book"/>
          <w:color w:val="auto"/>
          <w:spacing w:val="0"/>
          <w:sz w:val="21"/>
        </w:rPr>
        <w:t>39</w:t>
      </w:r>
      <w:r w:rsidR="001E3B7A">
        <w:rPr>
          <w:rFonts w:ascii="Franklin Gothic Book" w:hAnsi="Franklin Gothic Book"/>
          <w:color w:val="auto"/>
          <w:spacing w:val="0"/>
          <w:sz w:val="21"/>
        </w:rPr>
        <w:t xml:space="preserve"> schools through renovations and rebuilding of school classrooms through the ESP II a</w:t>
      </w:r>
      <w:r w:rsidR="001E3B7A" w:rsidRPr="001B5733">
        <w:rPr>
          <w:rFonts w:ascii="Franklin Gothic Book" w:hAnsi="Franklin Gothic Book"/>
          <w:color w:val="auto"/>
          <w:spacing w:val="0"/>
          <w:sz w:val="21"/>
        </w:rPr>
        <w:t>nd the Cyclone Recovery Program</w:t>
      </w:r>
      <w:r w:rsidR="001E3B7A">
        <w:rPr>
          <w:rFonts w:ascii="Franklin Gothic Book" w:hAnsi="Franklin Gothic Book"/>
          <w:color w:val="auto"/>
          <w:spacing w:val="0"/>
          <w:sz w:val="21"/>
        </w:rPr>
        <w:t>.</w:t>
      </w:r>
    </w:p>
    <w:p w:rsidR="001E3B7A" w:rsidRPr="00302052" w:rsidRDefault="00B640CC" w:rsidP="009A4A63">
      <w:pPr>
        <w:pStyle w:val="Subtitle"/>
        <w:numPr>
          <w:ilvl w:val="0"/>
          <w:numId w:val="20"/>
        </w:numPr>
        <w:spacing w:before="0" w:after="0"/>
        <w:ind w:left="777" w:hanging="357"/>
        <w:rPr>
          <w:rFonts w:ascii="Franklin Gothic Book" w:hAnsi="Franklin Gothic Book"/>
          <w:color w:val="auto"/>
          <w:spacing w:val="0"/>
          <w:sz w:val="21"/>
        </w:rPr>
      </w:pPr>
      <w:r>
        <w:rPr>
          <w:rFonts w:ascii="Franklin Gothic Book" w:hAnsi="Franklin Gothic Book"/>
          <w:color w:val="auto"/>
          <w:spacing w:val="0"/>
          <w:sz w:val="21"/>
        </w:rPr>
        <w:t>p</w:t>
      </w:r>
      <w:r w:rsidR="00CB4411">
        <w:rPr>
          <w:rFonts w:ascii="Franklin Gothic Book" w:hAnsi="Franklin Gothic Book"/>
          <w:color w:val="auto"/>
          <w:spacing w:val="0"/>
          <w:sz w:val="21"/>
        </w:rPr>
        <w:t>rovid</w:t>
      </w:r>
      <w:r w:rsidR="005A0430">
        <w:rPr>
          <w:rFonts w:ascii="Franklin Gothic Book" w:hAnsi="Franklin Gothic Book"/>
          <w:color w:val="auto"/>
          <w:spacing w:val="0"/>
          <w:sz w:val="21"/>
        </w:rPr>
        <w:t>ed</w:t>
      </w:r>
      <w:r w:rsidR="00CB4411">
        <w:rPr>
          <w:rFonts w:ascii="Franklin Gothic Book" w:hAnsi="Franklin Gothic Book"/>
          <w:color w:val="auto"/>
          <w:spacing w:val="0"/>
          <w:sz w:val="21"/>
        </w:rPr>
        <w:t xml:space="preserve"> access to </w:t>
      </w:r>
      <w:r w:rsidR="001E3B7A">
        <w:rPr>
          <w:rFonts w:ascii="Franklin Gothic Book" w:hAnsi="Franklin Gothic Book"/>
          <w:color w:val="auto"/>
          <w:spacing w:val="0"/>
          <w:sz w:val="21"/>
        </w:rPr>
        <w:t xml:space="preserve">around </w:t>
      </w:r>
      <w:r w:rsidR="001E3B7A" w:rsidRPr="00302052">
        <w:rPr>
          <w:rFonts w:ascii="Franklin Gothic Book" w:hAnsi="Franklin Gothic Book"/>
          <w:color w:val="auto"/>
          <w:spacing w:val="0"/>
          <w:sz w:val="21"/>
        </w:rPr>
        <w:t>580</w:t>
      </w:r>
      <w:r w:rsidR="001E3B7A" w:rsidRPr="001B5733">
        <w:rPr>
          <w:rFonts w:ascii="Franklin Gothic Book" w:hAnsi="Franklin Gothic Book"/>
          <w:color w:val="auto"/>
          <w:spacing w:val="0"/>
          <w:sz w:val="21"/>
        </w:rPr>
        <w:t xml:space="preserve"> children and young people with disabilities to attend mainstream and special schools</w:t>
      </w:r>
      <w:r w:rsidR="006C46B6">
        <w:rPr>
          <w:rFonts w:ascii="Franklin Gothic Book" w:hAnsi="Franklin Gothic Book"/>
          <w:color w:val="auto"/>
          <w:spacing w:val="0"/>
          <w:sz w:val="21"/>
        </w:rPr>
        <w:t>—</w:t>
      </w:r>
      <w:r w:rsidR="001E3B7A">
        <w:rPr>
          <w:rFonts w:ascii="Franklin Gothic Book" w:hAnsi="Franklin Gothic Book"/>
          <w:color w:val="auto"/>
          <w:spacing w:val="0"/>
          <w:sz w:val="21"/>
        </w:rPr>
        <w:t xml:space="preserve">the majority of whom would not have been able to attend school without </w:t>
      </w:r>
      <w:r w:rsidR="005D1763">
        <w:rPr>
          <w:rFonts w:ascii="Franklin Gothic Book" w:hAnsi="Franklin Gothic Book"/>
          <w:color w:val="auto"/>
          <w:spacing w:val="0"/>
          <w:sz w:val="21"/>
        </w:rPr>
        <w:t>our</w:t>
      </w:r>
      <w:r w:rsidR="001E3B7A">
        <w:rPr>
          <w:rFonts w:ascii="Franklin Gothic Book" w:hAnsi="Franklin Gothic Book"/>
          <w:color w:val="auto"/>
          <w:spacing w:val="0"/>
          <w:sz w:val="21"/>
        </w:rPr>
        <w:t xml:space="preserve"> </w:t>
      </w:r>
      <w:r w:rsidR="005D1763">
        <w:rPr>
          <w:rFonts w:ascii="Franklin Gothic Book" w:hAnsi="Franklin Gothic Book"/>
          <w:color w:val="auto"/>
          <w:spacing w:val="0"/>
          <w:sz w:val="21"/>
        </w:rPr>
        <w:t>support.</w:t>
      </w:r>
    </w:p>
    <w:p w:rsidR="001E3B7A" w:rsidRPr="00302052" w:rsidRDefault="00B640CC" w:rsidP="009A4A63">
      <w:pPr>
        <w:pStyle w:val="Subtitle"/>
        <w:numPr>
          <w:ilvl w:val="0"/>
          <w:numId w:val="20"/>
        </w:numPr>
        <w:spacing w:before="0" w:after="0"/>
        <w:ind w:left="777" w:hanging="357"/>
        <w:rPr>
          <w:rFonts w:ascii="Franklin Gothic Book" w:hAnsi="Franklin Gothic Book"/>
          <w:color w:val="auto"/>
          <w:spacing w:val="0"/>
          <w:sz w:val="21"/>
        </w:rPr>
      </w:pPr>
      <w:r>
        <w:rPr>
          <w:rFonts w:ascii="Franklin Gothic Book" w:hAnsi="Franklin Gothic Book"/>
          <w:color w:val="auto"/>
          <w:spacing w:val="0"/>
          <w:sz w:val="21"/>
        </w:rPr>
        <w:t>i</w:t>
      </w:r>
      <w:r w:rsidR="005D1763">
        <w:rPr>
          <w:rFonts w:ascii="Franklin Gothic Book" w:hAnsi="Franklin Gothic Book"/>
          <w:color w:val="auto"/>
          <w:spacing w:val="0"/>
          <w:sz w:val="21"/>
        </w:rPr>
        <w:t>mprov</w:t>
      </w:r>
      <w:r w:rsidR="005A0430">
        <w:rPr>
          <w:rFonts w:ascii="Franklin Gothic Book" w:hAnsi="Franklin Gothic Book"/>
          <w:color w:val="auto"/>
          <w:spacing w:val="0"/>
          <w:sz w:val="21"/>
        </w:rPr>
        <w:t>ed</w:t>
      </w:r>
      <w:r w:rsidR="001E3B7A">
        <w:rPr>
          <w:rFonts w:ascii="Franklin Gothic Book" w:hAnsi="Franklin Gothic Book"/>
          <w:color w:val="auto"/>
          <w:spacing w:val="0"/>
          <w:sz w:val="21"/>
        </w:rPr>
        <w:t xml:space="preserve"> the quality and delivery of Samoa’s </w:t>
      </w:r>
      <w:r w:rsidR="001E3B7A" w:rsidRPr="00302052">
        <w:rPr>
          <w:rFonts w:ascii="Franklin Gothic Book" w:hAnsi="Franklin Gothic Book"/>
          <w:color w:val="auto"/>
          <w:spacing w:val="0"/>
          <w:sz w:val="21"/>
        </w:rPr>
        <w:t>Post School Education and Training (PSET) courses</w:t>
      </w:r>
      <w:r w:rsidR="001E3B7A">
        <w:rPr>
          <w:rFonts w:ascii="Franklin Gothic Book" w:hAnsi="Franklin Gothic Book"/>
          <w:color w:val="auto"/>
          <w:spacing w:val="0"/>
          <w:sz w:val="21"/>
        </w:rPr>
        <w:t xml:space="preserve"> by supporting</w:t>
      </w:r>
      <w:r w:rsidR="001E3B7A" w:rsidRPr="00302052">
        <w:rPr>
          <w:rFonts w:ascii="Franklin Gothic Book" w:hAnsi="Franklin Gothic Book"/>
          <w:color w:val="auto"/>
          <w:spacing w:val="0"/>
          <w:sz w:val="21"/>
        </w:rPr>
        <w:t xml:space="preserve"> </w:t>
      </w:r>
      <w:r w:rsidR="00E53F77">
        <w:rPr>
          <w:rFonts w:ascii="Franklin Gothic Book" w:hAnsi="Franklin Gothic Book"/>
          <w:color w:val="auto"/>
          <w:spacing w:val="0"/>
          <w:sz w:val="21"/>
        </w:rPr>
        <w:t>41</w:t>
      </w:r>
      <w:r w:rsidR="008F72D8">
        <w:rPr>
          <w:rFonts w:ascii="Franklin Gothic Book" w:hAnsi="Franklin Gothic Book"/>
          <w:color w:val="auto"/>
          <w:spacing w:val="0"/>
          <w:sz w:val="21"/>
        </w:rPr>
        <w:t xml:space="preserve"> </w:t>
      </w:r>
      <w:r w:rsidR="001E3B7A" w:rsidRPr="00302052">
        <w:rPr>
          <w:rFonts w:ascii="Franklin Gothic Book" w:hAnsi="Franklin Gothic Book"/>
          <w:color w:val="auto"/>
          <w:spacing w:val="0"/>
          <w:sz w:val="21"/>
        </w:rPr>
        <w:t xml:space="preserve">PSET trainers to obtain </w:t>
      </w:r>
      <w:r w:rsidR="006C46B6" w:rsidRPr="00302052">
        <w:rPr>
          <w:rFonts w:ascii="Franklin Gothic Book" w:hAnsi="Franklin Gothic Book"/>
          <w:color w:val="auto"/>
          <w:spacing w:val="0"/>
          <w:sz w:val="21"/>
        </w:rPr>
        <w:t>Australian</w:t>
      </w:r>
      <w:r w:rsidR="006C46B6">
        <w:rPr>
          <w:rFonts w:ascii="Franklin Gothic Book" w:hAnsi="Franklin Gothic Book"/>
          <w:color w:val="auto"/>
          <w:spacing w:val="0"/>
          <w:sz w:val="21"/>
        </w:rPr>
        <w:t>-</w:t>
      </w:r>
      <w:r w:rsidR="002F58C6">
        <w:rPr>
          <w:rFonts w:ascii="Franklin Gothic Book" w:hAnsi="Franklin Gothic Book"/>
          <w:color w:val="auto"/>
          <w:spacing w:val="0"/>
          <w:sz w:val="21"/>
        </w:rPr>
        <w:t xml:space="preserve">certified </w:t>
      </w:r>
      <w:r w:rsidR="001E3B7A" w:rsidRPr="00302052">
        <w:rPr>
          <w:rFonts w:ascii="Franklin Gothic Book" w:hAnsi="Franklin Gothic Book"/>
          <w:color w:val="auto"/>
          <w:spacing w:val="0"/>
          <w:sz w:val="21"/>
        </w:rPr>
        <w:t>qualificat</w:t>
      </w:r>
      <w:r w:rsidR="001E3B7A">
        <w:rPr>
          <w:rFonts w:ascii="Franklin Gothic Book" w:hAnsi="Franklin Gothic Book"/>
          <w:color w:val="auto"/>
          <w:spacing w:val="0"/>
          <w:sz w:val="21"/>
        </w:rPr>
        <w:t>ions in training and assessment</w:t>
      </w:r>
      <w:r w:rsidR="001E3B7A" w:rsidRPr="00302052">
        <w:rPr>
          <w:rFonts w:ascii="Franklin Gothic Book" w:hAnsi="Franklin Gothic Book"/>
          <w:color w:val="auto"/>
          <w:spacing w:val="0"/>
          <w:sz w:val="21"/>
        </w:rPr>
        <w:t xml:space="preserve"> through the Australia Pacific Technical College (APTC)</w:t>
      </w:r>
      <w:r w:rsidR="008F72D8">
        <w:rPr>
          <w:rFonts w:ascii="Franklin Gothic Book" w:hAnsi="Franklin Gothic Book"/>
          <w:color w:val="auto"/>
          <w:spacing w:val="0"/>
          <w:sz w:val="21"/>
        </w:rPr>
        <w:t>.</w:t>
      </w:r>
    </w:p>
    <w:p w:rsidR="001E3B7A" w:rsidRDefault="00B640CC" w:rsidP="009A4A63">
      <w:pPr>
        <w:pStyle w:val="Subtitle"/>
        <w:numPr>
          <w:ilvl w:val="0"/>
          <w:numId w:val="20"/>
        </w:numPr>
        <w:spacing w:before="0" w:after="0"/>
        <w:ind w:left="777" w:hanging="357"/>
        <w:rPr>
          <w:rFonts w:ascii="Franklin Gothic Book" w:hAnsi="Franklin Gothic Book"/>
          <w:color w:val="auto"/>
          <w:spacing w:val="0"/>
          <w:sz w:val="21"/>
        </w:rPr>
      </w:pPr>
      <w:r>
        <w:rPr>
          <w:rFonts w:ascii="Franklin Gothic Book" w:hAnsi="Franklin Gothic Book"/>
          <w:color w:val="auto"/>
          <w:spacing w:val="0"/>
          <w:sz w:val="21"/>
        </w:rPr>
        <w:t>p</w:t>
      </w:r>
      <w:r w:rsidR="001E3B7A">
        <w:rPr>
          <w:rFonts w:ascii="Franklin Gothic Book" w:hAnsi="Franklin Gothic Book"/>
          <w:color w:val="auto"/>
          <w:spacing w:val="0"/>
          <w:sz w:val="21"/>
        </w:rPr>
        <w:t>rovid</w:t>
      </w:r>
      <w:r w:rsidR="005A0430">
        <w:rPr>
          <w:rFonts w:ascii="Franklin Gothic Book" w:hAnsi="Franklin Gothic Book"/>
          <w:color w:val="auto"/>
          <w:spacing w:val="0"/>
          <w:sz w:val="21"/>
        </w:rPr>
        <w:t>ed</w:t>
      </w:r>
      <w:r w:rsidR="001E3B7A" w:rsidRPr="00302052">
        <w:rPr>
          <w:rFonts w:ascii="Franklin Gothic Book" w:hAnsi="Franklin Gothic Book"/>
          <w:color w:val="auto"/>
          <w:spacing w:val="0"/>
          <w:sz w:val="21"/>
        </w:rPr>
        <w:t xml:space="preserve"> scholarships to </w:t>
      </w:r>
      <w:r w:rsidR="001E3B7A">
        <w:rPr>
          <w:rFonts w:ascii="Franklin Gothic Book" w:hAnsi="Franklin Gothic Book"/>
          <w:color w:val="auto"/>
          <w:spacing w:val="0"/>
          <w:sz w:val="21"/>
        </w:rPr>
        <w:t xml:space="preserve">disadvantaged </w:t>
      </w:r>
      <w:r w:rsidR="001E3B7A" w:rsidRPr="00302052">
        <w:rPr>
          <w:rFonts w:ascii="Franklin Gothic Book" w:hAnsi="Franklin Gothic Book"/>
          <w:color w:val="auto"/>
          <w:spacing w:val="0"/>
          <w:sz w:val="21"/>
        </w:rPr>
        <w:t xml:space="preserve">Samoan students to undertake PSET courses </w:t>
      </w:r>
      <w:r w:rsidR="001E3B7A">
        <w:rPr>
          <w:rFonts w:ascii="Franklin Gothic Book" w:hAnsi="Franklin Gothic Book"/>
          <w:color w:val="auto"/>
          <w:spacing w:val="0"/>
          <w:sz w:val="21"/>
        </w:rPr>
        <w:t>delivered by</w:t>
      </w:r>
      <w:r w:rsidR="001E3B7A" w:rsidRPr="00302052">
        <w:rPr>
          <w:rFonts w:ascii="Franklin Gothic Book" w:hAnsi="Franklin Gothic Book"/>
          <w:color w:val="auto"/>
          <w:spacing w:val="0"/>
          <w:sz w:val="21"/>
        </w:rPr>
        <w:t xml:space="preserve"> local providers (259 students) and the APTC (132). These include courses such as hospitality and construction which are vital to Samoa’s tourist industry.</w:t>
      </w:r>
    </w:p>
    <w:p w:rsidR="001E3B7A" w:rsidRPr="00446E93" w:rsidRDefault="00B640CC" w:rsidP="009A4A63">
      <w:pPr>
        <w:pStyle w:val="Subtitle"/>
        <w:numPr>
          <w:ilvl w:val="0"/>
          <w:numId w:val="20"/>
        </w:numPr>
        <w:spacing w:before="0" w:after="120"/>
      </w:pPr>
      <w:r>
        <w:rPr>
          <w:rFonts w:ascii="Franklin Gothic Book" w:hAnsi="Franklin Gothic Book"/>
          <w:color w:val="auto"/>
          <w:spacing w:val="0"/>
          <w:sz w:val="21"/>
        </w:rPr>
        <w:t>p</w:t>
      </w:r>
      <w:r w:rsidR="001E3B7A" w:rsidRPr="00446E93">
        <w:rPr>
          <w:rFonts w:ascii="Franklin Gothic Book" w:hAnsi="Franklin Gothic Book"/>
          <w:color w:val="auto"/>
          <w:spacing w:val="0"/>
          <w:sz w:val="21"/>
        </w:rPr>
        <w:t>rovid</w:t>
      </w:r>
      <w:r w:rsidR="005A0430">
        <w:rPr>
          <w:rFonts w:ascii="Franklin Gothic Book" w:hAnsi="Franklin Gothic Book"/>
          <w:color w:val="auto"/>
          <w:spacing w:val="0"/>
          <w:sz w:val="21"/>
        </w:rPr>
        <w:t>ed</w:t>
      </w:r>
      <w:r w:rsidR="001E3B7A" w:rsidRPr="00446E93">
        <w:rPr>
          <w:rFonts w:ascii="Franklin Gothic Book" w:hAnsi="Franklin Gothic Book"/>
          <w:color w:val="auto"/>
          <w:spacing w:val="0"/>
          <w:sz w:val="21"/>
        </w:rPr>
        <w:t xml:space="preserve"> scholarships to 50 Samoans </w:t>
      </w:r>
      <w:r w:rsidR="001E3B7A">
        <w:rPr>
          <w:rFonts w:ascii="Franklin Gothic Book" w:hAnsi="Franklin Gothic Book"/>
          <w:color w:val="auto"/>
          <w:spacing w:val="0"/>
          <w:sz w:val="21"/>
        </w:rPr>
        <w:t xml:space="preserve">to undertake study in Australia and the </w:t>
      </w:r>
      <w:r w:rsidR="006C46B6">
        <w:rPr>
          <w:rFonts w:ascii="Franklin Gothic Book" w:hAnsi="Franklin Gothic Book"/>
          <w:color w:val="auto"/>
          <w:spacing w:val="0"/>
          <w:sz w:val="21"/>
        </w:rPr>
        <w:t>r</w:t>
      </w:r>
      <w:r w:rsidR="001E3B7A">
        <w:rPr>
          <w:rFonts w:ascii="Franklin Gothic Book" w:hAnsi="Franklin Gothic Book"/>
          <w:color w:val="auto"/>
          <w:spacing w:val="0"/>
          <w:sz w:val="21"/>
        </w:rPr>
        <w:t xml:space="preserve">egion </w:t>
      </w:r>
      <w:r w:rsidR="001E3B7A" w:rsidRPr="00446E93">
        <w:rPr>
          <w:rFonts w:ascii="Franklin Gothic Book" w:hAnsi="Franklin Gothic Book"/>
          <w:color w:val="auto"/>
          <w:spacing w:val="0"/>
          <w:sz w:val="21"/>
        </w:rPr>
        <w:t xml:space="preserve">under the Australia Awards Program (40 long-term and 10 </w:t>
      </w:r>
      <w:r w:rsidR="001E3B7A">
        <w:rPr>
          <w:rFonts w:ascii="Franklin Gothic Book" w:hAnsi="Franklin Gothic Book"/>
          <w:color w:val="auto"/>
          <w:spacing w:val="0"/>
          <w:sz w:val="21"/>
        </w:rPr>
        <w:t>short-term).</w:t>
      </w:r>
    </w:p>
    <w:p w:rsidR="002F58C6" w:rsidRDefault="008F72D8" w:rsidP="001905FA">
      <w:pPr>
        <w:pStyle w:val="ListBullet"/>
        <w:numPr>
          <w:ilvl w:val="0"/>
          <w:numId w:val="0"/>
        </w:numPr>
        <w:tabs>
          <w:tab w:val="clear" w:pos="284"/>
        </w:tabs>
        <w:spacing w:before="120" w:line="240" w:lineRule="auto"/>
      </w:pPr>
      <w:r>
        <w:t xml:space="preserve">Australia, New Zealand, the </w:t>
      </w:r>
      <w:r w:rsidR="00B640CC">
        <w:t>ADB</w:t>
      </w:r>
      <w:r>
        <w:t xml:space="preserve"> and Samoa’s collective investments in education through ESP</w:t>
      </w:r>
      <w:r w:rsidR="007B6401">
        <w:t> </w:t>
      </w:r>
      <w:r>
        <w:t xml:space="preserve">II helped </w:t>
      </w:r>
      <w:r w:rsidRPr="002311BD">
        <w:t>improv</w:t>
      </w:r>
      <w:r w:rsidR="00B640CC">
        <w:t>e</w:t>
      </w:r>
      <w:r w:rsidRPr="002311BD">
        <w:t xml:space="preserve"> </w:t>
      </w:r>
      <w:r>
        <w:t>the</w:t>
      </w:r>
      <w:r w:rsidRPr="002311BD">
        <w:t xml:space="preserve"> education system </w:t>
      </w:r>
      <w:r>
        <w:t xml:space="preserve">and </w:t>
      </w:r>
      <w:r w:rsidRPr="002311BD">
        <w:t xml:space="preserve">the quality of education </w:t>
      </w:r>
      <w:r>
        <w:t>delivered</w:t>
      </w:r>
      <w:r w:rsidRPr="002311BD">
        <w:t xml:space="preserve">. </w:t>
      </w:r>
      <w:r>
        <w:t>An independent evaluation of the program confirmed key achievements as near to universal primary school access</w:t>
      </w:r>
      <w:r w:rsidR="00C45FC6">
        <w:t xml:space="preserve"> and</w:t>
      </w:r>
      <w:r>
        <w:t xml:space="preserve"> new curriculum and assessment systems in place with training delivered to around 1000 teachers on the new curriculum. </w:t>
      </w:r>
      <w:r w:rsidR="002F58C6">
        <w:rPr>
          <w:kern w:val="28"/>
          <w:szCs w:val="28"/>
        </w:rPr>
        <w:t>Nevertheless</w:t>
      </w:r>
      <w:r w:rsidR="00C45FC6">
        <w:rPr>
          <w:kern w:val="28"/>
          <w:szCs w:val="28"/>
        </w:rPr>
        <w:t>,</w:t>
      </w:r>
      <w:r w:rsidR="002F58C6">
        <w:rPr>
          <w:kern w:val="28"/>
          <w:szCs w:val="28"/>
        </w:rPr>
        <w:t xml:space="preserve"> s</w:t>
      </w:r>
      <w:r w:rsidR="002F58C6" w:rsidRPr="001B5733">
        <w:rPr>
          <w:kern w:val="28"/>
          <w:szCs w:val="28"/>
        </w:rPr>
        <w:t xml:space="preserve">low implementation </w:t>
      </w:r>
      <w:r w:rsidR="002F58C6">
        <w:rPr>
          <w:kern w:val="28"/>
          <w:szCs w:val="28"/>
        </w:rPr>
        <w:t xml:space="preserve">by the Ministry of Education, Sports and Culture has also </w:t>
      </w:r>
      <w:r w:rsidR="002F58C6" w:rsidRPr="001B5733">
        <w:rPr>
          <w:kern w:val="28"/>
          <w:szCs w:val="28"/>
        </w:rPr>
        <w:t xml:space="preserve">impacted on Samoa’s ability to </w:t>
      </w:r>
      <w:r w:rsidR="002F58C6">
        <w:rPr>
          <w:kern w:val="28"/>
          <w:szCs w:val="28"/>
        </w:rPr>
        <w:t xml:space="preserve">fully utilise funds available under ESP II and </w:t>
      </w:r>
      <w:r w:rsidR="002F58C6" w:rsidRPr="002311BD">
        <w:t xml:space="preserve">quality of reporting </w:t>
      </w:r>
      <w:r w:rsidR="00FA1BD5">
        <w:t xml:space="preserve">results </w:t>
      </w:r>
      <w:r w:rsidR="002F58C6">
        <w:t>remains</w:t>
      </w:r>
      <w:r w:rsidR="002F58C6" w:rsidRPr="002311BD">
        <w:t xml:space="preserve"> a challenge. </w:t>
      </w:r>
      <w:r w:rsidR="002F58C6" w:rsidRPr="001B5733">
        <w:rPr>
          <w:kern w:val="28"/>
          <w:szCs w:val="28"/>
        </w:rPr>
        <w:t>DFAT engage</w:t>
      </w:r>
      <w:r w:rsidR="00D006D4">
        <w:rPr>
          <w:kern w:val="28"/>
          <w:szCs w:val="28"/>
        </w:rPr>
        <w:t>d</w:t>
      </w:r>
      <w:r w:rsidR="002F58C6" w:rsidRPr="001B5733">
        <w:rPr>
          <w:kern w:val="28"/>
          <w:szCs w:val="28"/>
        </w:rPr>
        <w:t xml:space="preserve"> actively in policy dialogue with the </w:t>
      </w:r>
      <w:r w:rsidR="002F58C6">
        <w:rPr>
          <w:kern w:val="28"/>
          <w:szCs w:val="28"/>
        </w:rPr>
        <w:t>e</w:t>
      </w:r>
      <w:r w:rsidR="002F58C6" w:rsidRPr="001B5733">
        <w:rPr>
          <w:kern w:val="28"/>
          <w:szCs w:val="28"/>
        </w:rPr>
        <w:t xml:space="preserve">ducation </w:t>
      </w:r>
      <w:r w:rsidR="002F58C6">
        <w:rPr>
          <w:kern w:val="28"/>
          <w:szCs w:val="28"/>
        </w:rPr>
        <w:t>s</w:t>
      </w:r>
      <w:r w:rsidR="002F58C6" w:rsidRPr="001B5733">
        <w:rPr>
          <w:kern w:val="28"/>
          <w:szCs w:val="28"/>
        </w:rPr>
        <w:t xml:space="preserve">ector </w:t>
      </w:r>
      <w:r w:rsidR="002F58C6">
        <w:rPr>
          <w:kern w:val="28"/>
          <w:szCs w:val="28"/>
        </w:rPr>
        <w:t>to address these issues.</w:t>
      </w:r>
      <w:r w:rsidR="002F58C6">
        <w:t xml:space="preserve">  </w:t>
      </w:r>
    </w:p>
    <w:p w:rsidR="001E3B7A" w:rsidRDefault="001E0B1B" w:rsidP="001905FA">
      <w:pPr>
        <w:pStyle w:val="ListBullet"/>
        <w:numPr>
          <w:ilvl w:val="0"/>
          <w:numId w:val="0"/>
        </w:numPr>
        <w:tabs>
          <w:tab w:val="clear" w:pos="284"/>
        </w:tabs>
        <w:spacing w:before="120" w:line="240" w:lineRule="auto"/>
      </w:pPr>
      <w:r>
        <w:t xml:space="preserve">A strong mutual commitment to improving the quality of education has seen some important reforms </w:t>
      </w:r>
      <w:r w:rsidR="00FA1BD5">
        <w:t>implemented</w:t>
      </w:r>
      <w:r>
        <w:t xml:space="preserve">. </w:t>
      </w:r>
      <w:r w:rsidR="008E7B08">
        <w:t>We provided</w:t>
      </w:r>
      <w:r w:rsidR="001E3B7A">
        <w:t xml:space="preserve"> technical advice on Samoa’s draft T</w:t>
      </w:r>
      <w:r w:rsidR="001E3B7A" w:rsidRPr="001B5733">
        <w:t>eachers Bill</w:t>
      </w:r>
      <w:r w:rsidR="001E3B7A">
        <w:t xml:space="preserve"> </w:t>
      </w:r>
      <w:r w:rsidR="007B2912">
        <w:t>to</w:t>
      </w:r>
      <w:r w:rsidR="001E3B7A">
        <w:t xml:space="preserve"> </w:t>
      </w:r>
      <w:r w:rsidR="00FA1BD5">
        <w:t xml:space="preserve">further </w:t>
      </w:r>
      <w:r w:rsidR="00B640CC">
        <w:t xml:space="preserve">professionalise </w:t>
      </w:r>
      <w:r w:rsidR="00FA1BD5">
        <w:t>teacher</w:t>
      </w:r>
      <w:r w:rsidR="007B2912">
        <w:t>s</w:t>
      </w:r>
      <w:r w:rsidR="001E3B7A">
        <w:t xml:space="preserve"> and improve </w:t>
      </w:r>
      <w:r w:rsidR="007B2912">
        <w:t xml:space="preserve">their </w:t>
      </w:r>
      <w:r w:rsidR="001E3B7A">
        <w:t>remuneration</w:t>
      </w:r>
      <w:r w:rsidR="008E7B08">
        <w:t xml:space="preserve">; on an </w:t>
      </w:r>
      <w:r w:rsidR="001E3B7A" w:rsidRPr="001B5733">
        <w:t>Inclusive Education policy</w:t>
      </w:r>
      <w:r w:rsidR="001E3B7A">
        <w:t xml:space="preserve"> to further increase educational opportunities and access for children with a disability</w:t>
      </w:r>
      <w:r w:rsidR="00E775C9">
        <w:t>;</w:t>
      </w:r>
      <w:r w:rsidR="008E7B08">
        <w:t xml:space="preserve"> and </w:t>
      </w:r>
      <w:r w:rsidR="00E53F77">
        <w:t>reform of Samoa’s apprenticeship system</w:t>
      </w:r>
      <w:r w:rsidR="001E3B7A">
        <w:t xml:space="preserve">. </w:t>
      </w:r>
      <w:r w:rsidR="007B2912">
        <w:t>W</w:t>
      </w:r>
      <w:r w:rsidR="001E3B7A">
        <w:t>e provided budgetary and in-kind r</w:t>
      </w:r>
      <w:r w:rsidR="001E3B7A" w:rsidRPr="002311BD">
        <w:t>esourcing</w:t>
      </w:r>
      <w:r w:rsidR="001E3B7A">
        <w:t xml:space="preserve"> to</w:t>
      </w:r>
      <w:r w:rsidR="001E3B7A" w:rsidRPr="002311BD">
        <w:t xml:space="preserve"> </w:t>
      </w:r>
      <w:r w:rsidR="001E3B7A">
        <w:t>strengthen budget and finance, policy planning, procurement and monitoring and evaluation</w:t>
      </w:r>
      <w:r w:rsidR="008E7B08">
        <w:t xml:space="preserve"> in the </w:t>
      </w:r>
      <w:r w:rsidR="006C46B6">
        <w:t>s</w:t>
      </w:r>
      <w:r w:rsidR="008E7B08">
        <w:t>ector</w:t>
      </w:r>
      <w:r w:rsidR="001E3B7A">
        <w:t xml:space="preserve">. </w:t>
      </w:r>
    </w:p>
    <w:p w:rsidR="008F72D8" w:rsidRDefault="001E3B7A" w:rsidP="001905FA">
      <w:pPr>
        <w:pStyle w:val="ListBullet"/>
        <w:numPr>
          <w:ilvl w:val="0"/>
          <w:numId w:val="0"/>
        </w:numPr>
        <w:tabs>
          <w:tab w:val="clear" w:pos="284"/>
        </w:tabs>
        <w:spacing w:before="120" w:line="240" w:lineRule="auto"/>
      </w:pPr>
      <w:r>
        <w:t>Despite good progress on these fronts</w:t>
      </w:r>
      <w:r w:rsidR="00892F89">
        <w:t>,</w:t>
      </w:r>
      <w:r w:rsidR="002F58C6">
        <w:t xml:space="preserve"> improving the quality of education is a long</w:t>
      </w:r>
      <w:r w:rsidR="00386243">
        <w:t>-</w:t>
      </w:r>
      <w:r w:rsidR="002F58C6">
        <w:t xml:space="preserve">term endeavour and data suggests that literacy and numeracy standards remain </w:t>
      </w:r>
      <w:r w:rsidR="00FA1BD5">
        <w:t xml:space="preserve">in need of </w:t>
      </w:r>
      <w:r w:rsidR="002F58C6">
        <w:t xml:space="preserve">improvement. </w:t>
      </w:r>
      <w:r w:rsidR="00C45FC6">
        <w:t>The</w:t>
      </w:r>
      <w:r w:rsidR="008343CF">
        <w:t xml:space="preserve"> </w:t>
      </w:r>
      <w:r w:rsidR="00C45FC6">
        <w:t>2014 n</w:t>
      </w:r>
      <w:r w:rsidR="002F58C6">
        <w:t>ational assessments</w:t>
      </w:r>
      <w:r w:rsidR="00C45FC6">
        <w:t xml:space="preserve"> </w:t>
      </w:r>
      <w:r w:rsidR="007B2912">
        <w:t>showed</w:t>
      </w:r>
      <w:r w:rsidRPr="002311BD">
        <w:t xml:space="preserve"> </w:t>
      </w:r>
      <w:r>
        <w:t>little</w:t>
      </w:r>
      <w:r w:rsidRPr="002311BD">
        <w:t xml:space="preserve"> </w:t>
      </w:r>
      <w:r w:rsidR="00FA1BD5">
        <w:t>improvement</w:t>
      </w:r>
      <w:r w:rsidRPr="002311BD">
        <w:t xml:space="preserve"> in literacy and numeracy over 2012 figures, </w:t>
      </w:r>
      <w:r w:rsidR="008343CF">
        <w:t>with</w:t>
      </w:r>
      <w:r w:rsidRPr="002311BD">
        <w:t xml:space="preserve"> girls out</w:t>
      </w:r>
      <w:r>
        <w:t>-</w:t>
      </w:r>
      <w:r w:rsidRPr="002311BD">
        <w:t>performing boys in primary and secondary schools</w:t>
      </w:r>
      <w:r w:rsidR="00323111">
        <w:rPr>
          <w:rStyle w:val="FootnoteReference"/>
        </w:rPr>
        <w:footnoteReference w:id="7"/>
      </w:r>
      <w:r w:rsidR="002F58C6">
        <w:t xml:space="preserve">.  </w:t>
      </w:r>
    </w:p>
    <w:p w:rsidR="001E3B7A" w:rsidRDefault="00FA1BD5" w:rsidP="001905FA">
      <w:pPr>
        <w:pStyle w:val="ListBullet"/>
        <w:numPr>
          <w:ilvl w:val="0"/>
          <w:numId w:val="0"/>
        </w:numPr>
        <w:spacing w:before="120" w:line="240" w:lineRule="auto"/>
      </w:pPr>
      <w:r>
        <w:rPr>
          <w:kern w:val="28"/>
          <w:szCs w:val="28"/>
        </w:rPr>
        <w:t xml:space="preserve">Forty </w:t>
      </w:r>
      <w:r w:rsidR="008F72D8">
        <w:rPr>
          <w:kern w:val="28"/>
          <w:szCs w:val="28"/>
        </w:rPr>
        <w:t xml:space="preserve">new Australia Awards </w:t>
      </w:r>
      <w:r w:rsidR="00386243">
        <w:rPr>
          <w:kern w:val="28"/>
          <w:szCs w:val="28"/>
        </w:rPr>
        <w:t xml:space="preserve">scholarships </w:t>
      </w:r>
      <w:r w:rsidR="008F72D8">
        <w:rPr>
          <w:kern w:val="28"/>
          <w:szCs w:val="28"/>
        </w:rPr>
        <w:t>were provided for study commencing in 2015</w:t>
      </w:r>
      <w:r w:rsidR="00C5201A">
        <w:rPr>
          <w:kern w:val="28"/>
          <w:szCs w:val="28"/>
        </w:rPr>
        <w:t xml:space="preserve"> (19 male and 21 female)</w:t>
      </w:r>
      <w:r w:rsidR="007B2912">
        <w:rPr>
          <w:kern w:val="28"/>
          <w:szCs w:val="28"/>
        </w:rPr>
        <w:t>, bringing the</w:t>
      </w:r>
      <w:r w:rsidR="001E3B7A">
        <w:rPr>
          <w:kern w:val="28"/>
          <w:szCs w:val="28"/>
        </w:rPr>
        <w:t xml:space="preserve"> number of Samoan scholarship holders </w:t>
      </w:r>
      <w:r w:rsidR="002F58C6">
        <w:rPr>
          <w:kern w:val="28"/>
          <w:szCs w:val="28"/>
        </w:rPr>
        <w:t xml:space="preserve">studying in Australia, the region and by distance education </w:t>
      </w:r>
      <w:r w:rsidR="001E3B7A">
        <w:rPr>
          <w:kern w:val="28"/>
          <w:szCs w:val="28"/>
        </w:rPr>
        <w:t>to 1</w:t>
      </w:r>
      <w:r w:rsidR="00E53F77">
        <w:rPr>
          <w:kern w:val="28"/>
          <w:szCs w:val="28"/>
        </w:rPr>
        <w:t>43</w:t>
      </w:r>
      <w:r w:rsidR="008E7B08">
        <w:rPr>
          <w:kern w:val="28"/>
          <w:szCs w:val="28"/>
        </w:rPr>
        <w:t xml:space="preserve"> in 201</w:t>
      </w:r>
      <w:r w:rsidR="00E53F77">
        <w:rPr>
          <w:kern w:val="28"/>
          <w:szCs w:val="28"/>
        </w:rPr>
        <w:t>5</w:t>
      </w:r>
      <w:r w:rsidR="002F58C6">
        <w:rPr>
          <w:kern w:val="28"/>
          <w:szCs w:val="28"/>
        </w:rPr>
        <w:t xml:space="preserve">. </w:t>
      </w:r>
      <w:r w:rsidR="008F72D8">
        <w:rPr>
          <w:kern w:val="28"/>
          <w:szCs w:val="28"/>
        </w:rPr>
        <w:t>T</w:t>
      </w:r>
      <w:r w:rsidR="00C45FC6">
        <w:rPr>
          <w:kern w:val="28"/>
          <w:szCs w:val="28"/>
        </w:rPr>
        <w:t>his included t</w:t>
      </w:r>
      <w:r w:rsidR="008F72D8">
        <w:rPr>
          <w:kern w:val="28"/>
          <w:szCs w:val="28"/>
        </w:rPr>
        <w:t xml:space="preserve">he first cohort of 12 targeted Australia Awards to support critical work force shortages in health (allied) and education (maths and science teachers). This trial will inform future action to more closely align scholarships with Samoa’s workforce needs and priority objectives for Australia’s aid program to Samoa. </w:t>
      </w:r>
    </w:p>
    <w:p w:rsidR="001E3B7A" w:rsidRDefault="0004637C" w:rsidP="001905FA">
      <w:pPr>
        <w:pStyle w:val="ListBullet"/>
        <w:numPr>
          <w:ilvl w:val="0"/>
          <w:numId w:val="0"/>
        </w:numPr>
        <w:tabs>
          <w:tab w:val="clear" w:pos="284"/>
        </w:tabs>
        <w:spacing w:before="120" w:line="240" w:lineRule="auto"/>
      </w:pPr>
      <w:r>
        <w:t>T</w:t>
      </w:r>
      <w:r w:rsidR="001E3B7A">
        <w:t xml:space="preserve">he </w:t>
      </w:r>
      <w:r w:rsidR="001B128B">
        <w:t>Technical Vocational Education and Training (</w:t>
      </w:r>
      <w:r w:rsidR="001E3B7A">
        <w:t>TVET</w:t>
      </w:r>
      <w:r w:rsidR="001B128B">
        <w:t>)</w:t>
      </w:r>
      <w:r w:rsidR="001E3B7A">
        <w:t xml:space="preserve"> program </w:t>
      </w:r>
      <w:r w:rsidR="00E775C9">
        <w:t xml:space="preserve">supported the </w:t>
      </w:r>
      <w:r w:rsidR="008F72D8">
        <w:t>S</w:t>
      </w:r>
      <w:r w:rsidR="00386243">
        <w:t xml:space="preserve">amoan Qualifications Authority </w:t>
      </w:r>
      <w:r w:rsidR="008F72D8">
        <w:t xml:space="preserve">to survey </w:t>
      </w:r>
      <w:r w:rsidR="00E775C9">
        <w:t>potential employers</w:t>
      </w:r>
      <w:r w:rsidR="001E3B7A">
        <w:t xml:space="preserve"> </w:t>
      </w:r>
      <w:r w:rsidR="00E775C9">
        <w:t xml:space="preserve">to inform </w:t>
      </w:r>
      <w:r w:rsidR="00CD7853">
        <w:t xml:space="preserve">future </w:t>
      </w:r>
      <w:r w:rsidR="00E775C9">
        <w:t>PSET courses.</w:t>
      </w:r>
      <w:r w:rsidR="00CD7853">
        <w:t xml:space="preserve"> </w:t>
      </w:r>
      <w:r w:rsidR="00E775C9">
        <w:t>Six</w:t>
      </w:r>
      <w:r w:rsidR="001E3B7A">
        <w:t xml:space="preserve"> </w:t>
      </w:r>
      <w:r w:rsidR="00CD7853">
        <w:t xml:space="preserve">new </w:t>
      </w:r>
      <w:r w:rsidR="001E3B7A">
        <w:t xml:space="preserve">Samoa </w:t>
      </w:r>
      <w:r w:rsidR="00386243">
        <w:t>q</w:t>
      </w:r>
      <w:r w:rsidR="001E3B7A">
        <w:t>ualifications were registered with the Samoa Qualifications Framework</w:t>
      </w:r>
      <w:r w:rsidR="00CD7853">
        <w:t xml:space="preserve"> ensuring good quality and relevant PSET courses for Samoan students</w:t>
      </w:r>
      <w:r w:rsidR="001E3B7A">
        <w:t xml:space="preserve">.  </w:t>
      </w:r>
    </w:p>
    <w:p w:rsidR="00E775C9" w:rsidRDefault="008F72D8" w:rsidP="001905FA">
      <w:pPr>
        <w:pStyle w:val="ListBullet"/>
        <w:numPr>
          <w:ilvl w:val="0"/>
          <w:numId w:val="0"/>
        </w:numPr>
        <w:tabs>
          <w:tab w:val="clear" w:pos="284"/>
        </w:tabs>
        <w:spacing w:before="120" w:line="240" w:lineRule="auto"/>
      </w:pPr>
      <w:r>
        <w:t>This bilateral support was complemented by regional initiatives. For example</w:t>
      </w:r>
      <w:r w:rsidR="00386243">
        <w:t>,</w:t>
      </w:r>
      <w:r>
        <w:t xml:space="preserve"> th</w:t>
      </w:r>
      <w:r w:rsidR="008E7B08">
        <w:t xml:space="preserve">rough the </w:t>
      </w:r>
      <w:r w:rsidR="001E3B7A">
        <w:t xml:space="preserve">APTC two Samoan tutors were promoted to be Australian Qualified Trainers in Cookery and Fabrication; more than 20 graduates of the Certificate III in Allied Health </w:t>
      </w:r>
      <w:r w:rsidR="00892F89">
        <w:t>were</w:t>
      </w:r>
      <w:r w:rsidR="001E3B7A">
        <w:t xml:space="preserve"> accepted by the National University of Samoa into the Diploma of Nursing</w:t>
      </w:r>
      <w:r w:rsidR="00386243">
        <w:t>—</w:t>
      </w:r>
      <w:r w:rsidR="001E3B7A">
        <w:t xml:space="preserve">a pathway </w:t>
      </w:r>
      <w:r w:rsidR="00B640CC">
        <w:t xml:space="preserve">to </w:t>
      </w:r>
      <w:r w:rsidR="001E3B7A">
        <w:t xml:space="preserve">a formal education qualification. APTC </w:t>
      </w:r>
      <w:r w:rsidR="00892F89">
        <w:t xml:space="preserve">also </w:t>
      </w:r>
      <w:r w:rsidR="001E3B7A">
        <w:t xml:space="preserve">delivered training for the Samoa Tourism Authority to assist food stall holders in </w:t>
      </w:r>
      <w:r w:rsidR="00B640CC">
        <w:t>f</w:t>
      </w:r>
      <w:r w:rsidR="001E3B7A">
        <w:t xml:space="preserve">ood </w:t>
      </w:r>
      <w:r w:rsidR="00B640CC">
        <w:t>h</w:t>
      </w:r>
      <w:r w:rsidR="001E3B7A">
        <w:t xml:space="preserve">ygiene and </w:t>
      </w:r>
      <w:r w:rsidR="00B640CC">
        <w:t>p</w:t>
      </w:r>
      <w:r w:rsidR="001E3B7A">
        <w:t>reparations for the 2014 SIDS meeting.</w:t>
      </w:r>
    </w:p>
    <w:p w:rsidR="00865AEC" w:rsidRPr="001B5733" w:rsidRDefault="00652F96" w:rsidP="00652F96">
      <w:pPr>
        <w:pStyle w:val="ListBullet"/>
        <w:numPr>
          <w:ilvl w:val="0"/>
          <w:numId w:val="0"/>
        </w:numPr>
        <w:rPr>
          <w:b/>
        </w:rPr>
      </w:pPr>
      <w:r w:rsidRPr="001B5733">
        <w:rPr>
          <w:b/>
        </w:rPr>
        <w:t>Objective 2: Enable Samoa to provide better quality and more equitable health services to the people of Samoa</w:t>
      </w:r>
    </w:p>
    <w:p w:rsidR="002311BD" w:rsidRPr="001B5733" w:rsidRDefault="001B128B" w:rsidP="00550C12">
      <w:pPr>
        <w:pStyle w:val="ListBullet"/>
        <w:numPr>
          <w:ilvl w:val="0"/>
          <w:numId w:val="0"/>
        </w:numPr>
        <w:tabs>
          <w:tab w:val="clear" w:pos="284"/>
        </w:tabs>
        <w:spacing w:before="120" w:line="240" w:lineRule="auto"/>
      </w:pPr>
      <w:r>
        <w:t>T</w:t>
      </w:r>
      <w:r w:rsidRPr="001B5733">
        <w:t>he</w:t>
      </w:r>
      <w:r>
        <w:t xml:space="preserve"> Sector Wide Approach (SWAp) (a</w:t>
      </w:r>
      <w:r w:rsidRPr="001B5733">
        <w:t xml:space="preserve"> </w:t>
      </w:r>
      <w:r w:rsidR="00B640CC">
        <w:t>10</w:t>
      </w:r>
      <w:r>
        <w:t xml:space="preserve">-year </w:t>
      </w:r>
      <w:r w:rsidRPr="001B5733">
        <w:t>partnership with Samoa, New Zealand and the World Bank</w:t>
      </w:r>
      <w:r>
        <w:t xml:space="preserve">) was </w:t>
      </w:r>
      <w:r w:rsidRPr="001B5733">
        <w:t xml:space="preserve">Australia’s main investment in health in Samoa </w:t>
      </w:r>
      <w:r>
        <w:t>in 2014</w:t>
      </w:r>
      <w:r w:rsidR="00836943">
        <w:t>–</w:t>
      </w:r>
      <w:r>
        <w:t>15</w:t>
      </w:r>
      <w:r w:rsidRPr="001B5733">
        <w:t>.</w:t>
      </w:r>
      <w:r>
        <w:t xml:space="preserve"> </w:t>
      </w:r>
      <w:r w:rsidR="0013302E">
        <w:t>While</w:t>
      </w:r>
      <w:r w:rsidR="00D7660B">
        <w:t xml:space="preserve"> </w:t>
      </w:r>
      <w:r w:rsidR="00C75287">
        <w:t>progress unde</w:t>
      </w:r>
      <w:r>
        <w:t xml:space="preserve">r the </w:t>
      </w:r>
      <w:r>
        <w:lastRenderedPageBreak/>
        <w:t xml:space="preserve">SWAp </w:t>
      </w:r>
      <w:r w:rsidR="00C75287">
        <w:t>has improved since last year</w:t>
      </w:r>
      <w:r w:rsidR="00FA1BD5">
        <w:t>,</w:t>
      </w:r>
      <w:r w:rsidR="00C75287">
        <w:t xml:space="preserve"> progress has still not met our expectations</w:t>
      </w:r>
      <w:r w:rsidR="00771415">
        <w:t xml:space="preserve"> due to ongoing delays in implementation</w:t>
      </w:r>
      <w:r w:rsidR="001905FA">
        <w:t xml:space="preserve"> </w:t>
      </w:r>
      <w:r w:rsidR="00FA32B3">
        <w:t>(see below)</w:t>
      </w:r>
      <w:r w:rsidR="00771415">
        <w:t>.</w:t>
      </w:r>
    </w:p>
    <w:p w:rsidR="008F72D8" w:rsidRPr="008F72D8" w:rsidRDefault="008F72D8" w:rsidP="00550C12">
      <w:pPr>
        <w:spacing w:before="120" w:after="120"/>
        <w:ind w:left="68" w:hanging="68"/>
        <w:rPr>
          <w:rFonts w:ascii="Franklin Gothic Book" w:hAnsi="Franklin Gothic Book"/>
          <w:sz w:val="21"/>
          <w:szCs w:val="21"/>
        </w:rPr>
      </w:pPr>
      <w:r w:rsidRPr="008F72D8">
        <w:rPr>
          <w:rFonts w:ascii="Franklin Gothic Book" w:hAnsi="Franklin Gothic Book"/>
          <w:sz w:val="21"/>
          <w:szCs w:val="21"/>
        </w:rPr>
        <w:t>Key achievements supported by Australia during 2014</w:t>
      </w:r>
      <w:r w:rsidR="00836943">
        <w:rPr>
          <w:rFonts w:ascii="Franklin Gothic Book" w:hAnsi="Franklin Gothic Book"/>
          <w:sz w:val="21"/>
          <w:szCs w:val="21"/>
        </w:rPr>
        <w:t>–</w:t>
      </w:r>
      <w:r w:rsidRPr="008F72D8">
        <w:rPr>
          <w:rFonts w:ascii="Franklin Gothic Book" w:hAnsi="Franklin Gothic Book"/>
          <w:sz w:val="21"/>
          <w:szCs w:val="21"/>
        </w:rPr>
        <w:t>15, include:</w:t>
      </w:r>
    </w:p>
    <w:p w:rsidR="00414E38"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l</w:t>
      </w:r>
      <w:r w:rsidR="00C75287" w:rsidRPr="00550C12">
        <w:rPr>
          <w:rFonts w:ascii="Franklin Gothic Book" w:hAnsi="Franklin Gothic Book"/>
          <w:color w:val="auto"/>
          <w:spacing w:val="0"/>
          <w:sz w:val="21"/>
        </w:rPr>
        <w:t>aunch</w:t>
      </w:r>
      <w:r w:rsidR="00892F89">
        <w:rPr>
          <w:rFonts w:ascii="Franklin Gothic Book" w:hAnsi="Franklin Gothic Book"/>
          <w:color w:val="auto"/>
          <w:spacing w:val="0"/>
          <w:sz w:val="21"/>
        </w:rPr>
        <w:t>ed</w:t>
      </w:r>
      <w:r w:rsidR="00C75287" w:rsidRPr="00550C12">
        <w:rPr>
          <w:rFonts w:ascii="Franklin Gothic Book" w:hAnsi="Franklin Gothic Book"/>
          <w:color w:val="auto"/>
          <w:spacing w:val="0"/>
          <w:sz w:val="21"/>
        </w:rPr>
        <w:t xml:space="preserve"> the</w:t>
      </w:r>
      <w:r w:rsidR="00414E38" w:rsidRPr="00550C12">
        <w:rPr>
          <w:rFonts w:ascii="Franklin Gothic Book" w:hAnsi="Franklin Gothic Book"/>
          <w:color w:val="auto"/>
          <w:spacing w:val="0"/>
          <w:sz w:val="21"/>
        </w:rPr>
        <w:t xml:space="preserve"> 2014 Samoa Demographic and Health Survey (DHS). The DHS provides evidence demonstrating improvements in immunisation, maternal and child health. For the first time, the Samoa Bureau of Statistics incorporated the Washington Group on Disability extended question set as part of the national DHS. This improved data collection </w:t>
      </w:r>
      <w:r w:rsidR="00310E3B" w:rsidRPr="00550C12">
        <w:rPr>
          <w:rFonts w:ascii="Franklin Gothic Book" w:hAnsi="Franklin Gothic Book"/>
          <w:color w:val="auto"/>
          <w:spacing w:val="0"/>
          <w:sz w:val="21"/>
        </w:rPr>
        <w:t xml:space="preserve">will allow Samoa to </w:t>
      </w:r>
      <w:r w:rsidR="00414E38" w:rsidRPr="00550C12">
        <w:rPr>
          <w:rFonts w:ascii="Franklin Gothic Book" w:hAnsi="Franklin Gothic Book"/>
          <w:color w:val="auto"/>
          <w:spacing w:val="0"/>
          <w:sz w:val="21"/>
        </w:rPr>
        <w:t xml:space="preserve">better target health interventions for </w:t>
      </w:r>
      <w:r w:rsidR="00310E3B" w:rsidRPr="00550C12">
        <w:rPr>
          <w:rFonts w:ascii="Franklin Gothic Book" w:hAnsi="Franklin Gothic Book"/>
          <w:color w:val="auto"/>
          <w:spacing w:val="0"/>
          <w:sz w:val="21"/>
        </w:rPr>
        <w:t xml:space="preserve">people </w:t>
      </w:r>
      <w:r w:rsidR="00414E38" w:rsidRPr="00550C12">
        <w:rPr>
          <w:rFonts w:ascii="Franklin Gothic Book" w:hAnsi="Franklin Gothic Book"/>
          <w:color w:val="auto"/>
          <w:spacing w:val="0"/>
          <w:sz w:val="21"/>
        </w:rPr>
        <w:t xml:space="preserve">with disabilities. </w:t>
      </w:r>
    </w:p>
    <w:p w:rsidR="00414E38"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l</w:t>
      </w:r>
      <w:r w:rsidR="00414E38" w:rsidRPr="00550C12">
        <w:rPr>
          <w:rFonts w:ascii="Franklin Gothic Book" w:hAnsi="Franklin Gothic Book"/>
          <w:color w:val="auto"/>
          <w:spacing w:val="0"/>
          <w:sz w:val="21"/>
        </w:rPr>
        <w:t>aunch</w:t>
      </w:r>
      <w:r w:rsidR="00892F89">
        <w:rPr>
          <w:rFonts w:ascii="Franklin Gothic Book" w:hAnsi="Franklin Gothic Book"/>
          <w:color w:val="auto"/>
          <w:spacing w:val="0"/>
          <w:sz w:val="21"/>
        </w:rPr>
        <w:t>ed</w:t>
      </w:r>
      <w:r w:rsidR="00414E38" w:rsidRPr="00550C12">
        <w:rPr>
          <w:rFonts w:ascii="Franklin Gothic Book" w:hAnsi="Franklin Gothic Book"/>
          <w:color w:val="auto"/>
          <w:spacing w:val="0"/>
          <w:sz w:val="21"/>
        </w:rPr>
        <w:t xml:space="preserve"> the 2014 Survey</w:t>
      </w:r>
      <w:r w:rsidR="00485569" w:rsidRPr="00550C12">
        <w:rPr>
          <w:rFonts w:ascii="Franklin Gothic Book" w:hAnsi="Franklin Gothic Book"/>
          <w:color w:val="auto"/>
          <w:spacing w:val="0"/>
          <w:sz w:val="21"/>
        </w:rPr>
        <w:t xml:space="preserve"> on N</w:t>
      </w:r>
      <w:r w:rsidR="00310E3B" w:rsidRPr="00550C12">
        <w:rPr>
          <w:rFonts w:ascii="Franklin Gothic Book" w:hAnsi="Franklin Gothic Book"/>
          <w:color w:val="auto"/>
          <w:spacing w:val="0"/>
          <w:sz w:val="21"/>
        </w:rPr>
        <w:t xml:space="preserve">on Communicable Disease (NCD) </w:t>
      </w:r>
      <w:r w:rsidR="00485569" w:rsidRPr="00550C12">
        <w:rPr>
          <w:rFonts w:ascii="Franklin Gothic Book" w:hAnsi="Franklin Gothic Book"/>
          <w:color w:val="auto"/>
          <w:spacing w:val="0"/>
          <w:sz w:val="21"/>
        </w:rPr>
        <w:t>Risk Factors</w:t>
      </w:r>
      <w:r w:rsidR="00D14505" w:rsidRPr="00550C12">
        <w:rPr>
          <w:rFonts w:ascii="Franklin Gothic Book" w:hAnsi="Franklin Gothic Book"/>
          <w:color w:val="auto"/>
          <w:spacing w:val="0"/>
          <w:sz w:val="21"/>
        </w:rPr>
        <w:t>,</w:t>
      </w:r>
      <w:r w:rsidR="00414E38" w:rsidRPr="00550C12">
        <w:rPr>
          <w:rFonts w:ascii="Franklin Gothic Book" w:hAnsi="Franklin Gothic Book"/>
          <w:color w:val="auto"/>
          <w:spacing w:val="0"/>
          <w:sz w:val="21"/>
        </w:rPr>
        <w:t xml:space="preserve"> </w:t>
      </w:r>
      <w:r w:rsidR="007B2912">
        <w:rPr>
          <w:rFonts w:ascii="Franklin Gothic Book" w:hAnsi="Franklin Gothic Book"/>
          <w:color w:val="auto"/>
          <w:spacing w:val="0"/>
          <w:sz w:val="21"/>
        </w:rPr>
        <w:t>to</w:t>
      </w:r>
      <w:r w:rsidR="007B2912" w:rsidRPr="00550C12">
        <w:rPr>
          <w:rFonts w:ascii="Franklin Gothic Book" w:hAnsi="Franklin Gothic Book"/>
          <w:color w:val="auto"/>
          <w:spacing w:val="0"/>
          <w:sz w:val="21"/>
        </w:rPr>
        <w:t xml:space="preserve"> </w:t>
      </w:r>
      <w:r w:rsidR="00414E38" w:rsidRPr="00550C12">
        <w:rPr>
          <w:rFonts w:ascii="Franklin Gothic Book" w:hAnsi="Franklin Gothic Book"/>
          <w:color w:val="auto"/>
          <w:spacing w:val="0"/>
          <w:sz w:val="21"/>
        </w:rPr>
        <w:t xml:space="preserve">provide evidence on NCD risk factors and demonstrate Samoa’s progress for some NCD indicators </w:t>
      </w:r>
      <w:r w:rsidR="001A383D">
        <w:rPr>
          <w:rFonts w:ascii="Franklin Gothic Book" w:hAnsi="Franklin Gothic Book"/>
          <w:color w:val="auto"/>
          <w:spacing w:val="0"/>
          <w:sz w:val="21"/>
        </w:rPr>
        <w:t>such as</w:t>
      </w:r>
      <w:r w:rsidR="001A383D" w:rsidRPr="00550C12">
        <w:rPr>
          <w:rFonts w:ascii="Franklin Gothic Book" w:hAnsi="Franklin Gothic Book"/>
          <w:color w:val="auto"/>
          <w:spacing w:val="0"/>
          <w:sz w:val="21"/>
        </w:rPr>
        <w:t xml:space="preserve"> </w:t>
      </w:r>
      <w:r w:rsidR="00414E38" w:rsidRPr="00550C12">
        <w:rPr>
          <w:rFonts w:ascii="Franklin Gothic Book" w:hAnsi="Franklin Gothic Book"/>
          <w:color w:val="auto"/>
          <w:spacing w:val="0"/>
          <w:sz w:val="21"/>
        </w:rPr>
        <w:t>tobacco, alcohol use</w:t>
      </w:r>
      <w:r w:rsidR="001A383D">
        <w:rPr>
          <w:rFonts w:ascii="Franklin Gothic Book" w:hAnsi="Franklin Gothic Book"/>
          <w:color w:val="auto"/>
          <w:spacing w:val="0"/>
          <w:sz w:val="21"/>
        </w:rPr>
        <w:t xml:space="preserve">, </w:t>
      </w:r>
      <w:r w:rsidR="00414E38" w:rsidRPr="00550C12">
        <w:rPr>
          <w:rFonts w:ascii="Franklin Gothic Book" w:hAnsi="Franklin Gothic Book"/>
          <w:color w:val="auto"/>
          <w:spacing w:val="0"/>
          <w:sz w:val="21"/>
        </w:rPr>
        <w:t xml:space="preserve">physical activity </w:t>
      </w:r>
      <w:r w:rsidR="001A383D">
        <w:rPr>
          <w:rFonts w:ascii="Franklin Gothic Book" w:hAnsi="Franklin Gothic Book"/>
          <w:color w:val="auto"/>
          <w:spacing w:val="0"/>
          <w:sz w:val="21"/>
        </w:rPr>
        <w:t xml:space="preserve">and </w:t>
      </w:r>
      <w:r w:rsidR="00CB4411" w:rsidRPr="00550C12">
        <w:rPr>
          <w:rFonts w:ascii="Franklin Gothic Book" w:hAnsi="Franklin Gothic Book"/>
          <w:color w:val="auto"/>
          <w:spacing w:val="0"/>
          <w:sz w:val="21"/>
        </w:rPr>
        <w:t>n</w:t>
      </w:r>
      <w:r w:rsidR="00414E38" w:rsidRPr="00550C12">
        <w:rPr>
          <w:rFonts w:ascii="Franklin Gothic Book" w:hAnsi="Franklin Gothic Book"/>
          <w:color w:val="auto"/>
          <w:spacing w:val="0"/>
          <w:sz w:val="21"/>
        </w:rPr>
        <w:t>utrition.</w:t>
      </w:r>
    </w:p>
    <w:p w:rsidR="00485569"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c</w:t>
      </w:r>
      <w:r w:rsidR="00485569" w:rsidRPr="00550C12">
        <w:rPr>
          <w:rFonts w:ascii="Franklin Gothic Book" w:hAnsi="Franklin Gothic Book"/>
          <w:color w:val="auto"/>
          <w:spacing w:val="0"/>
          <w:sz w:val="21"/>
        </w:rPr>
        <w:t>omplet</w:t>
      </w:r>
      <w:r w:rsidR="00892F89">
        <w:rPr>
          <w:rFonts w:ascii="Franklin Gothic Book" w:hAnsi="Franklin Gothic Book"/>
          <w:color w:val="auto"/>
          <w:spacing w:val="0"/>
          <w:sz w:val="21"/>
        </w:rPr>
        <w:t>ed</w:t>
      </w:r>
      <w:r w:rsidR="00485569" w:rsidRPr="00550C12">
        <w:rPr>
          <w:rFonts w:ascii="Franklin Gothic Book" w:hAnsi="Franklin Gothic Book"/>
          <w:color w:val="auto"/>
          <w:spacing w:val="0"/>
          <w:sz w:val="21"/>
        </w:rPr>
        <w:t xml:space="preserve"> </w:t>
      </w:r>
      <w:r w:rsidR="00310E3B" w:rsidRPr="00550C12">
        <w:rPr>
          <w:rFonts w:ascii="Franklin Gothic Book" w:hAnsi="Franklin Gothic Book"/>
          <w:color w:val="auto"/>
          <w:spacing w:val="0"/>
          <w:sz w:val="21"/>
        </w:rPr>
        <w:t xml:space="preserve">a </w:t>
      </w:r>
      <w:r w:rsidR="00485569" w:rsidRPr="00550C12">
        <w:rPr>
          <w:rFonts w:ascii="Franklin Gothic Book" w:hAnsi="Franklin Gothic Book"/>
          <w:color w:val="auto"/>
          <w:spacing w:val="0"/>
          <w:sz w:val="21"/>
        </w:rPr>
        <w:t xml:space="preserve">new orthotics and prosthetics workshop and </w:t>
      </w:r>
      <w:r w:rsidR="00310E3B" w:rsidRPr="00550C12">
        <w:rPr>
          <w:rFonts w:ascii="Franklin Gothic Book" w:hAnsi="Franklin Gothic Book"/>
          <w:color w:val="auto"/>
          <w:spacing w:val="0"/>
          <w:sz w:val="21"/>
        </w:rPr>
        <w:t>assisting the National Health Service to establish a Mobility Device</w:t>
      </w:r>
      <w:r w:rsidR="00725203" w:rsidRPr="00550C12">
        <w:rPr>
          <w:rFonts w:ascii="Franklin Gothic Book" w:hAnsi="Franklin Gothic Book"/>
          <w:color w:val="auto"/>
          <w:spacing w:val="0"/>
          <w:sz w:val="21"/>
        </w:rPr>
        <w:t xml:space="preserve"> </w:t>
      </w:r>
      <w:r w:rsidR="00310E3B" w:rsidRPr="00550C12">
        <w:rPr>
          <w:rFonts w:ascii="Franklin Gothic Book" w:hAnsi="Franklin Gothic Book"/>
          <w:color w:val="auto"/>
          <w:spacing w:val="0"/>
          <w:sz w:val="21"/>
        </w:rPr>
        <w:t xml:space="preserve">Clinic </w:t>
      </w:r>
      <w:r w:rsidR="00725203" w:rsidRPr="00550C12">
        <w:rPr>
          <w:rFonts w:ascii="Franklin Gothic Book" w:hAnsi="Franklin Gothic Book"/>
          <w:color w:val="auto"/>
          <w:spacing w:val="0"/>
          <w:sz w:val="21"/>
        </w:rPr>
        <w:t>which serviced 325</w:t>
      </w:r>
      <w:r w:rsidR="00485569" w:rsidRPr="00550C12">
        <w:rPr>
          <w:rFonts w:ascii="Franklin Gothic Book" w:hAnsi="Franklin Gothic Book"/>
          <w:color w:val="auto"/>
          <w:spacing w:val="0"/>
          <w:sz w:val="21"/>
        </w:rPr>
        <w:t xml:space="preserve"> </w:t>
      </w:r>
      <w:r w:rsidR="00771415" w:rsidRPr="00550C12">
        <w:rPr>
          <w:rFonts w:ascii="Franklin Gothic Book" w:hAnsi="Franklin Gothic Book"/>
          <w:color w:val="auto"/>
          <w:spacing w:val="0"/>
          <w:sz w:val="21"/>
        </w:rPr>
        <w:t xml:space="preserve">clients to </w:t>
      </w:r>
      <w:r w:rsidR="00892F89">
        <w:rPr>
          <w:rFonts w:ascii="Franklin Gothic Book" w:hAnsi="Franklin Gothic Book"/>
          <w:color w:val="auto"/>
          <w:spacing w:val="0"/>
          <w:sz w:val="21"/>
        </w:rPr>
        <w:t xml:space="preserve">the </w:t>
      </w:r>
      <w:r w:rsidR="00771415" w:rsidRPr="00550C12">
        <w:rPr>
          <w:rFonts w:ascii="Franklin Gothic Book" w:hAnsi="Franklin Gothic Book"/>
          <w:color w:val="auto"/>
          <w:spacing w:val="0"/>
          <w:sz w:val="21"/>
        </w:rPr>
        <w:t xml:space="preserve">end </w:t>
      </w:r>
      <w:r w:rsidR="00892F89">
        <w:rPr>
          <w:rFonts w:ascii="Franklin Gothic Book" w:hAnsi="Franklin Gothic Book"/>
          <w:color w:val="auto"/>
          <w:spacing w:val="0"/>
          <w:sz w:val="21"/>
        </w:rPr>
        <w:t xml:space="preserve">of </w:t>
      </w:r>
      <w:r w:rsidR="00771415" w:rsidRPr="00550C12">
        <w:rPr>
          <w:rFonts w:ascii="Franklin Gothic Book" w:hAnsi="Franklin Gothic Book"/>
          <w:color w:val="auto"/>
          <w:spacing w:val="0"/>
          <w:sz w:val="21"/>
        </w:rPr>
        <w:t>June</w:t>
      </w:r>
    </w:p>
    <w:p w:rsidR="00EF68E5" w:rsidRPr="00550C12" w:rsidRDefault="00EF68E5" w:rsidP="00C45FC6">
      <w:pPr>
        <w:pStyle w:val="Subtitle"/>
        <w:numPr>
          <w:ilvl w:val="1"/>
          <w:numId w:val="20"/>
        </w:numPr>
        <w:spacing w:after="0"/>
        <w:contextualSpacing/>
        <w:rPr>
          <w:rFonts w:ascii="Franklin Gothic Book" w:hAnsi="Franklin Gothic Book"/>
          <w:color w:val="auto"/>
          <w:spacing w:val="0"/>
          <w:sz w:val="21"/>
        </w:rPr>
      </w:pPr>
      <w:r w:rsidRPr="00550C12">
        <w:rPr>
          <w:rFonts w:ascii="Franklin Gothic Book" w:hAnsi="Franklin Gothic Book"/>
          <w:color w:val="auto"/>
          <w:spacing w:val="0"/>
          <w:sz w:val="21"/>
        </w:rPr>
        <w:t>69 per cent of mobility clinic clientele are from rural areas</w:t>
      </w:r>
      <w:r w:rsidRPr="00550C12">
        <w:rPr>
          <w:rFonts w:ascii="Franklin Gothic Book" w:hAnsi="Franklin Gothic Book"/>
          <w:color w:val="auto"/>
          <w:spacing w:val="0"/>
          <w:sz w:val="21"/>
          <w:vertAlign w:val="superscript"/>
        </w:rPr>
        <w:footnoteReference w:id="8"/>
      </w:r>
      <w:r w:rsidRPr="00550C12">
        <w:rPr>
          <w:rFonts w:ascii="Franklin Gothic Book" w:hAnsi="Franklin Gothic Book"/>
          <w:color w:val="auto"/>
          <w:spacing w:val="0"/>
          <w:sz w:val="21"/>
        </w:rPr>
        <w:t xml:space="preserve"> (80.5 per cent of the Samoan population live in rural areas</w:t>
      </w:r>
      <w:r w:rsidR="001905FA" w:rsidRPr="00550C12">
        <w:rPr>
          <w:rFonts w:ascii="Franklin Gothic Book" w:hAnsi="Franklin Gothic Book"/>
          <w:color w:val="auto"/>
          <w:spacing w:val="0"/>
          <w:sz w:val="21"/>
          <w:vertAlign w:val="superscript"/>
        </w:rPr>
        <w:footnoteReference w:id="9"/>
      </w:r>
      <w:r w:rsidRPr="00550C12">
        <w:rPr>
          <w:rFonts w:ascii="Franklin Gothic Book" w:hAnsi="Franklin Gothic Book"/>
          <w:color w:val="auto"/>
          <w:spacing w:val="0"/>
          <w:sz w:val="21"/>
        </w:rPr>
        <w:t>).</w:t>
      </w:r>
    </w:p>
    <w:p w:rsidR="00414E38"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c</w:t>
      </w:r>
      <w:r w:rsidR="00485569" w:rsidRPr="00550C12">
        <w:rPr>
          <w:rFonts w:ascii="Franklin Gothic Book" w:hAnsi="Franklin Gothic Book"/>
          <w:color w:val="auto"/>
          <w:spacing w:val="0"/>
          <w:sz w:val="21"/>
        </w:rPr>
        <w:t>omplet</w:t>
      </w:r>
      <w:r w:rsidR="00836943">
        <w:rPr>
          <w:rFonts w:ascii="Franklin Gothic Book" w:hAnsi="Franklin Gothic Book"/>
          <w:color w:val="auto"/>
          <w:spacing w:val="0"/>
          <w:sz w:val="21"/>
        </w:rPr>
        <w:t>ed</w:t>
      </w:r>
      <w:r w:rsidR="00485569" w:rsidRPr="00550C12">
        <w:rPr>
          <w:rFonts w:ascii="Franklin Gothic Book" w:hAnsi="Franklin Gothic Book"/>
          <w:color w:val="auto"/>
          <w:spacing w:val="0"/>
          <w:sz w:val="21"/>
        </w:rPr>
        <w:t xml:space="preserve"> the rebuilding of </w:t>
      </w:r>
      <w:r w:rsidR="00414E38" w:rsidRPr="00550C12">
        <w:rPr>
          <w:rFonts w:ascii="Franklin Gothic Book" w:hAnsi="Franklin Gothic Book"/>
          <w:color w:val="auto"/>
          <w:spacing w:val="0"/>
          <w:sz w:val="21"/>
        </w:rPr>
        <w:t xml:space="preserve">Sataua District Hospital and </w:t>
      </w:r>
      <w:r w:rsidR="00485569" w:rsidRPr="00550C12">
        <w:rPr>
          <w:rFonts w:ascii="Franklin Gothic Book" w:hAnsi="Franklin Gothic Book"/>
          <w:color w:val="auto"/>
          <w:spacing w:val="0"/>
          <w:sz w:val="21"/>
        </w:rPr>
        <w:t>the renovation of Poutasi District Hospital</w:t>
      </w:r>
      <w:r w:rsidR="00836943">
        <w:rPr>
          <w:rFonts w:ascii="Franklin Gothic Book" w:hAnsi="Franklin Gothic Book"/>
          <w:color w:val="auto"/>
          <w:spacing w:val="0"/>
          <w:sz w:val="21"/>
        </w:rPr>
        <w:t>—</w:t>
      </w:r>
      <w:r w:rsidR="00485569" w:rsidRPr="00550C12">
        <w:rPr>
          <w:rFonts w:ascii="Franklin Gothic Book" w:hAnsi="Franklin Gothic Book"/>
          <w:color w:val="auto"/>
          <w:spacing w:val="0"/>
          <w:sz w:val="21"/>
        </w:rPr>
        <w:t xml:space="preserve">both damaged by Cyclone Evan in 2012. </w:t>
      </w:r>
      <w:r w:rsidR="00836943">
        <w:rPr>
          <w:rFonts w:ascii="Franklin Gothic Book" w:hAnsi="Franklin Gothic Book"/>
          <w:color w:val="auto"/>
          <w:spacing w:val="0"/>
          <w:sz w:val="21"/>
        </w:rPr>
        <w:t>Both</w:t>
      </w:r>
      <w:r w:rsidR="00414E38" w:rsidRPr="00550C12">
        <w:rPr>
          <w:rFonts w:ascii="Franklin Gothic Book" w:hAnsi="Franklin Gothic Book"/>
          <w:color w:val="auto"/>
          <w:spacing w:val="0"/>
          <w:sz w:val="21"/>
        </w:rPr>
        <w:t xml:space="preserve"> hospitals</w:t>
      </w:r>
      <w:r w:rsidR="00836943">
        <w:rPr>
          <w:rFonts w:ascii="Franklin Gothic Book" w:hAnsi="Franklin Gothic Book"/>
          <w:color w:val="auto"/>
          <w:spacing w:val="0"/>
          <w:sz w:val="21"/>
        </w:rPr>
        <w:t xml:space="preserve"> are located in rural areas and</w:t>
      </w:r>
      <w:r w:rsidR="00414E38" w:rsidRPr="00550C12">
        <w:rPr>
          <w:rFonts w:ascii="Franklin Gothic Book" w:hAnsi="Franklin Gothic Book"/>
          <w:color w:val="auto"/>
          <w:spacing w:val="0"/>
          <w:sz w:val="21"/>
        </w:rPr>
        <w:t xml:space="preserve"> serve a combined population of nearly 23,000 Samoans</w:t>
      </w:r>
      <w:r w:rsidR="00C45FC6">
        <w:rPr>
          <w:rFonts w:ascii="Franklin Gothic Book" w:hAnsi="Franklin Gothic Book"/>
          <w:color w:val="auto"/>
          <w:spacing w:val="0"/>
          <w:sz w:val="21"/>
        </w:rPr>
        <w:t xml:space="preserve"> (more than 10 per cent of Samoa’s population)</w:t>
      </w:r>
      <w:r w:rsidR="00414E38" w:rsidRPr="00550C12">
        <w:rPr>
          <w:rFonts w:ascii="Franklin Gothic Book" w:hAnsi="Franklin Gothic Book"/>
          <w:color w:val="auto"/>
          <w:spacing w:val="0"/>
          <w:sz w:val="21"/>
        </w:rPr>
        <w:t xml:space="preserve">. </w:t>
      </w:r>
    </w:p>
    <w:p w:rsidR="00485569" w:rsidRPr="00550C12" w:rsidRDefault="00414E38" w:rsidP="00087160">
      <w:pPr>
        <w:pStyle w:val="Subtitle"/>
        <w:numPr>
          <w:ilvl w:val="0"/>
          <w:numId w:val="20"/>
        </w:numPr>
        <w:spacing w:after="0"/>
        <w:ind w:left="777" w:hanging="357"/>
        <w:contextualSpacing/>
        <w:rPr>
          <w:rFonts w:ascii="Franklin Gothic Book" w:hAnsi="Franklin Gothic Book"/>
          <w:color w:val="auto"/>
          <w:spacing w:val="0"/>
          <w:sz w:val="21"/>
        </w:rPr>
      </w:pPr>
      <w:r w:rsidRPr="00550C12">
        <w:rPr>
          <w:rFonts w:ascii="Franklin Gothic Book" w:hAnsi="Franklin Gothic Book"/>
          <w:color w:val="auto"/>
          <w:spacing w:val="0"/>
          <w:sz w:val="21"/>
        </w:rPr>
        <w:t xml:space="preserve">46 Samoans graduated </w:t>
      </w:r>
      <w:r w:rsidR="00C45FC6" w:rsidRPr="00550C12">
        <w:rPr>
          <w:rFonts w:ascii="Franklin Gothic Book" w:hAnsi="Franklin Gothic Book"/>
          <w:color w:val="auto"/>
          <w:spacing w:val="0"/>
          <w:sz w:val="21"/>
        </w:rPr>
        <w:t xml:space="preserve">from the APTC </w:t>
      </w:r>
      <w:r w:rsidR="00892F89" w:rsidRPr="00550C12">
        <w:rPr>
          <w:rFonts w:ascii="Franklin Gothic Book" w:hAnsi="Franklin Gothic Book"/>
          <w:color w:val="auto"/>
          <w:spacing w:val="0"/>
          <w:sz w:val="21"/>
        </w:rPr>
        <w:t>with Australian</w:t>
      </w:r>
      <w:r w:rsidR="00892F89">
        <w:rPr>
          <w:rFonts w:ascii="Franklin Gothic Book" w:hAnsi="Franklin Gothic Book"/>
          <w:color w:val="auto"/>
          <w:spacing w:val="0"/>
          <w:sz w:val="21"/>
        </w:rPr>
        <w:t>-recognis</w:t>
      </w:r>
      <w:r w:rsidR="00892F89" w:rsidRPr="00550C12">
        <w:rPr>
          <w:rFonts w:ascii="Franklin Gothic Book" w:hAnsi="Franklin Gothic Book"/>
          <w:color w:val="auto"/>
          <w:spacing w:val="0"/>
          <w:sz w:val="21"/>
        </w:rPr>
        <w:t xml:space="preserve">ed qualifications </w:t>
      </w:r>
      <w:r w:rsidRPr="00550C12">
        <w:rPr>
          <w:rFonts w:ascii="Franklin Gothic Book" w:hAnsi="Franklin Gothic Book"/>
          <w:color w:val="auto"/>
          <w:spacing w:val="0"/>
          <w:sz w:val="21"/>
        </w:rPr>
        <w:t xml:space="preserve">in </w:t>
      </w:r>
      <w:r w:rsidR="00836943">
        <w:rPr>
          <w:rFonts w:ascii="Franklin Gothic Book" w:hAnsi="Franklin Gothic Book"/>
          <w:color w:val="auto"/>
          <w:spacing w:val="0"/>
          <w:sz w:val="21"/>
        </w:rPr>
        <w:t>a</w:t>
      </w:r>
      <w:r w:rsidR="00CB4411" w:rsidRPr="00550C12">
        <w:rPr>
          <w:rFonts w:ascii="Franklin Gothic Book" w:hAnsi="Franklin Gothic Book"/>
          <w:color w:val="auto"/>
          <w:spacing w:val="0"/>
          <w:sz w:val="21"/>
        </w:rPr>
        <w:t xml:space="preserve">llied </w:t>
      </w:r>
      <w:r w:rsidR="00836943">
        <w:rPr>
          <w:rFonts w:ascii="Franklin Gothic Book" w:hAnsi="Franklin Gothic Book"/>
          <w:color w:val="auto"/>
          <w:spacing w:val="0"/>
          <w:sz w:val="21"/>
        </w:rPr>
        <w:t>h</w:t>
      </w:r>
      <w:r w:rsidR="00CB4411" w:rsidRPr="00550C12">
        <w:rPr>
          <w:rFonts w:ascii="Franklin Gothic Book" w:hAnsi="Franklin Gothic Book"/>
          <w:color w:val="auto"/>
          <w:spacing w:val="0"/>
          <w:sz w:val="21"/>
        </w:rPr>
        <w:t xml:space="preserve">ealth studies and 19 </w:t>
      </w:r>
      <w:r w:rsidR="00836943">
        <w:rPr>
          <w:rFonts w:ascii="Franklin Gothic Book" w:hAnsi="Franklin Gothic Book"/>
          <w:color w:val="auto"/>
          <w:spacing w:val="0"/>
          <w:sz w:val="21"/>
        </w:rPr>
        <w:t>in n</w:t>
      </w:r>
      <w:r w:rsidRPr="00550C12">
        <w:rPr>
          <w:rFonts w:ascii="Franklin Gothic Book" w:hAnsi="Franklin Gothic Book"/>
          <w:color w:val="auto"/>
          <w:spacing w:val="0"/>
          <w:sz w:val="21"/>
        </w:rPr>
        <w:t xml:space="preserve">utrition. </w:t>
      </w:r>
    </w:p>
    <w:p w:rsidR="001E0B1B"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s</w:t>
      </w:r>
      <w:r w:rsidR="001E0B1B" w:rsidRPr="00550C12">
        <w:rPr>
          <w:rFonts w:ascii="Franklin Gothic Book" w:hAnsi="Franklin Gothic Book"/>
          <w:color w:val="auto"/>
          <w:spacing w:val="0"/>
          <w:sz w:val="21"/>
        </w:rPr>
        <w:t>upport</w:t>
      </w:r>
      <w:r w:rsidR="00892F89">
        <w:rPr>
          <w:rFonts w:ascii="Franklin Gothic Book" w:hAnsi="Franklin Gothic Book"/>
          <w:color w:val="auto"/>
          <w:spacing w:val="0"/>
          <w:sz w:val="21"/>
        </w:rPr>
        <w:t>ed</w:t>
      </w:r>
      <w:r w:rsidR="001E0B1B" w:rsidRPr="00550C12">
        <w:rPr>
          <w:rFonts w:ascii="Franklin Gothic Book" w:hAnsi="Franklin Gothic Book"/>
          <w:color w:val="auto"/>
          <w:spacing w:val="0"/>
          <w:sz w:val="21"/>
        </w:rPr>
        <w:t xml:space="preserve"> the </w:t>
      </w:r>
      <w:r w:rsidR="00836943">
        <w:rPr>
          <w:rFonts w:ascii="Franklin Gothic Book" w:hAnsi="Franklin Gothic Book"/>
          <w:color w:val="auto"/>
          <w:spacing w:val="0"/>
          <w:sz w:val="21"/>
        </w:rPr>
        <w:t>National Health Service</w:t>
      </w:r>
      <w:r w:rsidR="001E0B1B" w:rsidRPr="00550C12">
        <w:rPr>
          <w:rFonts w:ascii="Franklin Gothic Book" w:hAnsi="Franklin Gothic Book"/>
          <w:color w:val="auto"/>
          <w:spacing w:val="0"/>
          <w:sz w:val="21"/>
        </w:rPr>
        <w:t xml:space="preserve"> </w:t>
      </w:r>
      <w:r w:rsidR="00836943">
        <w:rPr>
          <w:rFonts w:ascii="Franklin Gothic Book" w:hAnsi="Franklin Gothic Book"/>
          <w:color w:val="auto"/>
          <w:spacing w:val="0"/>
          <w:sz w:val="21"/>
        </w:rPr>
        <w:t xml:space="preserve">(NHS) </w:t>
      </w:r>
      <w:r w:rsidR="001E0B1B" w:rsidRPr="00550C12">
        <w:rPr>
          <w:rFonts w:ascii="Franklin Gothic Book" w:hAnsi="Franklin Gothic Book"/>
          <w:color w:val="auto"/>
          <w:spacing w:val="0"/>
          <w:sz w:val="21"/>
        </w:rPr>
        <w:t xml:space="preserve">to purchase priority medical equipment </w:t>
      </w:r>
      <w:r w:rsidR="00310E3B" w:rsidRPr="00550C12">
        <w:rPr>
          <w:rFonts w:ascii="Franklin Gothic Book" w:hAnsi="Franklin Gothic Book"/>
          <w:color w:val="auto"/>
          <w:spacing w:val="0"/>
          <w:sz w:val="21"/>
        </w:rPr>
        <w:t>for</w:t>
      </w:r>
      <w:r w:rsidR="001E0B1B" w:rsidRPr="00550C12">
        <w:rPr>
          <w:rFonts w:ascii="Franklin Gothic Book" w:hAnsi="Franklin Gothic Book"/>
          <w:color w:val="auto"/>
          <w:spacing w:val="0"/>
          <w:sz w:val="21"/>
        </w:rPr>
        <w:t xml:space="preserve"> the new national hospital at Motootua</w:t>
      </w:r>
      <w:r w:rsidR="001A383D">
        <w:rPr>
          <w:rFonts w:ascii="Franklin Gothic Book" w:hAnsi="Franklin Gothic Book"/>
          <w:color w:val="auto"/>
          <w:spacing w:val="0"/>
          <w:sz w:val="21"/>
        </w:rPr>
        <w:t>,</w:t>
      </w:r>
      <w:r w:rsidR="00310E3B" w:rsidRPr="00550C12">
        <w:rPr>
          <w:rFonts w:ascii="Franklin Gothic Book" w:hAnsi="Franklin Gothic Book"/>
          <w:color w:val="auto"/>
          <w:spacing w:val="0"/>
          <w:sz w:val="21"/>
        </w:rPr>
        <w:t xml:space="preserve"> </w:t>
      </w:r>
      <w:r w:rsidR="001A383D">
        <w:rPr>
          <w:rFonts w:ascii="Franklin Gothic Book" w:hAnsi="Franklin Gothic Book"/>
          <w:color w:val="auto"/>
          <w:spacing w:val="0"/>
          <w:sz w:val="21"/>
        </w:rPr>
        <w:t>ensuring a</w:t>
      </w:r>
      <w:r w:rsidR="00EF68E5" w:rsidRPr="00550C12">
        <w:rPr>
          <w:rFonts w:ascii="Franklin Gothic Book" w:hAnsi="Franklin Gothic Book"/>
          <w:color w:val="auto"/>
          <w:spacing w:val="0"/>
          <w:sz w:val="21"/>
        </w:rPr>
        <w:t>vailability of appropriate and</w:t>
      </w:r>
      <w:r w:rsidR="001E0B1B" w:rsidRPr="00550C12">
        <w:rPr>
          <w:rFonts w:ascii="Franklin Gothic Book" w:hAnsi="Franklin Gothic Book"/>
          <w:color w:val="auto"/>
          <w:spacing w:val="0"/>
          <w:sz w:val="21"/>
        </w:rPr>
        <w:t xml:space="preserve"> adequate equipment. </w:t>
      </w:r>
    </w:p>
    <w:p w:rsidR="00485569"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p</w:t>
      </w:r>
      <w:r w:rsidR="00833689" w:rsidRPr="00550C12">
        <w:rPr>
          <w:rFonts w:ascii="Franklin Gothic Book" w:hAnsi="Franklin Gothic Book"/>
          <w:color w:val="auto"/>
          <w:spacing w:val="0"/>
          <w:sz w:val="21"/>
        </w:rPr>
        <w:t>rovid</w:t>
      </w:r>
      <w:r w:rsidR="00892F89">
        <w:rPr>
          <w:rFonts w:ascii="Franklin Gothic Book" w:hAnsi="Franklin Gothic Book"/>
          <w:color w:val="auto"/>
          <w:spacing w:val="0"/>
          <w:sz w:val="21"/>
        </w:rPr>
        <w:t>ed</w:t>
      </w:r>
      <w:r w:rsidR="00485569" w:rsidRPr="00550C12">
        <w:rPr>
          <w:rFonts w:ascii="Franklin Gothic Book" w:hAnsi="Franklin Gothic Book"/>
          <w:color w:val="auto"/>
          <w:spacing w:val="0"/>
          <w:sz w:val="21"/>
        </w:rPr>
        <w:t xml:space="preserve"> a biomedical engineer to build the skills of the </w:t>
      </w:r>
      <w:r w:rsidR="00836943">
        <w:rPr>
          <w:rFonts w:ascii="Franklin Gothic Book" w:hAnsi="Franklin Gothic Book"/>
          <w:color w:val="auto"/>
          <w:spacing w:val="0"/>
          <w:sz w:val="21"/>
        </w:rPr>
        <w:t>NHS</w:t>
      </w:r>
      <w:r w:rsidR="00485569" w:rsidRPr="00550C12">
        <w:rPr>
          <w:rFonts w:ascii="Franklin Gothic Book" w:hAnsi="Franklin Gothic Book"/>
          <w:color w:val="auto"/>
          <w:spacing w:val="0"/>
          <w:sz w:val="21"/>
        </w:rPr>
        <w:t xml:space="preserve"> biomedical team to ensure effective and eff</w:t>
      </w:r>
      <w:r w:rsidR="00771415" w:rsidRPr="00550C12">
        <w:rPr>
          <w:rFonts w:ascii="Franklin Gothic Book" w:hAnsi="Franklin Gothic Book"/>
          <w:color w:val="auto"/>
          <w:spacing w:val="0"/>
          <w:sz w:val="21"/>
        </w:rPr>
        <w:t>icient use of medical equipment.</w:t>
      </w:r>
    </w:p>
    <w:p w:rsidR="00173FE8" w:rsidRPr="00550C12" w:rsidRDefault="00B640CC" w:rsidP="00087160">
      <w:pPr>
        <w:pStyle w:val="Subtitle"/>
        <w:numPr>
          <w:ilvl w:val="0"/>
          <w:numId w:val="20"/>
        </w:numPr>
        <w:spacing w:after="0"/>
        <w:ind w:left="777" w:hanging="357"/>
        <w:contextualSpacing/>
        <w:rPr>
          <w:rFonts w:ascii="Franklin Gothic Book" w:hAnsi="Franklin Gothic Book"/>
          <w:color w:val="auto"/>
          <w:spacing w:val="0"/>
          <w:sz w:val="21"/>
        </w:rPr>
      </w:pPr>
      <w:r>
        <w:rPr>
          <w:rFonts w:ascii="Franklin Gothic Book" w:hAnsi="Franklin Gothic Book"/>
          <w:color w:val="auto"/>
          <w:spacing w:val="0"/>
          <w:sz w:val="21"/>
        </w:rPr>
        <w:t>p</w:t>
      </w:r>
      <w:r w:rsidR="00833689" w:rsidRPr="00550C12">
        <w:rPr>
          <w:rFonts w:ascii="Franklin Gothic Book" w:hAnsi="Franklin Gothic Book"/>
          <w:color w:val="auto"/>
          <w:spacing w:val="0"/>
          <w:sz w:val="21"/>
        </w:rPr>
        <w:t>erform</w:t>
      </w:r>
      <w:r w:rsidR="00892F89">
        <w:rPr>
          <w:rFonts w:ascii="Franklin Gothic Book" w:hAnsi="Franklin Gothic Book"/>
          <w:color w:val="auto"/>
          <w:spacing w:val="0"/>
          <w:sz w:val="21"/>
        </w:rPr>
        <w:t>ed</w:t>
      </w:r>
      <w:r w:rsidR="00833689" w:rsidRPr="00550C12">
        <w:rPr>
          <w:rFonts w:ascii="Franklin Gothic Book" w:hAnsi="Franklin Gothic Book"/>
          <w:color w:val="auto"/>
          <w:spacing w:val="0"/>
          <w:sz w:val="21"/>
        </w:rPr>
        <w:t xml:space="preserve"> </w:t>
      </w:r>
      <w:r w:rsidR="00414E38" w:rsidRPr="00550C12">
        <w:rPr>
          <w:rFonts w:ascii="Franklin Gothic Book" w:hAnsi="Franklin Gothic Book"/>
          <w:color w:val="auto"/>
          <w:spacing w:val="0"/>
          <w:sz w:val="21"/>
        </w:rPr>
        <w:t>450 consultatio</w:t>
      </w:r>
      <w:r w:rsidR="00485569" w:rsidRPr="00550C12">
        <w:rPr>
          <w:rFonts w:ascii="Franklin Gothic Book" w:hAnsi="Franklin Gothic Book"/>
          <w:color w:val="auto"/>
          <w:spacing w:val="0"/>
          <w:sz w:val="21"/>
        </w:rPr>
        <w:t xml:space="preserve">ns and life-changing operations, </w:t>
      </w:r>
      <w:r w:rsidR="00892F89">
        <w:rPr>
          <w:rFonts w:ascii="Franklin Gothic Book" w:hAnsi="Franklin Gothic Book"/>
          <w:color w:val="auto"/>
          <w:spacing w:val="0"/>
          <w:sz w:val="21"/>
        </w:rPr>
        <w:t>including</w:t>
      </w:r>
      <w:r w:rsidR="00485569" w:rsidRPr="00550C12">
        <w:rPr>
          <w:rFonts w:ascii="Franklin Gothic Book" w:hAnsi="Franklin Gothic Book"/>
          <w:color w:val="auto"/>
          <w:spacing w:val="0"/>
          <w:sz w:val="21"/>
        </w:rPr>
        <w:t xml:space="preserve"> training</w:t>
      </w:r>
      <w:r w:rsidR="00414E38" w:rsidRPr="00550C12">
        <w:rPr>
          <w:rFonts w:ascii="Franklin Gothic Book" w:hAnsi="Franklin Gothic Book"/>
          <w:color w:val="auto"/>
          <w:spacing w:val="0"/>
          <w:sz w:val="21"/>
        </w:rPr>
        <w:t xml:space="preserve"> for 25 Samoan clinicians</w:t>
      </w:r>
      <w:r w:rsidR="00833689" w:rsidRPr="00550C12">
        <w:rPr>
          <w:rFonts w:ascii="Franklin Gothic Book" w:hAnsi="Franklin Gothic Book"/>
          <w:color w:val="auto"/>
          <w:spacing w:val="0"/>
          <w:sz w:val="21"/>
        </w:rPr>
        <w:t>,</w:t>
      </w:r>
      <w:r w:rsidR="00485569" w:rsidRPr="00550C12">
        <w:rPr>
          <w:rFonts w:ascii="Franklin Gothic Book" w:hAnsi="Franklin Gothic Book"/>
          <w:color w:val="auto"/>
          <w:spacing w:val="0"/>
          <w:sz w:val="21"/>
        </w:rPr>
        <w:t xml:space="preserve"> through the Regional Pacific Islands Program</w:t>
      </w:r>
      <w:r w:rsidR="00833689" w:rsidRPr="00550C12">
        <w:rPr>
          <w:rFonts w:ascii="Franklin Gothic Book" w:hAnsi="Franklin Gothic Book"/>
          <w:color w:val="auto"/>
          <w:spacing w:val="0"/>
          <w:sz w:val="21"/>
        </w:rPr>
        <w:t xml:space="preserve"> delivered by the Royal Australian College of Surgeons</w:t>
      </w:r>
      <w:r w:rsidR="00414E38" w:rsidRPr="00550C12">
        <w:rPr>
          <w:rFonts w:ascii="Franklin Gothic Book" w:hAnsi="Franklin Gothic Book"/>
          <w:color w:val="auto"/>
          <w:spacing w:val="0"/>
          <w:sz w:val="21"/>
        </w:rPr>
        <w:t xml:space="preserve">. </w:t>
      </w:r>
    </w:p>
    <w:p w:rsidR="00771415" w:rsidRPr="00550C12" w:rsidRDefault="00B640CC" w:rsidP="00087160">
      <w:pPr>
        <w:pStyle w:val="Subtitle"/>
        <w:numPr>
          <w:ilvl w:val="0"/>
          <w:numId w:val="20"/>
        </w:numPr>
        <w:spacing w:before="0" w:after="120"/>
        <w:ind w:left="777" w:hanging="357"/>
        <w:rPr>
          <w:rFonts w:ascii="Franklin Gothic Book" w:hAnsi="Franklin Gothic Book"/>
          <w:color w:val="auto"/>
          <w:spacing w:val="0"/>
          <w:sz w:val="21"/>
        </w:rPr>
      </w:pPr>
      <w:r>
        <w:rPr>
          <w:rFonts w:ascii="Franklin Gothic Book" w:hAnsi="Franklin Gothic Book"/>
          <w:color w:val="auto"/>
          <w:spacing w:val="0"/>
          <w:sz w:val="21"/>
        </w:rPr>
        <w:t>a</w:t>
      </w:r>
      <w:r w:rsidR="00485569" w:rsidRPr="00550C12">
        <w:rPr>
          <w:rFonts w:ascii="Franklin Gothic Book" w:hAnsi="Franklin Gothic Book"/>
          <w:color w:val="auto"/>
          <w:spacing w:val="0"/>
          <w:sz w:val="21"/>
        </w:rPr>
        <w:t>ssist</w:t>
      </w:r>
      <w:r w:rsidR="00892F89">
        <w:rPr>
          <w:rFonts w:ascii="Franklin Gothic Book" w:hAnsi="Franklin Gothic Book"/>
          <w:color w:val="auto"/>
          <w:spacing w:val="0"/>
          <w:sz w:val="21"/>
        </w:rPr>
        <w:t xml:space="preserve">ed </w:t>
      </w:r>
      <w:r w:rsidR="00485569" w:rsidRPr="00550C12">
        <w:rPr>
          <w:rFonts w:ascii="Franklin Gothic Book" w:hAnsi="Franklin Gothic Book"/>
          <w:color w:val="auto"/>
          <w:spacing w:val="0"/>
          <w:sz w:val="21"/>
        </w:rPr>
        <w:t>Samoa’s Family Health Association in updat</w:t>
      </w:r>
      <w:r w:rsidR="00771415" w:rsidRPr="00550C12">
        <w:rPr>
          <w:rFonts w:ascii="Franklin Gothic Book" w:hAnsi="Franklin Gothic Book"/>
          <w:color w:val="auto"/>
          <w:spacing w:val="0"/>
          <w:sz w:val="21"/>
        </w:rPr>
        <w:t>ing its policies and procedures.</w:t>
      </w:r>
    </w:p>
    <w:p w:rsidR="00B57CD8" w:rsidRDefault="00B57CD8" w:rsidP="00550C12">
      <w:pPr>
        <w:pStyle w:val="ListBullet"/>
        <w:numPr>
          <w:ilvl w:val="0"/>
          <w:numId w:val="0"/>
        </w:numPr>
        <w:tabs>
          <w:tab w:val="clear" w:pos="284"/>
        </w:tabs>
        <w:spacing w:before="120" w:line="240" w:lineRule="auto"/>
      </w:pPr>
      <w:r>
        <w:t>T</w:t>
      </w:r>
      <w:r w:rsidRPr="00B57CD8">
        <w:t xml:space="preserve">here </w:t>
      </w:r>
      <w:r>
        <w:t xml:space="preserve">has been </w:t>
      </w:r>
      <w:r w:rsidRPr="00B57CD8">
        <w:t xml:space="preserve">a strong focus on improving mobility services for sexual and reproductive health, rheumatic heart disease </w:t>
      </w:r>
      <w:r w:rsidR="00836943">
        <w:t>and</w:t>
      </w:r>
      <w:r w:rsidRPr="00B57CD8">
        <w:t xml:space="preserve"> fever screening</w:t>
      </w:r>
      <w:r w:rsidR="00B640CC">
        <w:t>.</w:t>
      </w:r>
      <w:r w:rsidRPr="00B57CD8">
        <w:t xml:space="preserve"> </w:t>
      </w:r>
      <w:r w:rsidR="00B640CC">
        <w:t>M</w:t>
      </w:r>
      <w:r w:rsidRPr="00B57CD8">
        <w:t>obile medical equipment (such as the mobile x-ray machines)</w:t>
      </w:r>
      <w:r w:rsidR="00B640CC">
        <w:t>,</w:t>
      </w:r>
      <w:r w:rsidRPr="00B57CD8">
        <w:t xml:space="preserve"> now used during the monthly primary health care visits</w:t>
      </w:r>
      <w:r w:rsidR="00B640CC">
        <w:t>, was carefully procured</w:t>
      </w:r>
      <w:r w:rsidRPr="00B57CD8">
        <w:t xml:space="preserve"> to ensure equitable access to health care services.</w:t>
      </w:r>
    </w:p>
    <w:p w:rsidR="00063C53" w:rsidRDefault="00EF7AFC" w:rsidP="00550C12">
      <w:pPr>
        <w:pStyle w:val="ListBullet"/>
        <w:numPr>
          <w:ilvl w:val="0"/>
          <w:numId w:val="0"/>
        </w:numPr>
        <w:tabs>
          <w:tab w:val="clear" w:pos="284"/>
        </w:tabs>
        <w:spacing w:before="120" w:line="240" w:lineRule="auto"/>
      </w:pPr>
      <w:r>
        <w:t>SWAp</w:t>
      </w:r>
      <w:r w:rsidR="00FA1BD5">
        <w:t xml:space="preserve"> implementation</w:t>
      </w:r>
      <w:r>
        <w:t xml:space="preserve"> </w:t>
      </w:r>
      <w:r w:rsidR="00063C53" w:rsidRPr="00063C53">
        <w:t xml:space="preserve">has improved from last year </w:t>
      </w:r>
      <w:r w:rsidR="00485569">
        <w:t xml:space="preserve">but still remains slow with only one of the remaining four </w:t>
      </w:r>
      <w:r w:rsidR="00485569" w:rsidRPr="001B5733">
        <w:t xml:space="preserve">infrastructure </w:t>
      </w:r>
      <w:r w:rsidR="00485569">
        <w:t xml:space="preserve">projects completed </w:t>
      </w:r>
      <w:r w:rsidR="00485569" w:rsidRPr="001B5733">
        <w:t>within the reporting period</w:t>
      </w:r>
      <w:r w:rsidR="00485569">
        <w:t>. The</w:t>
      </w:r>
      <w:r w:rsidR="00063C53" w:rsidRPr="00063C53">
        <w:t xml:space="preserve"> orthotics</w:t>
      </w:r>
      <w:r w:rsidR="00063C53">
        <w:t xml:space="preserve"> and </w:t>
      </w:r>
      <w:r w:rsidR="00063C53" w:rsidRPr="00063C53">
        <w:t xml:space="preserve">prosthetics workshop </w:t>
      </w:r>
      <w:r w:rsidR="00063C53">
        <w:t>was</w:t>
      </w:r>
      <w:r w:rsidR="00063C53" w:rsidRPr="00063C53">
        <w:t xml:space="preserve"> completed </w:t>
      </w:r>
      <w:r w:rsidR="00063C53">
        <w:t xml:space="preserve">in May 2015 </w:t>
      </w:r>
      <w:r w:rsidR="00063C53" w:rsidRPr="00063C53">
        <w:t xml:space="preserve">and </w:t>
      </w:r>
      <w:r w:rsidR="00063C53">
        <w:t>a</w:t>
      </w:r>
      <w:r w:rsidR="00063C53" w:rsidRPr="00063C53">
        <w:t xml:space="preserve"> </w:t>
      </w:r>
      <w:r w:rsidR="0085435B">
        <w:t xml:space="preserve">new Mobility Device Service </w:t>
      </w:r>
      <w:r w:rsidR="00063C53">
        <w:t>is</w:t>
      </w:r>
      <w:r w:rsidR="00063C53" w:rsidRPr="00063C53">
        <w:t xml:space="preserve"> operati</w:t>
      </w:r>
      <w:r w:rsidR="00063C53">
        <w:t>ng</w:t>
      </w:r>
      <w:r w:rsidR="00063C53" w:rsidRPr="00063C53">
        <w:t xml:space="preserve"> from th</w:t>
      </w:r>
      <w:r w:rsidR="00B640CC">
        <w:t>e</w:t>
      </w:r>
      <w:r w:rsidR="00063C53" w:rsidRPr="00063C53">
        <w:t xml:space="preserve"> new site. Construction of </w:t>
      </w:r>
      <w:r w:rsidR="00414E38">
        <w:t>a</w:t>
      </w:r>
      <w:r w:rsidR="00063C53" w:rsidRPr="00063C53">
        <w:t xml:space="preserve"> pharmaceutical warehouse</w:t>
      </w:r>
      <w:r w:rsidR="00414E38">
        <w:t xml:space="preserve"> and</w:t>
      </w:r>
      <w:r w:rsidR="00063C53" w:rsidRPr="00063C53">
        <w:t xml:space="preserve"> renovations to the </w:t>
      </w:r>
      <w:r w:rsidR="00B569CB" w:rsidRPr="002311BD">
        <w:t xml:space="preserve">main referral hospital </w:t>
      </w:r>
      <w:r w:rsidR="00B569CB">
        <w:t xml:space="preserve">in </w:t>
      </w:r>
      <w:r w:rsidR="00063C53" w:rsidRPr="00063C53">
        <w:t xml:space="preserve">Savaii </w:t>
      </w:r>
      <w:r w:rsidR="00485569">
        <w:t>commenced</w:t>
      </w:r>
      <w:r w:rsidR="00063C53" w:rsidRPr="00063C53">
        <w:t xml:space="preserve"> in April</w:t>
      </w:r>
      <w:r w:rsidR="00414E38">
        <w:t>.</w:t>
      </w:r>
    </w:p>
    <w:p w:rsidR="00962F5A" w:rsidRPr="00B569CB" w:rsidRDefault="001A383D" w:rsidP="00550C12">
      <w:pPr>
        <w:pStyle w:val="ListBullet"/>
        <w:numPr>
          <w:ilvl w:val="0"/>
          <w:numId w:val="0"/>
        </w:numPr>
        <w:tabs>
          <w:tab w:val="clear" w:pos="284"/>
        </w:tabs>
        <w:spacing w:before="120" w:line="240" w:lineRule="auto"/>
      </w:pPr>
      <w:r>
        <w:t>A</w:t>
      </w:r>
      <w:r w:rsidR="001B128B">
        <w:t>n innovative</w:t>
      </w:r>
      <w:r w:rsidR="00962F5A">
        <w:t xml:space="preserve"> strategic partnership program </w:t>
      </w:r>
      <w:r w:rsidR="0085435B">
        <w:t xml:space="preserve">was developed </w:t>
      </w:r>
      <w:r w:rsidR="00962F5A">
        <w:t xml:space="preserve">between the </w:t>
      </w:r>
      <w:r w:rsidR="007B6401">
        <w:t xml:space="preserve">Samoa </w:t>
      </w:r>
      <w:r w:rsidR="00962F5A">
        <w:t xml:space="preserve">Ministry of Health and Queensland’s Ministry of Health and Ambulance </w:t>
      </w:r>
      <w:r w:rsidR="0085435B">
        <w:t>Services.</w:t>
      </w:r>
      <w:r w:rsidR="001B128B">
        <w:t xml:space="preserve"> </w:t>
      </w:r>
      <w:r w:rsidR="00962F5A">
        <w:t>This will form part of a larger health initiative which is expected to be designed by mid</w:t>
      </w:r>
      <w:r w:rsidR="0007109D">
        <w:t>-</w:t>
      </w:r>
      <w:r w:rsidR="00962F5A">
        <w:t>2016</w:t>
      </w:r>
      <w:r>
        <w:t>.</w:t>
      </w:r>
    </w:p>
    <w:p w:rsidR="00581CCA" w:rsidRPr="002311BD" w:rsidRDefault="00581CCA" w:rsidP="001F03BC">
      <w:pPr>
        <w:pStyle w:val="ListBullet"/>
        <w:numPr>
          <w:ilvl w:val="0"/>
          <w:numId w:val="0"/>
        </w:numPr>
        <w:tabs>
          <w:tab w:val="clear" w:pos="284"/>
        </w:tabs>
        <w:rPr>
          <w:b/>
        </w:rPr>
      </w:pPr>
      <w:r w:rsidRPr="002311BD">
        <w:rPr>
          <w:b/>
        </w:rPr>
        <w:t>Objective 3: To enable Samoa to achieve its goal of sustained macroeconomic stability and improved governance</w:t>
      </w:r>
    </w:p>
    <w:p w:rsidR="002311BD" w:rsidRDefault="0013302E" w:rsidP="002311BD">
      <w:pPr>
        <w:pStyle w:val="BodyText"/>
        <w:rPr>
          <w:lang w:val="en-GB"/>
        </w:rPr>
      </w:pPr>
      <w:r>
        <w:rPr>
          <w:lang w:val="en-GB"/>
        </w:rPr>
        <w:t>P</w:t>
      </w:r>
      <w:r w:rsidR="002252D4">
        <w:rPr>
          <w:lang w:val="en-GB"/>
        </w:rPr>
        <w:t>r</w:t>
      </w:r>
      <w:r w:rsidR="002311BD" w:rsidRPr="002311BD">
        <w:rPr>
          <w:lang w:val="en-GB"/>
        </w:rPr>
        <w:t xml:space="preserve">ogress </w:t>
      </w:r>
      <w:r>
        <w:rPr>
          <w:lang w:val="en-GB"/>
        </w:rPr>
        <w:t xml:space="preserve">for this objective </w:t>
      </w:r>
      <w:r w:rsidR="002311BD" w:rsidRPr="002311BD">
        <w:rPr>
          <w:lang w:val="en-GB"/>
        </w:rPr>
        <w:t>met expectations for the reporting period.</w:t>
      </w:r>
    </w:p>
    <w:p w:rsidR="008F72D8" w:rsidRPr="008F72D8" w:rsidRDefault="008F72D8" w:rsidP="008F72D8">
      <w:pPr>
        <w:ind w:left="68" w:hanging="68"/>
        <w:rPr>
          <w:rFonts w:ascii="Franklin Gothic Book" w:hAnsi="Franklin Gothic Book"/>
          <w:sz w:val="21"/>
          <w:szCs w:val="21"/>
        </w:rPr>
      </w:pPr>
      <w:r w:rsidRPr="008F72D8">
        <w:rPr>
          <w:rFonts w:ascii="Franklin Gothic Book" w:hAnsi="Franklin Gothic Book"/>
          <w:sz w:val="21"/>
          <w:szCs w:val="21"/>
        </w:rPr>
        <w:t>Key achievements supported by Australia during 2014</w:t>
      </w:r>
      <w:r w:rsidR="00836943">
        <w:rPr>
          <w:rFonts w:ascii="Franklin Gothic Book" w:hAnsi="Franklin Gothic Book"/>
          <w:sz w:val="21"/>
          <w:szCs w:val="21"/>
        </w:rPr>
        <w:t>–</w:t>
      </w:r>
      <w:r w:rsidRPr="008F72D8">
        <w:rPr>
          <w:rFonts w:ascii="Franklin Gothic Book" w:hAnsi="Franklin Gothic Book"/>
          <w:sz w:val="21"/>
          <w:szCs w:val="21"/>
        </w:rPr>
        <w:t>15, include:</w:t>
      </w:r>
    </w:p>
    <w:p w:rsidR="004F3700" w:rsidRPr="004D0A61" w:rsidRDefault="007B6401" w:rsidP="004D0A61">
      <w:pPr>
        <w:pStyle w:val="ListParagraph"/>
        <w:numPr>
          <w:ilvl w:val="0"/>
          <w:numId w:val="23"/>
        </w:numPr>
        <w:spacing w:after="0"/>
        <w:contextualSpacing/>
        <w:rPr>
          <w:rFonts w:ascii="Franklin Gothic Book" w:hAnsi="Franklin Gothic Book"/>
          <w:sz w:val="21"/>
          <w:szCs w:val="21"/>
        </w:rPr>
      </w:pPr>
      <w:r>
        <w:rPr>
          <w:rFonts w:ascii="Franklin Gothic Book" w:hAnsi="Franklin Gothic Book"/>
          <w:sz w:val="21"/>
          <w:szCs w:val="21"/>
        </w:rPr>
        <w:t>p</w:t>
      </w:r>
      <w:r w:rsidR="00C8748C" w:rsidRPr="004D0A61">
        <w:rPr>
          <w:rFonts w:ascii="Franklin Gothic Book" w:hAnsi="Franklin Gothic Book"/>
          <w:sz w:val="21"/>
          <w:szCs w:val="21"/>
        </w:rPr>
        <w:t>rovid</w:t>
      </w:r>
      <w:r w:rsidR="00892F89">
        <w:rPr>
          <w:rFonts w:ascii="Franklin Gothic Book" w:hAnsi="Franklin Gothic Book"/>
          <w:sz w:val="21"/>
          <w:szCs w:val="21"/>
        </w:rPr>
        <w:t>ed</w:t>
      </w:r>
      <w:r w:rsidR="00686E78" w:rsidRPr="004D0A61">
        <w:rPr>
          <w:rFonts w:ascii="Franklin Gothic Book" w:hAnsi="Franklin Gothic Book"/>
          <w:sz w:val="21"/>
          <w:szCs w:val="21"/>
        </w:rPr>
        <w:t xml:space="preserve"> </w:t>
      </w:r>
      <w:r w:rsidR="002B4B3D" w:rsidRPr="004D0A61">
        <w:rPr>
          <w:rFonts w:ascii="Franklin Gothic Book" w:hAnsi="Franklin Gothic Book"/>
          <w:sz w:val="21"/>
          <w:szCs w:val="21"/>
        </w:rPr>
        <w:t xml:space="preserve">ongoing </w:t>
      </w:r>
      <w:r w:rsidR="00686E78" w:rsidRPr="004D0A61">
        <w:rPr>
          <w:rFonts w:ascii="Franklin Gothic Book" w:hAnsi="Franklin Gothic Book"/>
          <w:sz w:val="21"/>
          <w:szCs w:val="21"/>
        </w:rPr>
        <w:t xml:space="preserve">technical assistance to Samoa </w:t>
      </w:r>
      <w:r w:rsidR="00962F5A" w:rsidRPr="004D0A61">
        <w:rPr>
          <w:rFonts w:ascii="Franklin Gothic Book" w:hAnsi="Franklin Gothic Book"/>
          <w:sz w:val="21"/>
          <w:szCs w:val="21"/>
        </w:rPr>
        <w:t xml:space="preserve">to analyse options </w:t>
      </w:r>
      <w:r w:rsidR="00686E78" w:rsidRPr="004D0A61">
        <w:rPr>
          <w:rFonts w:ascii="Franklin Gothic Book" w:hAnsi="Franklin Gothic Book"/>
          <w:sz w:val="21"/>
          <w:szCs w:val="21"/>
        </w:rPr>
        <w:t>for the public</w:t>
      </w:r>
      <w:r w:rsidR="00892F89">
        <w:rPr>
          <w:rFonts w:ascii="Franklin Gothic Book" w:hAnsi="Franklin Gothic Book"/>
          <w:sz w:val="21"/>
          <w:szCs w:val="21"/>
        </w:rPr>
        <w:t>-</w:t>
      </w:r>
      <w:r w:rsidR="00686E78" w:rsidRPr="004D0A61">
        <w:rPr>
          <w:rFonts w:ascii="Franklin Gothic Book" w:hAnsi="Franklin Gothic Book"/>
          <w:sz w:val="21"/>
          <w:szCs w:val="21"/>
        </w:rPr>
        <w:t>private partnership that will manage wholesale operation of internet services</w:t>
      </w:r>
      <w:r w:rsidR="0085435B">
        <w:rPr>
          <w:rFonts w:ascii="Franklin Gothic Book" w:hAnsi="Franklin Gothic Book"/>
          <w:sz w:val="21"/>
          <w:szCs w:val="21"/>
        </w:rPr>
        <w:t xml:space="preserve"> arising from the new broadband submarine cable</w:t>
      </w:r>
      <w:r w:rsidR="00686E78" w:rsidRPr="004D0A61">
        <w:rPr>
          <w:rFonts w:ascii="Franklin Gothic Book" w:hAnsi="Franklin Gothic Book"/>
          <w:sz w:val="21"/>
          <w:szCs w:val="21"/>
        </w:rPr>
        <w:t>.</w:t>
      </w:r>
      <w:r w:rsidR="0085435B">
        <w:rPr>
          <w:rFonts w:ascii="Franklin Gothic Book" w:hAnsi="Franklin Gothic Book"/>
          <w:sz w:val="21"/>
          <w:szCs w:val="21"/>
        </w:rPr>
        <w:t xml:space="preserve"> This has assisted the Samoa</w:t>
      </w:r>
      <w:r w:rsidR="00C45FC6">
        <w:rPr>
          <w:rFonts w:ascii="Franklin Gothic Book" w:hAnsi="Franklin Gothic Book"/>
          <w:sz w:val="21"/>
          <w:szCs w:val="21"/>
        </w:rPr>
        <w:t>n Government</w:t>
      </w:r>
      <w:r w:rsidR="0085435B">
        <w:rPr>
          <w:rFonts w:ascii="Franklin Gothic Book" w:hAnsi="Franklin Gothic Book"/>
          <w:sz w:val="21"/>
          <w:szCs w:val="21"/>
        </w:rPr>
        <w:t xml:space="preserve"> to move th</w:t>
      </w:r>
      <w:r w:rsidR="00B57CD8">
        <w:rPr>
          <w:rFonts w:ascii="Franklin Gothic Book" w:hAnsi="Franklin Gothic Book"/>
          <w:sz w:val="21"/>
          <w:szCs w:val="21"/>
        </w:rPr>
        <w:t>is important initiative forward</w:t>
      </w:r>
      <w:r w:rsidR="00437067">
        <w:rPr>
          <w:rFonts w:ascii="Franklin Gothic Book" w:hAnsi="Franklin Gothic Book"/>
          <w:sz w:val="21"/>
          <w:szCs w:val="21"/>
        </w:rPr>
        <w:t>.</w:t>
      </w:r>
    </w:p>
    <w:p w:rsidR="002B4B3D" w:rsidRPr="004D0A61" w:rsidRDefault="007B6401" w:rsidP="004D0A61">
      <w:pPr>
        <w:pStyle w:val="ListParagraph"/>
        <w:numPr>
          <w:ilvl w:val="0"/>
          <w:numId w:val="23"/>
        </w:numPr>
        <w:spacing w:after="0"/>
        <w:contextualSpacing/>
        <w:rPr>
          <w:rFonts w:ascii="Franklin Gothic Book" w:hAnsi="Franklin Gothic Book"/>
          <w:sz w:val="21"/>
          <w:szCs w:val="21"/>
        </w:rPr>
      </w:pPr>
      <w:r>
        <w:rPr>
          <w:rFonts w:ascii="Franklin Gothic Book" w:hAnsi="Franklin Gothic Book"/>
          <w:sz w:val="21"/>
          <w:szCs w:val="21"/>
        </w:rPr>
        <w:t>r</w:t>
      </w:r>
      <w:r w:rsidR="00962F5A" w:rsidRPr="004D0A61">
        <w:rPr>
          <w:rFonts w:ascii="Franklin Gothic Book" w:hAnsi="Franklin Gothic Book"/>
          <w:sz w:val="21"/>
          <w:szCs w:val="21"/>
        </w:rPr>
        <w:t>each</w:t>
      </w:r>
      <w:r w:rsidR="00892F89">
        <w:rPr>
          <w:rFonts w:ascii="Franklin Gothic Book" w:hAnsi="Franklin Gothic Book"/>
          <w:sz w:val="21"/>
          <w:szCs w:val="21"/>
        </w:rPr>
        <w:t>ed</w:t>
      </w:r>
      <w:r w:rsidR="002B4B3D" w:rsidRPr="004D0A61">
        <w:rPr>
          <w:rFonts w:ascii="Franklin Gothic Book" w:hAnsi="Franklin Gothic Book"/>
          <w:sz w:val="21"/>
          <w:szCs w:val="21"/>
        </w:rPr>
        <w:t xml:space="preserve"> agreement on a final</w:t>
      </w:r>
      <w:r w:rsidR="00892F89">
        <w:rPr>
          <w:rFonts w:ascii="Franklin Gothic Book" w:hAnsi="Franklin Gothic Book"/>
          <w:sz w:val="21"/>
          <w:szCs w:val="21"/>
        </w:rPr>
        <w:t>,</w:t>
      </w:r>
      <w:r w:rsidR="002B4B3D" w:rsidRPr="004D0A61">
        <w:rPr>
          <w:rFonts w:ascii="Franklin Gothic Book" w:hAnsi="Franklin Gothic Book"/>
          <w:sz w:val="21"/>
          <w:szCs w:val="21"/>
        </w:rPr>
        <w:t xml:space="preserve"> revised design and budget for Samoa’s new Parliame</w:t>
      </w:r>
      <w:r w:rsidR="00B57CD8">
        <w:rPr>
          <w:rFonts w:ascii="Franklin Gothic Book" w:hAnsi="Franklin Gothic Book"/>
          <w:sz w:val="21"/>
          <w:szCs w:val="21"/>
        </w:rPr>
        <w:t>nt House</w:t>
      </w:r>
      <w:r w:rsidR="00437067">
        <w:rPr>
          <w:rFonts w:ascii="Franklin Gothic Book" w:hAnsi="Franklin Gothic Book"/>
          <w:sz w:val="21"/>
          <w:szCs w:val="21"/>
        </w:rPr>
        <w:t>.</w:t>
      </w:r>
    </w:p>
    <w:p w:rsidR="002B4B3D" w:rsidRDefault="007B6401" w:rsidP="004D0A61">
      <w:pPr>
        <w:pStyle w:val="ListParagraph"/>
        <w:numPr>
          <w:ilvl w:val="0"/>
          <w:numId w:val="23"/>
        </w:numPr>
        <w:spacing w:after="0"/>
        <w:contextualSpacing/>
        <w:rPr>
          <w:rFonts w:ascii="Franklin Gothic Book" w:hAnsi="Franklin Gothic Book"/>
          <w:sz w:val="21"/>
          <w:szCs w:val="21"/>
        </w:rPr>
      </w:pPr>
      <w:r>
        <w:rPr>
          <w:rFonts w:ascii="Franklin Gothic Book" w:hAnsi="Franklin Gothic Book"/>
          <w:sz w:val="21"/>
          <w:szCs w:val="21"/>
        </w:rPr>
        <w:lastRenderedPageBreak/>
        <w:t>s</w:t>
      </w:r>
      <w:r w:rsidR="002B4B3D" w:rsidRPr="004D0A61">
        <w:rPr>
          <w:rFonts w:ascii="Franklin Gothic Book" w:hAnsi="Franklin Gothic Book"/>
          <w:sz w:val="21"/>
          <w:szCs w:val="21"/>
        </w:rPr>
        <w:t>upport</w:t>
      </w:r>
      <w:r w:rsidR="00892F89">
        <w:rPr>
          <w:rFonts w:ascii="Franklin Gothic Book" w:hAnsi="Franklin Gothic Book"/>
          <w:sz w:val="21"/>
          <w:szCs w:val="21"/>
        </w:rPr>
        <w:t>ed</w:t>
      </w:r>
      <w:r w:rsidR="002B4B3D" w:rsidRPr="004D0A61">
        <w:rPr>
          <w:rFonts w:ascii="Franklin Gothic Book" w:hAnsi="Franklin Gothic Book"/>
          <w:sz w:val="21"/>
          <w:szCs w:val="21"/>
        </w:rPr>
        <w:t xml:space="preserve"> parliamentary engagement activities including a women’s parliament forum</w:t>
      </w:r>
      <w:r w:rsidR="00437067">
        <w:rPr>
          <w:rFonts w:ascii="Franklin Gothic Book" w:hAnsi="Franklin Gothic Book"/>
          <w:sz w:val="21"/>
          <w:szCs w:val="21"/>
        </w:rPr>
        <w:t>,</w:t>
      </w:r>
      <w:r w:rsidR="002B4B3D" w:rsidRPr="004D0A61">
        <w:rPr>
          <w:rFonts w:ascii="Franklin Gothic Book" w:hAnsi="Franklin Gothic Book"/>
          <w:sz w:val="21"/>
          <w:szCs w:val="21"/>
        </w:rPr>
        <w:t xml:space="preserve"> </w:t>
      </w:r>
      <w:r w:rsidR="00524E69" w:rsidRPr="004D0A61">
        <w:rPr>
          <w:rFonts w:ascii="Franklin Gothic Book" w:hAnsi="Franklin Gothic Book"/>
          <w:sz w:val="21"/>
          <w:szCs w:val="21"/>
        </w:rPr>
        <w:t xml:space="preserve">attended by more than 200 women, </w:t>
      </w:r>
      <w:r w:rsidR="00406E98" w:rsidRPr="004D0A61">
        <w:rPr>
          <w:rFonts w:ascii="Franklin Gothic Book" w:hAnsi="Franklin Gothic Book"/>
          <w:sz w:val="21"/>
          <w:szCs w:val="21"/>
        </w:rPr>
        <w:t>provid</w:t>
      </w:r>
      <w:r w:rsidR="00437067">
        <w:rPr>
          <w:rFonts w:ascii="Franklin Gothic Book" w:hAnsi="Franklin Gothic Book"/>
          <w:sz w:val="21"/>
          <w:szCs w:val="21"/>
        </w:rPr>
        <w:t>ing</w:t>
      </w:r>
      <w:r w:rsidR="00406E98" w:rsidRPr="004D0A61">
        <w:rPr>
          <w:rFonts w:ascii="Franklin Gothic Book" w:hAnsi="Franklin Gothic Book"/>
          <w:sz w:val="21"/>
          <w:szCs w:val="21"/>
        </w:rPr>
        <w:t xml:space="preserve"> information on how Parliament operates to </w:t>
      </w:r>
      <w:r w:rsidR="00CB4411">
        <w:rPr>
          <w:rFonts w:ascii="Franklin Gothic Book" w:hAnsi="Franklin Gothic Book"/>
          <w:sz w:val="21"/>
          <w:szCs w:val="21"/>
        </w:rPr>
        <w:t>female</w:t>
      </w:r>
      <w:r w:rsidR="0085435B">
        <w:rPr>
          <w:rFonts w:ascii="Franklin Gothic Book" w:hAnsi="Franklin Gothic Book"/>
          <w:sz w:val="21"/>
          <w:szCs w:val="21"/>
        </w:rPr>
        <w:t xml:space="preserve"> community leaders</w:t>
      </w:r>
      <w:r w:rsidR="00310E3B">
        <w:rPr>
          <w:rFonts w:ascii="Franklin Gothic Book" w:hAnsi="Franklin Gothic Book"/>
          <w:sz w:val="21"/>
          <w:szCs w:val="21"/>
        </w:rPr>
        <w:t>.</w:t>
      </w:r>
    </w:p>
    <w:p w:rsidR="00B569CB" w:rsidRDefault="00410C7E" w:rsidP="00550C12">
      <w:pPr>
        <w:pStyle w:val="BodyText"/>
        <w:spacing w:before="120" w:after="120" w:line="240" w:lineRule="auto"/>
        <w:rPr>
          <w:lang w:val="en-GB"/>
        </w:rPr>
      </w:pPr>
      <w:r>
        <w:rPr>
          <w:lang w:val="en-GB"/>
        </w:rPr>
        <w:t>D</w:t>
      </w:r>
      <w:r w:rsidR="002311BD" w:rsidRPr="002311BD">
        <w:rPr>
          <w:lang w:val="en-GB"/>
        </w:rPr>
        <w:t>FAT participated in economic policy dialogue with the Samoa</w:t>
      </w:r>
      <w:r w:rsidR="00F8684C">
        <w:rPr>
          <w:lang w:val="en-GB"/>
        </w:rPr>
        <w:t>n</w:t>
      </w:r>
      <w:r w:rsidR="002311BD" w:rsidRPr="002311BD">
        <w:rPr>
          <w:lang w:val="en-GB"/>
        </w:rPr>
        <w:t xml:space="preserve"> </w:t>
      </w:r>
      <w:r w:rsidR="00F8684C" w:rsidRPr="002311BD">
        <w:rPr>
          <w:lang w:val="en-GB"/>
        </w:rPr>
        <w:t xml:space="preserve">Government </w:t>
      </w:r>
      <w:r w:rsidR="002311BD" w:rsidRPr="002311BD">
        <w:rPr>
          <w:lang w:val="en-GB"/>
        </w:rPr>
        <w:t xml:space="preserve">with a focus on supporting Samoa to continue to stabilise its economy as it recovers from past external shocks. Australian budget support, alongside budget support provided by other donors (World Bank, ADB, New Zealand), continued to offer an incentive for Samoa to pursue economic policies and reforms that strengthened Samoa’s public financial management systems and promote an open and competitive private sector-led economy. </w:t>
      </w:r>
    </w:p>
    <w:p w:rsidR="002311BD" w:rsidRPr="002311BD" w:rsidRDefault="002311BD" w:rsidP="00550C12">
      <w:pPr>
        <w:pStyle w:val="BodyText"/>
        <w:spacing w:before="120" w:after="120" w:line="240" w:lineRule="auto"/>
        <w:rPr>
          <w:lang w:val="en-GB"/>
        </w:rPr>
      </w:pPr>
      <w:r w:rsidRPr="002311BD">
        <w:rPr>
          <w:lang w:val="en-GB"/>
        </w:rPr>
        <w:t xml:space="preserve">Samoa’s external debt </w:t>
      </w:r>
      <w:r w:rsidR="001A383D">
        <w:rPr>
          <w:lang w:val="en-GB"/>
        </w:rPr>
        <w:t xml:space="preserve">and </w:t>
      </w:r>
      <w:r w:rsidR="001A383D" w:rsidRPr="002311BD">
        <w:rPr>
          <w:lang w:val="en-GB"/>
        </w:rPr>
        <w:t xml:space="preserve">the importance of sound debt management </w:t>
      </w:r>
      <w:r w:rsidRPr="002311BD">
        <w:rPr>
          <w:lang w:val="en-GB"/>
        </w:rPr>
        <w:t>remained a key area of policy dialogue. Samoa committed to additional concessional borrowing in the reporting period to fund the redevelopment of the passenger terminal at Samo</w:t>
      </w:r>
      <w:r w:rsidR="0085435B">
        <w:rPr>
          <w:lang w:val="en-GB"/>
        </w:rPr>
        <w:t xml:space="preserve">a’s main international airport. </w:t>
      </w:r>
      <w:r w:rsidRPr="002311BD">
        <w:rPr>
          <w:lang w:val="en-GB"/>
        </w:rPr>
        <w:t xml:space="preserve">DFAT and other donors </w:t>
      </w:r>
      <w:r w:rsidR="0085435B">
        <w:rPr>
          <w:lang w:val="en-GB"/>
        </w:rPr>
        <w:t>postponed</w:t>
      </w:r>
      <w:r w:rsidRPr="002311BD">
        <w:rPr>
          <w:lang w:val="en-GB"/>
        </w:rPr>
        <w:t xml:space="preserve"> paying budget support until satisfied </w:t>
      </w:r>
      <w:r w:rsidR="00CB4411">
        <w:rPr>
          <w:lang w:val="en-GB"/>
        </w:rPr>
        <w:t xml:space="preserve">that </w:t>
      </w:r>
      <w:r w:rsidRPr="002311BD">
        <w:rPr>
          <w:lang w:val="en-GB"/>
        </w:rPr>
        <w:t xml:space="preserve">Samoa </w:t>
      </w:r>
      <w:r w:rsidR="001C49FA">
        <w:rPr>
          <w:lang w:val="en-GB"/>
        </w:rPr>
        <w:t xml:space="preserve">demonstrated it </w:t>
      </w:r>
      <w:r w:rsidRPr="002311BD">
        <w:rPr>
          <w:lang w:val="en-GB"/>
        </w:rPr>
        <w:t xml:space="preserve">had followed </w:t>
      </w:r>
      <w:r w:rsidR="0007109D">
        <w:rPr>
          <w:lang w:val="en-GB"/>
        </w:rPr>
        <w:t>its own medium</w:t>
      </w:r>
      <w:r w:rsidR="00437067">
        <w:rPr>
          <w:lang w:val="en-GB"/>
        </w:rPr>
        <w:t>-</w:t>
      </w:r>
      <w:r w:rsidR="0007109D">
        <w:rPr>
          <w:lang w:val="en-GB"/>
        </w:rPr>
        <w:t>term debt strategy</w:t>
      </w:r>
      <w:r w:rsidR="00437067">
        <w:rPr>
          <w:lang w:val="en-GB"/>
        </w:rPr>
        <w:t>,</w:t>
      </w:r>
      <w:r w:rsidR="0007109D">
        <w:rPr>
          <w:lang w:val="en-GB"/>
        </w:rPr>
        <w:t xml:space="preserve"> </w:t>
      </w:r>
      <w:r w:rsidRPr="002311BD">
        <w:rPr>
          <w:lang w:val="en-GB"/>
        </w:rPr>
        <w:t xml:space="preserve">including completion of economic analysis detailing the economic benefits expected to accrue from redeveloping the terminal.   </w:t>
      </w:r>
    </w:p>
    <w:p w:rsidR="002311BD" w:rsidRPr="002311BD" w:rsidRDefault="00406E98" w:rsidP="00550C12">
      <w:pPr>
        <w:pStyle w:val="BodyText"/>
        <w:spacing w:before="120" w:after="120" w:line="240" w:lineRule="auto"/>
        <w:rPr>
          <w:lang w:val="en-GB"/>
        </w:rPr>
      </w:pPr>
      <w:r w:rsidRPr="002311BD">
        <w:rPr>
          <w:lang w:val="en-GB"/>
        </w:rPr>
        <w:t xml:space="preserve">A number of small-scale governance support activities delivered </w:t>
      </w:r>
      <w:r w:rsidR="00EF7AFC">
        <w:rPr>
          <w:lang w:val="en-GB"/>
        </w:rPr>
        <w:t xml:space="preserve">important results. </w:t>
      </w:r>
      <w:r w:rsidR="0007109D">
        <w:rPr>
          <w:lang w:val="en-GB"/>
        </w:rPr>
        <w:t>A technical</w:t>
      </w:r>
      <w:r w:rsidR="002311BD" w:rsidRPr="002311BD">
        <w:rPr>
          <w:lang w:val="en-GB"/>
        </w:rPr>
        <w:t xml:space="preserve"> adviser for the Samoa National Provident Fund and the Unit Trust of Samoa assisted the institutions to responsibly bu</w:t>
      </w:r>
      <w:r w:rsidR="00B803D2">
        <w:rPr>
          <w:lang w:val="en-GB"/>
        </w:rPr>
        <w:t>ild their investment portfolios</w:t>
      </w:r>
      <w:r w:rsidR="002311BD" w:rsidRPr="002311BD">
        <w:rPr>
          <w:lang w:val="en-GB"/>
        </w:rPr>
        <w:t xml:space="preserve"> </w:t>
      </w:r>
      <w:r w:rsidR="00B803D2">
        <w:rPr>
          <w:lang w:val="en-GB"/>
        </w:rPr>
        <w:t>and diversify</w:t>
      </w:r>
      <w:r w:rsidR="002311BD" w:rsidRPr="002311BD">
        <w:rPr>
          <w:lang w:val="en-GB"/>
        </w:rPr>
        <w:t xml:space="preserve"> their investments into offshore markets</w:t>
      </w:r>
      <w:r w:rsidR="0007109D">
        <w:rPr>
          <w:lang w:val="en-GB"/>
        </w:rPr>
        <w:t>,</w:t>
      </w:r>
      <w:r w:rsidR="00B803D2">
        <w:rPr>
          <w:lang w:val="en-GB"/>
        </w:rPr>
        <w:t xml:space="preserve"> </w:t>
      </w:r>
      <w:r w:rsidR="002311BD" w:rsidRPr="002311BD">
        <w:rPr>
          <w:lang w:val="en-GB"/>
        </w:rPr>
        <w:t>contributing to Samoa’s economic stability.</w:t>
      </w:r>
      <w:r w:rsidR="00EF7AFC">
        <w:rPr>
          <w:lang w:val="en-GB"/>
        </w:rPr>
        <w:t xml:space="preserve"> </w:t>
      </w:r>
      <w:r w:rsidR="0007109D">
        <w:rPr>
          <w:lang w:val="en-GB"/>
        </w:rPr>
        <w:t>Specialised</w:t>
      </w:r>
      <w:r w:rsidR="002311BD" w:rsidRPr="002311BD">
        <w:rPr>
          <w:lang w:val="en-GB"/>
        </w:rPr>
        <w:t xml:space="preserve"> technical advice and training </w:t>
      </w:r>
      <w:r w:rsidR="0007109D">
        <w:rPr>
          <w:lang w:val="en-GB"/>
        </w:rPr>
        <w:t>provided to the Office of the Regulator built its</w:t>
      </w:r>
      <w:r w:rsidR="002311BD" w:rsidRPr="002311BD">
        <w:rPr>
          <w:lang w:val="en-GB"/>
        </w:rPr>
        <w:t xml:space="preserve"> capabilities in regulating electricity generation and pricing arrangements</w:t>
      </w:r>
      <w:r w:rsidR="0007109D">
        <w:rPr>
          <w:lang w:val="en-GB"/>
        </w:rPr>
        <w:t>.</w:t>
      </w:r>
    </w:p>
    <w:p w:rsidR="002311BD" w:rsidRDefault="002311BD" w:rsidP="00550C12">
      <w:pPr>
        <w:pStyle w:val="BodyText"/>
        <w:spacing w:before="120" w:after="120" w:line="240" w:lineRule="auto"/>
        <w:rPr>
          <w:lang w:val="en-GB"/>
        </w:rPr>
      </w:pPr>
      <w:r w:rsidRPr="002311BD">
        <w:rPr>
          <w:lang w:val="en-GB"/>
        </w:rPr>
        <w:t>Preparatory work commenced for the Enhanced Roads Access Project c</w:t>
      </w:r>
      <w:r w:rsidR="004D0A61">
        <w:rPr>
          <w:lang w:val="en-GB"/>
        </w:rPr>
        <w:t>o-financed with the World Bank</w:t>
      </w:r>
      <w:r w:rsidR="0007109D">
        <w:rPr>
          <w:lang w:val="en-GB"/>
        </w:rPr>
        <w:t>, as part of Australia’s overall investment in economic infrastructure. This</w:t>
      </w:r>
      <w:r w:rsidR="004D0A61">
        <w:rPr>
          <w:lang w:val="en-GB"/>
        </w:rPr>
        <w:t xml:space="preserve"> includ</w:t>
      </w:r>
      <w:r w:rsidR="00C055E3">
        <w:rPr>
          <w:lang w:val="en-GB"/>
        </w:rPr>
        <w:t>ed</w:t>
      </w:r>
      <w:r w:rsidR="00BE43CE">
        <w:rPr>
          <w:lang w:val="en-GB"/>
        </w:rPr>
        <w:t>:</w:t>
      </w:r>
      <w:r w:rsidR="00C055E3">
        <w:rPr>
          <w:lang w:val="en-GB"/>
        </w:rPr>
        <w:t xml:space="preserve"> </w:t>
      </w:r>
      <w:r w:rsidRPr="002311BD">
        <w:rPr>
          <w:lang w:val="en-GB"/>
        </w:rPr>
        <w:t xml:space="preserve">procurement planning and processing; developing engineering designs; undertaking economic and safeguard analysis and beneficiary studies. DFAT worked closely with the World Bank and </w:t>
      </w:r>
      <w:r w:rsidR="007B6401">
        <w:rPr>
          <w:lang w:val="en-GB"/>
        </w:rPr>
        <w:t>ADB</w:t>
      </w:r>
      <w:r w:rsidRPr="002311BD">
        <w:rPr>
          <w:lang w:val="en-GB"/>
        </w:rPr>
        <w:t xml:space="preserve"> to finalise plans for a co-financed submarine internet and communications cable which will increase Samoa’s internet speeds dramatically and reduce retail internet costs to consumers.</w:t>
      </w:r>
    </w:p>
    <w:p w:rsidR="00EF7AFC" w:rsidRPr="002311BD" w:rsidRDefault="00EF7AFC" w:rsidP="00550C12">
      <w:pPr>
        <w:pStyle w:val="BodyText"/>
        <w:spacing w:before="120" w:after="120" w:line="240" w:lineRule="auto"/>
        <w:rPr>
          <w:lang w:val="en-GB"/>
        </w:rPr>
      </w:pPr>
      <w:r w:rsidRPr="002311BD">
        <w:rPr>
          <w:lang w:val="en-GB"/>
        </w:rPr>
        <w:t xml:space="preserve">DFAT </w:t>
      </w:r>
      <w:r>
        <w:rPr>
          <w:lang w:val="en-GB"/>
        </w:rPr>
        <w:t>supported</w:t>
      </w:r>
      <w:r w:rsidRPr="002311BD">
        <w:rPr>
          <w:lang w:val="en-GB"/>
        </w:rPr>
        <w:t xml:space="preserve"> </w:t>
      </w:r>
      <w:r>
        <w:rPr>
          <w:lang w:val="en-GB"/>
        </w:rPr>
        <w:t xml:space="preserve">public outreach </w:t>
      </w:r>
      <w:r w:rsidRPr="002311BD">
        <w:rPr>
          <w:lang w:val="en-GB"/>
        </w:rPr>
        <w:t>and parliamentary engagement activities targeting young people, women and civil society</w:t>
      </w:r>
      <w:r w:rsidR="00892F89">
        <w:rPr>
          <w:lang w:val="en-GB"/>
        </w:rPr>
        <w:t>,</w:t>
      </w:r>
      <w:r w:rsidRPr="002311BD">
        <w:rPr>
          <w:lang w:val="en-GB"/>
        </w:rPr>
        <w:t xml:space="preserve"> including people with disability</w:t>
      </w:r>
      <w:r w:rsidR="00892F89">
        <w:rPr>
          <w:lang w:val="en-GB"/>
        </w:rPr>
        <w:t>,</w:t>
      </w:r>
      <w:r w:rsidRPr="002311BD">
        <w:rPr>
          <w:lang w:val="en-GB"/>
        </w:rPr>
        <w:t xml:space="preserve"> to increase awareness</w:t>
      </w:r>
      <w:r w:rsidR="00323111">
        <w:rPr>
          <w:lang w:val="en-GB"/>
        </w:rPr>
        <w:t xml:space="preserve"> </w:t>
      </w:r>
      <w:r w:rsidR="001C49FA">
        <w:rPr>
          <w:lang w:val="en-GB"/>
        </w:rPr>
        <w:t>on the role of Parliament.</w:t>
      </w:r>
    </w:p>
    <w:p w:rsidR="002311BD" w:rsidRDefault="00FA1BD5" w:rsidP="00550C12">
      <w:pPr>
        <w:pStyle w:val="BodyText"/>
        <w:spacing w:before="120" w:after="120" w:line="240" w:lineRule="auto"/>
        <w:rPr>
          <w:lang w:val="en-GB"/>
        </w:rPr>
      </w:pPr>
      <w:r>
        <w:rPr>
          <w:lang w:val="en-GB"/>
        </w:rPr>
        <w:t xml:space="preserve">DFAT </w:t>
      </w:r>
      <w:r w:rsidR="002311BD" w:rsidRPr="002311BD">
        <w:rPr>
          <w:lang w:val="en-GB"/>
        </w:rPr>
        <w:t xml:space="preserve">launched the </w:t>
      </w:r>
      <w:r w:rsidR="001A383D">
        <w:rPr>
          <w:lang w:val="en-GB"/>
        </w:rPr>
        <w:t>Samoa Women Shaping Development strategy</w:t>
      </w:r>
      <w:r w:rsidR="001A383D" w:rsidRPr="001A383D">
        <w:rPr>
          <w:lang w:val="en-GB"/>
        </w:rPr>
        <w:t xml:space="preserve"> </w:t>
      </w:r>
      <w:r w:rsidR="001A383D">
        <w:rPr>
          <w:lang w:val="en-GB"/>
        </w:rPr>
        <w:t>i</w:t>
      </w:r>
      <w:r w:rsidR="001A383D" w:rsidRPr="002311BD">
        <w:rPr>
          <w:lang w:val="en-GB"/>
        </w:rPr>
        <w:t>n</w:t>
      </w:r>
      <w:r w:rsidR="001A383D">
        <w:rPr>
          <w:lang w:val="en-GB"/>
        </w:rPr>
        <w:t xml:space="preserve"> March 2015</w:t>
      </w:r>
      <w:r w:rsidR="0007109D">
        <w:rPr>
          <w:lang w:val="en-GB"/>
        </w:rPr>
        <w:t>, committing $4.3 million from 2015 to 2020</w:t>
      </w:r>
      <w:r w:rsidR="001A383D">
        <w:rPr>
          <w:lang w:val="en-GB"/>
        </w:rPr>
        <w:t>. The</w:t>
      </w:r>
      <w:r w:rsidR="002311BD" w:rsidRPr="002311BD">
        <w:rPr>
          <w:lang w:val="en-GB"/>
        </w:rPr>
        <w:t xml:space="preserve"> </w:t>
      </w:r>
      <w:r w:rsidR="001A383D">
        <w:rPr>
          <w:lang w:val="en-GB"/>
        </w:rPr>
        <w:t xml:space="preserve">strategy focusses </w:t>
      </w:r>
      <w:r w:rsidR="002311BD" w:rsidRPr="002311BD">
        <w:rPr>
          <w:lang w:val="en-GB"/>
        </w:rPr>
        <w:t xml:space="preserve">on economic empowerment of women, increasing women’s involvement in decision making at village and national levels, and reducing violence against women and girls. </w:t>
      </w:r>
    </w:p>
    <w:p w:rsidR="00410C7E" w:rsidRPr="002311BD" w:rsidRDefault="004D0A61" w:rsidP="00550C12">
      <w:pPr>
        <w:pStyle w:val="BodyText"/>
        <w:spacing w:before="120" w:after="120" w:line="240" w:lineRule="auto"/>
        <w:rPr>
          <w:lang w:val="en-GB"/>
        </w:rPr>
      </w:pPr>
      <w:r>
        <w:rPr>
          <w:lang w:val="en-GB"/>
        </w:rPr>
        <w:t>In September 2014</w:t>
      </w:r>
      <w:r w:rsidR="00F8684C">
        <w:rPr>
          <w:lang w:val="en-GB"/>
        </w:rPr>
        <w:t>,</w:t>
      </w:r>
      <w:r>
        <w:rPr>
          <w:lang w:val="en-GB"/>
        </w:rPr>
        <w:t xml:space="preserve"> the</w:t>
      </w:r>
      <w:r w:rsidRPr="004D0A61">
        <w:rPr>
          <w:lang w:val="en-GB"/>
        </w:rPr>
        <w:t xml:space="preserve"> Samoa</w:t>
      </w:r>
      <w:r w:rsidR="00F8684C">
        <w:rPr>
          <w:lang w:val="en-GB"/>
        </w:rPr>
        <w:t>n</w:t>
      </w:r>
      <w:r w:rsidRPr="004D0A61">
        <w:rPr>
          <w:lang w:val="en-GB"/>
        </w:rPr>
        <w:t xml:space="preserve"> </w:t>
      </w:r>
      <w:r w:rsidR="00F8684C" w:rsidRPr="004D0A61">
        <w:rPr>
          <w:lang w:val="en-GB"/>
        </w:rPr>
        <w:t xml:space="preserve">Government </w:t>
      </w:r>
      <w:r w:rsidRPr="004D0A61">
        <w:rPr>
          <w:lang w:val="en-GB"/>
        </w:rPr>
        <w:t>signed the UN Convention on the Rights of</w:t>
      </w:r>
      <w:r w:rsidR="00B803D2">
        <w:rPr>
          <w:lang w:val="en-GB"/>
        </w:rPr>
        <w:t xml:space="preserve"> Persons with Disabilities (CRPD)</w:t>
      </w:r>
      <w:r w:rsidRPr="004D0A61">
        <w:rPr>
          <w:lang w:val="en-GB"/>
        </w:rPr>
        <w:t xml:space="preserve">. </w:t>
      </w:r>
      <w:r w:rsidR="00FA1BD5">
        <w:rPr>
          <w:lang w:val="en-GB"/>
        </w:rPr>
        <w:t xml:space="preserve">DFAT </w:t>
      </w:r>
      <w:r>
        <w:rPr>
          <w:lang w:val="en-GB"/>
        </w:rPr>
        <w:t>support</w:t>
      </w:r>
      <w:r w:rsidR="00546E97">
        <w:rPr>
          <w:lang w:val="en-GB"/>
        </w:rPr>
        <w:t>ed</w:t>
      </w:r>
      <w:r>
        <w:rPr>
          <w:lang w:val="en-GB"/>
        </w:rPr>
        <w:t xml:space="preserve"> the </w:t>
      </w:r>
      <w:r w:rsidR="00546E97">
        <w:rPr>
          <w:lang w:val="en-GB"/>
        </w:rPr>
        <w:t xml:space="preserve">Samoan </w:t>
      </w:r>
      <w:r>
        <w:rPr>
          <w:lang w:val="en-GB"/>
        </w:rPr>
        <w:t>Attorney General’s office to undertake a review of l</w:t>
      </w:r>
      <w:r w:rsidRPr="004D0A61">
        <w:rPr>
          <w:lang w:val="en-GB"/>
        </w:rPr>
        <w:t xml:space="preserve">egislative compliance </w:t>
      </w:r>
      <w:r w:rsidR="00C055E3">
        <w:rPr>
          <w:lang w:val="en-GB"/>
        </w:rPr>
        <w:t>with the CRPD</w:t>
      </w:r>
      <w:r w:rsidR="00546E97">
        <w:rPr>
          <w:lang w:val="en-GB"/>
        </w:rPr>
        <w:t xml:space="preserve"> and provided</w:t>
      </w:r>
      <w:r w:rsidR="00C055E3">
        <w:rPr>
          <w:lang w:val="en-GB"/>
        </w:rPr>
        <w:t xml:space="preserve"> </w:t>
      </w:r>
      <w:r w:rsidR="00546E97">
        <w:rPr>
          <w:lang w:val="en-GB"/>
        </w:rPr>
        <w:t>t</w:t>
      </w:r>
      <w:r w:rsidR="00C055E3">
        <w:rPr>
          <w:lang w:val="en-GB"/>
        </w:rPr>
        <w:t xml:space="preserve">raining </w:t>
      </w:r>
      <w:r>
        <w:rPr>
          <w:lang w:val="en-GB"/>
        </w:rPr>
        <w:t xml:space="preserve">on the CRPD and its implications to </w:t>
      </w:r>
      <w:r w:rsidR="00546E97">
        <w:rPr>
          <w:lang w:val="en-GB"/>
        </w:rPr>
        <w:t xml:space="preserve">more than </w:t>
      </w:r>
      <w:r>
        <w:rPr>
          <w:lang w:val="en-GB"/>
        </w:rPr>
        <w:t>50 government and NGO officials.</w:t>
      </w:r>
    </w:p>
    <w:p w:rsidR="002311BD" w:rsidRDefault="002311BD" w:rsidP="00550C12">
      <w:pPr>
        <w:pStyle w:val="BodyText"/>
        <w:spacing w:before="120" w:after="120" w:line="240" w:lineRule="auto"/>
        <w:rPr>
          <w:lang w:val="en-GB"/>
        </w:rPr>
      </w:pPr>
      <w:r w:rsidRPr="002311BD">
        <w:rPr>
          <w:lang w:val="en-GB"/>
        </w:rPr>
        <w:t>DFAT demonstrate</w:t>
      </w:r>
      <w:r w:rsidR="00BE43CE">
        <w:rPr>
          <w:lang w:val="en-GB"/>
        </w:rPr>
        <w:t>d</w:t>
      </w:r>
      <w:r w:rsidRPr="002311BD">
        <w:rPr>
          <w:lang w:val="en-GB"/>
        </w:rPr>
        <w:t xml:space="preserve"> its commitment to working with civil society primarily through the Samoa Civil Society Support Program (CSSP).</w:t>
      </w:r>
      <w:r w:rsidR="001E0B1B">
        <w:rPr>
          <w:lang w:val="en-GB"/>
        </w:rPr>
        <w:t xml:space="preserve"> </w:t>
      </w:r>
      <w:r w:rsidR="00F52F48">
        <w:rPr>
          <w:lang w:val="en-GB"/>
        </w:rPr>
        <w:t>Fifty-one</w:t>
      </w:r>
      <w:r w:rsidR="001E0B1B">
        <w:rPr>
          <w:lang w:val="en-GB"/>
        </w:rPr>
        <w:t xml:space="preserve"> projects were funded</w:t>
      </w:r>
      <w:r w:rsidR="001E0B1B" w:rsidRPr="00410C7E">
        <w:rPr>
          <w:lang w:val="en-GB"/>
        </w:rPr>
        <w:t xml:space="preserve"> </w:t>
      </w:r>
      <w:r w:rsidR="00546E97">
        <w:rPr>
          <w:lang w:val="en-GB"/>
        </w:rPr>
        <w:t xml:space="preserve">in the </w:t>
      </w:r>
      <w:r w:rsidR="001E0B1B" w:rsidRPr="00410C7E">
        <w:rPr>
          <w:lang w:val="en-GB"/>
        </w:rPr>
        <w:t>education, community development, health, agriculture, renewable energy and NGO</w:t>
      </w:r>
      <w:r w:rsidR="00546E97">
        <w:rPr>
          <w:lang w:val="en-GB"/>
        </w:rPr>
        <w:t xml:space="preserve"> </w:t>
      </w:r>
      <w:r w:rsidR="001E0B1B" w:rsidRPr="00410C7E">
        <w:rPr>
          <w:lang w:val="en-GB"/>
        </w:rPr>
        <w:t>s</w:t>
      </w:r>
      <w:r w:rsidR="00546E97">
        <w:rPr>
          <w:lang w:val="en-GB"/>
        </w:rPr>
        <w:t>ectors</w:t>
      </w:r>
      <w:r w:rsidR="001E0B1B" w:rsidRPr="00410C7E">
        <w:rPr>
          <w:lang w:val="en-GB"/>
        </w:rPr>
        <w:t xml:space="preserve">.  </w:t>
      </w:r>
      <w:r w:rsidRPr="002311BD">
        <w:rPr>
          <w:lang w:val="en-GB"/>
        </w:rPr>
        <w:t xml:space="preserve">  </w:t>
      </w:r>
    </w:p>
    <w:p w:rsidR="00410C7E" w:rsidRDefault="00546E97" w:rsidP="00550C12">
      <w:pPr>
        <w:pStyle w:val="BodyText"/>
        <w:spacing w:before="120" w:after="120" w:line="240" w:lineRule="auto"/>
        <w:rPr>
          <w:lang w:val="en-GB"/>
        </w:rPr>
      </w:pPr>
      <w:r>
        <w:rPr>
          <w:lang w:val="en-GB"/>
        </w:rPr>
        <w:t>A</w:t>
      </w:r>
      <w:r w:rsidR="00B803D2">
        <w:rPr>
          <w:lang w:val="en-GB"/>
        </w:rPr>
        <w:t xml:space="preserve"> joint DFAT-EU independent review found </w:t>
      </w:r>
      <w:r>
        <w:rPr>
          <w:lang w:val="en-GB"/>
        </w:rPr>
        <w:t xml:space="preserve">high levels of </w:t>
      </w:r>
      <w:r w:rsidRPr="002311BD">
        <w:rPr>
          <w:lang w:val="en-GB"/>
        </w:rPr>
        <w:t xml:space="preserve">effectiveness </w:t>
      </w:r>
      <w:r>
        <w:rPr>
          <w:lang w:val="en-GB"/>
        </w:rPr>
        <w:t xml:space="preserve">in </w:t>
      </w:r>
      <w:r w:rsidR="00B803D2" w:rsidRPr="002311BD">
        <w:rPr>
          <w:lang w:val="en-GB"/>
        </w:rPr>
        <w:t>CSSP</w:t>
      </w:r>
      <w:r w:rsidR="001C49FA">
        <w:rPr>
          <w:lang w:val="en-GB"/>
        </w:rPr>
        <w:t>.  It found that the program had a wide impact on involved communities concerning the improvement of living conditions and the strengthening of community institutions but more limited impact in strengthening the capacity of Civil Society Organisations to player a stronger role in policy dialogue and local governance.</w:t>
      </w:r>
      <w:r w:rsidR="00B803D2" w:rsidRPr="002311BD">
        <w:rPr>
          <w:lang w:val="en-GB"/>
        </w:rPr>
        <w:t xml:space="preserve"> </w:t>
      </w:r>
      <w:r w:rsidR="006C28F0">
        <w:rPr>
          <w:lang w:val="en-GB"/>
        </w:rPr>
        <w:t>The review recommended stronger knowledge sharing and further development of monitoring and evaluation mechanisms.</w:t>
      </w:r>
      <w:r w:rsidR="00BE1787">
        <w:rPr>
          <w:lang w:val="en-GB"/>
        </w:rPr>
        <w:t xml:space="preserve"> </w:t>
      </w:r>
      <w:r w:rsidR="00B803D2" w:rsidRPr="002311BD">
        <w:rPr>
          <w:lang w:val="en-GB"/>
        </w:rPr>
        <w:t xml:space="preserve">The outcomes of </w:t>
      </w:r>
      <w:r w:rsidR="00B803D2">
        <w:rPr>
          <w:lang w:val="en-GB"/>
        </w:rPr>
        <w:t>this review</w:t>
      </w:r>
      <w:r w:rsidR="00B803D2" w:rsidRPr="002311BD">
        <w:rPr>
          <w:lang w:val="en-GB"/>
        </w:rPr>
        <w:t xml:space="preserve"> will inform the way forward for CSSP and will guide the design which is now underway for the future of the Program.</w:t>
      </w:r>
      <w:r w:rsidR="00C055E3">
        <w:rPr>
          <w:lang w:val="en-GB"/>
        </w:rPr>
        <w:t xml:space="preserve">  </w:t>
      </w:r>
    </w:p>
    <w:p w:rsidR="00B57CD8" w:rsidRPr="00410C7E" w:rsidRDefault="00B57CD8" w:rsidP="00550C12">
      <w:pPr>
        <w:pStyle w:val="BodyText"/>
        <w:spacing w:before="120" w:after="120" w:line="240" w:lineRule="auto"/>
        <w:rPr>
          <w:lang w:val="en-GB"/>
        </w:rPr>
      </w:pPr>
      <w:r w:rsidRPr="002311BD">
        <w:rPr>
          <w:lang w:val="en-GB"/>
        </w:rPr>
        <w:t xml:space="preserve">The </w:t>
      </w:r>
      <w:r>
        <w:rPr>
          <w:lang w:val="en-GB"/>
        </w:rPr>
        <w:t xml:space="preserve">redevelopment </w:t>
      </w:r>
      <w:r w:rsidRPr="002311BD">
        <w:rPr>
          <w:lang w:val="en-GB"/>
        </w:rPr>
        <w:t xml:space="preserve">of Samoa’s Parliament House progressed in the reporting period albeit more slowly than expected. </w:t>
      </w:r>
      <w:r>
        <w:rPr>
          <w:lang w:val="en-GB"/>
        </w:rPr>
        <w:t>Initial designs were over</w:t>
      </w:r>
      <w:r w:rsidR="00F52F48">
        <w:rPr>
          <w:lang w:val="en-GB"/>
        </w:rPr>
        <w:t>-</w:t>
      </w:r>
      <w:r>
        <w:rPr>
          <w:lang w:val="en-GB"/>
        </w:rPr>
        <w:t xml:space="preserve">budget, but agreement was reached after consultations. </w:t>
      </w:r>
      <w:r w:rsidRPr="002311BD">
        <w:rPr>
          <w:lang w:val="en-GB"/>
        </w:rPr>
        <w:t>A more modest</w:t>
      </w:r>
      <w:r>
        <w:rPr>
          <w:lang w:val="en-GB"/>
        </w:rPr>
        <w:t>,</w:t>
      </w:r>
      <w:r w:rsidRPr="002311BD">
        <w:rPr>
          <w:lang w:val="en-GB"/>
        </w:rPr>
        <w:t xml:space="preserve"> revised design meeting Samoa’s 21</w:t>
      </w:r>
      <w:r w:rsidRPr="002311BD">
        <w:rPr>
          <w:vertAlign w:val="superscript"/>
          <w:lang w:val="en-GB"/>
        </w:rPr>
        <w:t>st</w:t>
      </w:r>
      <w:r w:rsidRPr="002311BD">
        <w:rPr>
          <w:lang w:val="en-GB"/>
        </w:rPr>
        <w:t xml:space="preserve"> century </w:t>
      </w:r>
      <w:r w:rsidR="00F52F48">
        <w:rPr>
          <w:lang w:val="en-GB"/>
        </w:rPr>
        <w:t>p</w:t>
      </w:r>
      <w:r w:rsidRPr="002311BD">
        <w:rPr>
          <w:lang w:val="en-GB"/>
        </w:rPr>
        <w:t>arliamentary needs was agreed</w:t>
      </w:r>
      <w:r>
        <w:rPr>
          <w:lang w:val="en-GB"/>
        </w:rPr>
        <w:t>.</w:t>
      </w:r>
    </w:p>
    <w:p w:rsidR="00581CCA" w:rsidRPr="002311BD" w:rsidRDefault="00581CCA" w:rsidP="001F03BC">
      <w:pPr>
        <w:pStyle w:val="ListBullet"/>
        <w:numPr>
          <w:ilvl w:val="0"/>
          <w:numId w:val="0"/>
        </w:numPr>
        <w:tabs>
          <w:tab w:val="clear" w:pos="284"/>
        </w:tabs>
        <w:rPr>
          <w:b/>
        </w:rPr>
      </w:pPr>
      <w:r w:rsidRPr="002311BD">
        <w:rPr>
          <w:b/>
        </w:rPr>
        <w:t>Objective 4: To enable Samoa to have safer communities, better access to justice and integration between the customary and formal justice systems</w:t>
      </w:r>
    </w:p>
    <w:p w:rsidR="0013302E" w:rsidRDefault="0013302E" w:rsidP="0013302E">
      <w:pPr>
        <w:pStyle w:val="BodyText"/>
        <w:rPr>
          <w:lang w:val="en-GB"/>
        </w:rPr>
      </w:pPr>
      <w:r>
        <w:rPr>
          <w:lang w:val="en-GB"/>
        </w:rPr>
        <w:t>P</w:t>
      </w:r>
      <w:r w:rsidRPr="002311BD">
        <w:rPr>
          <w:lang w:val="en-GB"/>
        </w:rPr>
        <w:t xml:space="preserve">rogress </w:t>
      </w:r>
      <w:r>
        <w:rPr>
          <w:lang w:val="en-GB"/>
        </w:rPr>
        <w:t xml:space="preserve">for this objective </w:t>
      </w:r>
      <w:r w:rsidRPr="002311BD">
        <w:rPr>
          <w:lang w:val="en-GB"/>
        </w:rPr>
        <w:t>met expectations for the reporting period.</w:t>
      </w:r>
    </w:p>
    <w:p w:rsidR="008F72D8" w:rsidRPr="008F72D8" w:rsidRDefault="008F72D8" w:rsidP="001905FA">
      <w:pPr>
        <w:spacing w:before="120" w:after="120"/>
        <w:ind w:left="68" w:hanging="68"/>
        <w:rPr>
          <w:rFonts w:ascii="Franklin Gothic Book" w:hAnsi="Franklin Gothic Book"/>
          <w:sz w:val="21"/>
          <w:szCs w:val="21"/>
        </w:rPr>
      </w:pPr>
      <w:r w:rsidRPr="008F72D8">
        <w:rPr>
          <w:rFonts w:ascii="Franklin Gothic Book" w:hAnsi="Franklin Gothic Book"/>
          <w:sz w:val="21"/>
          <w:szCs w:val="21"/>
        </w:rPr>
        <w:lastRenderedPageBreak/>
        <w:t>Key achievements supported by Australia during 2014</w:t>
      </w:r>
      <w:r w:rsidR="002E3195">
        <w:rPr>
          <w:rFonts w:ascii="Franklin Gothic Book" w:hAnsi="Franklin Gothic Book"/>
          <w:sz w:val="21"/>
          <w:szCs w:val="21"/>
        </w:rPr>
        <w:t>–</w:t>
      </w:r>
      <w:r w:rsidRPr="008F72D8">
        <w:rPr>
          <w:rFonts w:ascii="Franklin Gothic Book" w:hAnsi="Franklin Gothic Book"/>
          <w:sz w:val="21"/>
          <w:szCs w:val="21"/>
        </w:rPr>
        <w:t>15, include:</w:t>
      </w:r>
    </w:p>
    <w:p w:rsidR="00B803D2" w:rsidRPr="00AC66BB" w:rsidRDefault="007B6401" w:rsidP="00BE43CE">
      <w:pPr>
        <w:pStyle w:val="Subtitle"/>
        <w:numPr>
          <w:ilvl w:val="0"/>
          <w:numId w:val="20"/>
        </w:numPr>
        <w:spacing w:after="0"/>
        <w:ind w:left="777" w:hanging="357"/>
        <w:rPr>
          <w:rFonts w:ascii="Franklin Gothic Book" w:hAnsi="Franklin Gothic Book"/>
          <w:color w:val="auto"/>
          <w:spacing w:val="0"/>
          <w:sz w:val="21"/>
        </w:rPr>
      </w:pPr>
      <w:r>
        <w:rPr>
          <w:rFonts w:ascii="Franklin Gothic Book" w:hAnsi="Franklin Gothic Book"/>
          <w:color w:val="auto"/>
          <w:spacing w:val="0"/>
          <w:sz w:val="21"/>
        </w:rPr>
        <w:t>r</w:t>
      </w:r>
      <w:r w:rsidR="00B803D2" w:rsidRPr="00AC66BB">
        <w:rPr>
          <w:rFonts w:ascii="Franklin Gothic Book" w:hAnsi="Franklin Gothic Book"/>
          <w:color w:val="auto"/>
          <w:spacing w:val="0"/>
          <w:sz w:val="21"/>
        </w:rPr>
        <w:t>elease of</w:t>
      </w:r>
      <w:r w:rsidR="00310E3B">
        <w:rPr>
          <w:rFonts w:ascii="Franklin Gothic Book" w:hAnsi="Franklin Gothic Book"/>
          <w:color w:val="auto"/>
          <w:spacing w:val="0"/>
          <w:sz w:val="21"/>
        </w:rPr>
        <w:t xml:space="preserve"> digital Land and Titles Court r</w:t>
      </w:r>
      <w:r w:rsidR="00B803D2" w:rsidRPr="00AC66BB">
        <w:rPr>
          <w:rFonts w:ascii="Franklin Gothic Book" w:hAnsi="Franklin Gothic Book"/>
          <w:color w:val="auto"/>
          <w:spacing w:val="0"/>
          <w:sz w:val="21"/>
        </w:rPr>
        <w:t xml:space="preserve">ecords which preserve and improve public access to </w:t>
      </w:r>
      <w:r w:rsidR="00F52F48">
        <w:rPr>
          <w:rFonts w:ascii="Franklin Gothic Book" w:hAnsi="Franklin Gothic Book"/>
          <w:color w:val="auto"/>
          <w:spacing w:val="0"/>
          <w:sz w:val="21"/>
        </w:rPr>
        <w:t>these</w:t>
      </w:r>
      <w:r w:rsidR="00B803D2" w:rsidRPr="00AC66BB">
        <w:rPr>
          <w:rFonts w:ascii="Franklin Gothic Book" w:hAnsi="Franklin Gothic Book"/>
          <w:color w:val="auto"/>
          <w:spacing w:val="0"/>
          <w:sz w:val="21"/>
        </w:rPr>
        <w:t xml:space="preserve"> records. Improved access </w:t>
      </w:r>
      <w:r w:rsidR="00AC66BB" w:rsidRPr="00AC66BB">
        <w:rPr>
          <w:rFonts w:ascii="Franklin Gothic Book" w:hAnsi="Franklin Gothic Book"/>
          <w:color w:val="auto"/>
          <w:spacing w:val="0"/>
          <w:sz w:val="21"/>
        </w:rPr>
        <w:t xml:space="preserve">is expected to reduce </w:t>
      </w:r>
      <w:r w:rsidR="00B803D2" w:rsidRPr="00AC66BB">
        <w:rPr>
          <w:rFonts w:ascii="Franklin Gothic Book" w:hAnsi="Franklin Gothic Book"/>
          <w:color w:val="auto"/>
          <w:spacing w:val="0"/>
          <w:sz w:val="21"/>
        </w:rPr>
        <w:t>disputes over customary chiefly (</w:t>
      </w:r>
      <w:r w:rsidR="00B803D2" w:rsidRPr="00BE43CE">
        <w:rPr>
          <w:rFonts w:ascii="Franklin Gothic Book" w:hAnsi="Franklin Gothic Book"/>
          <w:i/>
          <w:color w:val="auto"/>
          <w:spacing w:val="0"/>
          <w:sz w:val="21"/>
        </w:rPr>
        <w:t>matai</w:t>
      </w:r>
      <w:r w:rsidR="00B803D2" w:rsidRPr="00AC66BB">
        <w:rPr>
          <w:rFonts w:ascii="Franklin Gothic Book" w:hAnsi="Franklin Gothic Book"/>
          <w:color w:val="auto"/>
          <w:spacing w:val="0"/>
          <w:sz w:val="21"/>
        </w:rPr>
        <w:t>) titles and the land access associated with those titles. The potential contribution of this project to future community stability is significant.</w:t>
      </w:r>
    </w:p>
    <w:p w:rsidR="004D0A61" w:rsidRPr="004D0A61" w:rsidRDefault="007B6401" w:rsidP="00BE43CE">
      <w:pPr>
        <w:pStyle w:val="Subtitle"/>
        <w:numPr>
          <w:ilvl w:val="0"/>
          <w:numId w:val="20"/>
        </w:numPr>
        <w:spacing w:before="0" w:after="0"/>
        <w:ind w:left="777" w:hanging="357"/>
        <w:rPr>
          <w:rFonts w:ascii="Franklin Gothic Book" w:hAnsi="Franklin Gothic Book"/>
          <w:color w:val="auto"/>
          <w:spacing w:val="0"/>
          <w:sz w:val="21"/>
        </w:rPr>
      </w:pPr>
      <w:r>
        <w:rPr>
          <w:rFonts w:ascii="Franklin Gothic Book" w:hAnsi="Franklin Gothic Book"/>
          <w:color w:val="auto"/>
          <w:spacing w:val="0"/>
          <w:sz w:val="21"/>
        </w:rPr>
        <w:t>a</w:t>
      </w:r>
      <w:r w:rsidR="004D0A61" w:rsidRPr="004D0A61">
        <w:rPr>
          <w:rFonts w:ascii="Franklin Gothic Book" w:hAnsi="Franklin Gothic Book"/>
          <w:color w:val="auto"/>
          <w:spacing w:val="0"/>
          <w:sz w:val="21"/>
        </w:rPr>
        <w:t xml:space="preserve"> new Scholarship Policy launched in 2015 </w:t>
      </w:r>
      <w:r w:rsidR="00ED7BC1">
        <w:rPr>
          <w:rFonts w:ascii="Franklin Gothic Book" w:hAnsi="Franklin Gothic Book"/>
          <w:color w:val="auto"/>
          <w:spacing w:val="0"/>
          <w:sz w:val="21"/>
        </w:rPr>
        <w:t>to</w:t>
      </w:r>
      <w:r w:rsidR="00ED7BC1" w:rsidRPr="004D0A61">
        <w:rPr>
          <w:rFonts w:ascii="Franklin Gothic Book" w:hAnsi="Franklin Gothic Book"/>
          <w:color w:val="auto"/>
          <w:spacing w:val="0"/>
          <w:sz w:val="21"/>
        </w:rPr>
        <w:t xml:space="preserve"> </w:t>
      </w:r>
      <w:r w:rsidR="004D0A61" w:rsidRPr="004D0A61">
        <w:rPr>
          <w:rFonts w:ascii="Franklin Gothic Book" w:hAnsi="Franklin Gothic Book"/>
          <w:color w:val="auto"/>
          <w:spacing w:val="0"/>
          <w:sz w:val="21"/>
        </w:rPr>
        <w:t xml:space="preserve">help police officers obtain high-level qualifications </w:t>
      </w:r>
      <w:r w:rsidR="00ED7BC1">
        <w:rPr>
          <w:rFonts w:ascii="Franklin Gothic Book" w:hAnsi="Franklin Gothic Book"/>
          <w:color w:val="auto"/>
          <w:spacing w:val="0"/>
          <w:sz w:val="21"/>
        </w:rPr>
        <w:t>to</w:t>
      </w:r>
      <w:r w:rsidR="00ED7BC1" w:rsidRPr="004D0A61">
        <w:rPr>
          <w:rFonts w:ascii="Franklin Gothic Book" w:hAnsi="Franklin Gothic Book"/>
          <w:color w:val="auto"/>
          <w:spacing w:val="0"/>
          <w:sz w:val="21"/>
        </w:rPr>
        <w:t xml:space="preserve"> </w:t>
      </w:r>
      <w:r w:rsidR="004D0A61" w:rsidRPr="004D0A61">
        <w:rPr>
          <w:rFonts w:ascii="Franklin Gothic Book" w:hAnsi="Franklin Gothic Book"/>
          <w:color w:val="auto"/>
          <w:spacing w:val="0"/>
          <w:sz w:val="21"/>
        </w:rPr>
        <w:t>improve their policing skills and improve community perceptions around police services.</w:t>
      </w:r>
      <w:r w:rsidR="004D0A61" w:rsidRPr="002311BD">
        <w:t xml:space="preserve"> </w:t>
      </w:r>
    </w:p>
    <w:p w:rsidR="003E156C" w:rsidRDefault="007B6401" w:rsidP="00BE43CE">
      <w:pPr>
        <w:pStyle w:val="Subtitle"/>
        <w:numPr>
          <w:ilvl w:val="0"/>
          <w:numId w:val="20"/>
        </w:numPr>
        <w:spacing w:before="0" w:after="120"/>
        <w:rPr>
          <w:rFonts w:ascii="Franklin Gothic Book" w:hAnsi="Franklin Gothic Book"/>
          <w:color w:val="auto"/>
          <w:spacing w:val="0"/>
          <w:sz w:val="21"/>
        </w:rPr>
      </w:pPr>
      <w:r>
        <w:rPr>
          <w:rFonts w:ascii="Franklin Gothic Book" w:hAnsi="Franklin Gothic Book"/>
          <w:color w:val="auto"/>
          <w:spacing w:val="0"/>
          <w:sz w:val="21"/>
        </w:rPr>
        <w:t>t</w:t>
      </w:r>
      <w:r w:rsidR="003E156C" w:rsidRPr="004D0A61">
        <w:rPr>
          <w:rFonts w:ascii="Franklin Gothic Book" w:hAnsi="Franklin Gothic Book"/>
          <w:color w:val="auto"/>
          <w:spacing w:val="0"/>
          <w:sz w:val="21"/>
        </w:rPr>
        <w:t>rain</w:t>
      </w:r>
      <w:r w:rsidR="00ED7BC1">
        <w:rPr>
          <w:rFonts w:ascii="Franklin Gothic Book" w:hAnsi="Franklin Gothic Book"/>
          <w:color w:val="auto"/>
          <w:spacing w:val="0"/>
          <w:sz w:val="21"/>
        </w:rPr>
        <w:t>ed</w:t>
      </w:r>
      <w:r w:rsidR="003E156C" w:rsidRPr="004D0A61">
        <w:rPr>
          <w:rFonts w:ascii="Franklin Gothic Book" w:hAnsi="Franklin Gothic Book"/>
          <w:color w:val="auto"/>
          <w:spacing w:val="0"/>
          <w:sz w:val="21"/>
        </w:rPr>
        <w:t xml:space="preserve"> 865 police officers (568 males, 297 females) through the </w:t>
      </w:r>
      <w:r w:rsidR="00BE43CE" w:rsidRPr="00BE43CE">
        <w:rPr>
          <w:rFonts w:ascii="Franklin Gothic Book" w:hAnsi="Franklin Gothic Book"/>
          <w:color w:val="auto"/>
          <w:spacing w:val="0"/>
          <w:sz w:val="21"/>
        </w:rPr>
        <w:t xml:space="preserve">Australian Federal </w:t>
      </w:r>
      <w:r w:rsidR="00ED7BC1">
        <w:rPr>
          <w:rFonts w:ascii="Franklin Gothic Book" w:hAnsi="Franklin Gothic Book"/>
          <w:color w:val="auto"/>
          <w:spacing w:val="0"/>
          <w:sz w:val="21"/>
        </w:rPr>
        <w:t xml:space="preserve">  </w:t>
      </w:r>
      <w:r w:rsidR="00BE43CE" w:rsidRPr="00BE43CE">
        <w:rPr>
          <w:rFonts w:ascii="Franklin Gothic Book" w:hAnsi="Franklin Gothic Book"/>
          <w:color w:val="auto"/>
          <w:spacing w:val="0"/>
          <w:sz w:val="21"/>
        </w:rPr>
        <w:t>Police</w:t>
      </w:r>
      <w:r w:rsidR="00BE43CE">
        <w:rPr>
          <w:rFonts w:ascii="Franklin Gothic Book" w:hAnsi="Franklin Gothic Book"/>
          <w:color w:val="auto"/>
          <w:spacing w:val="0"/>
          <w:sz w:val="21"/>
        </w:rPr>
        <w:t>-managed</w:t>
      </w:r>
      <w:r w:rsidR="00BE43CE" w:rsidRPr="00BE43CE">
        <w:rPr>
          <w:rFonts w:ascii="Franklin Gothic Book" w:hAnsi="Franklin Gothic Book"/>
          <w:color w:val="auto"/>
          <w:spacing w:val="0"/>
          <w:sz w:val="21"/>
        </w:rPr>
        <w:t xml:space="preserve"> </w:t>
      </w:r>
      <w:r w:rsidR="003E156C" w:rsidRPr="004D0A61">
        <w:rPr>
          <w:rFonts w:ascii="Franklin Gothic Book" w:hAnsi="Franklin Gothic Book"/>
          <w:color w:val="auto"/>
          <w:spacing w:val="0"/>
          <w:sz w:val="21"/>
        </w:rPr>
        <w:t>Samoa Australia Police Partnership</w:t>
      </w:r>
      <w:r w:rsidR="00BE43CE">
        <w:rPr>
          <w:rFonts w:ascii="Franklin Gothic Book" w:hAnsi="Franklin Gothic Book"/>
          <w:color w:val="auto"/>
          <w:spacing w:val="0"/>
          <w:sz w:val="21"/>
        </w:rPr>
        <w:t xml:space="preserve"> </w:t>
      </w:r>
      <w:r w:rsidR="003E156C" w:rsidRPr="004D0A61">
        <w:rPr>
          <w:rFonts w:ascii="Franklin Gothic Book" w:hAnsi="Franklin Gothic Book"/>
          <w:color w:val="auto"/>
          <w:spacing w:val="0"/>
          <w:sz w:val="21"/>
        </w:rPr>
        <w:t xml:space="preserve">including on investigations, statements and interview procedures, sexual and </w:t>
      </w:r>
      <w:r w:rsidR="00ED7BC1" w:rsidRPr="004D0A61">
        <w:rPr>
          <w:rFonts w:ascii="Franklin Gothic Book" w:hAnsi="Franklin Gothic Book"/>
          <w:color w:val="auto"/>
          <w:spacing w:val="0"/>
          <w:sz w:val="21"/>
        </w:rPr>
        <w:t>gender</w:t>
      </w:r>
      <w:r w:rsidR="00ED7BC1">
        <w:rPr>
          <w:rFonts w:ascii="Franklin Gothic Book" w:hAnsi="Franklin Gothic Book"/>
          <w:color w:val="auto"/>
          <w:spacing w:val="0"/>
          <w:sz w:val="21"/>
        </w:rPr>
        <w:t>-</w:t>
      </w:r>
      <w:r w:rsidR="003E156C" w:rsidRPr="004D0A61">
        <w:rPr>
          <w:rFonts w:ascii="Franklin Gothic Book" w:hAnsi="Franklin Gothic Book"/>
          <w:color w:val="auto"/>
          <w:spacing w:val="0"/>
          <w:sz w:val="21"/>
        </w:rPr>
        <w:t>based violence</w:t>
      </w:r>
      <w:r w:rsidR="00BE43CE">
        <w:rPr>
          <w:rFonts w:ascii="Franklin Gothic Book" w:hAnsi="Franklin Gothic Book"/>
          <w:color w:val="auto"/>
          <w:spacing w:val="0"/>
          <w:sz w:val="21"/>
        </w:rPr>
        <w:t>,</w:t>
      </w:r>
      <w:r w:rsidR="003E156C" w:rsidRPr="004D0A61">
        <w:rPr>
          <w:rFonts w:ascii="Franklin Gothic Book" w:hAnsi="Franklin Gothic Book"/>
          <w:color w:val="auto"/>
          <w:spacing w:val="0"/>
          <w:sz w:val="21"/>
        </w:rPr>
        <w:t xml:space="preserve"> basic investigations courses</w:t>
      </w:r>
      <w:r w:rsidR="00BE43CE">
        <w:rPr>
          <w:rFonts w:ascii="Franklin Gothic Book" w:hAnsi="Franklin Gothic Book"/>
          <w:color w:val="auto"/>
          <w:spacing w:val="0"/>
          <w:sz w:val="21"/>
        </w:rPr>
        <w:t>,</w:t>
      </w:r>
      <w:r w:rsidR="003E156C" w:rsidRPr="004D0A61">
        <w:rPr>
          <w:rFonts w:ascii="Franklin Gothic Book" w:hAnsi="Franklin Gothic Book"/>
          <w:color w:val="auto"/>
          <w:spacing w:val="0"/>
          <w:sz w:val="21"/>
        </w:rPr>
        <w:t xml:space="preserve"> supervisory courses and close personal protection.</w:t>
      </w:r>
    </w:p>
    <w:p w:rsidR="002311BD" w:rsidRDefault="005A2DD9" w:rsidP="001905FA">
      <w:pPr>
        <w:pStyle w:val="BodyText"/>
        <w:spacing w:before="120" w:after="120" w:line="240" w:lineRule="auto"/>
        <w:rPr>
          <w:lang w:val="en-GB"/>
        </w:rPr>
      </w:pPr>
      <w:r>
        <w:rPr>
          <w:lang w:val="en-GB"/>
        </w:rPr>
        <w:t>F</w:t>
      </w:r>
      <w:r w:rsidR="002311BD" w:rsidRPr="002311BD">
        <w:rPr>
          <w:lang w:val="en-GB"/>
        </w:rPr>
        <w:t>unding to the Samoa Law and Justice Sector concluded in December 2014</w:t>
      </w:r>
      <w:r w:rsidR="002976CB">
        <w:rPr>
          <w:lang w:val="en-GB"/>
        </w:rPr>
        <w:t>.</w:t>
      </w:r>
      <w:r w:rsidR="0007109D">
        <w:rPr>
          <w:lang w:val="en-GB"/>
        </w:rPr>
        <w:t xml:space="preserve"> </w:t>
      </w:r>
      <w:r w:rsidR="002976CB">
        <w:rPr>
          <w:lang w:val="en-GB"/>
        </w:rPr>
        <w:t>A</w:t>
      </w:r>
      <w:r w:rsidR="0007109D">
        <w:rPr>
          <w:lang w:val="en-GB"/>
        </w:rPr>
        <w:t xml:space="preserve">n </w:t>
      </w:r>
      <w:r w:rsidR="002311BD" w:rsidRPr="002311BD">
        <w:rPr>
          <w:lang w:val="en-GB"/>
        </w:rPr>
        <w:t xml:space="preserve">independent evaluation </w:t>
      </w:r>
      <w:r w:rsidR="00AC66BB">
        <w:rPr>
          <w:lang w:val="en-GB"/>
        </w:rPr>
        <w:t>confirmed</w:t>
      </w:r>
      <w:r w:rsidR="002311BD" w:rsidRPr="002311BD">
        <w:rPr>
          <w:lang w:val="en-GB"/>
        </w:rPr>
        <w:t xml:space="preserve"> DFAT’s </w:t>
      </w:r>
      <w:r w:rsidR="00546E97">
        <w:rPr>
          <w:lang w:val="en-GB"/>
        </w:rPr>
        <w:t>six</w:t>
      </w:r>
      <w:r w:rsidR="00BE1787">
        <w:rPr>
          <w:lang w:val="en-GB"/>
        </w:rPr>
        <w:t>-</w:t>
      </w:r>
      <w:r w:rsidR="00546E97">
        <w:rPr>
          <w:lang w:val="en-GB"/>
        </w:rPr>
        <w:t xml:space="preserve">year </w:t>
      </w:r>
      <w:r w:rsidR="002311BD" w:rsidRPr="002311BD">
        <w:rPr>
          <w:lang w:val="en-GB"/>
        </w:rPr>
        <w:t xml:space="preserve">support </w:t>
      </w:r>
      <w:r w:rsidR="0007109D">
        <w:rPr>
          <w:lang w:val="en-GB"/>
        </w:rPr>
        <w:t>encouraged</w:t>
      </w:r>
      <w:r w:rsidR="002311BD" w:rsidRPr="002311BD">
        <w:rPr>
          <w:lang w:val="en-GB"/>
        </w:rPr>
        <w:t xml:space="preserve"> law and justice agencies working together to deliver outcomes including </w:t>
      </w:r>
      <w:r w:rsidR="0051450B">
        <w:rPr>
          <w:lang w:val="en-GB"/>
        </w:rPr>
        <w:t xml:space="preserve">the digitisation of court records, </w:t>
      </w:r>
      <w:r w:rsidR="002311BD" w:rsidRPr="002311BD">
        <w:rPr>
          <w:lang w:val="en-GB"/>
        </w:rPr>
        <w:t>harmonisation of the traditional and formal legal systems and establishment of a National Human Rights Institution. Th</w:t>
      </w:r>
      <w:r w:rsidR="00A028D6">
        <w:rPr>
          <w:lang w:val="en-GB"/>
        </w:rPr>
        <w:t>e</w:t>
      </w:r>
      <w:r w:rsidR="002311BD" w:rsidRPr="002311BD">
        <w:rPr>
          <w:lang w:val="en-GB"/>
        </w:rPr>
        <w:t xml:space="preserve"> program enabled the sector to establish a Community Law Centre</w:t>
      </w:r>
      <w:r w:rsidR="00A028D6">
        <w:rPr>
          <w:lang w:val="en-GB"/>
        </w:rPr>
        <w:t xml:space="preserve"> and</w:t>
      </w:r>
      <w:r w:rsidR="002311BD" w:rsidRPr="002311BD">
        <w:rPr>
          <w:lang w:val="en-GB"/>
        </w:rPr>
        <w:t xml:space="preserve"> develop a </w:t>
      </w:r>
      <w:r w:rsidR="00006422" w:rsidRPr="002311BD">
        <w:rPr>
          <w:lang w:val="en-GB"/>
        </w:rPr>
        <w:t>sector</w:t>
      </w:r>
      <w:r w:rsidR="00006422">
        <w:rPr>
          <w:lang w:val="en-GB"/>
        </w:rPr>
        <w:t>-</w:t>
      </w:r>
      <w:r w:rsidR="002311BD" w:rsidRPr="002311BD">
        <w:rPr>
          <w:lang w:val="en-GB"/>
        </w:rPr>
        <w:t>wide crime prevention strategy</w:t>
      </w:r>
      <w:r w:rsidR="00006422">
        <w:rPr>
          <w:lang w:val="en-GB"/>
        </w:rPr>
        <w:t xml:space="preserve">. </w:t>
      </w:r>
      <w:r w:rsidR="00546E97">
        <w:rPr>
          <w:lang w:val="en-GB"/>
        </w:rPr>
        <w:t>A</w:t>
      </w:r>
      <w:r w:rsidR="002311BD" w:rsidRPr="002311BD">
        <w:rPr>
          <w:lang w:val="en-GB"/>
        </w:rPr>
        <w:t xml:space="preserve"> neighbourhood watch scheme alongside police patrols in urban areas </w:t>
      </w:r>
      <w:r w:rsidR="007B6401">
        <w:rPr>
          <w:lang w:val="en-GB"/>
        </w:rPr>
        <w:t>is</w:t>
      </w:r>
      <w:r w:rsidR="007B6401" w:rsidRPr="002311BD">
        <w:rPr>
          <w:lang w:val="en-GB"/>
        </w:rPr>
        <w:t xml:space="preserve"> </w:t>
      </w:r>
      <w:r w:rsidR="002311BD" w:rsidRPr="002311BD">
        <w:rPr>
          <w:lang w:val="en-GB"/>
        </w:rPr>
        <w:t>increa</w:t>
      </w:r>
      <w:r w:rsidR="00546E97">
        <w:rPr>
          <w:lang w:val="en-GB"/>
        </w:rPr>
        <w:t>s</w:t>
      </w:r>
      <w:r w:rsidR="007B6401">
        <w:rPr>
          <w:lang w:val="en-GB"/>
        </w:rPr>
        <w:t>ing</w:t>
      </w:r>
      <w:r w:rsidR="002311BD" w:rsidRPr="002311BD">
        <w:rPr>
          <w:lang w:val="en-GB"/>
        </w:rPr>
        <w:t xml:space="preserve"> public safety</w:t>
      </w:r>
      <w:r w:rsidR="00546E97">
        <w:rPr>
          <w:lang w:val="en-GB"/>
        </w:rPr>
        <w:t>.</w:t>
      </w:r>
      <w:r w:rsidR="002311BD" w:rsidRPr="002311BD">
        <w:rPr>
          <w:lang w:val="en-GB"/>
        </w:rPr>
        <w:t xml:space="preserve"> </w:t>
      </w:r>
      <w:r w:rsidR="00546E97">
        <w:rPr>
          <w:lang w:val="en-GB"/>
        </w:rPr>
        <w:t>A</w:t>
      </w:r>
      <w:r w:rsidR="002311BD" w:rsidRPr="002311BD">
        <w:rPr>
          <w:lang w:val="en-GB"/>
        </w:rPr>
        <w:t>ccess to justice and law and establish</w:t>
      </w:r>
      <w:r w:rsidR="00006422">
        <w:rPr>
          <w:lang w:val="en-GB"/>
        </w:rPr>
        <w:t>ment of</w:t>
      </w:r>
      <w:r w:rsidR="002311BD" w:rsidRPr="002311BD">
        <w:rPr>
          <w:lang w:val="en-GB"/>
        </w:rPr>
        <w:t xml:space="preserve"> the Samoa Prisons and Corrections Services</w:t>
      </w:r>
      <w:r w:rsidR="00546E97">
        <w:rPr>
          <w:lang w:val="en-GB"/>
        </w:rPr>
        <w:t xml:space="preserve"> was also progressed</w:t>
      </w:r>
      <w:r w:rsidR="002311BD" w:rsidRPr="002311BD">
        <w:rPr>
          <w:lang w:val="en-GB"/>
        </w:rPr>
        <w:t>.</w:t>
      </w:r>
      <w:r>
        <w:rPr>
          <w:lang w:val="en-GB"/>
        </w:rPr>
        <w:t xml:space="preserve"> Future support for </w:t>
      </w:r>
      <w:r>
        <w:t xml:space="preserve">law and justice activities will be considered through other parts of </w:t>
      </w:r>
      <w:r w:rsidR="006C28F0">
        <w:t>the</w:t>
      </w:r>
      <w:r>
        <w:t xml:space="preserve"> aid program.</w:t>
      </w:r>
    </w:p>
    <w:p w:rsidR="00BE1787" w:rsidRDefault="002311BD" w:rsidP="00BE1787">
      <w:pPr>
        <w:pStyle w:val="ListBullet"/>
        <w:numPr>
          <w:ilvl w:val="0"/>
          <w:numId w:val="0"/>
        </w:numPr>
        <w:tabs>
          <w:tab w:val="clear" w:pos="284"/>
        </w:tabs>
        <w:spacing w:before="120" w:line="240" w:lineRule="auto"/>
      </w:pPr>
      <w:r w:rsidRPr="002311BD">
        <w:t xml:space="preserve">The Samoa Australia Police Partnership </w:t>
      </w:r>
      <w:r w:rsidR="00C055E3">
        <w:t xml:space="preserve">provided </w:t>
      </w:r>
      <w:r w:rsidR="00546E97" w:rsidRPr="002311BD">
        <w:t xml:space="preserve">three full-time Australian Federal Police advisers </w:t>
      </w:r>
      <w:r w:rsidR="007B3F06">
        <w:t>to deliver</w:t>
      </w:r>
      <w:r w:rsidR="007B3F06" w:rsidRPr="002311BD">
        <w:t xml:space="preserve"> </w:t>
      </w:r>
      <w:r w:rsidRPr="002311BD">
        <w:t xml:space="preserve">training, policy development </w:t>
      </w:r>
      <w:r w:rsidR="007B3F06">
        <w:t xml:space="preserve">support </w:t>
      </w:r>
      <w:r w:rsidRPr="002311BD">
        <w:t>and mentoring</w:t>
      </w:r>
      <w:r w:rsidR="007B3F06">
        <w:t xml:space="preserve"> to help strengthen</w:t>
      </w:r>
      <w:r w:rsidRPr="002311BD">
        <w:t xml:space="preserve"> the capacity of the police force. In 2014</w:t>
      </w:r>
      <w:r w:rsidR="004011E5">
        <w:t>–</w:t>
      </w:r>
      <w:r w:rsidRPr="002311BD">
        <w:t>15, a range of activities contributed to increasing the capacity of the Samoa Police Service and improving community engagement and safety</w:t>
      </w:r>
      <w:r w:rsidR="00C055E3">
        <w:t xml:space="preserve"> including</w:t>
      </w:r>
      <w:r w:rsidR="00AC66BB">
        <w:t xml:space="preserve"> two new</w:t>
      </w:r>
      <w:r w:rsidRPr="002311BD">
        <w:t xml:space="preserve"> vehicles </w:t>
      </w:r>
      <w:r w:rsidR="00AC66BB">
        <w:t xml:space="preserve">for the Domestic Violence Unit and Community Engagement Unit </w:t>
      </w:r>
      <w:r w:rsidR="00F52F48">
        <w:t xml:space="preserve">to </w:t>
      </w:r>
      <w:r w:rsidRPr="002311BD">
        <w:t>allow the police to ex</w:t>
      </w:r>
      <w:r w:rsidR="00AC66BB">
        <w:t>tend the reach of their services including to rural areas.</w:t>
      </w:r>
      <w:r w:rsidR="00BE1787">
        <w:t xml:space="preserve"> </w:t>
      </w:r>
      <w:r w:rsidRPr="002311BD">
        <w:t xml:space="preserve">Police cells were upgraded on </w:t>
      </w:r>
      <w:r w:rsidR="00FA1BD5">
        <w:t xml:space="preserve">the island of Savaii. </w:t>
      </w:r>
      <w:r w:rsidRPr="002311BD">
        <w:t>A new Logistics Support Centre Warehouse replaced a building damaged by Cyclone Evan</w:t>
      </w:r>
      <w:r w:rsidR="00F52F48">
        <w:t>,</w:t>
      </w:r>
      <w:r w:rsidR="004011E5">
        <w:t xml:space="preserve"> providing</w:t>
      </w:r>
      <w:r w:rsidRPr="002311BD">
        <w:t xml:space="preserve"> secure storage and maintenance facilities for security equipment and the country-wide radio system.  </w:t>
      </w:r>
    </w:p>
    <w:p w:rsidR="002311BD" w:rsidRPr="00BE1787" w:rsidRDefault="00BE1787" w:rsidP="00BE1787">
      <w:pPr>
        <w:pStyle w:val="ListBullet"/>
        <w:numPr>
          <w:ilvl w:val="0"/>
          <w:numId w:val="0"/>
        </w:numPr>
        <w:tabs>
          <w:tab w:val="clear" w:pos="284"/>
        </w:tabs>
        <w:spacing w:before="120" w:line="240" w:lineRule="auto"/>
        <w:rPr>
          <w:lang w:val="en-GB"/>
        </w:rPr>
      </w:pPr>
      <w:r>
        <w:t>At Samoa’s request</w:t>
      </w:r>
      <w:r w:rsidR="00C73E1D">
        <w:t>,</w:t>
      </w:r>
      <w:r>
        <w:t xml:space="preserve"> Australia provided s</w:t>
      </w:r>
      <w:r w:rsidRPr="002311BD">
        <w:t xml:space="preserve">ecurity equipment and training </w:t>
      </w:r>
      <w:r w:rsidR="00F52F48">
        <w:t xml:space="preserve">to </w:t>
      </w:r>
      <w:r w:rsidRPr="002311BD">
        <w:t>help the Samoa Police Service provide high</w:t>
      </w:r>
      <w:r>
        <w:t>-</w:t>
      </w:r>
      <w:r w:rsidRPr="002311BD">
        <w:t xml:space="preserve">quality security services </w:t>
      </w:r>
      <w:r>
        <w:t>during</w:t>
      </w:r>
      <w:r w:rsidRPr="002311BD">
        <w:t xml:space="preserve"> Samoa’s hosting of the UN </w:t>
      </w:r>
      <w:r>
        <w:t>SIDS</w:t>
      </w:r>
      <w:r w:rsidRPr="002311BD">
        <w:t xml:space="preserve"> Conference in September 2014.</w:t>
      </w:r>
    </w:p>
    <w:p w:rsidR="002459ED" w:rsidRDefault="00823FCA" w:rsidP="00AC22F7">
      <w:pPr>
        <w:pStyle w:val="ListBullet"/>
        <w:numPr>
          <w:ilvl w:val="0"/>
          <w:numId w:val="0"/>
        </w:numPr>
        <w:tabs>
          <w:tab w:val="clear" w:pos="284"/>
        </w:tabs>
        <w:rPr>
          <w:sz w:val="32"/>
          <w:szCs w:val="32"/>
        </w:rPr>
      </w:pPr>
      <w:r w:rsidRPr="002459ED">
        <w:rPr>
          <w:rFonts w:ascii="Helvetica" w:hAnsi="Helvetica" w:cs="Arial"/>
          <w:b/>
          <w:color w:val="124486"/>
          <w:kern w:val="28"/>
          <w:sz w:val="20"/>
          <w:szCs w:val="20"/>
          <w:lang w:eastAsia="zh-CN"/>
        </w:rPr>
        <w:t>Performance Benchmarks</w:t>
      </w:r>
      <w:r w:rsidRPr="009E38C1">
        <w:rPr>
          <w:sz w:val="32"/>
          <w:szCs w:val="32"/>
        </w:rPr>
        <w:tab/>
      </w:r>
    </w:p>
    <w:p w:rsidR="00823FCA" w:rsidRDefault="00406E98" w:rsidP="001905FA">
      <w:pPr>
        <w:pStyle w:val="ListBullet"/>
        <w:numPr>
          <w:ilvl w:val="0"/>
          <w:numId w:val="0"/>
        </w:numPr>
        <w:tabs>
          <w:tab w:val="clear" w:pos="284"/>
        </w:tabs>
        <w:spacing w:line="240" w:lineRule="auto"/>
      </w:pPr>
      <w:r>
        <w:t xml:space="preserve">Overall progress towards the achievement of </w:t>
      </w:r>
      <w:r w:rsidR="00823FCA">
        <w:t>performance benchmarks</w:t>
      </w:r>
      <w:r w:rsidR="00E457BF">
        <w:t xml:space="preserve"> identified in </w:t>
      </w:r>
      <w:r>
        <w:t>the 2013</w:t>
      </w:r>
      <w:r w:rsidR="004011E5">
        <w:t>–</w:t>
      </w:r>
      <w:r>
        <w:t>14</w:t>
      </w:r>
      <w:r w:rsidR="00E457BF">
        <w:t xml:space="preserve"> APPR</w:t>
      </w:r>
      <w:r>
        <w:t xml:space="preserve"> has been mixed. Slower than expected progress </w:t>
      </w:r>
      <w:r w:rsidR="000C1F7B">
        <w:t xml:space="preserve">was achieved </w:t>
      </w:r>
      <w:r>
        <w:t>in designing</w:t>
      </w:r>
      <w:r w:rsidR="000C1F7B">
        <w:t xml:space="preserve"> and procuring</w:t>
      </w:r>
      <w:r>
        <w:t xml:space="preserve"> a new bridge to link Apia’s port to the business district</w:t>
      </w:r>
      <w:r w:rsidR="004011E5">
        <w:t>.</w:t>
      </w:r>
      <w:r w:rsidR="000C1F7B">
        <w:t xml:space="preserve"> </w:t>
      </w:r>
      <w:r w:rsidR="004011E5">
        <w:t>This was due to c</w:t>
      </w:r>
      <w:r w:rsidR="000C1F7B">
        <w:t xml:space="preserve">omplexity </w:t>
      </w:r>
      <w:r w:rsidR="007B6401">
        <w:t xml:space="preserve">of </w:t>
      </w:r>
      <w:r w:rsidR="000C1F7B">
        <w:t>bridge design options</w:t>
      </w:r>
      <w:r w:rsidR="00655501">
        <w:t xml:space="preserve"> </w:t>
      </w:r>
      <w:r w:rsidR="00655501" w:rsidRPr="00655501">
        <w:t xml:space="preserve">and challenges for the Land Transport Authority </w:t>
      </w:r>
      <w:r w:rsidR="007B3F06">
        <w:t xml:space="preserve">(LTA) </w:t>
      </w:r>
      <w:r w:rsidR="00655501" w:rsidRPr="00655501">
        <w:t>in managing the quality of detailed design and tender documentation</w:t>
      </w:r>
      <w:r w:rsidR="000C1F7B" w:rsidRPr="00655501">
        <w:t xml:space="preserve">. </w:t>
      </w:r>
      <w:r>
        <w:t xml:space="preserve">DFAT </w:t>
      </w:r>
      <w:r w:rsidR="007B3F06">
        <w:t>is</w:t>
      </w:r>
      <w:r>
        <w:t xml:space="preserve"> working closely with the World Bank </w:t>
      </w:r>
      <w:r w:rsidR="000C1F7B">
        <w:t xml:space="preserve">and the </w:t>
      </w:r>
      <w:r w:rsidR="007B3F06">
        <w:t>LTA</w:t>
      </w:r>
      <w:r w:rsidR="000C1F7B">
        <w:t xml:space="preserve"> to</w:t>
      </w:r>
      <w:r>
        <w:t xml:space="preserve"> </w:t>
      </w:r>
      <w:r w:rsidR="000C1F7B">
        <w:t xml:space="preserve">ensure a </w:t>
      </w:r>
      <w:r w:rsidR="00AC66BB">
        <w:t xml:space="preserve">practical </w:t>
      </w:r>
      <w:r w:rsidR="000C1F7B">
        <w:t>design is finalised and tenders for construction are let as soon as possible</w:t>
      </w:r>
      <w:r>
        <w:t xml:space="preserve">. </w:t>
      </w:r>
      <w:r w:rsidR="002459ED">
        <w:t>Other benchmarks were also partially achieved</w:t>
      </w:r>
      <w:r w:rsidR="00FA1BD5">
        <w:t xml:space="preserve">. </w:t>
      </w:r>
      <w:r w:rsidR="002459ED">
        <w:t xml:space="preserve">Detail </w:t>
      </w:r>
      <w:r w:rsidR="0013302E">
        <w:t xml:space="preserve">on each benchmark is provided </w:t>
      </w:r>
      <w:r w:rsidR="002459ED">
        <w:t>in</w:t>
      </w:r>
      <w:r w:rsidR="001D6515">
        <w:t xml:space="preserve"> </w:t>
      </w:r>
      <w:r w:rsidR="001D6515" w:rsidRPr="00720485">
        <w:rPr>
          <w:b/>
        </w:rPr>
        <w:t xml:space="preserve">Annex </w:t>
      </w:r>
      <w:r w:rsidR="004A7988">
        <w:rPr>
          <w:b/>
        </w:rPr>
        <w:t>B</w:t>
      </w:r>
      <w:r w:rsidR="00823FCA">
        <w:t xml:space="preserve">. </w:t>
      </w:r>
    </w:p>
    <w:p w:rsidR="000D733F" w:rsidRPr="001375E3" w:rsidRDefault="000D733F" w:rsidP="002E3195">
      <w:pPr>
        <w:pStyle w:val="Heading3"/>
        <w:rPr>
          <w:rStyle w:val="BodyTextChar"/>
          <w:b w:val="0"/>
          <w:color w:val="auto"/>
        </w:rPr>
      </w:pPr>
      <w:r w:rsidRPr="009E38C1">
        <w:t>Mutual Obligations</w:t>
      </w:r>
      <w:r w:rsidRPr="009E38C1">
        <w:rPr>
          <w:sz w:val="32"/>
          <w:szCs w:val="32"/>
        </w:rPr>
        <w:tab/>
      </w:r>
      <w:r>
        <w:tab/>
      </w:r>
      <w:r>
        <w:tab/>
      </w:r>
      <w:r>
        <w:tab/>
      </w:r>
    </w:p>
    <w:p w:rsidR="007237CB" w:rsidRPr="001905FA" w:rsidRDefault="007B3F06" w:rsidP="001905FA">
      <w:pPr>
        <w:pStyle w:val="ListBullet"/>
        <w:numPr>
          <w:ilvl w:val="0"/>
          <w:numId w:val="0"/>
        </w:numPr>
        <w:spacing w:line="240" w:lineRule="auto"/>
        <w:rPr>
          <w:szCs w:val="21"/>
        </w:rPr>
      </w:pPr>
      <w:r w:rsidRPr="001905FA">
        <w:rPr>
          <w:szCs w:val="21"/>
        </w:rPr>
        <w:t>Australia and Samoa continue</w:t>
      </w:r>
      <w:r w:rsidR="00021660">
        <w:rPr>
          <w:szCs w:val="21"/>
        </w:rPr>
        <w:t>d</w:t>
      </w:r>
      <w:r w:rsidRPr="001905FA">
        <w:rPr>
          <w:szCs w:val="21"/>
        </w:rPr>
        <w:t xml:space="preserve"> to work to meet mutual obligations and shared goals </w:t>
      </w:r>
      <w:r>
        <w:rPr>
          <w:szCs w:val="21"/>
        </w:rPr>
        <w:t>outlined in t</w:t>
      </w:r>
      <w:r w:rsidR="001550F4" w:rsidRPr="001905FA">
        <w:rPr>
          <w:szCs w:val="21"/>
        </w:rPr>
        <w:t xml:space="preserve">he </w:t>
      </w:r>
      <w:r w:rsidR="001550F4" w:rsidRPr="001905FA">
        <w:rPr>
          <w:i/>
          <w:szCs w:val="21"/>
        </w:rPr>
        <w:t>Australia Samoa Partnership for Development</w:t>
      </w:r>
      <w:r w:rsidR="001550F4" w:rsidRPr="001905FA">
        <w:rPr>
          <w:szCs w:val="21"/>
        </w:rPr>
        <w:t>.</w:t>
      </w:r>
      <w:r>
        <w:rPr>
          <w:szCs w:val="21"/>
        </w:rPr>
        <w:t xml:space="preserve"> </w:t>
      </w:r>
      <w:r w:rsidR="007237CB" w:rsidRPr="001905FA">
        <w:rPr>
          <w:szCs w:val="21"/>
        </w:rPr>
        <w:t>Australia cooperate</w:t>
      </w:r>
      <w:r w:rsidR="00021660">
        <w:rPr>
          <w:szCs w:val="21"/>
        </w:rPr>
        <w:t>d</w:t>
      </w:r>
      <w:r w:rsidR="007237CB" w:rsidRPr="001905FA">
        <w:rPr>
          <w:szCs w:val="21"/>
        </w:rPr>
        <w:t xml:space="preserve"> closely with the Samoa </w:t>
      </w:r>
      <w:r w:rsidR="00F52F48">
        <w:rPr>
          <w:szCs w:val="21"/>
        </w:rPr>
        <w:t xml:space="preserve">Government </w:t>
      </w:r>
      <w:r w:rsidR="007237CB" w:rsidRPr="001905FA">
        <w:rPr>
          <w:szCs w:val="21"/>
        </w:rPr>
        <w:t>to deliver its development assistance. Programs reflect</w:t>
      </w:r>
      <w:r w:rsidR="00021660">
        <w:rPr>
          <w:szCs w:val="21"/>
        </w:rPr>
        <w:t>ed</w:t>
      </w:r>
      <w:r w:rsidR="007237CB" w:rsidRPr="001905FA">
        <w:rPr>
          <w:szCs w:val="21"/>
        </w:rPr>
        <w:t xml:space="preserve"> the objectives of Samoa’s Strategy for the </w:t>
      </w:r>
      <w:r w:rsidR="00D67F22" w:rsidRPr="001905FA">
        <w:rPr>
          <w:szCs w:val="21"/>
        </w:rPr>
        <w:t>Development of Samoa 2012</w:t>
      </w:r>
      <w:r w:rsidR="004011E5">
        <w:rPr>
          <w:szCs w:val="21"/>
        </w:rPr>
        <w:t>-</w:t>
      </w:r>
      <w:r w:rsidR="00D67F22" w:rsidRPr="001905FA">
        <w:rPr>
          <w:szCs w:val="21"/>
        </w:rPr>
        <w:t>16 as well as the sector plans for relevant areas.</w:t>
      </w:r>
      <w:r w:rsidR="0051450B" w:rsidRPr="001905FA">
        <w:rPr>
          <w:szCs w:val="21"/>
        </w:rPr>
        <w:t xml:space="preserve"> Both Australia and Samoa </w:t>
      </w:r>
      <w:r w:rsidR="00021660">
        <w:rPr>
          <w:szCs w:val="21"/>
        </w:rPr>
        <w:t>were</w:t>
      </w:r>
      <w:r w:rsidR="0051450B" w:rsidRPr="001905FA">
        <w:rPr>
          <w:szCs w:val="21"/>
        </w:rPr>
        <w:t xml:space="preserve"> actively involved in monitoring and reviewing programs.</w:t>
      </w:r>
    </w:p>
    <w:p w:rsidR="00A1509B" w:rsidRPr="001905FA" w:rsidRDefault="00827853" w:rsidP="001905FA">
      <w:pPr>
        <w:pStyle w:val="ListBullet"/>
        <w:numPr>
          <w:ilvl w:val="0"/>
          <w:numId w:val="0"/>
        </w:numPr>
        <w:spacing w:line="240" w:lineRule="auto"/>
        <w:rPr>
          <w:szCs w:val="21"/>
        </w:rPr>
      </w:pPr>
      <w:r w:rsidRPr="001905FA">
        <w:rPr>
          <w:szCs w:val="21"/>
        </w:rPr>
        <w:t>DFAT</w:t>
      </w:r>
      <w:r w:rsidR="007B3F06">
        <w:rPr>
          <w:szCs w:val="21"/>
        </w:rPr>
        <w:t xml:space="preserve">’s </w:t>
      </w:r>
      <w:r w:rsidRPr="001905FA">
        <w:rPr>
          <w:szCs w:val="21"/>
        </w:rPr>
        <w:t>assessment of Samoa’s public financial manageme</w:t>
      </w:r>
      <w:r w:rsidR="00FB0D05" w:rsidRPr="001905FA">
        <w:rPr>
          <w:szCs w:val="21"/>
        </w:rPr>
        <w:t>nt and procurement systems</w:t>
      </w:r>
      <w:r w:rsidR="007B6401">
        <w:rPr>
          <w:szCs w:val="21"/>
        </w:rPr>
        <w:t xml:space="preserve"> </w:t>
      </w:r>
      <w:r w:rsidR="004011E5">
        <w:rPr>
          <w:szCs w:val="21"/>
        </w:rPr>
        <w:t>found</w:t>
      </w:r>
      <w:r w:rsidRPr="001905FA">
        <w:rPr>
          <w:szCs w:val="21"/>
        </w:rPr>
        <w:t xml:space="preserve"> the risks for DFAT </w:t>
      </w:r>
      <w:r w:rsidR="00FB0D05" w:rsidRPr="001905FA">
        <w:rPr>
          <w:szCs w:val="21"/>
        </w:rPr>
        <w:t>to continue to use</w:t>
      </w:r>
      <w:r w:rsidRPr="001905FA">
        <w:rPr>
          <w:szCs w:val="21"/>
        </w:rPr>
        <w:t xml:space="preserve"> </w:t>
      </w:r>
      <w:r w:rsidR="00FB0D05" w:rsidRPr="001905FA">
        <w:rPr>
          <w:szCs w:val="21"/>
        </w:rPr>
        <w:t>Samoan systems are low in all aspects</w:t>
      </w:r>
      <w:r w:rsidRPr="001905FA">
        <w:rPr>
          <w:szCs w:val="21"/>
        </w:rPr>
        <w:t xml:space="preserve"> other than in public procurement where risks were rated as moderate. </w:t>
      </w:r>
      <w:r w:rsidR="00FA1BD5" w:rsidRPr="001905FA">
        <w:rPr>
          <w:szCs w:val="21"/>
        </w:rPr>
        <w:t xml:space="preserve">It </w:t>
      </w:r>
      <w:r w:rsidR="00FB0D05" w:rsidRPr="001905FA">
        <w:rPr>
          <w:szCs w:val="21"/>
        </w:rPr>
        <w:t>identifi</w:t>
      </w:r>
      <w:r w:rsidR="004011E5">
        <w:rPr>
          <w:szCs w:val="21"/>
        </w:rPr>
        <w:t>ed</w:t>
      </w:r>
      <w:r w:rsidR="00FB0D05" w:rsidRPr="001905FA">
        <w:rPr>
          <w:szCs w:val="21"/>
        </w:rPr>
        <w:t xml:space="preserve"> specific actions to reduce risks and support Samoa to strengthen its own systems further. Samoa reported the update was valuable to them in defining reform priorities under their public financial management reform program and their procurement reform program. </w:t>
      </w:r>
    </w:p>
    <w:p w:rsidR="004011E5" w:rsidRPr="004011E5" w:rsidRDefault="00A1509B" w:rsidP="00BE1787">
      <w:pPr>
        <w:pStyle w:val="ListBullet"/>
        <w:numPr>
          <w:ilvl w:val="0"/>
          <w:numId w:val="0"/>
        </w:numPr>
        <w:spacing w:line="240" w:lineRule="auto"/>
      </w:pPr>
      <w:r w:rsidRPr="001905FA">
        <w:rPr>
          <w:szCs w:val="21"/>
        </w:rPr>
        <w:t xml:space="preserve">Samoa </w:t>
      </w:r>
      <w:r w:rsidR="00AC66BB" w:rsidRPr="001905FA">
        <w:rPr>
          <w:szCs w:val="21"/>
        </w:rPr>
        <w:t xml:space="preserve">improved its </w:t>
      </w:r>
      <w:r w:rsidRPr="001905FA">
        <w:rPr>
          <w:szCs w:val="21"/>
        </w:rPr>
        <w:t>financial ma</w:t>
      </w:r>
      <w:r w:rsidR="00AC66BB" w:rsidRPr="001905FA">
        <w:rPr>
          <w:szCs w:val="21"/>
        </w:rPr>
        <w:t>nagement and procurement system</w:t>
      </w:r>
      <w:r w:rsidR="00021660">
        <w:rPr>
          <w:szCs w:val="21"/>
        </w:rPr>
        <w:t>s</w:t>
      </w:r>
      <w:r w:rsidR="00AC66BB" w:rsidRPr="001905FA">
        <w:rPr>
          <w:szCs w:val="21"/>
        </w:rPr>
        <w:t xml:space="preserve"> </w:t>
      </w:r>
      <w:r w:rsidR="00F119C6" w:rsidRPr="001905FA">
        <w:rPr>
          <w:szCs w:val="21"/>
        </w:rPr>
        <w:t>by</w:t>
      </w:r>
      <w:r w:rsidR="007B3F06">
        <w:rPr>
          <w:szCs w:val="21"/>
        </w:rPr>
        <w:t xml:space="preserve"> i</w:t>
      </w:r>
      <w:r w:rsidR="00F119C6" w:rsidRPr="001905FA">
        <w:rPr>
          <w:szCs w:val="21"/>
        </w:rPr>
        <w:t xml:space="preserve">ssuing </w:t>
      </w:r>
      <w:r w:rsidRPr="001905FA">
        <w:rPr>
          <w:szCs w:val="21"/>
        </w:rPr>
        <w:t>formal procedures for contracting loans</w:t>
      </w:r>
      <w:r w:rsidR="0082158E">
        <w:rPr>
          <w:szCs w:val="21"/>
        </w:rPr>
        <w:t>,</w:t>
      </w:r>
      <w:r w:rsidRPr="001905FA">
        <w:rPr>
          <w:szCs w:val="21"/>
        </w:rPr>
        <w:t xml:space="preserve"> government guarantees to</w:t>
      </w:r>
      <w:r w:rsidR="00F119C6" w:rsidRPr="001905FA">
        <w:rPr>
          <w:szCs w:val="21"/>
        </w:rPr>
        <w:t xml:space="preserve"> strengthen debt management</w:t>
      </w:r>
      <w:r w:rsidR="0082158E">
        <w:rPr>
          <w:szCs w:val="21"/>
        </w:rPr>
        <w:t xml:space="preserve"> and</w:t>
      </w:r>
      <w:r w:rsidR="007B3F06">
        <w:rPr>
          <w:szCs w:val="21"/>
        </w:rPr>
        <w:t xml:space="preserve"> </w:t>
      </w:r>
      <w:r w:rsidRPr="001905FA">
        <w:rPr>
          <w:szCs w:val="21"/>
        </w:rPr>
        <w:t>new Treasury Instructions on procurement</w:t>
      </w:r>
      <w:r w:rsidR="0082158E">
        <w:rPr>
          <w:szCs w:val="21"/>
        </w:rPr>
        <w:t>. A</w:t>
      </w:r>
      <w:r w:rsidRPr="001905FA">
        <w:rPr>
          <w:szCs w:val="21"/>
        </w:rPr>
        <w:t xml:space="preserve"> new set of Procurement Guidelines</w:t>
      </w:r>
      <w:r w:rsidR="0082158E">
        <w:rPr>
          <w:szCs w:val="21"/>
        </w:rPr>
        <w:t xml:space="preserve"> was developed</w:t>
      </w:r>
      <w:r w:rsidRPr="001905FA">
        <w:rPr>
          <w:szCs w:val="21"/>
        </w:rPr>
        <w:t xml:space="preserve"> </w:t>
      </w:r>
      <w:r w:rsidR="0007109D" w:rsidRPr="001905FA">
        <w:rPr>
          <w:szCs w:val="21"/>
        </w:rPr>
        <w:t>and</w:t>
      </w:r>
      <w:r w:rsidRPr="001905FA">
        <w:rPr>
          <w:szCs w:val="21"/>
        </w:rPr>
        <w:t xml:space="preserve"> </w:t>
      </w:r>
      <w:r w:rsidRPr="004011E5">
        <w:rPr>
          <w:szCs w:val="21"/>
        </w:rPr>
        <w:t xml:space="preserve">the Customs Act </w:t>
      </w:r>
      <w:r w:rsidR="0082158E">
        <w:rPr>
          <w:szCs w:val="21"/>
        </w:rPr>
        <w:t>was amended. E</w:t>
      </w:r>
      <w:r w:rsidRPr="004011E5">
        <w:rPr>
          <w:szCs w:val="21"/>
        </w:rPr>
        <w:t>nhancement</w:t>
      </w:r>
      <w:r w:rsidR="0082158E">
        <w:rPr>
          <w:szCs w:val="21"/>
        </w:rPr>
        <w:t>s</w:t>
      </w:r>
      <w:r w:rsidRPr="004011E5">
        <w:rPr>
          <w:szCs w:val="21"/>
        </w:rPr>
        <w:t xml:space="preserve"> of customs information systems </w:t>
      </w:r>
      <w:r w:rsidR="0082158E">
        <w:rPr>
          <w:szCs w:val="21"/>
        </w:rPr>
        <w:t>have also</w:t>
      </w:r>
      <w:r w:rsidR="0082158E" w:rsidRPr="004011E5">
        <w:rPr>
          <w:szCs w:val="21"/>
        </w:rPr>
        <w:t xml:space="preserve"> </w:t>
      </w:r>
      <w:r w:rsidRPr="004011E5">
        <w:rPr>
          <w:szCs w:val="21"/>
        </w:rPr>
        <w:t>improve</w:t>
      </w:r>
      <w:r w:rsidR="0082158E">
        <w:rPr>
          <w:szCs w:val="21"/>
        </w:rPr>
        <w:t>d</w:t>
      </w:r>
      <w:r w:rsidRPr="004011E5">
        <w:rPr>
          <w:szCs w:val="21"/>
        </w:rPr>
        <w:t xml:space="preserve"> revenue collection and facilitate</w:t>
      </w:r>
      <w:r w:rsidR="0082158E">
        <w:rPr>
          <w:szCs w:val="21"/>
        </w:rPr>
        <w:t>d</w:t>
      </w:r>
      <w:r w:rsidRPr="004011E5">
        <w:rPr>
          <w:szCs w:val="21"/>
        </w:rPr>
        <w:t xml:space="preserve"> trade</w:t>
      </w:r>
      <w:r w:rsidR="0007109D" w:rsidRPr="004011E5">
        <w:rPr>
          <w:szCs w:val="21"/>
        </w:rPr>
        <w:t>.</w:t>
      </w:r>
      <w:r w:rsidRPr="004011E5">
        <w:rPr>
          <w:szCs w:val="21"/>
        </w:rPr>
        <w:t xml:space="preserve">  </w:t>
      </w:r>
      <w:r w:rsidR="00827853" w:rsidRPr="004011E5">
        <w:rPr>
          <w:szCs w:val="21"/>
        </w:rPr>
        <w:t xml:space="preserve"> </w:t>
      </w:r>
    </w:p>
    <w:p w:rsidR="00155044" w:rsidRPr="004011E5" w:rsidRDefault="00155044" w:rsidP="002E3195">
      <w:pPr>
        <w:pStyle w:val="BodyText"/>
        <w:spacing w:after="0" w:line="240" w:lineRule="auto"/>
      </w:pPr>
      <w:r w:rsidRPr="004011E5">
        <w:lastRenderedPageBreak/>
        <w:t>DFAT provided technical assistance to Samoa in strengthening monitoring and evaluation and planning processes</w:t>
      </w:r>
      <w:r w:rsidR="00C055E3" w:rsidRPr="004011E5">
        <w:t xml:space="preserve"> at national and sector levels. </w:t>
      </w:r>
      <w:r w:rsidRPr="004011E5">
        <w:t xml:space="preserve">A technical adviser conducted detailed workshops </w:t>
      </w:r>
      <w:r w:rsidR="004011E5">
        <w:t xml:space="preserve">for </w:t>
      </w:r>
      <w:r w:rsidR="004011E5" w:rsidRPr="004011E5">
        <w:t>163 Samoan officials (66 Males and 97 Females)</w:t>
      </w:r>
      <w:r w:rsidR="004011E5">
        <w:t xml:space="preserve"> </w:t>
      </w:r>
      <w:r w:rsidRPr="004011E5">
        <w:t xml:space="preserve">to strengthen planning and reporting processes with all 14 of Samoa’s government sectors. The focus on sector and national planning </w:t>
      </w:r>
      <w:r w:rsidR="00C055E3" w:rsidRPr="004011E5">
        <w:t xml:space="preserve">also </w:t>
      </w:r>
      <w:r w:rsidR="00021660">
        <w:t xml:space="preserve">helped </w:t>
      </w:r>
      <w:r w:rsidR="00827853" w:rsidRPr="004011E5">
        <w:t>improv</w:t>
      </w:r>
      <w:r w:rsidR="00021660">
        <w:t>e</w:t>
      </w:r>
      <w:r w:rsidRPr="004011E5">
        <w:t xml:space="preserve"> </w:t>
      </w:r>
      <w:r w:rsidR="00827853" w:rsidRPr="004011E5">
        <w:t xml:space="preserve">the way Samoa is considering </w:t>
      </w:r>
      <w:r w:rsidRPr="004011E5">
        <w:t xml:space="preserve">gender equality </w:t>
      </w:r>
      <w:r w:rsidR="00827853" w:rsidRPr="004011E5">
        <w:t>and the needs of vulnerable groups such as people with disability</w:t>
      </w:r>
      <w:r w:rsidR="00F119C6" w:rsidRPr="004011E5">
        <w:t xml:space="preserve"> across all sectors</w:t>
      </w:r>
      <w:r w:rsidR="00827853" w:rsidRPr="004011E5">
        <w:t xml:space="preserve">. </w:t>
      </w:r>
    </w:p>
    <w:p w:rsidR="00906A81" w:rsidRPr="0007149C" w:rsidRDefault="00511A0F" w:rsidP="002E3195">
      <w:pPr>
        <w:pStyle w:val="Heading2"/>
        <w:spacing w:before="120"/>
        <w:rPr>
          <w:sz w:val="28"/>
        </w:rPr>
      </w:pPr>
      <w:r w:rsidRPr="0007149C">
        <w:rPr>
          <w:sz w:val="28"/>
        </w:rPr>
        <w:t>Program Quality</w:t>
      </w:r>
      <w:r w:rsidR="000D733F" w:rsidRPr="0007149C">
        <w:rPr>
          <w:sz w:val="28"/>
        </w:rPr>
        <w:t xml:space="preserve"> and </w:t>
      </w:r>
      <w:r w:rsidR="00581979">
        <w:rPr>
          <w:sz w:val="28"/>
        </w:rPr>
        <w:t>Partner Performance</w:t>
      </w:r>
      <w:r w:rsidR="000D733F" w:rsidRPr="0007149C">
        <w:rPr>
          <w:sz w:val="28"/>
        </w:rPr>
        <w:t xml:space="preserve"> </w:t>
      </w:r>
    </w:p>
    <w:p w:rsidR="001550F4" w:rsidRPr="002E3195" w:rsidRDefault="00310E3B" w:rsidP="002E3195">
      <w:pPr>
        <w:pStyle w:val="ListBullet"/>
        <w:numPr>
          <w:ilvl w:val="0"/>
          <w:numId w:val="0"/>
        </w:numPr>
        <w:tabs>
          <w:tab w:val="clear" w:pos="284"/>
        </w:tabs>
        <w:spacing w:line="240" w:lineRule="auto"/>
      </w:pPr>
      <w:r w:rsidRPr="002E3195">
        <w:t>Currently DFAT assesses each program against objectives set out during the design phase.  Going forward</w:t>
      </w:r>
      <w:r w:rsidR="00021660">
        <w:t>,</w:t>
      </w:r>
      <w:r w:rsidRPr="002E3195">
        <w:t xml:space="preserve"> a Performance Assessment Framework will be developed to underpin the Aid Investment Plan to more clearly set out expectations and ways of measuring it. </w:t>
      </w:r>
      <w:r w:rsidR="001550F4" w:rsidRPr="002E3195">
        <w:t xml:space="preserve">Australia and Samoa both remain committed to independently evaluating </w:t>
      </w:r>
      <w:r w:rsidR="004D0A61" w:rsidRPr="002E3195">
        <w:t>initiatives.</w:t>
      </w:r>
      <w:r w:rsidR="001550F4">
        <w:t xml:space="preserve"> </w:t>
      </w:r>
      <w:r w:rsidR="001550F4" w:rsidRPr="002E3195">
        <w:t xml:space="preserve">Evaluations undertaken during the reporting period are listed at </w:t>
      </w:r>
      <w:r w:rsidR="001550F4" w:rsidRPr="00BA316D">
        <w:t>Annex C.</w:t>
      </w:r>
    </w:p>
    <w:p w:rsidR="000D733F" w:rsidRPr="00180B19" w:rsidRDefault="000D733F" w:rsidP="002E3195">
      <w:pPr>
        <w:pStyle w:val="Heading3"/>
      </w:pPr>
      <w:r>
        <w:t xml:space="preserve">Analysis of </w:t>
      </w:r>
      <w:r w:rsidR="000D2CDD">
        <w:t xml:space="preserve">Aid </w:t>
      </w:r>
      <w:r w:rsidRPr="00180B19">
        <w:t xml:space="preserve">Quality </w:t>
      </w:r>
      <w:r w:rsidR="000D2CDD">
        <w:t xml:space="preserve">Checks </w:t>
      </w:r>
      <w:r w:rsidR="0007149C">
        <w:t>(AQCs)</w:t>
      </w:r>
    </w:p>
    <w:p w:rsidR="000D3EEA" w:rsidRDefault="000D3EEA" w:rsidP="001905FA">
      <w:pPr>
        <w:pStyle w:val="ListBullet"/>
        <w:numPr>
          <w:ilvl w:val="0"/>
          <w:numId w:val="0"/>
        </w:numPr>
        <w:tabs>
          <w:tab w:val="clear" w:pos="284"/>
        </w:tabs>
        <w:spacing w:line="240" w:lineRule="auto"/>
      </w:pPr>
      <w:r>
        <w:t>Overall, the AQCs show</w:t>
      </w:r>
      <w:r w:rsidR="00021660">
        <w:t>ed</w:t>
      </w:r>
      <w:r>
        <w:t xml:space="preserve"> a trend of improving performance. All criteria rating</w:t>
      </w:r>
      <w:r w:rsidR="007B6401">
        <w:t>s</w:t>
      </w:r>
      <w:r>
        <w:t xml:space="preserve"> across all of the programs </w:t>
      </w:r>
      <w:r w:rsidR="00021660">
        <w:t>were</w:t>
      </w:r>
      <w:r>
        <w:t xml:space="preserve"> maintained or improved in the last 12 months. </w:t>
      </w:r>
      <w:r w:rsidR="002459ED">
        <w:t>Two</w:t>
      </w:r>
      <w:r>
        <w:t xml:space="preserve"> AQCs were carried out for the first time, so the trends </w:t>
      </w:r>
      <w:r w:rsidR="00021660">
        <w:t>we</w:t>
      </w:r>
      <w:r>
        <w:t xml:space="preserve">re harder to quantify. The two areas </w:t>
      </w:r>
      <w:r w:rsidR="001550F4">
        <w:t>continuing to require attention</w:t>
      </w:r>
      <w:r>
        <w:t xml:space="preserve"> </w:t>
      </w:r>
      <w:r w:rsidR="00A028D6">
        <w:t xml:space="preserve">across all AQCs </w:t>
      </w:r>
      <w:r>
        <w:t xml:space="preserve">are gender equality and </w:t>
      </w:r>
      <w:r w:rsidR="002E3195">
        <w:t>m</w:t>
      </w:r>
      <w:r w:rsidR="00CB4411">
        <w:t xml:space="preserve">onitoring and </w:t>
      </w:r>
      <w:r w:rsidR="002E3195">
        <w:t>e</w:t>
      </w:r>
      <w:r w:rsidR="00CB4411">
        <w:t>valuation</w:t>
      </w:r>
      <w:r w:rsidR="00FA32B3">
        <w:t xml:space="preserve"> (see Annex D)</w:t>
      </w:r>
      <w:r w:rsidR="00CB4411">
        <w:t>.</w:t>
      </w:r>
      <w:r>
        <w:t xml:space="preserve"> </w:t>
      </w:r>
    </w:p>
    <w:p w:rsidR="000D733F" w:rsidRDefault="000D733F" w:rsidP="002E3195">
      <w:pPr>
        <w:pStyle w:val="Heading3"/>
      </w:pPr>
      <w:r>
        <w:t xml:space="preserve">Performance </w:t>
      </w:r>
      <w:r w:rsidR="004F4630">
        <w:t>of key delivery partners</w:t>
      </w:r>
    </w:p>
    <w:p w:rsidR="001849BB" w:rsidRDefault="001849BB" w:rsidP="002E3195">
      <w:pPr>
        <w:pStyle w:val="ListBullet"/>
        <w:numPr>
          <w:ilvl w:val="0"/>
          <w:numId w:val="0"/>
        </w:numPr>
        <w:tabs>
          <w:tab w:val="clear" w:pos="284"/>
        </w:tabs>
        <w:spacing w:line="240" w:lineRule="auto"/>
      </w:pPr>
      <w:r w:rsidRPr="00310E3B">
        <w:t>The Samoa</w:t>
      </w:r>
      <w:r w:rsidR="00F52F48">
        <w:t>n</w:t>
      </w:r>
      <w:r w:rsidRPr="00310E3B">
        <w:t xml:space="preserve"> </w:t>
      </w:r>
      <w:r w:rsidR="00F52F48" w:rsidRPr="00310E3B">
        <w:t xml:space="preserve">Government </w:t>
      </w:r>
      <w:r w:rsidRPr="00310E3B">
        <w:t>remain</w:t>
      </w:r>
      <w:r w:rsidR="00021660">
        <w:t>ed</w:t>
      </w:r>
      <w:r w:rsidRPr="00310E3B">
        <w:t xml:space="preserve"> Australia’s key delivery partner. Samoa continued to demonstrate an ability to manage and account for Australian aid funds effectively. There were no reported cases of misuse or fraudulent use of aid funds through Samoan Government systems in the reporting period.</w:t>
      </w:r>
      <w:r w:rsidR="00430261" w:rsidRPr="00310E3B">
        <w:t xml:space="preserve"> Implementation however, particularly in education and health sectors, remain</w:t>
      </w:r>
      <w:r w:rsidR="00021660">
        <w:t>ed</w:t>
      </w:r>
      <w:r w:rsidR="00430261" w:rsidRPr="00310E3B">
        <w:t xml:space="preserve"> slow and reporting could be improved.</w:t>
      </w:r>
      <w:r w:rsidRPr="00310E3B">
        <w:t xml:space="preserve"> </w:t>
      </w:r>
    </w:p>
    <w:p w:rsidR="00655501" w:rsidRPr="00655501" w:rsidRDefault="00B22CB8" w:rsidP="002E3195">
      <w:pPr>
        <w:pStyle w:val="ListBullet"/>
        <w:numPr>
          <w:ilvl w:val="0"/>
          <w:numId w:val="0"/>
        </w:numPr>
        <w:tabs>
          <w:tab w:val="clear" w:pos="284"/>
        </w:tabs>
        <w:spacing w:after="0" w:line="240" w:lineRule="auto"/>
      </w:pPr>
      <w:r w:rsidRPr="00B22CB8">
        <w:t>Over the reporting period, the World Bank was an effective delivery partner in the economic infrastructure sector. However, a number of sub-projects under the Enhanced Roads Access Project experienced implementation delays</w:t>
      </w:r>
      <w:r w:rsidR="00430261">
        <w:t xml:space="preserve"> which required greater attention from Samoa and the Bank to resolve.</w:t>
      </w:r>
      <w:r w:rsidRPr="00655501">
        <w:t xml:space="preserve"> </w:t>
      </w:r>
      <w:r w:rsidR="00655501" w:rsidRPr="00655501">
        <w:t xml:space="preserve">Implementation delays </w:t>
      </w:r>
      <w:r w:rsidR="00021660">
        <w:t>we</w:t>
      </w:r>
      <w:r w:rsidR="00655501" w:rsidRPr="00655501">
        <w:t xml:space="preserve">re a result of capacity limitations (including turnover of key staff) within the </w:t>
      </w:r>
      <w:r w:rsidR="00021660">
        <w:t>LTA</w:t>
      </w:r>
      <w:r w:rsidR="00655501" w:rsidRPr="00655501">
        <w:t xml:space="preserve"> to oversee the procurement of contractors to design, supervise and construct infrastructure projects. World Bank requirements to review infrastructure designs and tender documentation add</w:t>
      </w:r>
      <w:r w:rsidR="00021660">
        <w:t>ed</w:t>
      </w:r>
      <w:r w:rsidR="00655501" w:rsidRPr="00655501">
        <w:t xml:space="preserve"> to delays but </w:t>
      </w:r>
      <w:r w:rsidR="00021660">
        <w:t>was</w:t>
      </w:r>
      <w:r w:rsidR="00655501" w:rsidRPr="00655501">
        <w:t xml:space="preserve"> considered a necessary step to ensure agreed quality standards are met. </w:t>
      </w:r>
    </w:p>
    <w:p w:rsidR="005A73A3" w:rsidRDefault="005A73A3">
      <w:pPr>
        <w:spacing w:after="200" w:line="276" w:lineRule="auto"/>
        <w:rPr>
          <w:rFonts w:ascii="Helvetica" w:eastAsia="Times New Roman" w:hAnsi="Helvetica" w:cs="Arial"/>
          <w:b/>
          <w:color w:val="124486"/>
          <w:kern w:val="28"/>
          <w:szCs w:val="20"/>
          <w:lang w:eastAsia="zh-CN"/>
        </w:rPr>
      </w:pPr>
      <w:r>
        <w:br w:type="page"/>
      </w:r>
    </w:p>
    <w:p w:rsidR="000D733F" w:rsidRDefault="000D733F" w:rsidP="002E3195">
      <w:pPr>
        <w:pStyle w:val="Heading3"/>
      </w:pPr>
      <w:r>
        <w:lastRenderedPageBreak/>
        <w:t>Risks</w:t>
      </w:r>
    </w:p>
    <w:p w:rsidR="000D733F" w:rsidRDefault="00D763C0" w:rsidP="005901D2">
      <w:pPr>
        <w:pStyle w:val="Caption"/>
      </w:pPr>
      <w:r>
        <w:t>Table 3 Management of Key Risks to Achieving O</w:t>
      </w:r>
      <w:r w:rsidR="000D733F">
        <w:t>bjectives</w:t>
      </w:r>
    </w:p>
    <w:tbl>
      <w:tblPr>
        <w:tblStyle w:val="APPR"/>
        <w:tblW w:w="5314" w:type="pct"/>
        <w:tblInd w:w="-431" w:type="dxa"/>
        <w:tblLook w:val="0600" w:firstRow="0" w:lastRow="0" w:firstColumn="0" w:lastColumn="0" w:noHBand="1" w:noVBand="1"/>
      </w:tblPr>
      <w:tblGrid>
        <w:gridCol w:w="2361"/>
        <w:gridCol w:w="2985"/>
        <w:gridCol w:w="2870"/>
        <w:gridCol w:w="1564"/>
      </w:tblGrid>
      <w:tr w:rsidR="005C310A" w:rsidRPr="00180B19" w:rsidTr="002252D4">
        <w:tc>
          <w:tcPr>
            <w:tcW w:w="2319" w:type="dxa"/>
            <w:hideMark/>
          </w:tcPr>
          <w:p w:rsidR="005C310A" w:rsidRPr="005023D9" w:rsidRDefault="005C310A" w:rsidP="00F451BD">
            <w:pPr>
              <w:pStyle w:val="TableTextColumnHeading"/>
            </w:pPr>
            <w:r w:rsidRPr="005023D9">
              <w:t>Key risks</w:t>
            </w:r>
          </w:p>
        </w:tc>
        <w:tc>
          <w:tcPr>
            <w:tcW w:w="2957" w:type="dxa"/>
          </w:tcPr>
          <w:p w:rsidR="005C310A" w:rsidRPr="005023D9" w:rsidRDefault="005C310A" w:rsidP="00F451BD">
            <w:pPr>
              <w:pStyle w:val="TableTextColumnHeading"/>
            </w:pPr>
            <w:r w:rsidRPr="005023D9">
              <w:t>What actions were taken to manage the risks over the past year</w:t>
            </w:r>
            <w:r>
              <w:t>?</w:t>
            </w:r>
          </w:p>
        </w:tc>
        <w:tc>
          <w:tcPr>
            <w:tcW w:w="2842" w:type="dxa"/>
          </w:tcPr>
          <w:p w:rsidR="005C310A" w:rsidRPr="005023D9" w:rsidRDefault="005C310A" w:rsidP="00F451BD">
            <w:pPr>
              <w:pStyle w:val="TableTextColumnHeading"/>
            </w:pPr>
            <w:r w:rsidRPr="005023D9">
              <w:t>What further actions will be taken to manage the risks in the coming year</w:t>
            </w:r>
            <w:r>
              <w:t>?</w:t>
            </w:r>
          </w:p>
        </w:tc>
        <w:tc>
          <w:tcPr>
            <w:tcW w:w="1522" w:type="dxa"/>
          </w:tcPr>
          <w:p w:rsidR="005C310A" w:rsidRPr="005023D9" w:rsidRDefault="005C310A" w:rsidP="0013302E">
            <w:pPr>
              <w:pStyle w:val="TableTextColumnHeading"/>
            </w:pPr>
            <w:r>
              <w:t xml:space="preserve">Risk </w:t>
            </w:r>
            <w:r w:rsidR="0013302E">
              <w:t>r</w:t>
            </w:r>
            <w:r>
              <w:t xml:space="preserve">ating </w:t>
            </w:r>
            <w:r w:rsidR="0013302E">
              <w:t xml:space="preserve">for emerging/ ongoing risks </w:t>
            </w:r>
            <w:r>
              <w:t>(low, medium, high, very high)</w:t>
            </w:r>
          </w:p>
        </w:tc>
      </w:tr>
      <w:tr w:rsidR="005C310A" w:rsidRPr="00180B19" w:rsidTr="002252D4">
        <w:tc>
          <w:tcPr>
            <w:tcW w:w="2319" w:type="dxa"/>
            <w:hideMark/>
          </w:tcPr>
          <w:p w:rsidR="005C310A" w:rsidRPr="00384B95" w:rsidRDefault="00A60F86" w:rsidP="0013302E">
            <w:pPr>
              <w:pStyle w:val="ListBullet"/>
              <w:numPr>
                <w:ilvl w:val="0"/>
                <w:numId w:val="0"/>
              </w:numPr>
              <w:tabs>
                <w:tab w:val="left" w:pos="0"/>
              </w:tabs>
              <w:spacing w:after="0" w:line="240" w:lineRule="auto"/>
              <w:rPr>
                <w:sz w:val="16"/>
                <w:szCs w:val="16"/>
              </w:rPr>
            </w:pPr>
            <w:r w:rsidRPr="00A60F86">
              <w:rPr>
                <w:sz w:val="16"/>
                <w:szCs w:val="16"/>
              </w:rPr>
              <w:t>Samoa</w:t>
            </w:r>
            <w:r w:rsidR="00F8684C" w:rsidRPr="00A60F86">
              <w:rPr>
                <w:sz w:val="16"/>
                <w:szCs w:val="16"/>
              </w:rPr>
              <w:t xml:space="preserve"> </w:t>
            </w:r>
            <w:r w:rsidR="0013302E">
              <w:rPr>
                <w:sz w:val="16"/>
                <w:szCs w:val="16"/>
              </w:rPr>
              <w:t>obtain</w:t>
            </w:r>
            <w:r w:rsidRPr="00A60F86">
              <w:rPr>
                <w:sz w:val="16"/>
                <w:szCs w:val="16"/>
              </w:rPr>
              <w:t xml:space="preserve"> further loans w</w:t>
            </w:r>
            <w:r w:rsidR="00310E3B">
              <w:rPr>
                <w:sz w:val="16"/>
                <w:szCs w:val="16"/>
              </w:rPr>
              <w:t xml:space="preserve">hich push it into debt distress. Repayment </w:t>
            </w:r>
            <w:r w:rsidRPr="00A60F86">
              <w:rPr>
                <w:sz w:val="16"/>
                <w:szCs w:val="16"/>
              </w:rPr>
              <w:t xml:space="preserve">challenges mean it is unable to fund recurrent commitments in key sectors Australia is supporting </w:t>
            </w:r>
            <w:r w:rsidR="00310E3B">
              <w:rPr>
                <w:sz w:val="16"/>
                <w:szCs w:val="16"/>
              </w:rPr>
              <w:t xml:space="preserve">in </w:t>
            </w:r>
            <w:r w:rsidRPr="00A60F86">
              <w:rPr>
                <w:sz w:val="16"/>
                <w:szCs w:val="16"/>
              </w:rPr>
              <w:t>the aid program.</w:t>
            </w:r>
          </w:p>
        </w:tc>
        <w:tc>
          <w:tcPr>
            <w:tcW w:w="2957" w:type="dxa"/>
          </w:tcPr>
          <w:p w:rsidR="005C310A" w:rsidRPr="004C4A3E" w:rsidRDefault="00A60F86" w:rsidP="002E3195">
            <w:pPr>
              <w:pStyle w:val="TableTextEntries"/>
            </w:pPr>
            <w:r w:rsidRPr="00A60F86">
              <w:t xml:space="preserve">Regular policy dialogue and monitoring of economic indicators, particularly debt. Multi-donor engagement with </w:t>
            </w:r>
            <w:r w:rsidR="002E3195">
              <w:t xml:space="preserve">the </w:t>
            </w:r>
            <w:r w:rsidR="00310E3B">
              <w:t xml:space="preserve">Government on </w:t>
            </w:r>
            <w:r w:rsidRPr="00A60F86">
              <w:t xml:space="preserve">macroeconomic issues including debt - primarily through joint policy action matrix. </w:t>
            </w:r>
          </w:p>
        </w:tc>
        <w:tc>
          <w:tcPr>
            <w:tcW w:w="2842" w:type="dxa"/>
          </w:tcPr>
          <w:p w:rsidR="005C310A" w:rsidRPr="004C4A3E" w:rsidRDefault="005D1763" w:rsidP="000D733F">
            <w:pPr>
              <w:pStyle w:val="TableTextEntries"/>
            </w:pPr>
            <w:r>
              <w:t>DFAT will continue to closely monitor and discuss with Samoa economic indicators including debt and link future budget support payments to continued adherence to Samoa’s medium term debt strategy.</w:t>
            </w:r>
          </w:p>
        </w:tc>
        <w:tc>
          <w:tcPr>
            <w:tcW w:w="1522" w:type="dxa"/>
          </w:tcPr>
          <w:p w:rsidR="005C310A" w:rsidRPr="004C4A3E" w:rsidRDefault="004D0A61" w:rsidP="000D733F">
            <w:pPr>
              <w:pStyle w:val="TableTextEntries"/>
            </w:pPr>
            <w:r>
              <w:t>Medium</w:t>
            </w:r>
          </w:p>
        </w:tc>
      </w:tr>
      <w:tr w:rsidR="005C310A" w:rsidRPr="00180B19" w:rsidTr="002252D4">
        <w:tc>
          <w:tcPr>
            <w:tcW w:w="2319" w:type="dxa"/>
            <w:hideMark/>
          </w:tcPr>
          <w:p w:rsidR="005C310A" w:rsidRPr="004C4A3E" w:rsidRDefault="00A60F86" w:rsidP="00ED7BC1">
            <w:pPr>
              <w:pStyle w:val="TableTextEntries"/>
            </w:pPr>
            <w:r w:rsidRPr="00A60F86">
              <w:t>The Parliament H</w:t>
            </w:r>
            <w:r w:rsidR="005D1763">
              <w:t xml:space="preserve">ouse project is further delayed.  </w:t>
            </w:r>
            <w:r w:rsidR="0013302E">
              <w:t>P</w:t>
            </w:r>
            <w:r w:rsidRPr="00A60F86">
              <w:t>roject could also attract negative media attention.</w:t>
            </w:r>
          </w:p>
        </w:tc>
        <w:tc>
          <w:tcPr>
            <w:tcW w:w="2957" w:type="dxa"/>
          </w:tcPr>
          <w:p w:rsidR="005C310A" w:rsidRPr="004C4A3E" w:rsidRDefault="00A60F86" w:rsidP="000D733F">
            <w:pPr>
              <w:pStyle w:val="TableTextEntries"/>
            </w:pPr>
            <w:r w:rsidRPr="00A60F86">
              <w:t>Construction Management Specialist has been contracted to oversee project implementation and budget.</w:t>
            </w:r>
          </w:p>
        </w:tc>
        <w:tc>
          <w:tcPr>
            <w:tcW w:w="2842" w:type="dxa"/>
          </w:tcPr>
          <w:p w:rsidR="005C310A" w:rsidRPr="004C4A3E" w:rsidRDefault="005D1763" w:rsidP="005D1763">
            <w:pPr>
              <w:pStyle w:val="TableTextEntries"/>
            </w:pPr>
            <w:r>
              <w:t>A joint</w:t>
            </w:r>
            <w:r w:rsidR="00A60F86" w:rsidRPr="00A60F86">
              <w:t xml:space="preserve"> proactive communication strategy will be </w:t>
            </w:r>
            <w:r>
              <w:t xml:space="preserve">implemented </w:t>
            </w:r>
            <w:r w:rsidR="00A60F86" w:rsidRPr="00A60F86">
              <w:t xml:space="preserve">to </w:t>
            </w:r>
            <w:r>
              <w:t>inform the public of progress of the rebuilding.</w:t>
            </w:r>
          </w:p>
        </w:tc>
        <w:tc>
          <w:tcPr>
            <w:tcW w:w="1522" w:type="dxa"/>
          </w:tcPr>
          <w:p w:rsidR="005C310A" w:rsidRPr="004C4A3E" w:rsidRDefault="004D0A61" w:rsidP="000D733F">
            <w:pPr>
              <w:pStyle w:val="TableTextEntries"/>
            </w:pPr>
            <w:r>
              <w:t>Medium</w:t>
            </w:r>
          </w:p>
        </w:tc>
      </w:tr>
      <w:tr w:rsidR="005C310A" w:rsidRPr="00180B19" w:rsidTr="002252D4">
        <w:trPr>
          <w:trHeight w:val="1161"/>
        </w:trPr>
        <w:tc>
          <w:tcPr>
            <w:tcW w:w="2319" w:type="dxa"/>
          </w:tcPr>
          <w:p w:rsidR="00310E3B" w:rsidRPr="004C4A3E" w:rsidRDefault="00A60F86" w:rsidP="00ED7BC1">
            <w:pPr>
              <w:pStyle w:val="TableTextEntries"/>
            </w:pPr>
            <w:r w:rsidRPr="00A60F86">
              <w:t>Natural disasters disrupt program delivery</w:t>
            </w:r>
            <w:r w:rsidR="0013302E">
              <w:t>,</w:t>
            </w:r>
            <w:r w:rsidRPr="00A60F86">
              <w:t xml:space="preserve"> result</w:t>
            </w:r>
            <w:r w:rsidR="0013302E">
              <w:t>ing</w:t>
            </w:r>
            <w:r w:rsidRPr="00A60F86">
              <w:t xml:space="preserve"> in closure of the High Commission and set back development programs.</w:t>
            </w:r>
          </w:p>
        </w:tc>
        <w:tc>
          <w:tcPr>
            <w:tcW w:w="2957" w:type="dxa"/>
          </w:tcPr>
          <w:p w:rsidR="005C310A" w:rsidRPr="004C4A3E" w:rsidRDefault="00A60F86" w:rsidP="006C4181">
            <w:pPr>
              <w:pStyle w:val="TableTextEntries"/>
            </w:pPr>
            <w:r w:rsidRPr="00A60F86">
              <w:t xml:space="preserve">Post Crisis Action Plan in place. DFAT </w:t>
            </w:r>
            <w:r w:rsidR="005D1763">
              <w:t>will support</w:t>
            </w:r>
            <w:r w:rsidRPr="00A60F86">
              <w:t xml:space="preserve"> ACC Deployment in the NDMO to</w:t>
            </w:r>
            <w:r w:rsidR="00A4467D">
              <w:t>:</w:t>
            </w:r>
            <w:r w:rsidRPr="00A60F86">
              <w:t xml:space="preserve"> assist </w:t>
            </w:r>
            <w:r w:rsidR="005D1763">
              <w:t>planning</w:t>
            </w:r>
            <w:r w:rsidRPr="00A60F86">
              <w:t xml:space="preserve"> for possible disasters</w:t>
            </w:r>
            <w:r w:rsidR="00A4467D">
              <w:t>;</w:t>
            </w:r>
            <w:r w:rsidRPr="00A60F86">
              <w:t xml:space="preserve"> provide surge capacity </w:t>
            </w:r>
            <w:r w:rsidR="00A4467D">
              <w:t>during</w:t>
            </w:r>
            <w:r w:rsidRPr="00A60F86">
              <w:t xml:space="preserve"> a disaster.</w:t>
            </w:r>
          </w:p>
        </w:tc>
        <w:tc>
          <w:tcPr>
            <w:tcW w:w="2842" w:type="dxa"/>
          </w:tcPr>
          <w:p w:rsidR="005C310A" w:rsidRPr="004C4A3E" w:rsidRDefault="005D1763" w:rsidP="000D733F">
            <w:pPr>
              <w:pStyle w:val="TableTextEntries"/>
            </w:pPr>
            <w:r>
              <w:t xml:space="preserve">Current actions identified </w:t>
            </w:r>
            <w:r w:rsidR="00FA32B3">
              <w:t xml:space="preserve">and mitigation strategies </w:t>
            </w:r>
            <w:r>
              <w:t>will remain in place.</w:t>
            </w:r>
          </w:p>
        </w:tc>
        <w:tc>
          <w:tcPr>
            <w:tcW w:w="1522" w:type="dxa"/>
          </w:tcPr>
          <w:p w:rsidR="005C310A" w:rsidRPr="004C4A3E" w:rsidRDefault="004D0A61" w:rsidP="000D733F">
            <w:pPr>
              <w:pStyle w:val="TableTextEntries"/>
            </w:pPr>
            <w:r>
              <w:t>Medium</w:t>
            </w:r>
          </w:p>
        </w:tc>
      </w:tr>
      <w:tr w:rsidR="00503E20" w:rsidRPr="00180B19" w:rsidTr="002252D4">
        <w:tc>
          <w:tcPr>
            <w:tcW w:w="2319" w:type="dxa"/>
          </w:tcPr>
          <w:p w:rsidR="00503E20" w:rsidRPr="00A60F86" w:rsidRDefault="00503E20" w:rsidP="008D299C">
            <w:pPr>
              <w:pStyle w:val="TableTextEntries"/>
            </w:pPr>
            <w:r>
              <w:t>Key co-financed economic infrastructure programs are affected by delays</w:t>
            </w:r>
            <w:r w:rsidR="008D299C">
              <w:t xml:space="preserve"> and attract negative media attention</w:t>
            </w:r>
            <w:r>
              <w:t xml:space="preserve">. </w:t>
            </w:r>
          </w:p>
        </w:tc>
        <w:tc>
          <w:tcPr>
            <w:tcW w:w="2957" w:type="dxa"/>
          </w:tcPr>
          <w:p w:rsidR="00503E20" w:rsidRPr="00A60F86" w:rsidRDefault="00503E20" w:rsidP="00503E20">
            <w:pPr>
              <w:pStyle w:val="TableTextEntries"/>
            </w:pPr>
            <w:r>
              <w:t xml:space="preserve">DFAT engagement with World Bank, Asian Development Bank and local authorities to press for faster implementation.  </w:t>
            </w:r>
          </w:p>
        </w:tc>
        <w:tc>
          <w:tcPr>
            <w:tcW w:w="2842" w:type="dxa"/>
          </w:tcPr>
          <w:p w:rsidR="00503E20" w:rsidRDefault="00503E20" w:rsidP="00ED7BC1">
            <w:pPr>
              <w:pStyle w:val="TableTextEntries"/>
            </w:pPr>
            <w:r>
              <w:t xml:space="preserve">DFAT will work with the World Bank and </w:t>
            </w:r>
            <w:r w:rsidR="002E3195">
              <w:t>ADB</w:t>
            </w:r>
            <w:r>
              <w:t xml:space="preserve"> to</w:t>
            </w:r>
            <w:r w:rsidR="005A73A3">
              <w:t>:</w:t>
            </w:r>
            <w:r>
              <w:t xml:space="preserve"> ensure their internal processes do not delay projects</w:t>
            </w:r>
            <w:r w:rsidR="005A73A3">
              <w:t>;</w:t>
            </w:r>
            <w:r>
              <w:t xml:space="preserve"> </w:t>
            </w:r>
            <w:r w:rsidR="00280711">
              <w:t>the</w:t>
            </w:r>
            <w:r>
              <w:t xml:space="preserve"> Samoa</w:t>
            </w:r>
            <w:r w:rsidR="00F8684C">
              <w:t>n</w:t>
            </w:r>
            <w:r>
              <w:t xml:space="preserve"> </w:t>
            </w:r>
            <w:r w:rsidR="00F8684C">
              <w:t xml:space="preserve">Government </w:t>
            </w:r>
            <w:r>
              <w:t xml:space="preserve">has access to adequate technical assistance </w:t>
            </w:r>
            <w:r w:rsidR="00280711">
              <w:t>to</w:t>
            </w:r>
            <w:r>
              <w:t xml:space="preserve"> increase the pace of implementation</w:t>
            </w:r>
            <w:r w:rsidR="005A73A3">
              <w:t>;</w:t>
            </w:r>
            <w:r w:rsidR="008D299C">
              <w:t xml:space="preserve">  proactively </w:t>
            </w:r>
            <w:r w:rsidR="005A73A3">
              <w:t>inform</w:t>
            </w:r>
            <w:r w:rsidR="008D299C">
              <w:t xml:space="preserve"> the public of project progress</w:t>
            </w:r>
            <w:r>
              <w:t xml:space="preserve">. </w:t>
            </w:r>
          </w:p>
        </w:tc>
        <w:tc>
          <w:tcPr>
            <w:tcW w:w="1522" w:type="dxa"/>
          </w:tcPr>
          <w:p w:rsidR="00503E20" w:rsidRDefault="00503E20" w:rsidP="000D733F">
            <w:pPr>
              <w:pStyle w:val="TableTextEntries"/>
            </w:pPr>
            <w:r>
              <w:t>High</w:t>
            </w:r>
          </w:p>
        </w:tc>
      </w:tr>
    </w:tbl>
    <w:p w:rsidR="000D733F" w:rsidRPr="0007149C" w:rsidRDefault="000D733F" w:rsidP="00D6604E">
      <w:pPr>
        <w:pStyle w:val="Heading2"/>
        <w:spacing w:before="240"/>
        <w:rPr>
          <w:sz w:val="28"/>
        </w:rPr>
      </w:pPr>
      <w:r w:rsidRPr="0007149C">
        <w:rPr>
          <w:sz w:val="28"/>
        </w:rPr>
        <w:t xml:space="preserve">Management </w:t>
      </w:r>
      <w:r w:rsidR="00805ADD" w:rsidRPr="0007149C">
        <w:rPr>
          <w:sz w:val="28"/>
        </w:rPr>
        <w:t>Responses</w:t>
      </w:r>
      <w:r w:rsidRPr="0007149C">
        <w:rPr>
          <w:sz w:val="28"/>
        </w:rPr>
        <w:tab/>
      </w:r>
      <w:r w:rsidRPr="0007149C">
        <w:rPr>
          <w:sz w:val="28"/>
        </w:rPr>
        <w:tab/>
      </w:r>
    </w:p>
    <w:p w:rsidR="00747CA5" w:rsidRPr="006C4181" w:rsidRDefault="00747CA5" w:rsidP="006C4181">
      <w:pPr>
        <w:rPr>
          <w:rFonts w:ascii="Franklin Gothic Book" w:hAnsi="Franklin Gothic Book"/>
          <w:sz w:val="21"/>
        </w:rPr>
      </w:pPr>
      <w:r>
        <w:rPr>
          <w:rFonts w:ascii="Franklin Gothic Book" w:hAnsi="Franklin Gothic Book"/>
          <w:sz w:val="21"/>
        </w:rPr>
        <w:t>In response to an assessment of programs in 2014–15, DFAT will undertake the following responses:</w:t>
      </w:r>
    </w:p>
    <w:p w:rsidR="005D1763" w:rsidRDefault="006050C2" w:rsidP="000555E2">
      <w:pPr>
        <w:pStyle w:val="ListParagraph"/>
        <w:numPr>
          <w:ilvl w:val="0"/>
          <w:numId w:val="26"/>
        </w:numPr>
        <w:spacing w:after="0"/>
        <w:rPr>
          <w:rFonts w:ascii="Franklin Gothic Book" w:hAnsi="Franklin Gothic Book"/>
          <w:sz w:val="21"/>
        </w:rPr>
      </w:pPr>
      <w:r>
        <w:rPr>
          <w:rFonts w:ascii="Franklin Gothic Book" w:hAnsi="Franklin Gothic Book"/>
          <w:sz w:val="21"/>
        </w:rPr>
        <w:t xml:space="preserve">Further improving </w:t>
      </w:r>
      <w:r w:rsidR="00E81E67">
        <w:rPr>
          <w:rFonts w:ascii="Franklin Gothic Book" w:hAnsi="Franklin Gothic Book"/>
          <w:sz w:val="21"/>
        </w:rPr>
        <w:t>M&amp;E</w:t>
      </w:r>
      <w:r w:rsidR="00280711">
        <w:rPr>
          <w:rFonts w:ascii="Franklin Gothic Book" w:hAnsi="Franklin Gothic Book"/>
          <w:sz w:val="21"/>
        </w:rPr>
        <w:t xml:space="preserve"> </w:t>
      </w:r>
      <w:r w:rsidR="00834487" w:rsidRPr="00834487">
        <w:rPr>
          <w:rFonts w:ascii="Franklin Gothic Book" w:hAnsi="Franklin Gothic Book"/>
          <w:sz w:val="21"/>
        </w:rPr>
        <w:t xml:space="preserve">remains a priority for the program </w:t>
      </w:r>
      <w:r w:rsidR="00E81E67">
        <w:rPr>
          <w:rFonts w:ascii="Franklin Gothic Book" w:hAnsi="Franklin Gothic Book"/>
          <w:sz w:val="21"/>
        </w:rPr>
        <w:t>in</w:t>
      </w:r>
      <w:r w:rsidR="00E81E67" w:rsidRPr="00834487">
        <w:rPr>
          <w:rFonts w:ascii="Franklin Gothic Book" w:hAnsi="Franklin Gothic Book"/>
          <w:sz w:val="21"/>
        </w:rPr>
        <w:t xml:space="preserve"> </w:t>
      </w:r>
      <w:r w:rsidR="00834487" w:rsidRPr="00834487">
        <w:rPr>
          <w:rFonts w:ascii="Franklin Gothic Book" w:hAnsi="Franklin Gothic Book"/>
          <w:sz w:val="21"/>
        </w:rPr>
        <w:t>2015</w:t>
      </w:r>
      <w:r w:rsidR="002E3195">
        <w:rPr>
          <w:rFonts w:ascii="Franklin Gothic Book" w:hAnsi="Franklin Gothic Book"/>
          <w:sz w:val="21"/>
        </w:rPr>
        <w:t>–</w:t>
      </w:r>
      <w:r w:rsidR="00834487" w:rsidRPr="00834487">
        <w:rPr>
          <w:rFonts w:ascii="Franklin Gothic Book" w:hAnsi="Franklin Gothic Book"/>
          <w:sz w:val="21"/>
        </w:rPr>
        <w:t xml:space="preserve">16. </w:t>
      </w:r>
      <w:r w:rsidR="005D1763">
        <w:rPr>
          <w:rFonts w:ascii="Franklin Gothic Book" w:hAnsi="Franklin Gothic Book"/>
          <w:sz w:val="21"/>
        </w:rPr>
        <w:t>A program</w:t>
      </w:r>
      <w:r w:rsidR="005A73A3">
        <w:rPr>
          <w:rFonts w:ascii="Franklin Gothic Book" w:hAnsi="Franklin Gothic Book"/>
          <w:sz w:val="21"/>
        </w:rPr>
        <w:t>-</w:t>
      </w:r>
      <w:r w:rsidR="00834487" w:rsidRPr="00834487">
        <w:rPr>
          <w:rFonts w:ascii="Franklin Gothic Book" w:hAnsi="Franklin Gothic Book"/>
          <w:sz w:val="21"/>
        </w:rPr>
        <w:t xml:space="preserve">wide Performance Assessment Framework </w:t>
      </w:r>
      <w:r w:rsidR="005D1763">
        <w:rPr>
          <w:rFonts w:ascii="Franklin Gothic Book" w:hAnsi="Franklin Gothic Book"/>
          <w:sz w:val="21"/>
        </w:rPr>
        <w:t xml:space="preserve">will be developed </w:t>
      </w:r>
      <w:r w:rsidR="002459ED">
        <w:rPr>
          <w:rFonts w:ascii="Franklin Gothic Book" w:hAnsi="Franklin Gothic Book"/>
          <w:sz w:val="21"/>
        </w:rPr>
        <w:t>to underpin the Aid Investment Plan</w:t>
      </w:r>
      <w:r w:rsidR="005D1763">
        <w:rPr>
          <w:rFonts w:ascii="Franklin Gothic Book" w:hAnsi="Franklin Gothic Book"/>
          <w:sz w:val="21"/>
        </w:rPr>
        <w:t>.</w:t>
      </w:r>
    </w:p>
    <w:p w:rsidR="00655501" w:rsidRPr="00655501" w:rsidRDefault="007B6401" w:rsidP="00655501">
      <w:pPr>
        <w:pStyle w:val="ListParagraph"/>
        <w:numPr>
          <w:ilvl w:val="0"/>
          <w:numId w:val="26"/>
        </w:numPr>
        <w:spacing w:after="0"/>
        <w:rPr>
          <w:rFonts w:ascii="Franklin Gothic Book" w:hAnsi="Franklin Gothic Book"/>
          <w:sz w:val="21"/>
        </w:rPr>
      </w:pPr>
      <w:r>
        <w:rPr>
          <w:rFonts w:ascii="Franklin Gothic Book" w:hAnsi="Franklin Gothic Book"/>
          <w:sz w:val="21"/>
        </w:rPr>
        <w:t>On</w:t>
      </w:r>
      <w:r w:rsidR="00655501" w:rsidRPr="00655501">
        <w:rPr>
          <w:rFonts w:ascii="Franklin Gothic Book" w:hAnsi="Franklin Gothic Book"/>
          <w:sz w:val="21"/>
        </w:rPr>
        <w:t xml:space="preserve"> economic infrastructure, we will work with the World Bank to ensure their processes of reviewing designs and tender documentation are efficient and do not delay implementation. A priority will be to overcome implementation delays for the reconstruction of the Leone Bridge. </w:t>
      </w:r>
    </w:p>
    <w:p w:rsidR="00834487" w:rsidRPr="00834487" w:rsidRDefault="00834487" w:rsidP="000555E2">
      <w:pPr>
        <w:pStyle w:val="ListParagraph"/>
        <w:numPr>
          <w:ilvl w:val="0"/>
          <w:numId w:val="26"/>
        </w:numPr>
        <w:spacing w:after="0"/>
        <w:rPr>
          <w:rFonts w:ascii="Franklin Gothic Book" w:hAnsi="Franklin Gothic Book"/>
          <w:sz w:val="21"/>
        </w:rPr>
      </w:pPr>
      <w:r w:rsidRPr="00834487">
        <w:rPr>
          <w:rFonts w:ascii="Franklin Gothic Book" w:hAnsi="Franklin Gothic Book"/>
          <w:sz w:val="21"/>
        </w:rPr>
        <w:t xml:space="preserve">Post will review the Australia </w:t>
      </w:r>
      <w:r w:rsidR="002E3195">
        <w:rPr>
          <w:rFonts w:ascii="Franklin Gothic Book" w:hAnsi="Franklin Gothic Book"/>
          <w:sz w:val="21"/>
        </w:rPr>
        <w:t>A</w:t>
      </w:r>
      <w:r w:rsidRPr="00834487">
        <w:rPr>
          <w:rFonts w:ascii="Franklin Gothic Book" w:hAnsi="Franklin Gothic Book"/>
          <w:sz w:val="21"/>
        </w:rPr>
        <w:t xml:space="preserve">wards </w:t>
      </w:r>
      <w:r w:rsidR="001550F4">
        <w:rPr>
          <w:rFonts w:ascii="Franklin Gothic Book" w:hAnsi="Franklin Gothic Book"/>
          <w:sz w:val="21"/>
        </w:rPr>
        <w:t xml:space="preserve">to ensure scholarships are focussed on Samoa’s priority workforce needs and in line with Australia’s </w:t>
      </w:r>
      <w:r w:rsidR="005A73A3">
        <w:rPr>
          <w:rFonts w:ascii="Franklin Gothic Book" w:hAnsi="Franklin Gothic Book"/>
          <w:sz w:val="21"/>
        </w:rPr>
        <w:t xml:space="preserve">aid program </w:t>
      </w:r>
      <w:r w:rsidR="001550F4">
        <w:rPr>
          <w:rFonts w:ascii="Franklin Gothic Book" w:hAnsi="Franklin Gothic Book"/>
          <w:sz w:val="21"/>
        </w:rPr>
        <w:t xml:space="preserve">priorities </w:t>
      </w:r>
      <w:r w:rsidR="005A73A3">
        <w:rPr>
          <w:rFonts w:ascii="Franklin Gothic Book" w:hAnsi="Franklin Gothic Book"/>
          <w:sz w:val="21"/>
        </w:rPr>
        <w:t>in</w:t>
      </w:r>
      <w:r w:rsidR="001550F4">
        <w:rPr>
          <w:rFonts w:ascii="Franklin Gothic Book" w:hAnsi="Franklin Gothic Book"/>
          <w:sz w:val="21"/>
        </w:rPr>
        <w:t xml:space="preserve"> Samoa</w:t>
      </w:r>
      <w:r w:rsidRPr="00834487">
        <w:rPr>
          <w:rFonts w:ascii="Franklin Gothic Book" w:hAnsi="Franklin Gothic Book"/>
          <w:sz w:val="21"/>
        </w:rPr>
        <w:t xml:space="preserve">. </w:t>
      </w:r>
      <w:r w:rsidR="005A73A3">
        <w:rPr>
          <w:rFonts w:ascii="Franklin Gothic Book" w:hAnsi="Franklin Gothic Book"/>
          <w:sz w:val="21"/>
        </w:rPr>
        <w:t xml:space="preserve">DFAT </w:t>
      </w:r>
      <w:r w:rsidR="005A73A3" w:rsidRPr="00834487">
        <w:rPr>
          <w:rFonts w:ascii="Franklin Gothic Book" w:hAnsi="Franklin Gothic Book"/>
          <w:sz w:val="21"/>
        </w:rPr>
        <w:t xml:space="preserve">will undertake </w:t>
      </w:r>
      <w:r w:rsidR="005A73A3">
        <w:rPr>
          <w:rFonts w:ascii="Franklin Gothic Book" w:hAnsi="Franklin Gothic Book"/>
          <w:sz w:val="21"/>
        </w:rPr>
        <w:t xml:space="preserve">a </w:t>
      </w:r>
      <w:r w:rsidR="00F52F48">
        <w:rPr>
          <w:rFonts w:ascii="Franklin Gothic Book" w:hAnsi="Franklin Gothic Book"/>
          <w:sz w:val="21"/>
        </w:rPr>
        <w:t>t</w:t>
      </w:r>
      <w:r w:rsidRPr="00834487">
        <w:rPr>
          <w:rFonts w:ascii="Franklin Gothic Book" w:hAnsi="Franklin Gothic Book"/>
          <w:sz w:val="21"/>
        </w:rPr>
        <w:t xml:space="preserve">racer </w:t>
      </w:r>
      <w:r w:rsidR="00F52F48">
        <w:rPr>
          <w:rFonts w:ascii="Franklin Gothic Book" w:hAnsi="Franklin Gothic Book"/>
          <w:sz w:val="21"/>
        </w:rPr>
        <w:t>s</w:t>
      </w:r>
      <w:r w:rsidRPr="00834487">
        <w:rPr>
          <w:rFonts w:ascii="Franklin Gothic Book" w:hAnsi="Franklin Gothic Book"/>
          <w:sz w:val="21"/>
        </w:rPr>
        <w:t xml:space="preserve">tudy </w:t>
      </w:r>
      <w:r w:rsidR="005D1763">
        <w:rPr>
          <w:rFonts w:ascii="Franklin Gothic Book" w:hAnsi="Franklin Gothic Book"/>
          <w:sz w:val="21"/>
        </w:rPr>
        <w:t xml:space="preserve">of previous scholarship students </w:t>
      </w:r>
      <w:r w:rsidRPr="00834487">
        <w:rPr>
          <w:rFonts w:ascii="Franklin Gothic Book" w:hAnsi="Franklin Gothic Book"/>
          <w:sz w:val="21"/>
        </w:rPr>
        <w:t>to inform decisions around future targeting of scholarships.</w:t>
      </w:r>
    </w:p>
    <w:p w:rsidR="00834487" w:rsidRPr="00834487" w:rsidRDefault="00280711" w:rsidP="000555E2">
      <w:pPr>
        <w:pStyle w:val="ListParagraph"/>
        <w:numPr>
          <w:ilvl w:val="0"/>
          <w:numId w:val="26"/>
        </w:numPr>
        <w:spacing w:after="0"/>
        <w:rPr>
          <w:rFonts w:ascii="Franklin Gothic Book" w:hAnsi="Franklin Gothic Book"/>
          <w:sz w:val="21"/>
        </w:rPr>
      </w:pPr>
      <w:r>
        <w:rPr>
          <w:rFonts w:ascii="Franklin Gothic Book" w:hAnsi="Franklin Gothic Book"/>
          <w:sz w:val="21"/>
        </w:rPr>
        <w:t>A</w:t>
      </w:r>
      <w:r w:rsidR="002459ED">
        <w:rPr>
          <w:rFonts w:ascii="Franklin Gothic Book" w:hAnsi="Franklin Gothic Book"/>
          <w:sz w:val="21"/>
        </w:rPr>
        <w:t xml:space="preserve"> gender advisor will </w:t>
      </w:r>
      <w:r w:rsidR="00834487" w:rsidRPr="00834487">
        <w:rPr>
          <w:rFonts w:ascii="Franklin Gothic Book" w:hAnsi="Franklin Gothic Book"/>
          <w:sz w:val="21"/>
        </w:rPr>
        <w:t xml:space="preserve">provide ongoing support to Post and partners to ensure adequate focus on </w:t>
      </w:r>
      <w:r w:rsidR="005D1763">
        <w:rPr>
          <w:rFonts w:ascii="Franklin Gothic Book" w:hAnsi="Franklin Gothic Book"/>
          <w:sz w:val="21"/>
        </w:rPr>
        <w:t xml:space="preserve">gender analysis </w:t>
      </w:r>
      <w:r w:rsidR="00834487" w:rsidRPr="00834487">
        <w:rPr>
          <w:rFonts w:ascii="Franklin Gothic Book" w:hAnsi="Franklin Gothic Book"/>
          <w:sz w:val="21"/>
        </w:rPr>
        <w:t>across all interventions.</w:t>
      </w:r>
    </w:p>
    <w:p w:rsidR="001E0B1B" w:rsidRPr="001E0B1B" w:rsidRDefault="005A73A3" w:rsidP="002459ED">
      <w:pPr>
        <w:pStyle w:val="ListParagraph"/>
        <w:numPr>
          <w:ilvl w:val="0"/>
          <w:numId w:val="26"/>
        </w:numPr>
        <w:spacing w:after="0"/>
        <w:rPr>
          <w:rFonts w:ascii="Franklin Gothic Book" w:hAnsi="Franklin Gothic Book"/>
          <w:sz w:val="21"/>
        </w:rPr>
      </w:pPr>
      <w:r>
        <w:rPr>
          <w:rFonts w:ascii="Franklin Gothic Book" w:hAnsi="Franklin Gothic Book"/>
          <w:sz w:val="21"/>
        </w:rPr>
        <w:t xml:space="preserve">We will </w:t>
      </w:r>
      <w:r w:rsidRPr="001E0B1B">
        <w:rPr>
          <w:rFonts w:ascii="Franklin Gothic Book" w:hAnsi="Franklin Gothic Book"/>
          <w:sz w:val="21"/>
        </w:rPr>
        <w:t xml:space="preserve">continue to </w:t>
      </w:r>
      <w:r>
        <w:rPr>
          <w:rFonts w:ascii="Franklin Gothic Book" w:hAnsi="Franklin Gothic Book"/>
          <w:sz w:val="21"/>
        </w:rPr>
        <w:t>a</w:t>
      </w:r>
      <w:r w:rsidR="001E0B1B" w:rsidRPr="001E0B1B">
        <w:rPr>
          <w:rFonts w:ascii="Franklin Gothic Book" w:hAnsi="Franklin Gothic Book"/>
          <w:sz w:val="21"/>
        </w:rPr>
        <w:t xml:space="preserve">ssist the </w:t>
      </w:r>
      <w:r w:rsidR="00F52F48">
        <w:rPr>
          <w:rFonts w:ascii="Franklin Gothic Book" w:hAnsi="Franklin Gothic Book"/>
          <w:sz w:val="21"/>
        </w:rPr>
        <w:t>Samoan</w:t>
      </w:r>
      <w:r w:rsidR="001E0B1B" w:rsidRPr="001E0B1B">
        <w:rPr>
          <w:rFonts w:ascii="Franklin Gothic Book" w:hAnsi="Franklin Gothic Book"/>
          <w:sz w:val="21"/>
        </w:rPr>
        <w:t xml:space="preserve"> </w:t>
      </w:r>
      <w:r w:rsidR="00F52F48" w:rsidRPr="001E0B1B">
        <w:rPr>
          <w:rFonts w:ascii="Franklin Gothic Book" w:hAnsi="Franklin Gothic Book"/>
          <w:sz w:val="21"/>
        </w:rPr>
        <w:t xml:space="preserve">Government </w:t>
      </w:r>
      <w:r w:rsidRPr="001E0B1B">
        <w:rPr>
          <w:rFonts w:ascii="Franklin Gothic Book" w:hAnsi="Franklin Gothic Book"/>
          <w:sz w:val="21"/>
        </w:rPr>
        <w:t xml:space="preserve">to strengthen </w:t>
      </w:r>
      <w:r w:rsidR="001E0B1B" w:rsidRPr="001E0B1B">
        <w:rPr>
          <w:rFonts w:ascii="Franklin Gothic Book" w:hAnsi="Franklin Gothic Book"/>
          <w:sz w:val="21"/>
        </w:rPr>
        <w:t xml:space="preserve">capacity to manage aid initiatives </w:t>
      </w:r>
      <w:r>
        <w:rPr>
          <w:rFonts w:ascii="Franklin Gothic Book" w:hAnsi="Franklin Gothic Book"/>
          <w:sz w:val="21"/>
        </w:rPr>
        <w:t xml:space="preserve">particularly </w:t>
      </w:r>
      <w:r w:rsidR="001E0B1B" w:rsidRPr="001E0B1B">
        <w:rPr>
          <w:rFonts w:ascii="Franklin Gothic Book" w:hAnsi="Franklin Gothic Book"/>
          <w:sz w:val="21"/>
        </w:rPr>
        <w:t>in Public Financial Management and procurement</w:t>
      </w:r>
      <w:r w:rsidR="001E0B1B">
        <w:rPr>
          <w:rFonts w:ascii="Franklin Gothic Book" w:hAnsi="Franklin Gothic Book"/>
          <w:sz w:val="21"/>
        </w:rPr>
        <w:t>.</w:t>
      </w:r>
    </w:p>
    <w:p w:rsidR="007B3F06" w:rsidRPr="00BE1787" w:rsidRDefault="00834487" w:rsidP="002459ED">
      <w:pPr>
        <w:pStyle w:val="ListParagraph"/>
        <w:numPr>
          <w:ilvl w:val="0"/>
          <w:numId w:val="26"/>
        </w:numPr>
        <w:spacing w:after="0"/>
      </w:pPr>
      <w:r w:rsidRPr="00834487">
        <w:rPr>
          <w:rFonts w:ascii="Franklin Gothic Book" w:hAnsi="Franklin Gothic Book"/>
          <w:sz w:val="21"/>
        </w:rPr>
        <w:t xml:space="preserve">A </w:t>
      </w:r>
      <w:r w:rsidR="001550F4">
        <w:rPr>
          <w:rFonts w:ascii="Franklin Gothic Book" w:hAnsi="Franklin Gothic Book"/>
          <w:sz w:val="21"/>
        </w:rPr>
        <w:t xml:space="preserve">focus </w:t>
      </w:r>
      <w:r w:rsidRPr="00834487">
        <w:rPr>
          <w:rFonts w:ascii="Franklin Gothic Book" w:hAnsi="Franklin Gothic Book"/>
          <w:sz w:val="21"/>
        </w:rPr>
        <w:t>of 2015</w:t>
      </w:r>
      <w:r w:rsidR="002E3195">
        <w:rPr>
          <w:rFonts w:ascii="Franklin Gothic Book" w:hAnsi="Franklin Gothic Book"/>
          <w:sz w:val="21"/>
        </w:rPr>
        <w:t>–</w:t>
      </w:r>
      <w:r w:rsidRPr="00834487">
        <w:rPr>
          <w:rFonts w:ascii="Franklin Gothic Book" w:hAnsi="Franklin Gothic Book"/>
          <w:sz w:val="21"/>
        </w:rPr>
        <w:t xml:space="preserve">16 will be closing and reviewing investments which have </w:t>
      </w:r>
      <w:r w:rsidR="005D1763">
        <w:rPr>
          <w:rFonts w:ascii="Franklin Gothic Book" w:hAnsi="Franklin Gothic Book"/>
          <w:sz w:val="21"/>
        </w:rPr>
        <w:t>finished</w:t>
      </w:r>
      <w:r w:rsidR="00B43386">
        <w:rPr>
          <w:rFonts w:ascii="Franklin Gothic Book" w:hAnsi="Franklin Gothic Book"/>
          <w:sz w:val="21"/>
        </w:rPr>
        <w:t xml:space="preserve"> and </w:t>
      </w:r>
      <w:r w:rsidR="002E3195" w:rsidRPr="002E3195">
        <w:rPr>
          <w:rFonts w:ascii="Franklin Gothic Book" w:hAnsi="Franklin Gothic Book"/>
          <w:sz w:val="21"/>
        </w:rPr>
        <w:t>consolidating our aid investments to maximise the impact and efficiency of our aid</w:t>
      </w:r>
      <w:r w:rsidR="005D1763">
        <w:rPr>
          <w:rFonts w:ascii="Franklin Gothic Book" w:hAnsi="Franklin Gothic Book"/>
          <w:sz w:val="21"/>
        </w:rPr>
        <w:t xml:space="preserve">.  </w:t>
      </w:r>
    </w:p>
    <w:p w:rsidR="006E5F38" w:rsidRPr="00087160" w:rsidRDefault="00B43386" w:rsidP="002459ED">
      <w:pPr>
        <w:pStyle w:val="ListParagraph"/>
        <w:numPr>
          <w:ilvl w:val="0"/>
          <w:numId w:val="26"/>
        </w:numPr>
        <w:spacing w:after="0"/>
      </w:pPr>
      <w:r>
        <w:rPr>
          <w:rFonts w:ascii="Franklin Gothic Book" w:hAnsi="Franklin Gothic Book"/>
          <w:sz w:val="21"/>
        </w:rPr>
        <w:t>E</w:t>
      </w:r>
      <w:r w:rsidR="005D1763">
        <w:rPr>
          <w:rFonts w:ascii="Franklin Gothic Book" w:hAnsi="Franklin Gothic Book"/>
          <w:sz w:val="21"/>
        </w:rPr>
        <w:t xml:space="preserve">valuations will be undertaken </w:t>
      </w:r>
      <w:r w:rsidR="00747CA5">
        <w:rPr>
          <w:rFonts w:ascii="Franklin Gothic Book" w:hAnsi="Franklin Gothic Book"/>
          <w:sz w:val="21"/>
        </w:rPr>
        <w:t>on the</w:t>
      </w:r>
      <w:r w:rsidR="005D1763">
        <w:rPr>
          <w:rFonts w:ascii="Franklin Gothic Book" w:hAnsi="Franklin Gothic Book"/>
          <w:sz w:val="21"/>
        </w:rPr>
        <w:t xml:space="preserve"> </w:t>
      </w:r>
      <w:r w:rsidR="002459ED">
        <w:rPr>
          <w:rFonts w:ascii="Franklin Gothic Book" w:hAnsi="Franklin Gothic Book"/>
          <w:sz w:val="21"/>
        </w:rPr>
        <w:t>cyclone recovery, school fees program and inclusive education</w:t>
      </w:r>
      <w:r w:rsidR="005D1763">
        <w:rPr>
          <w:rFonts w:ascii="Franklin Gothic Book" w:hAnsi="Franklin Gothic Book"/>
          <w:sz w:val="21"/>
        </w:rPr>
        <w:t xml:space="preserve"> to inform future assistance</w:t>
      </w:r>
      <w:r w:rsidR="002459ED">
        <w:rPr>
          <w:rFonts w:ascii="Franklin Gothic Book" w:hAnsi="Franklin Gothic Book"/>
          <w:sz w:val="21"/>
        </w:rPr>
        <w:t>.</w:t>
      </w:r>
    </w:p>
    <w:p w:rsidR="00087160" w:rsidRDefault="007B3F06" w:rsidP="00087160">
      <w:pPr>
        <w:pStyle w:val="ListParagraph"/>
        <w:numPr>
          <w:ilvl w:val="0"/>
          <w:numId w:val="26"/>
        </w:numPr>
        <w:spacing w:after="0"/>
        <w:rPr>
          <w:rFonts w:ascii="Franklin Gothic Book" w:hAnsi="Franklin Gothic Book"/>
          <w:sz w:val="21"/>
        </w:rPr>
      </w:pPr>
      <w:r>
        <w:rPr>
          <w:rFonts w:ascii="Franklin Gothic Book" w:hAnsi="Franklin Gothic Book"/>
          <w:sz w:val="21"/>
        </w:rPr>
        <w:t>W</w:t>
      </w:r>
      <w:r w:rsidRPr="00087160">
        <w:rPr>
          <w:rFonts w:ascii="Franklin Gothic Book" w:hAnsi="Franklin Gothic Book"/>
          <w:sz w:val="21"/>
        </w:rPr>
        <w:t xml:space="preserve">e will recruit an infrastructure management specialist to advise the health sector and DFAT </w:t>
      </w:r>
      <w:r w:rsidR="00087160" w:rsidRPr="00087160">
        <w:rPr>
          <w:rFonts w:ascii="Franklin Gothic Book" w:hAnsi="Franklin Gothic Book"/>
          <w:sz w:val="21"/>
        </w:rPr>
        <w:t>to ensure quality and timeliness of construction of remaining SWAp infrastructure.</w:t>
      </w:r>
    </w:p>
    <w:p w:rsidR="00B43386" w:rsidRDefault="00B43386" w:rsidP="00087160">
      <w:pPr>
        <w:pStyle w:val="ListParagraph"/>
        <w:numPr>
          <w:ilvl w:val="0"/>
          <w:numId w:val="26"/>
        </w:numPr>
        <w:spacing w:after="0"/>
        <w:rPr>
          <w:rFonts w:ascii="Franklin Gothic Book" w:hAnsi="Franklin Gothic Book"/>
          <w:sz w:val="21"/>
        </w:rPr>
      </w:pPr>
      <w:r>
        <w:rPr>
          <w:rFonts w:ascii="Franklin Gothic Book" w:hAnsi="Franklin Gothic Book"/>
          <w:sz w:val="21"/>
        </w:rPr>
        <w:t>We will consolidate our health investments under a new heath sector support program to be developed in early 2016.</w:t>
      </w:r>
    </w:p>
    <w:p w:rsidR="00087160" w:rsidRDefault="00C73E1D" w:rsidP="00087160">
      <w:pPr>
        <w:pStyle w:val="ListParagraph"/>
        <w:numPr>
          <w:ilvl w:val="0"/>
          <w:numId w:val="26"/>
        </w:numPr>
        <w:spacing w:after="0"/>
      </w:pPr>
      <w:r w:rsidRPr="00D6604E">
        <w:rPr>
          <w:rFonts w:ascii="Franklin Gothic Book" w:hAnsi="Franklin Gothic Book"/>
          <w:sz w:val="21"/>
        </w:rPr>
        <w:t xml:space="preserve">The new Education Sector </w:t>
      </w:r>
      <w:r w:rsidR="004F72E2" w:rsidRPr="00D6604E">
        <w:rPr>
          <w:rFonts w:ascii="Franklin Gothic Book" w:hAnsi="Franklin Gothic Book"/>
          <w:sz w:val="21"/>
        </w:rPr>
        <w:t xml:space="preserve">Support Program will focus </w:t>
      </w:r>
      <w:r w:rsidR="00F41192" w:rsidRPr="00D6604E">
        <w:rPr>
          <w:rFonts w:ascii="Franklin Gothic Book" w:hAnsi="Franklin Gothic Book"/>
          <w:sz w:val="21"/>
        </w:rPr>
        <w:t xml:space="preserve">performance-linked funding on </w:t>
      </w:r>
      <w:r w:rsidR="004F72E2" w:rsidRPr="00D6604E">
        <w:rPr>
          <w:rFonts w:ascii="Franklin Gothic Book" w:hAnsi="Franklin Gothic Book"/>
          <w:sz w:val="21"/>
        </w:rPr>
        <w:t>improving quality</w:t>
      </w:r>
      <w:r w:rsidR="00F41192" w:rsidRPr="00D6604E">
        <w:rPr>
          <w:rFonts w:ascii="Franklin Gothic Book" w:hAnsi="Franklin Gothic Book"/>
          <w:sz w:val="21"/>
        </w:rPr>
        <w:t>, efficiency and effectiveness</w:t>
      </w:r>
      <w:r w:rsidR="004F72E2" w:rsidRPr="00D6604E">
        <w:rPr>
          <w:rFonts w:ascii="Franklin Gothic Book" w:hAnsi="Franklin Gothic Book"/>
          <w:sz w:val="21"/>
        </w:rPr>
        <w:t xml:space="preserve"> of </w:t>
      </w:r>
      <w:r w:rsidR="00F41192" w:rsidRPr="00D6604E">
        <w:rPr>
          <w:rFonts w:ascii="Franklin Gothic Book" w:hAnsi="Franklin Gothic Book"/>
          <w:sz w:val="21"/>
        </w:rPr>
        <w:t xml:space="preserve">the </w:t>
      </w:r>
      <w:r w:rsidR="004F72E2" w:rsidRPr="00D6604E">
        <w:rPr>
          <w:rFonts w:ascii="Franklin Gothic Book" w:hAnsi="Franklin Gothic Book"/>
          <w:sz w:val="21"/>
        </w:rPr>
        <w:t>education</w:t>
      </w:r>
      <w:r w:rsidR="00F41192" w:rsidRPr="00D6604E">
        <w:rPr>
          <w:rFonts w:ascii="Franklin Gothic Book" w:hAnsi="Franklin Gothic Book"/>
          <w:sz w:val="21"/>
        </w:rPr>
        <w:t xml:space="preserve"> system, </w:t>
      </w:r>
      <w:r w:rsidR="004F72E2" w:rsidRPr="00D6604E">
        <w:rPr>
          <w:rFonts w:ascii="Franklin Gothic Book" w:hAnsi="Franklin Gothic Book"/>
          <w:sz w:val="21"/>
        </w:rPr>
        <w:t>addressing gender imbalances in drop-out and enrolment rates</w:t>
      </w:r>
      <w:r w:rsidR="00D6604E" w:rsidRPr="00D6604E">
        <w:rPr>
          <w:rFonts w:ascii="Franklin Gothic Book" w:hAnsi="Franklin Gothic Book"/>
          <w:sz w:val="21"/>
        </w:rPr>
        <w:t xml:space="preserve"> and improving data management and reporting</w:t>
      </w:r>
      <w:r w:rsidR="00F41192" w:rsidRPr="00D6604E">
        <w:rPr>
          <w:rFonts w:ascii="Franklin Gothic Book" w:hAnsi="Franklin Gothic Book"/>
          <w:sz w:val="21"/>
        </w:rPr>
        <w:t>.</w:t>
      </w:r>
    </w:p>
    <w:p w:rsidR="00B43386" w:rsidRPr="00416B02" w:rsidRDefault="00B43386" w:rsidP="00087160">
      <w:pPr>
        <w:sectPr w:rsidR="00B43386" w:rsidRPr="00416B02" w:rsidSect="006C4181">
          <w:footerReference w:type="default" r:id="rId14"/>
          <w:type w:val="continuous"/>
          <w:pgSz w:w="11907" w:h="16840" w:code="9"/>
          <w:pgMar w:top="992" w:right="1417" w:bottom="567" w:left="1560" w:header="851" w:footer="567" w:gutter="0"/>
          <w:pgNumType w:start="1"/>
          <w:cols w:space="720"/>
          <w:docGrid w:linePitch="326"/>
        </w:sectPr>
      </w:pPr>
    </w:p>
    <w:p w:rsidR="00BF2F26" w:rsidRDefault="00BF2F26" w:rsidP="00BF2F26">
      <w:pPr>
        <w:pStyle w:val="Heading2"/>
        <w:rPr>
          <w:sz w:val="28"/>
        </w:rPr>
      </w:pPr>
      <w:r>
        <w:rPr>
          <w:sz w:val="28"/>
        </w:rPr>
        <w:lastRenderedPageBreak/>
        <w:t>Annex A</w:t>
      </w:r>
      <w:r w:rsidRPr="009E38C1">
        <w:rPr>
          <w:sz w:val="28"/>
        </w:rPr>
        <w:t xml:space="preserve"> </w:t>
      </w:r>
      <w:r>
        <w:rPr>
          <w:sz w:val="28"/>
        </w:rPr>
        <w:t>- Progress in Addressing Management R</w:t>
      </w:r>
      <w:r w:rsidRPr="009E38C1">
        <w:rPr>
          <w:sz w:val="28"/>
        </w:rPr>
        <w:t>esponses</w:t>
      </w:r>
    </w:p>
    <w:p w:rsidR="00BF2F26" w:rsidRPr="00416B02" w:rsidRDefault="00BF2F26" w:rsidP="00BF2F26">
      <w:pPr>
        <w:pStyle w:val="ListBullet"/>
        <w:tabs>
          <w:tab w:val="clear" w:pos="284"/>
        </w:tabs>
      </w:pPr>
      <w:r>
        <w:t>Describe progress made against management responses in 2013-14 report</w:t>
      </w:r>
    </w:p>
    <w:tbl>
      <w:tblPr>
        <w:tblStyle w:val="APPR"/>
        <w:tblpPr w:leftFromText="180" w:rightFromText="180" w:vertAnchor="text" w:tblpY="1"/>
        <w:tblW w:w="5000" w:type="pct"/>
        <w:tblLayout w:type="fixed"/>
        <w:tblLook w:val="0000" w:firstRow="0" w:lastRow="0" w:firstColumn="0" w:lastColumn="0" w:noHBand="0" w:noVBand="0"/>
      </w:tblPr>
      <w:tblGrid>
        <w:gridCol w:w="6513"/>
        <w:gridCol w:w="996"/>
        <w:gridCol w:w="6936"/>
      </w:tblGrid>
      <w:tr w:rsidR="00BF2F26" w:rsidRPr="00180B19" w:rsidTr="00E740F4">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180B19" w:rsidRDefault="00BF2F26" w:rsidP="00F451BD">
            <w:pPr>
              <w:pStyle w:val="TableTextColumnHeading"/>
            </w:pPr>
            <w:r w:rsidRPr="00FE4491">
              <w:t xml:space="preserve">Management </w:t>
            </w:r>
            <w:r>
              <w:t>response</w:t>
            </w:r>
            <w:r w:rsidRPr="00FE4491">
              <w:t>s identified in 20</w:t>
            </w:r>
            <w:r>
              <w:t>13-</w:t>
            </w:r>
            <w:r w:rsidRPr="00FE4491">
              <w:t>1</w:t>
            </w:r>
            <w:r>
              <w:t>4</w:t>
            </w:r>
            <w:r w:rsidRPr="00FE4491">
              <w:t xml:space="preserve"> </w:t>
            </w:r>
            <w:r>
              <w:t>APPR</w:t>
            </w:r>
            <w:r>
              <w:tab/>
            </w:r>
          </w:p>
        </w:tc>
        <w:tc>
          <w:tcPr>
            <w:tcW w:w="953" w:type="dxa"/>
          </w:tcPr>
          <w:p w:rsidR="00BF2F26" w:rsidRPr="00180B19" w:rsidRDefault="00BF2F26" w:rsidP="00F451BD">
            <w:pPr>
              <w:pStyle w:val="TableTextColumnHeading"/>
            </w:pPr>
            <w:r w:rsidRPr="00FE4491">
              <w:t>Rating</w:t>
            </w:r>
          </w:p>
        </w:tc>
        <w:tc>
          <w:tcPr>
            <w:tcW w:w="6791" w:type="dxa"/>
          </w:tcPr>
          <w:p w:rsidR="00BF2F26" w:rsidRPr="00180B19" w:rsidRDefault="00BF2F26" w:rsidP="00F451BD">
            <w:pPr>
              <w:pStyle w:val="TableTextColumnHeading"/>
            </w:pPr>
            <w:r w:rsidRPr="00FE4491">
              <w:t xml:space="preserve">Progress made in </w:t>
            </w:r>
            <w:r>
              <w:t>2014-5</w:t>
            </w:r>
          </w:p>
        </w:tc>
      </w:tr>
      <w:tr w:rsidR="00BF2F26" w:rsidRPr="00180B19" w:rsidTr="00BA316D">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BA316D" w:rsidRDefault="00BF2F26" w:rsidP="00E740F4">
            <w:pPr>
              <w:pStyle w:val="TableTextEntries"/>
            </w:pPr>
            <w:r w:rsidRPr="00BA316D">
              <w:t>We will need to maintain a strong focus on supporting Samoa to manage their debt in collaboration with the multilateral financial institutions.</w:t>
            </w:r>
          </w:p>
        </w:tc>
        <w:tc>
          <w:tcPr>
            <w:tcW w:w="953" w:type="dxa"/>
            <w:shd w:val="clear" w:color="auto" w:fill="92D050"/>
          </w:tcPr>
          <w:p w:rsidR="00BF2F26" w:rsidRPr="00443639" w:rsidRDefault="00BF2F26" w:rsidP="00E740F4">
            <w:pPr>
              <w:pStyle w:val="TableTextEntries"/>
              <w:jc w:val="center"/>
              <w:rPr>
                <w:color w:val="FFFFFF" w:themeColor="background1"/>
              </w:rPr>
            </w:pPr>
            <w:r>
              <w:rPr>
                <w:color w:val="FFFFFF" w:themeColor="background1"/>
              </w:rPr>
              <w:t>Achieved</w:t>
            </w:r>
          </w:p>
        </w:tc>
        <w:tc>
          <w:tcPr>
            <w:tcW w:w="6791" w:type="dxa"/>
          </w:tcPr>
          <w:p w:rsidR="00BF2F26" w:rsidRPr="00BA316D" w:rsidRDefault="00BF2F26" w:rsidP="00E740F4">
            <w:pPr>
              <w:pStyle w:val="TableTextEntries"/>
            </w:pPr>
            <w:r>
              <w:t xml:space="preserve">Debt continued to be raised in economic policy dialogue including advising against further borrowing without clear demonstration of economic benefits. Samoa entered into further borrowing for a new airport terminal development. DFAT and other donors held off budget support payments until satisfied Samoa had abided by its medium term debt strategy procedures including the completion of an economic analysis demonstrating economic benefits of the project proceeding. It is still unclear whether the new airport terminal will bring economic benefits envisaged. </w:t>
            </w:r>
          </w:p>
        </w:tc>
      </w:tr>
      <w:tr w:rsidR="00BF2F26" w:rsidRPr="00180B19" w:rsidTr="00E740F4">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BA316D" w:rsidRDefault="00BF2F26" w:rsidP="00E740F4">
            <w:pPr>
              <w:pStyle w:val="TableTextEntries"/>
            </w:pPr>
            <w:r w:rsidRPr="00BA316D">
              <w:t>Monitoring and evaluation (M&amp;E) continues to be a key target area for improvement across the program.</w:t>
            </w:r>
          </w:p>
        </w:tc>
        <w:tc>
          <w:tcPr>
            <w:tcW w:w="953" w:type="dxa"/>
            <w:shd w:val="clear" w:color="auto" w:fill="E36C0A" w:themeFill="accent6" w:themeFillShade="BF"/>
          </w:tcPr>
          <w:p w:rsidR="00BF2F26" w:rsidRPr="00443639" w:rsidRDefault="00BF2F26" w:rsidP="00E740F4">
            <w:pPr>
              <w:pStyle w:val="TableTextEntries"/>
              <w:jc w:val="center"/>
              <w:rPr>
                <w:color w:val="FFFFFF" w:themeColor="background1"/>
              </w:rPr>
            </w:pPr>
            <w:r>
              <w:rPr>
                <w:color w:val="FFFFFF" w:themeColor="background1"/>
              </w:rPr>
              <w:t>Partly achieved</w:t>
            </w:r>
            <w:r w:rsidRPr="00443639">
              <w:rPr>
                <w:color w:val="FFFFFF" w:themeColor="background1"/>
              </w:rPr>
              <w:t xml:space="preserve"> </w:t>
            </w:r>
            <w:r w:rsidRPr="00443639">
              <w:rPr>
                <w:color w:val="FFFFFF" w:themeColor="background1"/>
              </w:rPr>
              <w:fldChar w:fldCharType="begin"/>
            </w:r>
            <w:r w:rsidRPr="00443639">
              <w:rPr>
                <w:color w:val="FFFFFF" w:themeColor="background1"/>
              </w:rPr>
              <w:instrText xml:space="preserve"> AUTOTEXTLIST  \s "Rating bullet"\t "Right click to choose a rating" \* MERGEFORMAT </w:instrText>
            </w:r>
            <w:r w:rsidRPr="00443639">
              <w:rPr>
                <w:color w:val="FFFFFF" w:themeColor="background1"/>
              </w:rPr>
              <w:fldChar w:fldCharType="end"/>
            </w:r>
          </w:p>
        </w:tc>
        <w:tc>
          <w:tcPr>
            <w:tcW w:w="6791" w:type="dxa"/>
          </w:tcPr>
          <w:p w:rsidR="00EA469A" w:rsidRPr="00BA316D" w:rsidRDefault="00EA469A" w:rsidP="00BA316D">
            <w:pPr>
              <w:pStyle w:val="TableTextEntries"/>
            </w:pPr>
            <w:r w:rsidRPr="00EA469A">
              <w:t>Monitoring and evaluation remains a priority for the program for 2015-2016.</w:t>
            </w:r>
            <w:r w:rsidR="001905FA">
              <w:t xml:space="preserve"> </w:t>
            </w:r>
            <w:r w:rsidRPr="00EA469A">
              <w:t>As well as continuing to support an advisor position to work with the Ministry of Finance DFAT will recruit an additional advisor to work with Post to develop a program wide Performance Assessment Framework and to provide ongoing support to Post and partners on quality reporting, design processes, reporting and evaluation.</w:t>
            </w:r>
          </w:p>
          <w:p w:rsidR="00BF2F26" w:rsidRPr="008C7563" w:rsidRDefault="00BF2F26" w:rsidP="00BA316D">
            <w:pPr>
              <w:pStyle w:val="TableTextEntries"/>
            </w:pPr>
          </w:p>
        </w:tc>
      </w:tr>
      <w:tr w:rsidR="00BF2F26" w:rsidRPr="00180B19" w:rsidTr="00E740F4">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BA316D" w:rsidRDefault="00BF2F26" w:rsidP="007B6401">
            <w:pPr>
              <w:pStyle w:val="TableTextEntries"/>
            </w:pPr>
            <w:r w:rsidRPr="00BA316D">
              <w:t xml:space="preserve">More analysis and design work is required to establish how can Australia best contribute </w:t>
            </w:r>
            <w:r w:rsidR="007B6401" w:rsidRPr="00BA316D">
              <w:t>to improved</w:t>
            </w:r>
            <w:r w:rsidRPr="00BA316D">
              <w:t xml:space="preserve"> gender outcomes, both through the Pacific Women Shaping Pacific Development initiative as well as through the broader aid program.</w:t>
            </w:r>
          </w:p>
        </w:tc>
        <w:tc>
          <w:tcPr>
            <w:tcW w:w="953" w:type="dxa"/>
            <w:shd w:val="clear" w:color="auto" w:fill="E36C0A" w:themeFill="accent6" w:themeFillShade="BF"/>
          </w:tcPr>
          <w:p w:rsidR="00BF2F26" w:rsidRPr="00BF2F26" w:rsidRDefault="00BF2F26" w:rsidP="00BF2F26">
            <w:pPr>
              <w:pStyle w:val="TableTextEntries"/>
              <w:jc w:val="center"/>
              <w:rPr>
                <w:color w:val="FFFFFF" w:themeColor="background1"/>
              </w:rPr>
            </w:pPr>
            <w:r>
              <w:rPr>
                <w:color w:val="FFFFFF" w:themeColor="background1"/>
              </w:rPr>
              <w:t>Partly achieved</w:t>
            </w:r>
          </w:p>
        </w:tc>
        <w:tc>
          <w:tcPr>
            <w:tcW w:w="6791" w:type="dxa"/>
          </w:tcPr>
          <w:p w:rsidR="00BF2F26" w:rsidRPr="00BA316D" w:rsidRDefault="008343CF" w:rsidP="00F52F48">
            <w:pPr>
              <w:pStyle w:val="TableTextEntries"/>
            </w:pPr>
            <w:r>
              <w:t>The d</w:t>
            </w:r>
            <w:r w:rsidR="00DC3FAB">
              <w:t xml:space="preserve">esign is now complete. </w:t>
            </w:r>
            <w:r>
              <w:t>The g</w:t>
            </w:r>
            <w:r w:rsidR="00DC3FAB">
              <w:t xml:space="preserve">ender </w:t>
            </w:r>
            <w:r w:rsidR="00F52F48">
              <w:t>a</w:t>
            </w:r>
            <w:r w:rsidR="00DC3FAB">
              <w:t>dvisor is in the process of being recruited.</w:t>
            </w:r>
          </w:p>
        </w:tc>
      </w:tr>
      <w:tr w:rsidR="00BF2F26" w:rsidRPr="00180B19" w:rsidTr="00BA316D">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100AA2" w:rsidRDefault="00BF2F26" w:rsidP="00E740F4">
            <w:pPr>
              <w:pStyle w:val="TableTextEntries"/>
            </w:pPr>
            <w:r w:rsidRPr="00485E70">
              <w:t xml:space="preserve">Cross-cutting issues such as disability, child protection and environment, in particular building back better to minimise the impacts of climate change (through ensuring damaged structures are replaced with buildings more likely to withstand future natural disasters) will require continued attention and focus of staff. </w:t>
            </w:r>
          </w:p>
        </w:tc>
        <w:tc>
          <w:tcPr>
            <w:tcW w:w="953" w:type="dxa"/>
            <w:shd w:val="clear" w:color="auto" w:fill="92D050"/>
          </w:tcPr>
          <w:p w:rsidR="00BF2F26" w:rsidRPr="00443639" w:rsidRDefault="00BF2F26" w:rsidP="00E740F4">
            <w:pPr>
              <w:pStyle w:val="TableTextEntries"/>
              <w:jc w:val="center"/>
              <w:rPr>
                <w:color w:val="FFFFFF" w:themeColor="background1"/>
              </w:rPr>
            </w:pPr>
            <w:r>
              <w:rPr>
                <w:color w:val="FFFFFF" w:themeColor="background1"/>
              </w:rPr>
              <w:t>Achieved</w:t>
            </w:r>
          </w:p>
        </w:tc>
        <w:tc>
          <w:tcPr>
            <w:tcW w:w="6791" w:type="dxa"/>
          </w:tcPr>
          <w:p w:rsidR="00BF2F26" w:rsidRPr="008C7563" w:rsidRDefault="00DC3FAB" w:rsidP="008343CF">
            <w:pPr>
              <w:pStyle w:val="TableTextEntries"/>
            </w:pPr>
            <w:r w:rsidRPr="00DC3FAB">
              <w:t xml:space="preserve">Advisors will be recruited in the areas of both gender and disability to provide ongoing support to Post and partners to ensure adequate focus on these issues across all interventions. Child protection training </w:t>
            </w:r>
            <w:r w:rsidR="008343CF">
              <w:t xml:space="preserve">was undertaken by staff in </w:t>
            </w:r>
            <w:r w:rsidRPr="00DC3FAB">
              <w:t>November 2014, March and July 2015. Additional child Protection risk assessment</w:t>
            </w:r>
            <w:r w:rsidR="008343CF">
              <w:t>s</w:t>
            </w:r>
            <w:r w:rsidRPr="00DC3FAB">
              <w:t xml:space="preserve"> were conducted for government partner projects ( New Parliament House and Samoan Shaping Women Development)</w:t>
            </w:r>
          </w:p>
        </w:tc>
      </w:tr>
      <w:tr w:rsidR="00BF2F26" w:rsidRPr="00180B19" w:rsidTr="00BA316D">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100AA2" w:rsidRDefault="00BF2F26" w:rsidP="00F8684C">
            <w:pPr>
              <w:pStyle w:val="TableTextEntries"/>
            </w:pPr>
            <w:r w:rsidRPr="00485E70">
              <w:t>The first Aid Investment Plan for Samoa, scheduled for discussion with the Samoa</w:t>
            </w:r>
            <w:r w:rsidR="00F8684C">
              <w:t>n</w:t>
            </w:r>
            <w:r w:rsidRPr="00485E70">
              <w:t xml:space="preserve"> </w:t>
            </w:r>
            <w:r w:rsidR="00F8684C" w:rsidRPr="00485E70">
              <w:t xml:space="preserve"> Government </w:t>
            </w:r>
            <w:r w:rsidRPr="00485E70">
              <w:t>in late 2014, will need to carefully consider the major new policy approaches and ensure it reflects Australia’s national interests in foreign policy, trade, security and development.</w:t>
            </w:r>
          </w:p>
        </w:tc>
        <w:tc>
          <w:tcPr>
            <w:tcW w:w="953" w:type="dxa"/>
            <w:shd w:val="clear" w:color="auto" w:fill="92D050"/>
          </w:tcPr>
          <w:p w:rsidR="00BF2F26" w:rsidRPr="00443639" w:rsidRDefault="00BA316D" w:rsidP="00E740F4">
            <w:pPr>
              <w:pStyle w:val="TableTextEntries"/>
              <w:jc w:val="center"/>
              <w:rPr>
                <w:color w:val="FFFFFF" w:themeColor="background1"/>
              </w:rPr>
            </w:pPr>
            <w:r>
              <w:rPr>
                <w:color w:val="FFFFFF" w:themeColor="background1"/>
              </w:rPr>
              <w:t>Achieved</w:t>
            </w:r>
          </w:p>
        </w:tc>
        <w:tc>
          <w:tcPr>
            <w:tcW w:w="6791" w:type="dxa"/>
          </w:tcPr>
          <w:p w:rsidR="00BF2F26" w:rsidRPr="00BA316D" w:rsidRDefault="008343CF" w:rsidP="00BA316D">
            <w:pPr>
              <w:pStyle w:val="TableTextEntries"/>
            </w:pPr>
            <w:r>
              <w:t xml:space="preserve">The </w:t>
            </w:r>
            <w:r w:rsidR="00C86B9F">
              <w:t xml:space="preserve">Aid Investment Plan </w:t>
            </w:r>
            <w:r w:rsidR="00BA316D">
              <w:t>has now been published.</w:t>
            </w:r>
          </w:p>
        </w:tc>
      </w:tr>
      <w:tr w:rsidR="00BF2F26" w:rsidRPr="00180B19" w:rsidTr="00BA316D">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100AA2" w:rsidRDefault="00BF2F26" w:rsidP="00E740F4">
            <w:pPr>
              <w:pStyle w:val="TableTextEntries"/>
            </w:pPr>
            <w:r w:rsidRPr="00485E70">
              <w:t>The update to the Assessment of National Systems for Samoa will be finalised and inform our ongoing programming.  Post will build on this analysis by conducting its own lessons learned exercise on the opportunities and considerations required to effectively work through government systems.</w:t>
            </w:r>
          </w:p>
        </w:tc>
        <w:tc>
          <w:tcPr>
            <w:tcW w:w="953" w:type="dxa"/>
            <w:shd w:val="clear" w:color="auto" w:fill="92D050"/>
          </w:tcPr>
          <w:p w:rsidR="00BF2F26" w:rsidRDefault="00BF2F26" w:rsidP="00E740F4">
            <w:pPr>
              <w:pStyle w:val="TableTextEntries"/>
              <w:jc w:val="center"/>
              <w:rPr>
                <w:color w:val="FFFFFF" w:themeColor="background1"/>
              </w:rPr>
            </w:pPr>
            <w:r>
              <w:rPr>
                <w:color w:val="FFFFFF" w:themeColor="background1"/>
              </w:rPr>
              <w:t>Achieved</w:t>
            </w:r>
          </w:p>
        </w:tc>
        <w:tc>
          <w:tcPr>
            <w:tcW w:w="6791" w:type="dxa"/>
          </w:tcPr>
          <w:p w:rsidR="00BF2F26" w:rsidRPr="00BA316D" w:rsidRDefault="00BF2F26" w:rsidP="008343CF">
            <w:pPr>
              <w:pStyle w:val="TableTextEntries"/>
            </w:pPr>
            <w:r w:rsidRPr="009916D2">
              <w:t>This is now finalised</w:t>
            </w:r>
            <w:r>
              <w:t xml:space="preserve"> and informing Post</w:t>
            </w:r>
            <w:r w:rsidR="008343CF">
              <w:t>’</w:t>
            </w:r>
            <w:r>
              <w:t xml:space="preserve">s </w:t>
            </w:r>
            <w:r w:rsidR="008343CF">
              <w:t>w</w:t>
            </w:r>
            <w:r>
              <w:t>ork</w:t>
            </w:r>
            <w:r w:rsidR="008343CF">
              <w:t>.</w:t>
            </w:r>
          </w:p>
        </w:tc>
      </w:tr>
      <w:tr w:rsidR="00BF2F26" w:rsidRPr="00180B19" w:rsidTr="00BA316D">
        <w:trPr>
          <w:cnfStyle w:val="000000010000" w:firstRow="0" w:lastRow="0" w:firstColumn="0" w:lastColumn="0" w:oddVBand="0" w:evenVBand="0" w:oddHBand="0" w:evenHBand="1" w:firstRowFirstColumn="0" w:firstRowLastColumn="0" w:lastRowFirstColumn="0" w:lastRowLastColumn="0"/>
        </w:trPr>
        <w:tc>
          <w:tcPr>
            <w:tcW w:w="6374" w:type="dxa"/>
          </w:tcPr>
          <w:p w:rsidR="00BF2F26" w:rsidRPr="00100AA2" w:rsidRDefault="00BF2F26" w:rsidP="00E740F4">
            <w:pPr>
              <w:pStyle w:val="TableTextEntries"/>
            </w:pPr>
            <w:r w:rsidRPr="00485E70">
              <w:t>Given the lack of progress on the health infrastructure program, despite the active oversight which has been given in the last 2 years, remaining funds in the Health SWAp will be recovered if there is insufficient progress by December 2014.</w:t>
            </w:r>
          </w:p>
        </w:tc>
        <w:tc>
          <w:tcPr>
            <w:tcW w:w="953" w:type="dxa"/>
            <w:shd w:val="clear" w:color="auto" w:fill="92D050"/>
          </w:tcPr>
          <w:p w:rsidR="00BF2F26" w:rsidRDefault="00BF2F26" w:rsidP="00E740F4">
            <w:pPr>
              <w:pStyle w:val="TableTextEntries"/>
              <w:jc w:val="center"/>
              <w:rPr>
                <w:color w:val="FFFFFF" w:themeColor="background1"/>
              </w:rPr>
            </w:pPr>
            <w:r>
              <w:rPr>
                <w:color w:val="FFFFFF" w:themeColor="background1"/>
              </w:rPr>
              <w:t>Achieved</w:t>
            </w:r>
          </w:p>
          <w:p w:rsidR="00BF2F26" w:rsidRDefault="00BF2F26" w:rsidP="00E740F4">
            <w:pPr>
              <w:pStyle w:val="TableTextEntries"/>
              <w:jc w:val="center"/>
              <w:rPr>
                <w:color w:val="FFFFFF" w:themeColor="background1"/>
              </w:rPr>
            </w:pPr>
          </w:p>
        </w:tc>
        <w:tc>
          <w:tcPr>
            <w:tcW w:w="6791" w:type="dxa"/>
          </w:tcPr>
          <w:p w:rsidR="00BF2F26" w:rsidRPr="00BA316D" w:rsidRDefault="00BF2F26" w:rsidP="00F8684C">
            <w:pPr>
              <w:pStyle w:val="TableTextEntries"/>
            </w:pPr>
            <w:r>
              <w:t xml:space="preserve">There was sufficient progress made by December 2014 so funds were paid to the </w:t>
            </w:r>
            <w:r w:rsidR="008343CF">
              <w:t>Samoa</w:t>
            </w:r>
            <w:r w:rsidR="00F8684C">
              <w:t>n Government</w:t>
            </w:r>
            <w:r>
              <w:t>.</w:t>
            </w:r>
            <w:r w:rsidR="00BA316D">
              <w:t xml:space="preserve">  The investment continues to be closely monitored.</w:t>
            </w:r>
          </w:p>
        </w:tc>
      </w:tr>
    </w:tbl>
    <w:p w:rsidR="00BF2F26" w:rsidRPr="00FE4491" w:rsidRDefault="00BF2F26" w:rsidP="00BF2F26">
      <w:pPr>
        <w:pStyle w:val="Note"/>
      </w:pPr>
      <w:r w:rsidRPr="00FE4491">
        <w:t xml:space="preserve">Note: </w:t>
      </w:r>
    </w:p>
    <w:p w:rsidR="00BF2F26" w:rsidRPr="00671434" w:rsidRDefault="00BF2F26" w:rsidP="00BF2F26">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BF2F26" w:rsidRPr="00EA3BAD" w:rsidRDefault="00BF2F26" w:rsidP="00BF2F26">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BF2F26" w:rsidRDefault="00BF2F26" w:rsidP="00C80C67">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5C310A" w:rsidRDefault="005C310A">
      <w:pPr>
        <w:spacing w:after="200" w:line="276" w:lineRule="auto"/>
        <w:rPr>
          <w:rFonts w:ascii="Helvetica" w:eastAsia="Times New Roman" w:hAnsi="Helvetica" w:cs="Arial"/>
          <w:color w:val="007FAD"/>
          <w:kern w:val="28"/>
          <w:sz w:val="28"/>
          <w:szCs w:val="28"/>
        </w:rPr>
      </w:pPr>
      <w:r>
        <w:rPr>
          <w:sz w:val="28"/>
        </w:rPr>
        <w:br w:type="page"/>
      </w:r>
    </w:p>
    <w:p w:rsidR="00416B02" w:rsidRPr="009E38C1" w:rsidRDefault="00416B02" w:rsidP="00416B02">
      <w:pPr>
        <w:pStyle w:val="Heading2"/>
        <w:rPr>
          <w:sz w:val="28"/>
        </w:rPr>
      </w:pPr>
      <w:r w:rsidRPr="009E38C1">
        <w:rPr>
          <w:sz w:val="28"/>
        </w:rPr>
        <w:lastRenderedPageBreak/>
        <w:t>Annex</w:t>
      </w:r>
      <w:r w:rsidR="005C310A">
        <w:rPr>
          <w:sz w:val="28"/>
        </w:rPr>
        <w:t xml:space="preserve"> B</w:t>
      </w:r>
      <w:r w:rsidR="0057490F">
        <w:rPr>
          <w:sz w:val="28"/>
        </w:rPr>
        <w:t xml:space="preserve"> - </w:t>
      </w:r>
      <w:r>
        <w:rPr>
          <w:sz w:val="28"/>
        </w:rPr>
        <w:t xml:space="preserve">Progress towards </w:t>
      </w:r>
      <w:r w:rsidRPr="009E38C1">
        <w:rPr>
          <w:sz w:val="28"/>
        </w:rPr>
        <w:t xml:space="preserve">Performance Benchmarks </w:t>
      </w:r>
      <w:r>
        <w:rPr>
          <w:sz w:val="28"/>
        </w:rPr>
        <w:t xml:space="preserve">in </w:t>
      </w:r>
      <w:r w:rsidRPr="009E38C1">
        <w:rPr>
          <w:sz w:val="28"/>
        </w:rPr>
        <w:t>2014 -15</w:t>
      </w:r>
    </w:p>
    <w:tbl>
      <w:tblPr>
        <w:tblStyle w:val="DFATTable"/>
        <w:tblW w:w="5000" w:type="pct"/>
        <w:tblLook w:val="04A0" w:firstRow="1" w:lastRow="0" w:firstColumn="1" w:lastColumn="0" w:noHBand="0" w:noVBand="1"/>
      </w:tblPr>
      <w:tblGrid>
        <w:gridCol w:w="2244"/>
        <w:gridCol w:w="2245"/>
        <w:gridCol w:w="1353"/>
        <w:gridCol w:w="8547"/>
      </w:tblGrid>
      <w:tr w:rsidR="00416B02" w:rsidRPr="004F7D80" w:rsidTr="00E15678">
        <w:trPr>
          <w:tblHeader/>
        </w:trPr>
        <w:tc>
          <w:tcPr>
            <w:tcW w:w="780" w:type="pct"/>
            <w:tcMar>
              <w:top w:w="57" w:type="dxa"/>
              <w:bottom w:w="57" w:type="dxa"/>
            </w:tcMar>
          </w:tcPr>
          <w:p w:rsidR="00416B02" w:rsidRPr="002749B6" w:rsidRDefault="00416B02" w:rsidP="00E15678">
            <w:pPr>
              <w:pStyle w:val="TableHeading1"/>
            </w:pPr>
            <w:r>
              <w:t>Aid</w:t>
            </w:r>
            <w:r w:rsidRPr="002749B6">
              <w:t xml:space="preserve"> objective</w:t>
            </w:r>
          </w:p>
        </w:tc>
        <w:tc>
          <w:tcPr>
            <w:tcW w:w="780" w:type="pct"/>
          </w:tcPr>
          <w:p w:rsidR="00416B02" w:rsidRPr="002749B6" w:rsidRDefault="00416B02" w:rsidP="00E15678">
            <w:pPr>
              <w:pStyle w:val="TableHeading1"/>
            </w:pPr>
            <w:r w:rsidRPr="002749B6">
              <w:t xml:space="preserve">2014-15 benchmark </w:t>
            </w:r>
          </w:p>
        </w:tc>
        <w:tc>
          <w:tcPr>
            <w:tcW w:w="470" w:type="pct"/>
          </w:tcPr>
          <w:p w:rsidR="00416B02" w:rsidRDefault="00416B02" w:rsidP="00E15678">
            <w:pPr>
              <w:pStyle w:val="TableHeading1"/>
            </w:pPr>
            <w:r>
              <w:t>Rating</w:t>
            </w:r>
          </w:p>
        </w:tc>
        <w:tc>
          <w:tcPr>
            <w:tcW w:w="2970" w:type="pct"/>
          </w:tcPr>
          <w:p w:rsidR="00416B02" w:rsidRPr="002749B6" w:rsidRDefault="00416B02" w:rsidP="00E15678">
            <w:pPr>
              <w:pStyle w:val="TableHeading1"/>
            </w:pPr>
            <w:r>
              <w:t>Progress in 2014-15</w:t>
            </w:r>
          </w:p>
        </w:tc>
      </w:tr>
      <w:tr w:rsidR="0043158C" w:rsidRPr="004F7D80" w:rsidTr="00BA316D">
        <w:tc>
          <w:tcPr>
            <w:tcW w:w="780" w:type="pct"/>
            <w:tcMar>
              <w:top w:w="57" w:type="dxa"/>
              <w:bottom w:w="57" w:type="dxa"/>
            </w:tcMar>
          </w:tcPr>
          <w:p w:rsidR="0043158C" w:rsidRPr="002749B6" w:rsidRDefault="0043158C" w:rsidP="00E15678">
            <w:pPr>
              <w:pStyle w:val="TableTextEntries"/>
            </w:pPr>
            <w:r>
              <w:t>To stimulate economic growth by investing in essential economic infrastructure.</w:t>
            </w:r>
          </w:p>
        </w:tc>
        <w:tc>
          <w:tcPr>
            <w:tcW w:w="780" w:type="pct"/>
          </w:tcPr>
          <w:p w:rsidR="0043158C" w:rsidRPr="002749B6" w:rsidRDefault="0043158C" w:rsidP="00E15678">
            <w:pPr>
              <w:pStyle w:val="TableTextEntries"/>
            </w:pPr>
            <w:r>
              <w:t>Commence design and procurement for construction of a new bridge at Leone Bridge in Apia linking Apia port to the business district.</w:t>
            </w:r>
          </w:p>
        </w:tc>
        <w:tc>
          <w:tcPr>
            <w:tcW w:w="470" w:type="pct"/>
            <w:shd w:val="clear" w:color="auto" w:fill="E36C0A" w:themeFill="accent6" w:themeFillShade="BF"/>
          </w:tcPr>
          <w:p w:rsidR="0043158C" w:rsidRPr="002749B6" w:rsidRDefault="0043158C" w:rsidP="00E740F4">
            <w:pPr>
              <w:pStyle w:val="TableTextEntries"/>
              <w:jc w:val="center"/>
            </w:pPr>
            <w:r>
              <w:rPr>
                <w:color w:val="FFFFFF" w:themeColor="background1"/>
              </w:rPr>
              <w:t>Partly achieved</w:t>
            </w:r>
          </w:p>
        </w:tc>
        <w:tc>
          <w:tcPr>
            <w:tcW w:w="2970" w:type="pct"/>
          </w:tcPr>
          <w:p w:rsidR="0043158C" w:rsidRPr="002749B6" w:rsidRDefault="0043158C" w:rsidP="00E15678">
            <w:pPr>
              <w:pStyle w:val="TableTextEntries"/>
            </w:pPr>
            <w:r>
              <w:t xml:space="preserve">Partly achieved. Design for the new bridge is near completion. However, there are technical issues with the proposed design that needs refining.  We are in discussions with the World Bank and the Samoa Land Transport Authority to resolve these issues. </w:t>
            </w:r>
          </w:p>
        </w:tc>
      </w:tr>
      <w:tr w:rsidR="0043158C" w:rsidRPr="004F7D80" w:rsidTr="00BA316D">
        <w:tc>
          <w:tcPr>
            <w:tcW w:w="780" w:type="pct"/>
            <w:tcMar>
              <w:top w:w="57" w:type="dxa"/>
              <w:bottom w:w="57" w:type="dxa"/>
            </w:tcMar>
          </w:tcPr>
          <w:p w:rsidR="0043158C" w:rsidRPr="002749B6" w:rsidRDefault="0043158C" w:rsidP="00E15678">
            <w:pPr>
              <w:pStyle w:val="TableTextEntries"/>
            </w:pPr>
            <w:r>
              <w:t>To support the development of Samoa’s human capital by providing high achieving Samoans with recognised tertiary and technical qualifications.</w:t>
            </w:r>
          </w:p>
        </w:tc>
        <w:tc>
          <w:tcPr>
            <w:tcW w:w="780" w:type="pct"/>
          </w:tcPr>
          <w:p w:rsidR="0043158C" w:rsidRPr="002749B6" w:rsidRDefault="0043158C" w:rsidP="00E15678">
            <w:pPr>
              <w:pStyle w:val="TableTextEntries"/>
            </w:pPr>
            <w:r>
              <w:t>A well-targeted scholarships program for Samoan students based on Samoa’s Human Resource Development needs.</w:t>
            </w:r>
          </w:p>
        </w:tc>
        <w:tc>
          <w:tcPr>
            <w:tcW w:w="470" w:type="pct"/>
            <w:tcBorders>
              <w:bottom w:val="nil"/>
            </w:tcBorders>
            <w:shd w:val="clear" w:color="auto" w:fill="E36C0A" w:themeFill="accent6" w:themeFillShade="BF"/>
          </w:tcPr>
          <w:p w:rsidR="0043158C" w:rsidRPr="002749B6" w:rsidRDefault="0043158C" w:rsidP="00E15678">
            <w:pPr>
              <w:pStyle w:val="TableTextEntries"/>
              <w:jc w:val="center"/>
            </w:pPr>
            <w:r>
              <w:rPr>
                <w:color w:val="FFFFFF" w:themeColor="background1"/>
              </w:rPr>
              <w:t>Partly achieved</w:t>
            </w:r>
          </w:p>
        </w:tc>
        <w:tc>
          <w:tcPr>
            <w:tcW w:w="2970" w:type="pct"/>
          </w:tcPr>
          <w:p w:rsidR="0043158C" w:rsidRPr="002749B6" w:rsidRDefault="0043158C" w:rsidP="00CD7853">
            <w:pPr>
              <w:pStyle w:val="TableTextEntries"/>
            </w:pPr>
            <w:r>
              <w:t xml:space="preserve">Partly achieved. The targeted scholarships for Health and Education </w:t>
            </w:r>
            <w:r w:rsidR="00CD7853">
              <w:t xml:space="preserve">trial commenced in </w:t>
            </w:r>
            <w:r>
              <w:t xml:space="preserve"> 2014 focusing only on Foundation students. An allocation of 12 awards each for Health &amp; Education sectors</w:t>
            </w:r>
            <w:r w:rsidR="00F46FA2">
              <w:t xml:space="preserve"> were funded jointly by DFAT and NZMFAT. First time scholarships were also awarded to Faculty of Education students to study teaching in Fiji. Joint collaboration between the Governments of Australia, New Zealand and Samoa in terms of interviews, promotion, briefings, selection for the targeted scholarships. The program will be fully trialled in 2015 to include the Open Category (In Service candidates). More work is needed </w:t>
            </w:r>
            <w:r w:rsidR="00CD7853">
              <w:t xml:space="preserve">to promote </w:t>
            </w:r>
            <w:r w:rsidR="00F46FA2">
              <w:t>the priority areas to local candidates.</w:t>
            </w:r>
          </w:p>
        </w:tc>
      </w:tr>
      <w:tr w:rsidR="0043158C" w:rsidRPr="004F7D80" w:rsidTr="00BA316D">
        <w:tc>
          <w:tcPr>
            <w:tcW w:w="780" w:type="pct"/>
            <w:tcMar>
              <w:top w:w="57" w:type="dxa"/>
              <w:bottom w:w="57" w:type="dxa"/>
            </w:tcMar>
          </w:tcPr>
          <w:p w:rsidR="0043158C" w:rsidRPr="002749B6" w:rsidRDefault="0043158C" w:rsidP="00E15678">
            <w:pPr>
              <w:pStyle w:val="TableTextEntries"/>
            </w:pPr>
            <w:r w:rsidRPr="00990B49">
              <w:t xml:space="preserve">To support the development of Samoa’s human capital by </w:t>
            </w:r>
            <w:r>
              <w:t>improving opportunities for women</w:t>
            </w:r>
            <w:r w:rsidRPr="00990B49">
              <w:t>.</w:t>
            </w:r>
          </w:p>
        </w:tc>
        <w:tc>
          <w:tcPr>
            <w:tcW w:w="780" w:type="pct"/>
          </w:tcPr>
          <w:p w:rsidR="0043158C" w:rsidRPr="00A60F86" w:rsidRDefault="0043158C" w:rsidP="00A60F86">
            <w:pPr>
              <w:pStyle w:val="TableTextEntries"/>
            </w:pPr>
            <w:r w:rsidRPr="00A60F86">
              <w:t>Focused on increasing participation of women in decision making through legislation and policies that advance women’s leadership at all levels.</w:t>
            </w:r>
          </w:p>
          <w:p w:rsidR="0043158C" w:rsidRPr="00A60F86" w:rsidRDefault="0043158C" w:rsidP="00A60F86">
            <w:pPr>
              <w:pStyle w:val="TableTextEntries"/>
            </w:pPr>
          </w:p>
          <w:p w:rsidR="0043158C" w:rsidRPr="00A60F86" w:rsidRDefault="0043158C" w:rsidP="00A60F86">
            <w:pPr>
              <w:pStyle w:val="TableTextEntries"/>
            </w:pPr>
          </w:p>
        </w:tc>
        <w:tc>
          <w:tcPr>
            <w:tcW w:w="470" w:type="pct"/>
            <w:tcBorders>
              <w:top w:val="nil"/>
              <w:bottom w:val="nil"/>
            </w:tcBorders>
            <w:shd w:val="clear" w:color="auto" w:fill="E36C0A" w:themeFill="accent6" w:themeFillShade="BF"/>
          </w:tcPr>
          <w:p w:rsidR="0043158C" w:rsidRPr="002749B6" w:rsidRDefault="002212A9" w:rsidP="00E15678">
            <w:pPr>
              <w:pStyle w:val="TableTextEntries"/>
            </w:pPr>
            <w:r>
              <w:rPr>
                <w:color w:val="FFFFFF" w:themeColor="background1"/>
              </w:rPr>
              <w:t>Partly Achieved</w:t>
            </w:r>
          </w:p>
        </w:tc>
        <w:tc>
          <w:tcPr>
            <w:tcW w:w="2970" w:type="pct"/>
          </w:tcPr>
          <w:p w:rsidR="0043158C" w:rsidRPr="002749B6" w:rsidRDefault="002212A9" w:rsidP="00CD7853">
            <w:pPr>
              <w:pStyle w:val="TableTextEntries"/>
            </w:pPr>
            <w:r>
              <w:t xml:space="preserve">Partly achieved.  </w:t>
            </w:r>
            <w:r w:rsidR="004B23F2">
              <w:t xml:space="preserve">Gender Design finalised and implementation began in March 2015.  </w:t>
            </w:r>
            <w:r>
              <w:t xml:space="preserve">The key activities under the Gender Program namely; the Samoa Women Shaping Development Program (SWSD) and the Increasing Political Participation of Women in Samoa (IPPWS) just commenced this year in March 2015 through to 2020. </w:t>
            </w:r>
          </w:p>
        </w:tc>
      </w:tr>
      <w:tr w:rsidR="0043158C" w:rsidRPr="004F7D80" w:rsidTr="00BA316D">
        <w:tc>
          <w:tcPr>
            <w:tcW w:w="780" w:type="pct"/>
            <w:tcMar>
              <w:top w:w="57" w:type="dxa"/>
              <w:bottom w:w="57" w:type="dxa"/>
            </w:tcMar>
          </w:tcPr>
          <w:p w:rsidR="0043158C" w:rsidRPr="00990B49" w:rsidRDefault="0043158C" w:rsidP="00E15678">
            <w:pPr>
              <w:pStyle w:val="TableTextEntries"/>
            </w:pPr>
            <w:r>
              <w:t>Improve articulation of how programs are addressing gender and improving monitoring and evaluation</w:t>
            </w:r>
          </w:p>
        </w:tc>
        <w:tc>
          <w:tcPr>
            <w:tcW w:w="780" w:type="pct"/>
          </w:tcPr>
          <w:p w:rsidR="0043158C" w:rsidRDefault="0043158C" w:rsidP="007C298D">
            <w:pPr>
              <w:pStyle w:val="TableTextEntries"/>
            </w:pPr>
            <w:r>
              <w:t xml:space="preserve">New programs in education, health and economic infrastructure will specifically identify objectives around improved gender outcomes. </w:t>
            </w:r>
          </w:p>
          <w:p w:rsidR="0043158C" w:rsidRDefault="0043158C" w:rsidP="007C298D">
            <w:pPr>
              <w:pStyle w:val="TableTextEntries"/>
            </w:pPr>
            <w:r>
              <w:t xml:space="preserve">Monitoring and evaluation assistance in Ministry of Finance and in education sector to put in place process to improve monitoring and reporting of results. </w:t>
            </w:r>
          </w:p>
        </w:tc>
        <w:tc>
          <w:tcPr>
            <w:tcW w:w="470" w:type="pct"/>
            <w:tcBorders>
              <w:top w:val="nil"/>
            </w:tcBorders>
            <w:shd w:val="clear" w:color="auto" w:fill="E36C0A" w:themeFill="accent6" w:themeFillShade="BF"/>
          </w:tcPr>
          <w:p w:rsidR="0043158C" w:rsidRPr="00B92B2F" w:rsidRDefault="002459ED" w:rsidP="00E15678">
            <w:pPr>
              <w:pStyle w:val="TableTextEntries"/>
              <w:rPr>
                <w:color w:val="FFFFFF" w:themeColor="background1"/>
              </w:rPr>
            </w:pPr>
            <w:r>
              <w:rPr>
                <w:color w:val="FFFFFF" w:themeColor="background1"/>
              </w:rPr>
              <w:t>Partly Achieved</w:t>
            </w:r>
          </w:p>
        </w:tc>
        <w:tc>
          <w:tcPr>
            <w:tcW w:w="2970" w:type="pct"/>
          </w:tcPr>
          <w:p w:rsidR="0043158C" w:rsidRPr="002749B6" w:rsidRDefault="0043158C" w:rsidP="00F451BD">
            <w:pPr>
              <w:pStyle w:val="TableTextEntries"/>
              <w:jc w:val="both"/>
            </w:pPr>
            <w:r>
              <w:t xml:space="preserve">Partially achieved. </w:t>
            </w:r>
            <w:r w:rsidR="00CD7853">
              <w:t>New programs have been finalised in health</w:t>
            </w:r>
            <w:r w:rsidR="00F451BD">
              <w:t xml:space="preserve">. Programs in </w:t>
            </w:r>
            <w:r w:rsidR="00CD7853">
              <w:t xml:space="preserve"> in health and economic infrastructure</w:t>
            </w:r>
            <w:r w:rsidR="00F451BD">
              <w:t xml:space="preserve"> and partially finalised</w:t>
            </w:r>
            <w:r w:rsidR="00CD7853">
              <w:t xml:space="preserve">. </w:t>
            </w:r>
            <w:r>
              <w:t xml:space="preserve">We are in discussions on a </w:t>
            </w:r>
            <w:r w:rsidR="00A028D6">
              <w:t>new</w:t>
            </w:r>
            <w:r w:rsidR="00A028D6" w:rsidRPr="00B93C83">
              <w:t xml:space="preserve"> </w:t>
            </w:r>
            <w:r w:rsidRPr="00B93C83">
              <w:t>health program of support for Samoa</w:t>
            </w:r>
            <w:r>
              <w:t xml:space="preserve"> planned for</w:t>
            </w:r>
            <w:r w:rsidR="00CD7853">
              <w:t xml:space="preserve"> implementation by July 2016 and on a bridge maintenance program.</w:t>
            </w:r>
          </w:p>
        </w:tc>
      </w:tr>
    </w:tbl>
    <w:p w:rsidR="00416B02" w:rsidRPr="00FE4491" w:rsidRDefault="00416B02" w:rsidP="00582C22">
      <w:pPr>
        <w:pStyle w:val="Note"/>
      </w:pPr>
      <w:r w:rsidRPr="00FE4491">
        <w:t xml:space="preserve">Note: </w:t>
      </w:r>
    </w:p>
    <w:p w:rsidR="00416B02" w:rsidRPr="00671434" w:rsidRDefault="00416B02" w:rsidP="00582C22">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w:t>
      </w:r>
      <w:r>
        <w:t xml:space="preserve">and the performance benchmark was achieved </w:t>
      </w:r>
    </w:p>
    <w:p w:rsidR="00416B02" w:rsidRPr="00EA3BAD" w:rsidRDefault="00416B02" w:rsidP="00582C22">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towards achieving the performance benchmark, but progress was less than anticipated. </w:t>
      </w:r>
    </w:p>
    <w:p w:rsidR="00416B02" w:rsidRDefault="00416B02" w:rsidP="00582C22">
      <w:pPr>
        <w:pStyle w:val="Note"/>
      </w:pPr>
      <w:r w:rsidRPr="00EA3BAD">
        <w:rPr>
          <w:color w:val="FF0000"/>
        </w:rPr>
        <w:sym w:font="Webdings" w:char="F067"/>
      </w:r>
      <w:r w:rsidRPr="00EA3BAD">
        <w:t> </w:t>
      </w:r>
      <w:r w:rsidRPr="00EA3BAD">
        <w:t xml:space="preserve"> Not achieved. Progress </w:t>
      </w:r>
      <w:r>
        <w:t xml:space="preserve">towards the performance benchmark </w:t>
      </w:r>
      <w:r w:rsidRPr="00EA3BAD">
        <w:t>has been significantly below expectations</w:t>
      </w:r>
    </w:p>
    <w:p w:rsidR="00416B02" w:rsidRDefault="00416B02" w:rsidP="00416B02">
      <w:pPr>
        <w:pStyle w:val="BodyText"/>
      </w:pPr>
    </w:p>
    <w:p w:rsidR="00416B02" w:rsidRPr="00416B02" w:rsidRDefault="00416B02" w:rsidP="00B32DE0">
      <w:pPr>
        <w:spacing w:after="200" w:line="276" w:lineRule="auto"/>
        <w:sectPr w:rsidR="00416B02" w:rsidRPr="00416B02" w:rsidSect="00550C12">
          <w:headerReference w:type="even" r:id="rId15"/>
          <w:footerReference w:type="first" r:id="rId16"/>
          <w:footnotePr>
            <w:numRestart w:val="eachPage"/>
          </w:footnotePr>
          <w:pgSz w:w="16838" w:h="11906" w:orient="landscape" w:code="9"/>
          <w:pgMar w:top="567" w:right="1814" w:bottom="851" w:left="851" w:header="709" w:footer="425" w:gutter="0"/>
          <w:cols w:space="708"/>
          <w:titlePg/>
          <w:docGrid w:linePitch="360"/>
        </w:sectPr>
      </w:pPr>
    </w:p>
    <w:bookmarkEnd w:id="2"/>
    <w:p w:rsidR="00C86B9F" w:rsidRPr="00F50098" w:rsidRDefault="00C86B9F" w:rsidP="00C86B9F">
      <w:pPr>
        <w:pStyle w:val="Heading2"/>
        <w:rPr>
          <w:sz w:val="26"/>
          <w:szCs w:val="26"/>
        </w:rPr>
      </w:pPr>
      <w:r w:rsidRPr="00F50098">
        <w:rPr>
          <w:sz w:val="26"/>
          <w:szCs w:val="26"/>
        </w:rPr>
        <w:lastRenderedPageBreak/>
        <w:t>Annex C - Evaluation and Review Pipeline Planning</w:t>
      </w:r>
    </w:p>
    <w:p w:rsidR="00C86B9F" w:rsidRPr="00F50098" w:rsidRDefault="00C86B9F" w:rsidP="002E3195">
      <w:pPr>
        <w:pStyle w:val="Heading3"/>
      </w:pPr>
      <w:r w:rsidRPr="00F50098">
        <w:t xml:space="preserve">List of evaluations completed in the reporting period </w:t>
      </w:r>
    </w:p>
    <w:tbl>
      <w:tblPr>
        <w:tblStyle w:val="APPR"/>
        <w:tblW w:w="15245" w:type="dxa"/>
        <w:tblLook w:val="04A0" w:firstRow="1" w:lastRow="0" w:firstColumn="1" w:lastColumn="0" w:noHBand="0" w:noVBand="1"/>
      </w:tblPr>
      <w:tblGrid>
        <w:gridCol w:w="2234"/>
        <w:gridCol w:w="2246"/>
        <w:gridCol w:w="2035"/>
        <w:gridCol w:w="1559"/>
        <w:gridCol w:w="2410"/>
        <w:gridCol w:w="2410"/>
        <w:gridCol w:w="2351"/>
      </w:tblGrid>
      <w:tr w:rsidR="00C86B9F" w:rsidRPr="00071B95" w:rsidTr="00F451BD">
        <w:trPr>
          <w:cnfStyle w:val="100000000000" w:firstRow="1" w:lastRow="0" w:firstColumn="0" w:lastColumn="0" w:oddVBand="0" w:evenVBand="0" w:oddHBand="0" w:evenHBand="0" w:firstRowFirstColumn="0" w:firstRowLastColumn="0" w:lastRowFirstColumn="0" w:lastRowLastColumn="0"/>
          <w:trHeight w:val="424"/>
        </w:trPr>
        <w:tc>
          <w:tcPr>
            <w:tcW w:w="2192" w:type="dxa"/>
          </w:tcPr>
          <w:p w:rsidR="00C86B9F" w:rsidRPr="00071B95" w:rsidRDefault="00C86B9F" w:rsidP="00F451BD">
            <w:pPr>
              <w:pStyle w:val="TableTextColumnHeading"/>
              <w:rPr>
                <w:b/>
              </w:rPr>
            </w:pPr>
            <w:r w:rsidRPr="00071B95">
              <w:rPr>
                <w:b/>
              </w:rPr>
              <w:t xml:space="preserve">Name of </w:t>
            </w:r>
            <w:r>
              <w:rPr>
                <w:b/>
              </w:rPr>
              <w:t>Investment</w:t>
            </w:r>
          </w:p>
        </w:tc>
        <w:tc>
          <w:tcPr>
            <w:tcW w:w="2218" w:type="dxa"/>
          </w:tcPr>
          <w:p w:rsidR="00C86B9F" w:rsidRPr="00071B95" w:rsidRDefault="00C86B9F" w:rsidP="00F451BD">
            <w:pPr>
              <w:pStyle w:val="TableTextColumnHeading"/>
              <w:rPr>
                <w:b/>
              </w:rPr>
            </w:pPr>
            <w:r>
              <w:rPr>
                <w:b/>
              </w:rPr>
              <w:t>AidW</w:t>
            </w:r>
            <w:r w:rsidRPr="00071B95">
              <w:rPr>
                <w:b/>
              </w:rPr>
              <w:t>orks number</w:t>
            </w:r>
          </w:p>
        </w:tc>
        <w:tc>
          <w:tcPr>
            <w:tcW w:w="2007" w:type="dxa"/>
          </w:tcPr>
          <w:p w:rsidR="00C86B9F" w:rsidRPr="00071B95" w:rsidRDefault="00C86B9F" w:rsidP="00F451BD">
            <w:pPr>
              <w:pStyle w:val="TableTextColumnHeading"/>
              <w:rPr>
                <w:b/>
              </w:rPr>
            </w:pPr>
            <w:r>
              <w:rPr>
                <w:b/>
              </w:rPr>
              <w:t>Name of evaluation</w:t>
            </w:r>
          </w:p>
        </w:tc>
        <w:tc>
          <w:tcPr>
            <w:tcW w:w="1531" w:type="dxa"/>
          </w:tcPr>
          <w:p w:rsidR="00C86B9F" w:rsidRPr="00071B95" w:rsidRDefault="00C86B9F" w:rsidP="00F451BD">
            <w:pPr>
              <w:pStyle w:val="TableTextColumnHeading"/>
              <w:rPr>
                <w:b/>
              </w:rPr>
            </w:pPr>
            <w:r w:rsidRPr="00071B95">
              <w:rPr>
                <w:b/>
              </w:rPr>
              <w:t xml:space="preserve">Date </w:t>
            </w:r>
            <w:r>
              <w:rPr>
                <w:b/>
              </w:rPr>
              <w:t>finalised</w:t>
            </w:r>
          </w:p>
        </w:tc>
        <w:tc>
          <w:tcPr>
            <w:tcW w:w="2382" w:type="dxa"/>
          </w:tcPr>
          <w:p w:rsidR="00C86B9F" w:rsidRPr="00071B95" w:rsidRDefault="00C86B9F" w:rsidP="00F451BD">
            <w:pPr>
              <w:pStyle w:val="TableTextColumnHeading"/>
              <w:rPr>
                <w:b/>
              </w:rPr>
            </w:pPr>
            <w:r w:rsidRPr="00071B95">
              <w:rPr>
                <w:b/>
              </w:rPr>
              <w:t xml:space="preserve">Date Evaluation report Uploaded into </w:t>
            </w:r>
            <w:r>
              <w:rPr>
                <w:b/>
              </w:rPr>
              <w:t>AidW</w:t>
            </w:r>
            <w:r w:rsidRPr="00071B95">
              <w:rPr>
                <w:b/>
              </w:rPr>
              <w:t>orks</w:t>
            </w:r>
          </w:p>
        </w:tc>
        <w:tc>
          <w:tcPr>
            <w:tcW w:w="2382" w:type="dxa"/>
          </w:tcPr>
          <w:p w:rsidR="00C86B9F" w:rsidRPr="00071B95" w:rsidRDefault="00C86B9F" w:rsidP="00F451BD">
            <w:pPr>
              <w:pStyle w:val="TableTextColumnHeading"/>
              <w:rPr>
                <w:b/>
              </w:rPr>
            </w:pPr>
            <w:r w:rsidRPr="00071B95">
              <w:rPr>
                <w:b/>
              </w:rPr>
              <w:t xml:space="preserve">Date Management response uploaded into </w:t>
            </w:r>
            <w:r>
              <w:rPr>
                <w:b/>
              </w:rPr>
              <w:t>AidW</w:t>
            </w:r>
            <w:r w:rsidRPr="00071B95">
              <w:rPr>
                <w:b/>
              </w:rPr>
              <w:t>orks</w:t>
            </w:r>
          </w:p>
        </w:tc>
        <w:tc>
          <w:tcPr>
            <w:tcW w:w="2309" w:type="dxa"/>
          </w:tcPr>
          <w:p w:rsidR="00C86B9F" w:rsidRPr="00071B95" w:rsidRDefault="00C86B9F" w:rsidP="00F451BD">
            <w:pPr>
              <w:pStyle w:val="TableTextColumnHeading"/>
              <w:rPr>
                <w:b/>
              </w:rPr>
            </w:pPr>
            <w:r w:rsidRPr="00071B95">
              <w:rPr>
                <w:b/>
              </w:rPr>
              <w:t>Published on website</w:t>
            </w:r>
          </w:p>
        </w:tc>
      </w:tr>
      <w:tr w:rsidR="00C86B9F" w:rsidRPr="00F50098" w:rsidTr="00F451BD">
        <w:trPr>
          <w:cnfStyle w:val="100000000000" w:firstRow="1" w:lastRow="0" w:firstColumn="0" w:lastColumn="0" w:oddVBand="0" w:evenVBand="0" w:oddHBand="0" w:evenHBand="0" w:firstRowFirstColumn="0" w:firstRowLastColumn="0" w:lastRowFirstColumn="0" w:lastRowLastColumn="0"/>
          <w:trHeight w:val="739"/>
        </w:trPr>
        <w:tc>
          <w:tcPr>
            <w:tcW w:w="2192"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Education Support Program II (ESP II)</w:t>
            </w:r>
          </w:p>
        </w:tc>
        <w:tc>
          <w:tcPr>
            <w:tcW w:w="2218"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ING971</w:t>
            </w:r>
          </w:p>
        </w:tc>
        <w:tc>
          <w:tcPr>
            <w:tcW w:w="2007"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Final Project Completion Evaluation</w:t>
            </w:r>
          </w:p>
        </w:tc>
        <w:tc>
          <w:tcPr>
            <w:tcW w:w="1531"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Not yet finalised</w:t>
            </w:r>
          </w:p>
        </w:tc>
        <w:tc>
          <w:tcPr>
            <w:tcW w:w="2382"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TBC – Awaiting final report from ADB</w:t>
            </w:r>
          </w:p>
        </w:tc>
        <w:tc>
          <w:tcPr>
            <w:tcW w:w="2382" w:type="dxa"/>
          </w:tcPr>
          <w:p w:rsidR="00C86B9F" w:rsidRPr="00F50098" w:rsidRDefault="00C86B9F" w:rsidP="00C86B9F">
            <w:pPr>
              <w:pStyle w:val="TableTextEntries"/>
              <w:rPr>
                <w:sz w:val="16"/>
                <w:szCs w:val="16"/>
              </w:rPr>
            </w:pPr>
          </w:p>
          <w:p w:rsidR="00C86B9F" w:rsidRPr="00F50098" w:rsidRDefault="00C86B9F" w:rsidP="00C86B9F">
            <w:pPr>
              <w:pStyle w:val="TableTextEntries"/>
              <w:rPr>
                <w:b w:val="0"/>
                <w:sz w:val="16"/>
                <w:szCs w:val="16"/>
              </w:rPr>
            </w:pPr>
            <w:r w:rsidRPr="00F50098">
              <w:rPr>
                <w:b w:val="0"/>
                <w:sz w:val="16"/>
                <w:szCs w:val="16"/>
              </w:rPr>
              <w:t>Not yet</w:t>
            </w:r>
          </w:p>
        </w:tc>
        <w:tc>
          <w:tcPr>
            <w:tcW w:w="2309" w:type="dxa"/>
          </w:tcPr>
          <w:p w:rsidR="00C86B9F" w:rsidRPr="00F50098" w:rsidRDefault="00C86B9F" w:rsidP="00C86B9F">
            <w:pPr>
              <w:pStyle w:val="TableTextEntries"/>
              <w:rPr>
                <w:b w:val="0"/>
                <w:sz w:val="16"/>
                <w:szCs w:val="16"/>
              </w:rPr>
            </w:pPr>
          </w:p>
          <w:p w:rsidR="00C86B9F" w:rsidRPr="00F50098" w:rsidRDefault="00C86B9F" w:rsidP="00C86B9F">
            <w:pPr>
              <w:pStyle w:val="TableTextEntries"/>
              <w:rPr>
                <w:b w:val="0"/>
                <w:sz w:val="16"/>
                <w:szCs w:val="16"/>
              </w:rPr>
            </w:pPr>
            <w:r w:rsidRPr="00F50098">
              <w:rPr>
                <w:b w:val="0"/>
                <w:sz w:val="16"/>
                <w:szCs w:val="16"/>
              </w:rPr>
              <w:t xml:space="preserve">November 2015 </w:t>
            </w:r>
          </w:p>
        </w:tc>
      </w:tr>
      <w:tr w:rsidR="00C86B9F" w:rsidRPr="00F50098" w:rsidTr="00F451BD">
        <w:trPr>
          <w:cnfStyle w:val="100000000000" w:firstRow="1" w:lastRow="0" w:firstColumn="0" w:lastColumn="0" w:oddVBand="0" w:evenVBand="0" w:oddHBand="0" w:evenHBand="0" w:firstRowFirstColumn="0" w:firstRowLastColumn="0" w:lastRowFirstColumn="0" w:lastRowLastColumn="0"/>
          <w:trHeight w:val="484"/>
        </w:trPr>
        <w:tc>
          <w:tcPr>
            <w:tcW w:w="2192" w:type="dxa"/>
          </w:tcPr>
          <w:p w:rsidR="00C86B9F" w:rsidRPr="00F50098" w:rsidRDefault="00C86B9F" w:rsidP="00C86B9F">
            <w:pPr>
              <w:pStyle w:val="TableTextEntries"/>
              <w:rPr>
                <w:b w:val="0"/>
                <w:sz w:val="16"/>
                <w:szCs w:val="16"/>
              </w:rPr>
            </w:pPr>
            <w:r w:rsidRPr="00F50098">
              <w:rPr>
                <w:b w:val="0"/>
                <w:sz w:val="16"/>
                <w:szCs w:val="16"/>
              </w:rPr>
              <w:t>Samoa Law &amp; Justice Program</w:t>
            </w:r>
          </w:p>
        </w:tc>
        <w:tc>
          <w:tcPr>
            <w:tcW w:w="2218" w:type="dxa"/>
          </w:tcPr>
          <w:p w:rsidR="00C86B9F" w:rsidRPr="00F50098" w:rsidRDefault="00C86B9F" w:rsidP="00C86B9F">
            <w:pPr>
              <w:pStyle w:val="TableTextEntries"/>
              <w:rPr>
                <w:b w:val="0"/>
                <w:sz w:val="16"/>
                <w:szCs w:val="16"/>
              </w:rPr>
            </w:pPr>
            <w:r w:rsidRPr="00F50098">
              <w:rPr>
                <w:b w:val="0"/>
                <w:sz w:val="16"/>
                <w:szCs w:val="16"/>
              </w:rPr>
              <w:t>INH405</w:t>
            </w:r>
          </w:p>
        </w:tc>
        <w:tc>
          <w:tcPr>
            <w:tcW w:w="2007" w:type="dxa"/>
          </w:tcPr>
          <w:p w:rsidR="00C86B9F" w:rsidRPr="00F50098" w:rsidRDefault="00C86B9F" w:rsidP="00C86B9F">
            <w:pPr>
              <w:pStyle w:val="TableTextEntries"/>
              <w:rPr>
                <w:b w:val="0"/>
                <w:sz w:val="16"/>
                <w:szCs w:val="16"/>
              </w:rPr>
            </w:pPr>
            <w:r w:rsidRPr="00F50098">
              <w:rPr>
                <w:b w:val="0"/>
                <w:sz w:val="16"/>
                <w:szCs w:val="16"/>
              </w:rPr>
              <w:t>Independent Evaluation</w:t>
            </w:r>
          </w:p>
        </w:tc>
        <w:tc>
          <w:tcPr>
            <w:tcW w:w="1531" w:type="dxa"/>
          </w:tcPr>
          <w:p w:rsidR="00C86B9F" w:rsidRPr="00F50098" w:rsidRDefault="00C86B9F" w:rsidP="00C86B9F">
            <w:pPr>
              <w:pStyle w:val="TableTextEntries"/>
              <w:rPr>
                <w:b w:val="0"/>
                <w:sz w:val="16"/>
                <w:szCs w:val="16"/>
              </w:rPr>
            </w:pPr>
            <w:r w:rsidRPr="00F50098">
              <w:rPr>
                <w:b w:val="0"/>
                <w:sz w:val="16"/>
                <w:szCs w:val="16"/>
              </w:rPr>
              <w:t>Report not yet finalised</w:t>
            </w:r>
          </w:p>
        </w:tc>
        <w:tc>
          <w:tcPr>
            <w:tcW w:w="2382" w:type="dxa"/>
          </w:tcPr>
          <w:p w:rsidR="00C86B9F" w:rsidRPr="00F50098" w:rsidRDefault="00C86B9F" w:rsidP="00C86B9F">
            <w:pPr>
              <w:pStyle w:val="TableTextEntries"/>
              <w:rPr>
                <w:b w:val="0"/>
                <w:sz w:val="16"/>
                <w:szCs w:val="16"/>
              </w:rPr>
            </w:pPr>
            <w:r w:rsidRPr="00F50098">
              <w:rPr>
                <w:b w:val="0"/>
                <w:sz w:val="16"/>
                <w:szCs w:val="16"/>
              </w:rPr>
              <w:t>TBC – Report to be finalised</w:t>
            </w:r>
          </w:p>
        </w:tc>
        <w:tc>
          <w:tcPr>
            <w:tcW w:w="2382" w:type="dxa"/>
          </w:tcPr>
          <w:p w:rsidR="00C86B9F" w:rsidRPr="00F50098" w:rsidRDefault="00C86B9F" w:rsidP="00C86B9F">
            <w:pPr>
              <w:pStyle w:val="TableTextEntries"/>
              <w:rPr>
                <w:b w:val="0"/>
                <w:sz w:val="16"/>
                <w:szCs w:val="16"/>
              </w:rPr>
            </w:pPr>
            <w:r w:rsidRPr="00F50098">
              <w:rPr>
                <w:b w:val="0"/>
                <w:sz w:val="16"/>
                <w:szCs w:val="16"/>
              </w:rPr>
              <w:t>Not yet</w:t>
            </w:r>
          </w:p>
        </w:tc>
        <w:tc>
          <w:tcPr>
            <w:tcW w:w="2309" w:type="dxa"/>
          </w:tcPr>
          <w:p w:rsidR="00C86B9F" w:rsidRPr="00F50098" w:rsidRDefault="00C86B9F" w:rsidP="00C86B9F">
            <w:pPr>
              <w:pStyle w:val="TableTextEntries"/>
              <w:rPr>
                <w:b w:val="0"/>
                <w:sz w:val="16"/>
                <w:szCs w:val="16"/>
              </w:rPr>
            </w:pPr>
            <w:r w:rsidRPr="00F50098">
              <w:rPr>
                <w:b w:val="0"/>
                <w:sz w:val="16"/>
                <w:szCs w:val="16"/>
              </w:rPr>
              <w:t>November 2015</w:t>
            </w:r>
          </w:p>
        </w:tc>
      </w:tr>
      <w:tr w:rsidR="00C86B9F" w:rsidRPr="00F50098" w:rsidTr="00F451BD">
        <w:trPr>
          <w:cnfStyle w:val="100000000000" w:firstRow="1" w:lastRow="0" w:firstColumn="0" w:lastColumn="0" w:oddVBand="0" w:evenVBand="0" w:oddHBand="0" w:evenHBand="0" w:firstRowFirstColumn="0" w:firstRowLastColumn="0" w:lastRowFirstColumn="0" w:lastRowLastColumn="0"/>
          <w:trHeight w:val="496"/>
        </w:trPr>
        <w:tc>
          <w:tcPr>
            <w:tcW w:w="2192" w:type="dxa"/>
          </w:tcPr>
          <w:p w:rsidR="00C86B9F" w:rsidRPr="00F50098" w:rsidRDefault="00C86B9F" w:rsidP="00C86B9F">
            <w:pPr>
              <w:pStyle w:val="TableTextEntries"/>
              <w:rPr>
                <w:b w:val="0"/>
                <w:sz w:val="16"/>
                <w:szCs w:val="16"/>
              </w:rPr>
            </w:pPr>
            <w:r w:rsidRPr="00F50098">
              <w:rPr>
                <w:b w:val="0"/>
                <w:sz w:val="16"/>
                <w:szCs w:val="16"/>
              </w:rPr>
              <w:t>Civil Society Support Program (CSSP)</w:t>
            </w:r>
          </w:p>
        </w:tc>
        <w:tc>
          <w:tcPr>
            <w:tcW w:w="2218" w:type="dxa"/>
          </w:tcPr>
          <w:p w:rsidR="00C86B9F" w:rsidRPr="00F50098" w:rsidRDefault="00C86B9F" w:rsidP="00C86B9F">
            <w:pPr>
              <w:pStyle w:val="TableTextEntries"/>
              <w:rPr>
                <w:b w:val="0"/>
                <w:sz w:val="16"/>
                <w:szCs w:val="16"/>
              </w:rPr>
            </w:pPr>
            <w:r w:rsidRPr="00F50098">
              <w:rPr>
                <w:b w:val="0"/>
                <w:sz w:val="16"/>
                <w:szCs w:val="16"/>
              </w:rPr>
              <w:t>INJ402</w:t>
            </w:r>
          </w:p>
        </w:tc>
        <w:tc>
          <w:tcPr>
            <w:tcW w:w="2007" w:type="dxa"/>
          </w:tcPr>
          <w:p w:rsidR="00C86B9F" w:rsidRPr="00F50098" w:rsidRDefault="00C86B9F" w:rsidP="00C86B9F">
            <w:pPr>
              <w:pStyle w:val="TableTextEntries"/>
              <w:rPr>
                <w:b w:val="0"/>
                <w:sz w:val="16"/>
                <w:szCs w:val="16"/>
              </w:rPr>
            </w:pPr>
            <w:r w:rsidRPr="00F50098">
              <w:rPr>
                <w:b w:val="0"/>
                <w:sz w:val="16"/>
                <w:szCs w:val="16"/>
              </w:rPr>
              <w:t>EU Joint Evaluation</w:t>
            </w:r>
          </w:p>
        </w:tc>
        <w:tc>
          <w:tcPr>
            <w:tcW w:w="1531" w:type="dxa"/>
          </w:tcPr>
          <w:p w:rsidR="00C86B9F" w:rsidRPr="00F50098" w:rsidRDefault="00C86B9F" w:rsidP="00C86B9F">
            <w:pPr>
              <w:pStyle w:val="TableTextEntries"/>
              <w:rPr>
                <w:b w:val="0"/>
                <w:sz w:val="16"/>
                <w:szCs w:val="16"/>
              </w:rPr>
            </w:pPr>
            <w:r w:rsidRPr="00F50098">
              <w:rPr>
                <w:b w:val="0"/>
                <w:sz w:val="16"/>
                <w:szCs w:val="16"/>
              </w:rPr>
              <w:t>May 2015</w:t>
            </w:r>
          </w:p>
        </w:tc>
        <w:tc>
          <w:tcPr>
            <w:tcW w:w="2382" w:type="dxa"/>
          </w:tcPr>
          <w:p w:rsidR="00C86B9F" w:rsidRPr="00F50098" w:rsidRDefault="00C86B9F" w:rsidP="00C86B9F">
            <w:pPr>
              <w:pStyle w:val="TableTextEntries"/>
              <w:rPr>
                <w:b w:val="0"/>
                <w:sz w:val="16"/>
                <w:szCs w:val="16"/>
              </w:rPr>
            </w:pPr>
            <w:r w:rsidRPr="00F50098">
              <w:rPr>
                <w:b w:val="0"/>
                <w:sz w:val="16"/>
                <w:szCs w:val="16"/>
              </w:rPr>
              <w:t>September 2015</w:t>
            </w:r>
          </w:p>
        </w:tc>
        <w:tc>
          <w:tcPr>
            <w:tcW w:w="2382" w:type="dxa"/>
          </w:tcPr>
          <w:p w:rsidR="00C86B9F" w:rsidRPr="00F50098" w:rsidRDefault="00C86B9F" w:rsidP="00C86B9F">
            <w:pPr>
              <w:pStyle w:val="TableTextEntries"/>
              <w:rPr>
                <w:b w:val="0"/>
                <w:sz w:val="16"/>
                <w:szCs w:val="16"/>
              </w:rPr>
            </w:pPr>
            <w:r w:rsidRPr="00F50098">
              <w:rPr>
                <w:b w:val="0"/>
                <w:sz w:val="16"/>
                <w:szCs w:val="16"/>
              </w:rPr>
              <w:t>September 2015</w:t>
            </w:r>
          </w:p>
        </w:tc>
        <w:tc>
          <w:tcPr>
            <w:tcW w:w="2309" w:type="dxa"/>
          </w:tcPr>
          <w:p w:rsidR="00C86B9F" w:rsidRPr="00F50098" w:rsidRDefault="00C86B9F" w:rsidP="00C86B9F">
            <w:pPr>
              <w:pStyle w:val="TableTextEntries"/>
              <w:rPr>
                <w:b w:val="0"/>
                <w:sz w:val="16"/>
                <w:szCs w:val="16"/>
              </w:rPr>
            </w:pPr>
            <w:r w:rsidRPr="00F50098">
              <w:rPr>
                <w:b w:val="0"/>
                <w:sz w:val="16"/>
                <w:szCs w:val="16"/>
              </w:rPr>
              <w:t>September 2015</w:t>
            </w:r>
          </w:p>
        </w:tc>
      </w:tr>
    </w:tbl>
    <w:p w:rsidR="00C86B9F" w:rsidRPr="00071B95" w:rsidRDefault="00C86B9F" w:rsidP="002E3195">
      <w:pPr>
        <w:pStyle w:val="Heading3"/>
      </w:pPr>
      <w:r w:rsidRPr="00071B95">
        <w:t xml:space="preserve">List of evaluations planned in the next 12 months </w:t>
      </w:r>
    </w:p>
    <w:p w:rsidR="00C86B9F" w:rsidRDefault="00C86B9F" w:rsidP="00F451BD">
      <w:pPr>
        <w:pStyle w:val="TableTextColumnHeading"/>
        <w:sectPr w:rsidR="00C86B9F" w:rsidSect="00C86B9F">
          <w:headerReference w:type="even" r:id="rId17"/>
          <w:footerReference w:type="first" r:id="rId18"/>
          <w:pgSz w:w="16838" w:h="11906" w:orient="landscape" w:code="9"/>
          <w:pgMar w:top="426" w:right="1814" w:bottom="851" w:left="851" w:header="709" w:footer="425" w:gutter="0"/>
          <w:cols w:space="708"/>
          <w:docGrid w:linePitch="360"/>
        </w:sectPr>
      </w:pPr>
    </w:p>
    <w:tbl>
      <w:tblPr>
        <w:tblStyle w:val="APPR"/>
        <w:tblW w:w="15304" w:type="dxa"/>
        <w:tblBorders>
          <w:top w:val="none" w:sz="0" w:space="0" w:color="auto"/>
          <w:bottom w:val="none" w:sz="0" w:space="0" w:color="auto"/>
        </w:tblBorders>
        <w:tblLook w:val="0600" w:firstRow="0" w:lastRow="0" w:firstColumn="0" w:lastColumn="0" w:noHBand="1" w:noVBand="1"/>
      </w:tblPr>
      <w:tblGrid>
        <w:gridCol w:w="3378"/>
        <w:gridCol w:w="1149"/>
        <w:gridCol w:w="2075"/>
        <w:gridCol w:w="6292"/>
        <w:gridCol w:w="2410"/>
      </w:tblGrid>
      <w:tr w:rsidR="00C86B9F" w:rsidRPr="00071B95" w:rsidTr="00F451BD">
        <w:trPr>
          <w:trHeight w:val="624"/>
        </w:trPr>
        <w:tc>
          <w:tcPr>
            <w:tcW w:w="3336" w:type="dxa"/>
          </w:tcPr>
          <w:p w:rsidR="00C86B9F" w:rsidRPr="00071B95" w:rsidRDefault="00C86B9F" w:rsidP="00F451BD">
            <w:pPr>
              <w:pStyle w:val="TableTextColumnHeading"/>
            </w:pPr>
            <w:r w:rsidRPr="00071B95">
              <w:lastRenderedPageBreak/>
              <w:t xml:space="preserve">Name of </w:t>
            </w:r>
            <w:r>
              <w:t>Investment</w:t>
            </w:r>
          </w:p>
        </w:tc>
        <w:tc>
          <w:tcPr>
            <w:tcW w:w="1121" w:type="dxa"/>
          </w:tcPr>
          <w:p w:rsidR="00C86B9F" w:rsidRPr="00071B95" w:rsidRDefault="00C86B9F" w:rsidP="00F451BD">
            <w:pPr>
              <w:pStyle w:val="TableTextColumnHeading"/>
            </w:pPr>
            <w:r>
              <w:t>AidW</w:t>
            </w:r>
            <w:r w:rsidRPr="00071B95">
              <w:t>orks number</w:t>
            </w:r>
          </w:p>
        </w:tc>
        <w:tc>
          <w:tcPr>
            <w:tcW w:w="2047" w:type="dxa"/>
          </w:tcPr>
          <w:p w:rsidR="00C86B9F" w:rsidRPr="00071B95" w:rsidRDefault="00C86B9F" w:rsidP="00F451BD">
            <w:pPr>
              <w:pStyle w:val="TableTextColumnHeading"/>
            </w:pPr>
            <w:r w:rsidRPr="00071B95">
              <w:t>Type of evaluation</w:t>
            </w:r>
          </w:p>
        </w:tc>
        <w:tc>
          <w:tcPr>
            <w:tcW w:w="6264" w:type="dxa"/>
          </w:tcPr>
          <w:p w:rsidR="00C86B9F" w:rsidRPr="00071B95" w:rsidRDefault="00C86B9F" w:rsidP="00F451BD">
            <w:pPr>
              <w:pStyle w:val="TableTextColumnHeading"/>
            </w:pPr>
            <w:r w:rsidRPr="00071B95">
              <w:t>Purpose of evaluation</w:t>
            </w:r>
          </w:p>
        </w:tc>
        <w:tc>
          <w:tcPr>
            <w:tcW w:w="2368" w:type="dxa"/>
          </w:tcPr>
          <w:p w:rsidR="00C86B9F" w:rsidRPr="00071B95" w:rsidRDefault="00C86B9F" w:rsidP="00F451BD">
            <w:pPr>
              <w:pStyle w:val="TableTextColumnHeading"/>
            </w:pPr>
            <w:r w:rsidRPr="00071B95">
              <w:t>Expected completion date</w:t>
            </w:r>
          </w:p>
        </w:tc>
      </w:tr>
      <w:tr w:rsidR="00C86B9F" w:rsidRPr="00071B95" w:rsidTr="00F451BD">
        <w:trPr>
          <w:trHeight w:val="454"/>
        </w:trPr>
        <w:tc>
          <w:tcPr>
            <w:tcW w:w="3336" w:type="dxa"/>
          </w:tcPr>
          <w:p w:rsidR="00C86B9F" w:rsidRPr="00F50098" w:rsidRDefault="00C86B9F" w:rsidP="00C86B9F">
            <w:pPr>
              <w:pStyle w:val="TableTextEntries"/>
              <w:rPr>
                <w:sz w:val="16"/>
                <w:szCs w:val="16"/>
              </w:rPr>
            </w:pPr>
            <w:r w:rsidRPr="00F50098">
              <w:rPr>
                <w:sz w:val="16"/>
                <w:szCs w:val="16"/>
              </w:rPr>
              <w:t>National Adaptation Program of Action (NAPA4)</w:t>
            </w:r>
          </w:p>
        </w:tc>
        <w:tc>
          <w:tcPr>
            <w:tcW w:w="1121" w:type="dxa"/>
          </w:tcPr>
          <w:p w:rsidR="00C86B9F" w:rsidRPr="00F50098" w:rsidRDefault="00C86B9F" w:rsidP="00C86B9F">
            <w:pPr>
              <w:pStyle w:val="TableTextEntries"/>
              <w:rPr>
                <w:sz w:val="16"/>
                <w:szCs w:val="16"/>
              </w:rPr>
            </w:pPr>
            <w:r w:rsidRPr="00F50098">
              <w:rPr>
                <w:sz w:val="16"/>
                <w:szCs w:val="16"/>
              </w:rPr>
              <w:t>INJ900</w:t>
            </w:r>
          </w:p>
        </w:tc>
        <w:tc>
          <w:tcPr>
            <w:tcW w:w="2047" w:type="dxa"/>
          </w:tcPr>
          <w:p w:rsidR="00C86B9F" w:rsidRPr="00F50098" w:rsidRDefault="00C86B9F" w:rsidP="00C86B9F">
            <w:pPr>
              <w:pStyle w:val="TableTextEntries"/>
              <w:rPr>
                <w:sz w:val="16"/>
                <w:szCs w:val="16"/>
              </w:rPr>
            </w:pPr>
            <w:r w:rsidRPr="00F50098">
              <w:rPr>
                <w:sz w:val="16"/>
                <w:szCs w:val="16"/>
              </w:rPr>
              <w:t>Program Completion Evaluation</w:t>
            </w:r>
          </w:p>
        </w:tc>
        <w:tc>
          <w:tcPr>
            <w:tcW w:w="6264" w:type="dxa"/>
          </w:tcPr>
          <w:p w:rsidR="00C86B9F" w:rsidRPr="00F50098" w:rsidRDefault="00C86B9F" w:rsidP="00C86B9F">
            <w:pPr>
              <w:pStyle w:val="TableTextEntries"/>
              <w:rPr>
                <w:color w:val="000000" w:themeColor="text1" w:themeShade="BF"/>
                <w:sz w:val="16"/>
                <w:szCs w:val="16"/>
              </w:rPr>
            </w:pPr>
            <w:r w:rsidRPr="00F50098">
              <w:rPr>
                <w:color w:val="000000" w:themeColor="text1" w:themeShade="BF"/>
                <w:sz w:val="16"/>
                <w:szCs w:val="16"/>
              </w:rPr>
              <w:t>End of Program Evaluation</w:t>
            </w:r>
          </w:p>
        </w:tc>
        <w:tc>
          <w:tcPr>
            <w:tcW w:w="2368" w:type="dxa"/>
          </w:tcPr>
          <w:p w:rsidR="00C86B9F" w:rsidRPr="00F50098" w:rsidRDefault="00C86B9F" w:rsidP="00C86B9F">
            <w:pPr>
              <w:pStyle w:val="TableTextEntries"/>
              <w:spacing w:after="0"/>
              <w:rPr>
                <w:sz w:val="16"/>
                <w:szCs w:val="16"/>
              </w:rPr>
            </w:pPr>
            <w:r w:rsidRPr="00F50098">
              <w:rPr>
                <w:sz w:val="16"/>
                <w:szCs w:val="16"/>
              </w:rPr>
              <w:t>April 2016</w:t>
            </w:r>
          </w:p>
        </w:tc>
      </w:tr>
      <w:tr w:rsidR="00C86B9F" w:rsidRPr="00071B95" w:rsidTr="00F451BD">
        <w:trPr>
          <w:trHeight w:val="347"/>
        </w:trPr>
        <w:tc>
          <w:tcPr>
            <w:tcW w:w="3336" w:type="dxa"/>
          </w:tcPr>
          <w:p w:rsidR="00C86B9F" w:rsidRPr="00F50098" w:rsidRDefault="00C86B9F" w:rsidP="00C86B9F">
            <w:pPr>
              <w:pStyle w:val="TableTextEntries"/>
              <w:rPr>
                <w:sz w:val="16"/>
                <w:szCs w:val="16"/>
              </w:rPr>
            </w:pPr>
            <w:r w:rsidRPr="00F50098">
              <w:rPr>
                <w:sz w:val="16"/>
                <w:szCs w:val="16"/>
              </w:rPr>
              <w:t>TVET Roadmap II</w:t>
            </w:r>
          </w:p>
        </w:tc>
        <w:tc>
          <w:tcPr>
            <w:tcW w:w="1121" w:type="dxa"/>
          </w:tcPr>
          <w:p w:rsidR="00C86B9F" w:rsidRPr="00F50098" w:rsidRDefault="00C86B9F" w:rsidP="00C86B9F">
            <w:pPr>
              <w:pStyle w:val="TableTextEntries"/>
              <w:rPr>
                <w:sz w:val="16"/>
                <w:szCs w:val="16"/>
              </w:rPr>
            </w:pPr>
            <w:r w:rsidRPr="00F50098">
              <w:rPr>
                <w:sz w:val="16"/>
                <w:szCs w:val="16"/>
              </w:rPr>
              <w:t>INK306</w:t>
            </w:r>
          </w:p>
          <w:p w:rsidR="00C86B9F" w:rsidRPr="00F50098" w:rsidRDefault="00C86B9F" w:rsidP="00C86B9F">
            <w:pPr>
              <w:pStyle w:val="TableTextEntries"/>
              <w:rPr>
                <w:sz w:val="16"/>
                <w:szCs w:val="16"/>
              </w:rPr>
            </w:pPr>
          </w:p>
        </w:tc>
        <w:tc>
          <w:tcPr>
            <w:tcW w:w="2047" w:type="dxa"/>
          </w:tcPr>
          <w:p w:rsidR="00C86B9F" w:rsidRPr="00F50098" w:rsidRDefault="00C86B9F" w:rsidP="00C86B9F">
            <w:pPr>
              <w:pStyle w:val="TableTextEntries"/>
              <w:rPr>
                <w:sz w:val="16"/>
                <w:szCs w:val="16"/>
              </w:rPr>
            </w:pPr>
            <w:r w:rsidRPr="00F50098">
              <w:rPr>
                <w:sz w:val="16"/>
                <w:szCs w:val="16"/>
              </w:rPr>
              <w:t>Final Independent Evaluation</w:t>
            </w:r>
          </w:p>
        </w:tc>
        <w:tc>
          <w:tcPr>
            <w:tcW w:w="6264" w:type="dxa"/>
          </w:tcPr>
          <w:p w:rsidR="00C86B9F" w:rsidRPr="00F50098" w:rsidRDefault="00C86B9F" w:rsidP="00C86B9F">
            <w:pPr>
              <w:pStyle w:val="TableTextEntries"/>
              <w:rPr>
                <w:color w:val="000000" w:themeColor="text1" w:themeShade="BF"/>
                <w:sz w:val="16"/>
                <w:szCs w:val="16"/>
              </w:rPr>
            </w:pPr>
            <w:r w:rsidRPr="00F50098">
              <w:rPr>
                <w:color w:val="000000" w:themeColor="text1" w:themeShade="BF"/>
                <w:sz w:val="16"/>
                <w:szCs w:val="16"/>
              </w:rPr>
              <w:t>Independent evaluation of Roadmap I and II.</w:t>
            </w:r>
          </w:p>
        </w:tc>
        <w:tc>
          <w:tcPr>
            <w:tcW w:w="2368" w:type="dxa"/>
          </w:tcPr>
          <w:p w:rsidR="00C86B9F" w:rsidRPr="00F50098" w:rsidRDefault="00C86B9F" w:rsidP="00C86B9F">
            <w:pPr>
              <w:pStyle w:val="TableTextEntries"/>
              <w:spacing w:after="0"/>
              <w:rPr>
                <w:sz w:val="16"/>
                <w:szCs w:val="16"/>
              </w:rPr>
            </w:pPr>
            <w:r w:rsidRPr="00F50098">
              <w:rPr>
                <w:sz w:val="16"/>
                <w:szCs w:val="16"/>
              </w:rPr>
              <w:t>June 2016</w:t>
            </w:r>
            <w:r w:rsidR="00BA316D">
              <w:rPr>
                <w:sz w:val="16"/>
                <w:szCs w:val="16"/>
              </w:rPr>
              <w:t xml:space="preserve"> (TBC)</w:t>
            </w:r>
          </w:p>
          <w:p w:rsidR="00C86B9F" w:rsidRPr="00F50098" w:rsidRDefault="00C86B9F" w:rsidP="00C86B9F">
            <w:pPr>
              <w:pStyle w:val="TableTextEntries"/>
              <w:spacing w:after="0"/>
              <w:rPr>
                <w:sz w:val="16"/>
                <w:szCs w:val="16"/>
              </w:rPr>
            </w:pPr>
          </w:p>
        </w:tc>
      </w:tr>
      <w:tr w:rsidR="00C86B9F" w:rsidRPr="00071B95" w:rsidTr="00F451BD">
        <w:trPr>
          <w:trHeight w:val="429"/>
        </w:trPr>
        <w:tc>
          <w:tcPr>
            <w:tcW w:w="3336" w:type="dxa"/>
          </w:tcPr>
          <w:p w:rsidR="00C86B9F" w:rsidRPr="00F50098" w:rsidRDefault="00C86B9F" w:rsidP="00C86B9F">
            <w:pPr>
              <w:pStyle w:val="TableTextEntries"/>
              <w:rPr>
                <w:sz w:val="16"/>
                <w:szCs w:val="16"/>
              </w:rPr>
            </w:pPr>
            <w:r w:rsidRPr="00F50098">
              <w:rPr>
                <w:sz w:val="16"/>
                <w:szCs w:val="16"/>
              </w:rPr>
              <w:t>TC Evan Cyclone Recovery Program</w:t>
            </w:r>
          </w:p>
        </w:tc>
        <w:tc>
          <w:tcPr>
            <w:tcW w:w="1121" w:type="dxa"/>
          </w:tcPr>
          <w:p w:rsidR="00C86B9F" w:rsidRPr="00F50098" w:rsidRDefault="00C86B9F" w:rsidP="00C86B9F">
            <w:pPr>
              <w:pStyle w:val="TableTextEntries"/>
              <w:rPr>
                <w:sz w:val="16"/>
                <w:szCs w:val="16"/>
              </w:rPr>
            </w:pPr>
            <w:r w:rsidRPr="00F50098">
              <w:rPr>
                <w:sz w:val="16"/>
                <w:szCs w:val="16"/>
              </w:rPr>
              <w:t>INK887</w:t>
            </w:r>
          </w:p>
        </w:tc>
        <w:tc>
          <w:tcPr>
            <w:tcW w:w="2047" w:type="dxa"/>
          </w:tcPr>
          <w:p w:rsidR="00C86B9F" w:rsidRPr="00F50098" w:rsidRDefault="00C86B9F" w:rsidP="00C86B9F">
            <w:pPr>
              <w:pStyle w:val="TableTextEntries"/>
              <w:rPr>
                <w:sz w:val="16"/>
                <w:szCs w:val="16"/>
              </w:rPr>
            </w:pPr>
            <w:r w:rsidRPr="00F50098">
              <w:rPr>
                <w:sz w:val="16"/>
                <w:szCs w:val="16"/>
              </w:rPr>
              <w:t>Program Completion Evaluation</w:t>
            </w:r>
          </w:p>
        </w:tc>
        <w:tc>
          <w:tcPr>
            <w:tcW w:w="6264" w:type="dxa"/>
          </w:tcPr>
          <w:p w:rsidR="00C86B9F" w:rsidRPr="00F50098" w:rsidRDefault="00C86B9F" w:rsidP="00C86B9F">
            <w:pPr>
              <w:pStyle w:val="TableTextEntries"/>
              <w:rPr>
                <w:sz w:val="16"/>
                <w:szCs w:val="16"/>
              </w:rPr>
            </w:pPr>
            <w:r w:rsidRPr="00F50098">
              <w:rPr>
                <w:sz w:val="16"/>
                <w:szCs w:val="16"/>
              </w:rPr>
              <w:t>End of Program Evaluation</w:t>
            </w:r>
            <w:r w:rsidR="00CD7853">
              <w:rPr>
                <w:sz w:val="16"/>
                <w:szCs w:val="16"/>
              </w:rPr>
              <w:t xml:space="preserve"> </w:t>
            </w:r>
          </w:p>
        </w:tc>
        <w:tc>
          <w:tcPr>
            <w:tcW w:w="2368" w:type="dxa"/>
          </w:tcPr>
          <w:p w:rsidR="00C86B9F" w:rsidRPr="00F50098" w:rsidRDefault="00C86B9F" w:rsidP="00C86B9F">
            <w:pPr>
              <w:pStyle w:val="TableTextEntries"/>
              <w:rPr>
                <w:sz w:val="16"/>
                <w:szCs w:val="16"/>
              </w:rPr>
            </w:pPr>
            <w:r w:rsidRPr="00F50098">
              <w:rPr>
                <w:sz w:val="16"/>
                <w:szCs w:val="16"/>
              </w:rPr>
              <w:t>June 2016 (TBC)</w:t>
            </w:r>
          </w:p>
          <w:p w:rsidR="00C86B9F" w:rsidRPr="00F50098" w:rsidRDefault="00C86B9F" w:rsidP="00C86B9F">
            <w:pPr>
              <w:pStyle w:val="TableTextEntries"/>
              <w:rPr>
                <w:sz w:val="16"/>
                <w:szCs w:val="16"/>
              </w:rPr>
            </w:pPr>
          </w:p>
        </w:tc>
      </w:tr>
      <w:tr w:rsidR="00C86B9F" w:rsidRPr="00071B95" w:rsidTr="00F451BD">
        <w:trPr>
          <w:trHeight w:val="338"/>
        </w:trPr>
        <w:tc>
          <w:tcPr>
            <w:tcW w:w="3336" w:type="dxa"/>
          </w:tcPr>
          <w:p w:rsidR="00C86B9F" w:rsidRPr="00F50098" w:rsidRDefault="00C86B9F" w:rsidP="00C86B9F">
            <w:pPr>
              <w:pStyle w:val="TableTextEntries"/>
              <w:rPr>
                <w:sz w:val="16"/>
                <w:szCs w:val="16"/>
              </w:rPr>
            </w:pPr>
            <w:r w:rsidRPr="00F50098">
              <w:rPr>
                <w:sz w:val="16"/>
                <w:szCs w:val="16"/>
              </w:rPr>
              <w:t>Samoa Disability Program</w:t>
            </w:r>
          </w:p>
          <w:p w:rsidR="00C86B9F" w:rsidRPr="00F50098" w:rsidRDefault="00C86B9F" w:rsidP="00C86B9F">
            <w:pPr>
              <w:pStyle w:val="TableTextEntries"/>
              <w:rPr>
                <w:sz w:val="16"/>
                <w:szCs w:val="16"/>
              </w:rPr>
            </w:pPr>
          </w:p>
        </w:tc>
        <w:tc>
          <w:tcPr>
            <w:tcW w:w="1121" w:type="dxa"/>
          </w:tcPr>
          <w:p w:rsidR="00C86B9F" w:rsidRPr="00F50098" w:rsidRDefault="00C86B9F" w:rsidP="00C86B9F">
            <w:pPr>
              <w:pStyle w:val="TableTextEntries"/>
              <w:rPr>
                <w:sz w:val="16"/>
                <w:szCs w:val="16"/>
              </w:rPr>
            </w:pPr>
            <w:r w:rsidRPr="00F50098">
              <w:rPr>
                <w:sz w:val="16"/>
                <w:szCs w:val="16"/>
              </w:rPr>
              <w:t>INK859</w:t>
            </w:r>
          </w:p>
          <w:p w:rsidR="00C86B9F" w:rsidRPr="00F50098" w:rsidRDefault="00C86B9F" w:rsidP="00C86B9F">
            <w:pPr>
              <w:pStyle w:val="TableTextEntries"/>
              <w:rPr>
                <w:sz w:val="16"/>
                <w:szCs w:val="16"/>
              </w:rPr>
            </w:pPr>
          </w:p>
        </w:tc>
        <w:tc>
          <w:tcPr>
            <w:tcW w:w="2047" w:type="dxa"/>
          </w:tcPr>
          <w:p w:rsidR="00C86B9F" w:rsidRPr="00F50098" w:rsidRDefault="00C86B9F" w:rsidP="00C86B9F">
            <w:pPr>
              <w:pStyle w:val="TableTextEntries"/>
              <w:rPr>
                <w:sz w:val="16"/>
                <w:szCs w:val="16"/>
              </w:rPr>
            </w:pPr>
            <w:r w:rsidRPr="00F50098">
              <w:rPr>
                <w:sz w:val="16"/>
                <w:szCs w:val="16"/>
              </w:rPr>
              <w:t>Mid Term Review</w:t>
            </w:r>
          </w:p>
          <w:p w:rsidR="00C86B9F" w:rsidRPr="00F50098" w:rsidRDefault="00C86B9F" w:rsidP="00C86B9F">
            <w:pPr>
              <w:pStyle w:val="TableTextEntries"/>
              <w:rPr>
                <w:sz w:val="16"/>
                <w:szCs w:val="16"/>
              </w:rPr>
            </w:pPr>
          </w:p>
        </w:tc>
        <w:tc>
          <w:tcPr>
            <w:tcW w:w="6264" w:type="dxa"/>
          </w:tcPr>
          <w:p w:rsidR="00C86B9F" w:rsidRPr="00F50098" w:rsidRDefault="00C86B9F" w:rsidP="00C86B9F">
            <w:pPr>
              <w:pStyle w:val="TableTextEntries"/>
              <w:rPr>
                <w:sz w:val="16"/>
                <w:szCs w:val="16"/>
              </w:rPr>
            </w:pPr>
            <w:r w:rsidRPr="00F50098">
              <w:rPr>
                <w:sz w:val="16"/>
                <w:szCs w:val="16"/>
              </w:rPr>
              <w:t>To inform a future phase of program, to improve existing program; to verify program outcomes</w:t>
            </w:r>
            <w:r w:rsidR="00BA316D">
              <w:rPr>
                <w:sz w:val="16"/>
                <w:szCs w:val="16"/>
              </w:rPr>
              <w:t>.  Led by Canberra’s Disability Policy Section</w:t>
            </w:r>
            <w:r w:rsidRPr="00F50098">
              <w:rPr>
                <w:sz w:val="16"/>
                <w:szCs w:val="16"/>
              </w:rPr>
              <w:t>.</w:t>
            </w:r>
          </w:p>
          <w:p w:rsidR="00C86B9F" w:rsidRPr="00F50098" w:rsidRDefault="00C86B9F" w:rsidP="00C86B9F">
            <w:pPr>
              <w:pStyle w:val="TableTextEntries"/>
              <w:rPr>
                <w:sz w:val="16"/>
                <w:szCs w:val="16"/>
              </w:rPr>
            </w:pPr>
          </w:p>
        </w:tc>
        <w:tc>
          <w:tcPr>
            <w:tcW w:w="2368" w:type="dxa"/>
          </w:tcPr>
          <w:p w:rsidR="00C86B9F" w:rsidRPr="00F50098" w:rsidRDefault="00C86B9F" w:rsidP="00C86B9F">
            <w:pPr>
              <w:pStyle w:val="TableTextEntries"/>
              <w:spacing w:after="0"/>
              <w:rPr>
                <w:sz w:val="16"/>
                <w:szCs w:val="16"/>
              </w:rPr>
            </w:pPr>
            <w:r w:rsidRPr="00F50098">
              <w:rPr>
                <w:sz w:val="16"/>
                <w:szCs w:val="16"/>
              </w:rPr>
              <w:t>January 2016</w:t>
            </w:r>
          </w:p>
          <w:p w:rsidR="00C86B9F" w:rsidRPr="00F50098" w:rsidRDefault="00C86B9F" w:rsidP="00C86B9F">
            <w:pPr>
              <w:pStyle w:val="TableTextEntries"/>
              <w:rPr>
                <w:sz w:val="16"/>
                <w:szCs w:val="16"/>
              </w:rPr>
            </w:pPr>
          </w:p>
        </w:tc>
      </w:tr>
      <w:tr w:rsidR="00C86B9F" w:rsidRPr="00071B95" w:rsidTr="00F451BD">
        <w:trPr>
          <w:trHeight w:val="450"/>
        </w:trPr>
        <w:tc>
          <w:tcPr>
            <w:tcW w:w="3336" w:type="dxa"/>
          </w:tcPr>
          <w:p w:rsidR="00C86B9F" w:rsidRPr="00F50098" w:rsidRDefault="00C86B9F" w:rsidP="00C86B9F">
            <w:pPr>
              <w:pStyle w:val="TableTextEntries"/>
              <w:rPr>
                <w:sz w:val="16"/>
                <w:szCs w:val="16"/>
              </w:rPr>
            </w:pPr>
            <w:r w:rsidRPr="00F50098">
              <w:rPr>
                <w:sz w:val="16"/>
                <w:szCs w:val="16"/>
              </w:rPr>
              <w:t>Health Sector Wide Approach Program</w:t>
            </w:r>
          </w:p>
        </w:tc>
        <w:tc>
          <w:tcPr>
            <w:tcW w:w="1121" w:type="dxa"/>
          </w:tcPr>
          <w:p w:rsidR="00C86B9F" w:rsidRPr="00F50098" w:rsidRDefault="00C86B9F" w:rsidP="00C86B9F">
            <w:pPr>
              <w:pStyle w:val="TableTextEntries"/>
              <w:rPr>
                <w:sz w:val="16"/>
                <w:szCs w:val="16"/>
              </w:rPr>
            </w:pPr>
            <w:r w:rsidRPr="00F50098">
              <w:rPr>
                <w:sz w:val="16"/>
                <w:szCs w:val="16"/>
              </w:rPr>
              <w:t>INH720</w:t>
            </w:r>
          </w:p>
        </w:tc>
        <w:tc>
          <w:tcPr>
            <w:tcW w:w="2047" w:type="dxa"/>
          </w:tcPr>
          <w:p w:rsidR="00C86B9F" w:rsidRPr="00F50098" w:rsidRDefault="00C86B9F" w:rsidP="00C86B9F">
            <w:pPr>
              <w:pStyle w:val="TableTextEntries"/>
              <w:rPr>
                <w:sz w:val="16"/>
                <w:szCs w:val="16"/>
              </w:rPr>
            </w:pPr>
            <w:r w:rsidRPr="00F50098">
              <w:rPr>
                <w:sz w:val="16"/>
                <w:szCs w:val="16"/>
              </w:rPr>
              <w:t>End of Program Evaluation</w:t>
            </w:r>
          </w:p>
        </w:tc>
        <w:tc>
          <w:tcPr>
            <w:tcW w:w="6264" w:type="dxa"/>
          </w:tcPr>
          <w:p w:rsidR="00C86B9F" w:rsidRPr="00F50098" w:rsidRDefault="00C86B9F" w:rsidP="00BA316D">
            <w:pPr>
              <w:pStyle w:val="TableTextEntries"/>
              <w:rPr>
                <w:sz w:val="16"/>
                <w:szCs w:val="16"/>
              </w:rPr>
            </w:pPr>
            <w:r w:rsidRPr="00F50098">
              <w:rPr>
                <w:sz w:val="16"/>
                <w:szCs w:val="16"/>
              </w:rPr>
              <w:t>To provide an end of program assessment</w:t>
            </w:r>
            <w:r w:rsidR="00BA316D">
              <w:rPr>
                <w:sz w:val="16"/>
                <w:szCs w:val="16"/>
              </w:rPr>
              <w:t xml:space="preserve"> led by the World Bank</w:t>
            </w:r>
          </w:p>
        </w:tc>
        <w:tc>
          <w:tcPr>
            <w:tcW w:w="2368" w:type="dxa"/>
          </w:tcPr>
          <w:p w:rsidR="00C86B9F" w:rsidRPr="00F50098" w:rsidRDefault="00C86B9F" w:rsidP="00C86B9F">
            <w:pPr>
              <w:pStyle w:val="TableTextEntries"/>
              <w:rPr>
                <w:sz w:val="16"/>
                <w:szCs w:val="16"/>
              </w:rPr>
            </w:pPr>
            <w:r w:rsidRPr="00F50098">
              <w:rPr>
                <w:sz w:val="16"/>
                <w:szCs w:val="16"/>
              </w:rPr>
              <w:t>June 2016</w:t>
            </w:r>
          </w:p>
        </w:tc>
      </w:tr>
      <w:tr w:rsidR="00C86B9F" w:rsidRPr="00071B95" w:rsidTr="00F451BD">
        <w:trPr>
          <w:trHeight w:val="370"/>
        </w:trPr>
        <w:tc>
          <w:tcPr>
            <w:tcW w:w="3336" w:type="dxa"/>
          </w:tcPr>
          <w:p w:rsidR="00C86B9F" w:rsidRPr="00F50098" w:rsidRDefault="00C86B9F" w:rsidP="00C86B9F">
            <w:pPr>
              <w:pStyle w:val="TableTextEntries"/>
              <w:rPr>
                <w:sz w:val="16"/>
                <w:szCs w:val="16"/>
              </w:rPr>
            </w:pPr>
            <w:r w:rsidRPr="00F50098">
              <w:rPr>
                <w:sz w:val="16"/>
                <w:szCs w:val="16"/>
              </w:rPr>
              <w:t>Samoa School Fees Program – Primary</w:t>
            </w:r>
          </w:p>
        </w:tc>
        <w:tc>
          <w:tcPr>
            <w:tcW w:w="1121" w:type="dxa"/>
          </w:tcPr>
          <w:p w:rsidR="00C86B9F" w:rsidRPr="00F50098" w:rsidRDefault="00C86B9F" w:rsidP="00C86B9F">
            <w:pPr>
              <w:pStyle w:val="TableTextEntries"/>
              <w:rPr>
                <w:sz w:val="16"/>
                <w:szCs w:val="16"/>
              </w:rPr>
            </w:pPr>
            <w:r w:rsidRPr="00F50098">
              <w:rPr>
                <w:sz w:val="16"/>
                <w:szCs w:val="16"/>
              </w:rPr>
              <w:t>INJ405</w:t>
            </w:r>
          </w:p>
        </w:tc>
        <w:tc>
          <w:tcPr>
            <w:tcW w:w="2047" w:type="dxa"/>
          </w:tcPr>
          <w:p w:rsidR="00C86B9F" w:rsidRPr="00F50098" w:rsidRDefault="00C86B9F" w:rsidP="00C86B9F">
            <w:pPr>
              <w:pStyle w:val="TableTextEntries"/>
              <w:rPr>
                <w:sz w:val="16"/>
                <w:szCs w:val="16"/>
              </w:rPr>
            </w:pPr>
            <w:r w:rsidRPr="00F50098">
              <w:rPr>
                <w:sz w:val="16"/>
                <w:szCs w:val="16"/>
              </w:rPr>
              <w:t>Final independent evaluation</w:t>
            </w:r>
          </w:p>
        </w:tc>
        <w:tc>
          <w:tcPr>
            <w:tcW w:w="6264" w:type="dxa"/>
          </w:tcPr>
          <w:p w:rsidR="00C86B9F" w:rsidRPr="00F50098" w:rsidRDefault="00C86B9F" w:rsidP="00F451BD">
            <w:pPr>
              <w:pStyle w:val="TableTextEntries"/>
              <w:rPr>
                <w:sz w:val="16"/>
                <w:szCs w:val="16"/>
              </w:rPr>
            </w:pPr>
            <w:r w:rsidRPr="00F50098">
              <w:rPr>
                <w:sz w:val="16"/>
                <w:szCs w:val="16"/>
              </w:rPr>
              <w:t>To summarise and document achievements, lessons, challenges. Provide short/long</w:t>
            </w:r>
            <w:r w:rsidR="00F451BD">
              <w:rPr>
                <w:sz w:val="16"/>
                <w:szCs w:val="16"/>
              </w:rPr>
              <w:t>-</w:t>
            </w:r>
            <w:r w:rsidRPr="00F50098">
              <w:rPr>
                <w:sz w:val="16"/>
                <w:szCs w:val="16"/>
              </w:rPr>
              <w:t>term recommendations. Assess impact and progress against the M&amp;E framework.</w:t>
            </w:r>
          </w:p>
        </w:tc>
        <w:tc>
          <w:tcPr>
            <w:tcW w:w="2368" w:type="dxa"/>
          </w:tcPr>
          <w:p w:rsidR="00C86B9F" w:rsidRPr="00F50098" w:rsidRDefault="00C86B9F" w:rsidP="00C86B9F">
            <w:pPr>
              <w:pStyle w:val="TableTextEntries"/>
              <w:rPr>
                <w:sz w:val="16"/>
                <w:szCs w:val="16"/>
              </w:rPr>
            </w:pPr>
            <w:r w:rsidRPr="00F50098">
              <w:rPr>
                <w:sz w:val="16"/>
                <w:szCs w:val="16"/>
              </w:rPr>
              <w:t>November 2015</w:t>
            </w:r>
          </w:p>
        </w:tc>
      </w:tr>
      <w:tr w:rsidR="00C86B9F" w:rsidRPr="00071B95" w:rsidTr="00F451BD">
        <w:trPr>
          <w:trHeight w:val="450"/>
        </w:trPr>
        <w:tc>
          <w:tcPr>
            <w:tcW w:w="3336" w:type="dxa"/>
          </w:tcPr>
          <w:p w:rsidR="00C86B9F" w:rsidRDefault="00C86B9F" w:rsidP="00C86B9F">
            <w:pPr>
              <w:pStyle w:val="TableTextEntries"/>
              <w:rPr>
                <w:sz w:val="16"/>
                <w:szCs w:val="16"/>
              </w:rPr>
            </w:pPr>
            <w:r w:rsidRPr="00F50098">
              <w:rPr>
                <w:sz w:val="16"/>
                <w:szCs w:val="16"/>
              </w:rPr>
              <w:t>Pacific Benchmarking for Educational Results</w:t>
            </w:r>
          </w:p>
          <w:p w:rsidR="00BA316D" w:rsidRDefault="00BA316D" w:rsidP="00C86B9F">
            <w:pPr>
              <w:pStyle w:val="TableTextEntries"/>
              <w:rPr>
                <w:sz w:val="16"/>
                <w:szCs w:val="16"/>
              </w:rPr>
            </w:pPr>
          </w:p>
          <w:p w:rsidR="00BA316D" w:rsidRPr="00F50098" w:rsidRDefault="00BA316D" w:rsidP="00C86B9F">
            <w:pPr>
              <w:pStyle w:val="TableTextEntries"/>
              <w:rPr>
                <w:sz w:val="16"/>
                <w:szCs w:val="16"/>
              </w:rPr>
            </w:pPr>
            <w:r>
              <w:rPr>
                <w:sz w:val="16"/>
                <w:szCs w:val="16"/>
              </w:rPr>
              <w:t>Samoa Inclusive Education Demonstration Project</w:t>
            </w:r>
          </w:p>
        </w:tc>
        <w:tc>
          <w:tcPr>
            <w:tcW w:w="1121" w:type="dxa"/>
          </w:tcPr>
          <w:p w:rsidR="00C86B9F" w:rsidRDefault="00C86B9F" w:rsidP="00C86B9F">
            <w:pPr>
              <w:pStyle w:val="TableTextEntries"/>
              <w:rPr>
                <w:sz w:val="16"/>
                <w:szCs w:val="16"/>
              </w:rPr>
            </w:pPr>
            <w:r w:rsidRPr="00F50098">
              <w:rPr>
                <w:sz w:val="16"/>
                <w:szCs w:val="16"/>
              </w:rPr>
              <w:t>INK306</w:t>
            </w:r>
          </w:p>
          <w:p w:rsidR="00BA316D" w:rsidRDefault="00BA316D" w:rsidP="00C86B9F">
            <w:pPr>
              <w:pStyle w:val="TableTextEntries"/>
              <w:rPr>
                <w:sz w:val="16"/>
                <w:szCs w:val="16"/>
              </w:rPr>
            </w:pPr>
          </w:p>
          <w:p w:rsidR="00BA316D" w:rsidRPr="00F50098" w:rsidRDefault="00BA316D" w:rsidP="00C86B9F">
            <w:pPr>
              <w:pStyle w:val="TableTextEntries"/>
              <w:rPr>
                <w:sz w:val="16"/>
                <w:szCs w:val="16"/>
              </w:rPr>
            </w:pPr>
            <w:r>
              <w:rPr>
                <w:sz w:val="16"/>
                <w:szCs w:val="16"/>
              </w:rPr>
              <w:t>INI 456</w:t>
            </w:r>
          </w:p>
        </w:tc>
        <w:tc>
          <w:tcPr>
            <w:tcW w:w="2047" w:type="dxa"/>
          </w:tcPr>
          <w:p w:rsidR="00C86B9F" w:rsidRDefault="00C86B9F" w:rsidP="00C86B9F">
            <w:pPr>
              <w:pStyle w:val="TableTextEntries"/>
              <w:rPr>
                <w:sz w:val="16"/>
                <w:szCs w:val="16"/>
              </w:rPr>
            </w:pPr>
            <w:r w:rsidRPr="00F50098">
              <w:rPr>
                <w:sz w:val="16"/>
                <w:szCs w:val="16"/>
              </w:rPr>
              <w:t>Mid Term Evaluation</w:t>
            </w:r>
          </w:p>
          <w:p w:rsidR="00BA316D" w:rsidRDefault="00BA316D" w:rsidP="00C86B9F">
            <w:pPr>
              <w:pStyle w:val="TableTextEntries"/>
              <w:rPr>
                <w:sz w:val="16"/>
                <w:szCs w:val="16"/>
              </w:rPr>
            </w:pPr>
          </w:p>
          <w:p w:rsidR="00BA316D" w:rsidRPr="00F50098" w:rsidRDefault="00BA316D" w:rsidP="00C86B9F">
            <w:pPr>
              <w:pStyle w:val="TableTextEntries"/>
              <w:rPr>
                <w:sz w:val="16"/>
                <w:szCs w:val="16"/>
              </w:rPr>
            </w:pPr>
            <w:r>
              <w:rPr>
                <w:sz w:val="16"/>
                <w:szCs w:val="16"/>
              </w:rPr>
              <w:t>Final Evaluation</w:t>
            </w:r>
          </w:p>
        </w:tc>
        <w:tc>
          <w:tcPr>
            <w:tcW w:w="6264" w:type="dxa"/>
          </w:tcPr>
          <w:p w:rsidR="00C86B9F" w:rsidRDefault="00C86B9F" w:rsidP="00C86B9F">
            <w:pPr>
              <w:pStyle w:val="TableTextEntries"/>
              <w:rPr>
                <w:sz w:val="16"/>
                <w:szCs w:val="16"/>
              </w:rPr>
            </w:pPr>
            <w:r w:rsidRPr="00F50098">
              <w:rPr>
                <w:sz w:val="16"/>
                <w:szCs w:val="16"/>
              </w:rPr>
              <w:t>To evaluate the progress of the regional program in the three pilot countries and lessons learnt for moving forward</w:t>
            </w:r>
          </w:p>
          <w:p w:rsidR="00BA316D" w:rsidRDefault="00BA316D" w:rsidP="00C86B9F">
            <w:pPr>
              <w:pStyle w:val="TableTextEntries"/>
              <w:rPr>
                <w:sz w:val="16"/>
                <w:szCs w:val="16"/>
              </w:rPr>
            </w:pPr>
          </w:p>
          <w:p w:rsidR="00BA316D" w:rsidRPr="00F50098" w:rsidRDefault="00BA316D" w:rsidP="00C86B9F">
            <w:pPr>
              <w:pStyle w:val="TableTextEntries"/>
              <w:rPr>
                <w:sz w:val="16"/>
                <w:szCs w:val="16"/>
              </w:rPr>
            </w:pPr>
            <w:r>
              <w:rPr>
                <w:sz w:val="16"/>
                <w:szCs w:val="16"/>
              </w:rPr>
              <w:t>To evaluate the effectiveness of the investment to inform future support to the education sector and share lessons with other posts.</w:t>
            </w:r>
          </w:p>
        </w:tc>
        <w:tc>
          <w:tcPr>
            <w:tcW w:w="2368" w:type="dxa"/>
          </w:tcPr>
          <w:p w:rsidR="00C86B9F" w:rsidRDefault="00C86B9F" w:rsidP="00C86B9F">
            <w:pPr>
              <w:pStyle w:val="TableTextEntries"/>
              <w:rPr>
                <w:sz w:val="16"/>
                <w:szCs w:val="16"/>
              </w:rPr>
            </w:pPr>
            <w:r w:rsidRPr="00F50098">
              <w:rPr>
                <w:sz w:val="16"/>
                <w:szCs w:val="16"/>
              </w:rPr>
              <w:t>TBC (Regional)</w:t>
            </w:r>
          </w:p>
          <w:p w:rsidR="00BA316D" w:rsidRDefault="00BA316D" w:rsidP="00C86B9F">
            <w:pPr>
              <w:pStyle w:val="TableTextEntries"/>
              <w:rPr>
                <w:sz w:val="16"/>
                <w:szCs w:val="16"/>
              </w:rPr>
            </w:pPr>
          </w:p>
          <w:p w:rsidR="00BA316D" w:rsidRPr="00F50098" w:rsidRDefault="00BA316D" w:rsidP="00C86B9F">
            <w:pPr>
              <w:pStyle w:val="TableTextEntries"/>
              <w:rPr>
                <w:sz w:val="16"/>
                <w:szCs w:val="16"/>
              </w:rPr>
            </w:pPr>
            <w:r>
              <w:rPr>
                <w:sz w:val="16"/>
                <w:szCs w:val="16"/>
              </w:rPr>
              <w:t>Dec 2015</w:t>
            </w:r>
          </w:p>
        </w:tc>
      </w:tr>
      <w:tr w:rsidR="00C86B9F" w:rsidRPr="00071B95" w:rsidTr="00F451BD">
        <w:trPr>
          <w:trHeight w:val="450"/>
        </w:trPr>
        <w:tc>
          <w:tcPr>
            <w:tcW w:w="3336" w:type="dxa"/>
          </w:tcPr>
          <w:p w:rsidR="00C86B9F" w:rsidRPr="00F50098" w:rsidRDefault="00C86B9F" w:rsidP="00C86B9F">
            <w:pPr>
              <w:pStyle w:val="TableTextEntries"/>
              <w:rPr>
                <w:sz w:val="16"/>
                <w:szCs w:val="16"/>
              </w:rPr>
            </w:pPr>
          </w:p>
        </w:tc>
        <w:tc>
          <w:tcPr>
            <w:tcW w:w="1121" w:type="dxa"/>
          </w:tcPr>
          <w:p w:rsidR="00C86B9F" w:rsidRPr="00F50098" w:rsidRDefault="00C86B9F" w:rsidP="00C86B9F">
            <w:pPr>
              <w:pStyle w:val="TableTextEntries"/>
              <w:rPr>
                <w:sz w:val="16"/>
                <w:szCs w:val="16"/>
              </w:rPr>
            </w:pPr>
          </w:p>
        </w:tc>
        <w:tc>
          <w:tcPr>
            <w:tcW w:w="2047" w:type="dxa"/>
          </w:tcPr>
          <w:p w:rsidR="00C86B9F" w:rsidRPr="00F50098" w:rsidRDefault="00C86B9F" w:rsidP="00C86B9F">
            <w:pPr>
              <w:pStyle w:val="TableTextEntries"/>
              <w:rPr>
                <w:sz w:val="16"/>
                <w:szCs w:val="16"/>
              </w:rPr>
            </w:pPr>
          </w:p>
        </w:tc>
        <w:tc>
          <w:tcPr>
            <w:tcW w:w="6264" w:type="dxa"/>
          </w:tcPr>
          <w:p w:rsidR="00C86B9F" w:rsidRPr="00F50098" w:rsidRDefault="00C86B9F" w:rsidP="00C86B9F">
            <w:pPr>
              <w:pStyle w:val="TableTextEntries"/>
              <w:rPr>
                <w:sz w:val="16"/>
                <w:szCs w:val="16"/>
              </w:rPr>
            </w:pPr>
          </w:p>
        </w:tc>
        <w:tc>
          <w:tcPr>
            <w:tcW w:w="2368" w:type="dxa"/>
          </w:tcPr>
          <w:p w:rsidR="00C86B9F" w:rsidRPr="00F50098" w:rsidRDefault="00C86B9F" w:rsidP="00C86B9F">
            <w:pPr>
              <w:pStyle w:val="TableTextEntries"/>
              <w:rPr>
                <w:sz w:val="16"/>
                <w:szCs w:val="16"/>
              </w:rPr>
            </w:pPr>
          </w:p>
        </w:tc>
      </w:tr>
    </w:tbl>
    <w:p w:rsidR="00C86B9F" w:rsidRDefault="00C86B9F" w:rsidP="00C86B9F">
      <w:pPr>
        <w:rPr>
          <w:b/>
        </w:rPr>
        <w:sectPr w:rsidR="00C86B9F" w:rsidSect="00F50098">
          <w:footnotePr>
            <w:numRestart w:val="eachPage"/>
          </w:footnotePr>
          <w:type w:val="continuous"/>
          <w:pgSz w:w="16838" w:h="11906" w:orient="landscape" w:code="9"/>
          <w:pgMar w:top="1135" w:right="1814" w:bottom="0" w:left="851" w:header="709" w:footer="425" w:gutter="0"/>
          <w:cols w:space="708"/>
          <w:titlePg/>
          <w:docGrid w:linePitch="360"/>
        </w:sectPr>
      </w:pPr>
    </w:p>
    <w:p w:rsidR="00416B02" w:rsidRDefault="005C310A" w:rsidP="0057490F">
      <w:pPr>
        <w:pStyle w:val="Heading2"/>
        <w:tabs>
          <w:tab w:val="left" w:pos="1560"/>
        </w:tabs>
        <w:rPr>
          <w:sz w:val="28"/>
        </w:rPr>
      </w:pPr>
      <w:r>
        <w:rPr>
          <w:sz w:val="28"/>
        </w:rPr>
        <w:lastRenderedPageBreak/>
        <w:t>Annex D</w:t>
      </w:r>
      <w:r w:rsidR="0057490F">
        <w:rPr>
          <w:sz w:val="28"/>
        </w:rPr>
        <w:t xml:space="preserve"> - </w:t>
      </w:r>
      <w:r w:rsidR="00416B02">
        <w:rPr>
          <w:sz w:val="28"/>
        </w:rPr>
        <w:t xml:space="preserve">Aid </w:t>
      </w:r>
      <w:r w:rsidR="00416B02" w:rsidRPr="009E38C1">
        <w:rPr>
          <w:sz w:val="28"/>
        </w:rPr>
        <w:t xml:space="preserve">Quality </w:t>
      </w:r>
      <w:r w:rsidR="00416B02">
        <w:rPr>
          <w:sz w:val="28"/>
        </w:rPr>
        <w:t xml:space="preserve">Check </w:t>
      </w:r>
      <w:r w:rsidR="00416B02" w:rsidRPr="009E38C1">
        <w:rPr>
          <w:sz w:val="28"/>
        </w:rPr>
        <w:t>ratings</w:t>
      </w:r>
    </w:p>
    <w:p w:rsidR="00416B02" w:rsidRDefault="00416B02" w:rsidP="00550C12">
      <w:pPr>
        <w:pStyle w:val="BodyText"/>
        <w:spacing w:line="240" w:lineRule="auto"/>
      </w:pPr>
      <w:r>
        <w:t>The previous investment level performance assessment system utilised Quality at Implementation (QAI) reports. Two criteria, Risks and Safeguards and Innovation and Private sector were not assessed in QAI reports and there have been significant changes in AQC reporting this year. Innovation and Private Sector is not a quality standard</w:t>
      </w:r>
      <w:r w:rsidR="0057490F">
        <w:t>.</w:t>
      </w:r>
    </w:p>
    <w:p w:rsidR="00416B02" w:rsidRPr="000D2CDD" w:rsidRDefault="00416B02" w:rsidP="002E3195">
      <w:pPr>
        <w:pStyle w:val="Heading3"/>
      </w:pPr>
      <w:r>
        <w:t>AQC ratings</w:t>
      </w:r>
    </w:p>
    <w:tbl>
      <w:tblPr>
        <w:tblStyle w:val="DFATTable"/>
        <w:tblW w:w="4835" w:type="pct"/>
        <w:tblLook w:val="0020" w:firstRow="1" w:lastRow="0" w:firstColumn="0" w:lastColumn="0" w:noHBand="0" w:noVBand="0"/>
      </w:tblPr>
      <w:tblGrid>
        <w:gridCol w:w="2701"/>
        <w:gridCol w:w="1932"/>
        <w:gridCol w:w="1212"/>
        <w:gridCol w:w="1064"/>
        <w:gridCol w:w="1137"/>
        <w:gridCol w:w="1134"/>
        <w:gridCol w:w="1277"/>
        <w:gridCol w:w="1134"/>
        <w:gridCol w:w="1274"/>
        <w:gridCol w:w="1134"/>
      </w:tblGrid>
      <w:tr w:rsidR="009770E1" w:rsidRPr="009D53C4" w:rsidTr="009770E1">
        <w:trPr>
          <w:cantSplit/>
          <w:trHeight w:val="1363"/>
        </w:trPr>
        <w:tc>
          <w:tcPr>
            <w:tcW w:w="965" w:type="pct"/>
          </w:tcPr>
          <w:p w:rsidR="009770E1" w:rsidRPr="00FE4491" w:rsidRDefault="009770E1" w:rsidP="00F451BD">
            <w:pPr>
              <w:pStyle w:val="TableTextColumnHeading"/>
            </w:pPr>
            <w:r w:rsidRPr="00FE4491">
              <w:rPr>
                <w:noProof/>
                <w:lang w:eastAsia="en-AU"/>
              </w:rPr>
              <w:drawing>
                <wp:anchor distT="0" distB="0" distL="114300" distR="114300" simplePos="0" relativeHeight="251669504" behindDoc="0" locked="0" layoutInCell="1" allowOverlap="1" wp14:anchorId="31255E54" wp14:editId="01A095D6">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90" w:type="pct"/>
          </w:tcPr>
          <w:p w:rsidR="009770E1" w:rsidRPr="00FE4491" w:rsidRDefault="009770E1" w:rsidP="00F451BD">
            <w:pPr>
              <w:pStyle w:val="TableTextColumnHeading"/>
            </w:pPr>
            <w:r w:rsidRPr="00FE4491">
              <w:t>Approved budget and duration</w:t>
            </w:r>
          </w:p>
        </w:tc>
        <w:tc>
          <w:tcPr>
            <w:tcW w:w="433" w:type="pct"/>
          </w:tcPr>
          <w:p w:rsidR="009770E1" w:rsidRPr="00FE4491" w:rsidRDefault="009770E1" w:rsidP="00F451BD">
            <w:pPr>
              <w:pStyle w:val="TableTextColumnHeading"/>
            </w:pPr>
            <w:r>
              <w:t>AQC/</w:t>
            </w:r>
            <w:r w:rsidRPr="00FE4491">
              <w:t>Q</w:t>
            </w:r>
            <w:r>
              <w:t>AI</w:t>
            </w:r>
            <w:r w:rsidRPr="00FE4491">
              <w:t xml:space="preserve"> year</w:t>
            </w:r>
          </w:p>
        </w:tc>
        <w:tc>
          <w:tcPr>
            <w:tcW w:w="380" w:type="pct"/>
            <w:tcBorders>
              <w:bottom w:val="single" w:sz="12" w:space="0" w:color="FFFFFF" w:themeColor="background1"/>
            </w:tcBorders>
            <w:textDirection w:val="btLr"/>
          </w:tcPr>
          <w:p w:rsidR="009770E1" w:rsidRPr="00196276" w:rsidRDefault="009770E1" w:rsidP="00F451BD">
            <w:pPr>
              <w:pStyle w:val="TableTextColumnHeading"/>
            </w:pPr>
            <w:r w:rsidRPr="00F25253">
              <w:t>Relevance</w:t>
            </w:r>
          </w:p>
        </w:tc>
        <w:tc>
          <w:tcPr>
            <w:tcW w:w="406" w:type="pct"/>
            <w:tcBorders>
              <w:bottom w:val="single" w:sz="12" w:space="0" w:color="FFFFFF" w:themeColor="background1"/>
            </w:tcBorders>
            <w:textDirection w:val="btLr"/>
          </w:tcPr>
          <w:p w:rsidR="009770E1" w:rsidRPr="00FE4491" w:rsidRDefault="009770E1" w:rsidP="00F451BD">
            <w:pPr>
              <w:pStyle w:val="TableTextColumnHeading"/>
            </w:pPr>
            <w:r w:rsidRPr="00FE4491">
              <w:t>Effectiveness</w:t>
            </w:r>
          </w:p>
        </w:tc>
        <w:tc>
          <w:tcPr>
            <w:tcW w:w="405" w:type="pct"/>
            <w:tcBorders>
              <w:bottom w:val="single" w:sz="12" w:space="0" w:color="FFFFFF" w:themeColor="background1"/>
            </w:tcBorders>
            <w:textDirection w:val="btLr"/>
          </w:tcPr>
          <w:p w:rsidR="009770E1" w:rsidRPr="00FE4491" w:rsidRDefault="009770E1" w:rsidP="00F451BD">
            <w:pPr>
              <w:pStyle w:val="TableTextColumnHeading"/>
            </w:pPr>
            <w:r w:rsidRPr="00FE4491">
              <w:t>Efficiency</w:t>
            </w:r>
          </w:p>
        </w:tc>
        <w:tc>
          <w:tcPr>
            <w:tcW w:w="456" w:type="pct"/>
            <w:tcBorders>
              <w:bottom w:val="single" w:sz="12" w:space="0" w:color="FFFFFF" w:themeColor="background1"/>
            </w:tcBorders>
            <w:textDirection w:val="btLr"/>
          </w:tcPr>
          <w:p w:rsidR="009770E1" w:rsidRPr="00FE4491" w:rsidRDefault="009770E1" w:rsidP="00F451BD">
            <w:pPr>
              <w:pStyle w:val="TableTextColumnHeading"/>
            </w:pPr>
            <w:r w:rsidRPr="00FE4491">
              <w:t>Monitoring and Evaluation</w:t>
            </w:r>
          </w:p>
        </w:tc>
        <w:tc>
          <w:tcPr>
            <w:tcW w:w="405" w:type="pct"/>
            <w:tcBorders>
              <w:bottom w:val="single" w:sz="12" w:space="0" w:color="FFFFFF" w:themeColor="background1"/>
            </w:tcBorders>
            <w:textDirection w:val="btLr"/>
          </w:tcPr>
          <w:p w:rsidR="009770E1" w:rsidRPr="00FE4491" w:rsidRDefault="009770E1" w:rsidP="00F451BD">
            <w:pPr>
              <w:pStyle w:val="TableTextColumnHeading"/>
            </w:pPr>
            <w:r w:rsidRPr="00FE4491">
              <w:t>Sustainability</w:t>
            </w:r>
          </w:p>
        </w:tc>
        <w:tc>
          <w:tcPr>
            <w:tcW w:w="455" w:type="pct"/>
            <w:tcBorders>
              <w:bottom w:val="single" w:sz="12" w:space="0" w:color="FFFFFF" w:themeColor="background1"/>
            </w:tcBorders>
            <w:textDirection w:val="btLr"/>
          </w:tcPr>
          <w:p w:rsidR="009770E1" w:rsidRPr="00FE4491" w:rsidRDefault="009770E1" w:rsidP="00F451BD">
            <w:pPr>
              <w:pStyle w:val="TableTextColumnHeading"/>
            </w:pPr>
            <w:r w:rsidRPr="00FE4491">
              <w:t>Gender equality</w:t>
            </w:r>
          </w:p>
        </w:tc>
        <w:tc>
          <w:tcPr>
            <w:tcW w:w="405" w:type="pct"/>
            <w:tcBorders>
              <w:bottom w:val="single" w:sz="12" w:space="0" w:color="FFFFFF" w:themeColor="background1"/>
            </w:tcBorders>
            <w:textDirection w:val="btLr"/>
          </w:tcPr>
          <w:p w:rsidR="009770E1" w:rsidRPr="00FE4491" w:rsidRDefault="009770E1" w:rsidP="00F451BD">
            <w:pPr>
              <w:pStyle w:val="TableTextColumnHeading"/>
            </w:pPr>
            <w:r>
              <w:t>Risks  and Safeguards</w:t>
            </w: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Samoa Education Sector Program II</w:t>
            </w:r>
          </w:p>
        </w:tc>
        <w:tc>
          <w:tcPr>
            <w:tcW w:w="690" w:type="pct"/>
            <w:vMerge w:val="restart"/>
          </w:tcPr>
          <w:p w:rsidR="009770E1" w:rsidRPr="00F25253" w:rsidRDefault="009770E1" w:rsidP="009770E1">
            <w:pPr>
              <w:pStyle w:val="TableTextEntries"/>
            </w:pPr>
            <w:r w:rsidRPr="00F25253">
              <w:t>$10,407,469.35</w:t>
            </w:r>
          </w:p>
          <w:p w:rsidR="009770E1" w:rsidRPr="00F25253" w:rsidRDefault="009770E1" w:rsidP="009770E1">
            <w:pPr>
              <w:pStyle w:val="TableTextEntries"/>
            </w:pPr>
            <w:r w:rsidRPr="00F25253">
              <w:t>(2006-15)</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tabs>
                <w:tab w:val="left" w:pos="318"/>
                <w:tab w:val="center" w:pos="452"/>
              </w:tab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tabs>
                <w:tab w:val="left" w:pos="318"/>
                <w:tab w:val="center" w:pos="452"/>
              </w:tab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Samoa Economic Infrastructure</w:t>
            </w:r>
          </w:p>
        </w:tc>
        <w:tc>
          <w:tcPr>
            <w:tcW w:w="690" w:type="pct"/>
            <w:vMerge w:val="restart"/>
          </w:tcPr>
          <w:p w:rsidR="009770E1" w:rsidRPr="00F25253" w:rsidRDefault="009770E1" w:rsidP="009770E1">
            <w:pPr>
              <w:pStyle w:val="TableTextEntries"/>
            </w:pPr>
            <w:r w:rsidRPr="00F25253">
              <w:t>$20,000,000</w:t>
            </w:r>
          </w:p>
          <w:p w:rsidR="009770E1" w:rsidRPr="00F25253" w:rsidRDefault="009770E1" w:rsidP="009770E1">
            <w:pPr>
              <w:pStyle w:val="TableTextEntries"/>
            </w:pPr>
            <w:r w:rsidRPr="00F25253">
              <w:t>(2012-17)</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tabs>
                <w:tab w:val="left" w:pos="402"/>
                <w:tab w:val="center" w:pos="474"/>
              </w:tabs>
              <w:jc w:val="center"/>
              <w:rPr>
                <w:b/>
              </w:rPr>
            </w:pPr>
            <w:r w:rsidRPr="009770E1">
              <w:rPr>
                <w:b/>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X</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M</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P</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T</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Samoa Parliament Complex Redevelopment</w:t>
            </w:r>
          </w:p>
        </w:tc>
        <w:tc>
          <w:tcPr>
            <w:tcW w:w="690" w:type="pct"/>
            <w:vMerge w:val="restart"/>
          </w:tcPr>
          <w:p w:rsidR="009770E1" w:rsidRPr="00F25253" w:rsidRDefault="009770E1" w:rsidP="009770E1">
            <w:pPr>
              <w:pStyle w:val="TableTextEntries"/>
            </w:pPr>
            <w:r w:rsidRPr="00F25253">
              <w:t>$12,943,26.61</w:t>
            </w:r>
          </w:p>
          <w:p w:rsidR="009770E1" w:rsidRPr="00F25253" w:rsidRDefault="009770E1" w:rsidP="009770E1">
            <w:pPr>
              <w:pStyle w:val="TableTextEntries"/>
            </w:pPr>
            <w:r w:rsidRPr="00F25253">
              <w:t>(2012-17)</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rsidR="009770E1" w:rsidRPr="009770E1" w:rsidRDefault="009770E1" w:rsidP="009770E1">
            <w:pPr>
              <w:pStyle w:val="TableTextEntries"/>
              <w:jc w:val="center"/>
              <w:rPr>
                <w:b/>
              </w:rPr>
            </w:pPr>
            <w:r w:rsidRPr="009770E1">
              <w:rPr>
                <w:b/>
              </w:rPr>
              <w:t>5</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X</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M</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P</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T</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Samoa Health Sector Initiative</w:t>
            </w:r>
          </w:p>
        </w:tc>
        <w:tc>
          <w:tcPr>
            <w:tcW w:w="690" w:type="pct"/>
            <w:vMerge w:val="restart"/>
          </w:tcPr>
          <w:p w:rsidR="009770E1" w:rsidRPr="00F25253" w:rsidRDefault="009770E1" w:rsidP="009770E1">
            <w:pPr>
              <w:pStyle w:val="TableTextEntries"/>
            </w:pPr>
            <w:r w:rsidRPr="00F25253">
              <w:t>$18,862,865.27</w:t>
            </w:r>
          </w:p>
          <w:p w:rsidR="009770E1" w:rsidRPr="00F25253" w:rsidRDefault="009770E1" w:rsidP="009770E1">
            <w:pPr>
              <w:pStyle w:val="TableTextEntries"/>
            </w:pPr>
            <w:r w:rsidRPr="00F25253">
              <w:t>(2007-17)</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rsidR="009770E1" w:rsidRPr="009770E1" w:rsidRDefault="009770E1" w:rsidP="009770E1">
            <w:pPr>
              <w:pStyle w:val="TableTextEntries"/>
              <w:jc w:val="center"/>
              <w:rPr>
                <w:b/>
              </w:rPr>
            </w:pPr>
            <w:r w:rsidRPr="009770E1">
              <w:rPr>
                <w:b/>
              </w:rPr>
              <w:t>5</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3</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ADB Samoa Power Sector Expansion Program</w:t>
            </w:r>
          </w:p>
        </w:tc>
        <w:tc>
          <w:tcPr>
            <w:tcW w:w="690" w:type="pct"/>
            <w:vMerge w:val="restart"/>
          </w:tcPr>
          <w:p w:rsidR="009770E1" w:rsidRPr="00F25253" w:rsidRDefault="009770E1" w:rsidP="009770E1">
            <w:pPr>
              <w:pStyle w:val="TableTextEntries"/>
            </w:pPr>
            <w:r w:rsidRPr="00F25253">
              <w:t>$15,118,099.51</w:t>
            </w:r>
          </w:p>
          <w:p w:rsidR="009770E1" w:rsidRPr="00F25253" w:rsidRDefault="009770E1" w:rsidP="009770E1">
            <w:pPr>
              <w:pStyle w:val="TableTextEntries"/>
            </w:pPr>
            <w:r w:rsidRPr="00F25253">
              <w:t>(2007-16)</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6</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rsidR="009770E1" w:rsidRPr="009770E1" w:rsidRDefault="009770E1" w:rsidP="009770E1">
            <w:pPr>
              <w:pStyle w:val="TableTextEntries"/>
              <w:jc w:val="center"/>
              <w:rPr>
                <w:b/>
              </w:rPr>
            </w:pPr>
            <w:r w:rsidRPr="009770E1">
              <w:rPr>
                <w:b/>
              </w:rPr>
              <w:t>5</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6</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6</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284"/>
        </w:trPr>
        <w:tc>
          <w:tcPr>
            <w:tcW w:w="965" w:type="pct"/>
            <w:vMerge w:val="restart"/>
          </w:tcPr>
          <w:p w:rsidR="009770E1" w:rsidRPr="00F25253" w:rsidRDefault="009770E1" w:rsidP="009770E1">
            <w:pPr>
              <w:pStyle w:val="TableTextEntries"/>
            </w:pPr>
            <w:r w:rsidRPr="00F25253">
              <w:t>Samoa Governance and Economic Stability</w:t>
            </w:r>
          </w:p>
        </w:tc>
        <w:tc>
          <w:tcPr>
            <w:tcW w:w="690" w:type="pct"/>
            <w:vMerge w:val="restart"/>
          </w:tcPr>
          <w:p w:rsidR="009770E1" w:rsidRPr="00F25253" w:rsidRDefault="009770E1" w:rsidP="009770E1">
            <w:pPr>
              <w:pStyle w:val="TableTextEntries"/>
            </w:pPr>
            <w:r w:rsidRPr="00F25253">
              <w:t>$21,142,830.31</w:t>
            </w:r>
          </w:p>
          <w:p w:rsidR="009770E1" w:rsidRPr="00F25253" w:rsidRDefault="009770E1" w:rsidP="009770E1">
            <w:pPr>
              <w:pStyle w:val="TableTextEntries"/>
            </w:pPr>
            <w:r w:rsidRPr="00F25253">
              <w:t>(2010-17)</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rsidR="009770E1" w:rsidRPr="009770E1" w:rsidRDefault="009770E1" w:rsidP="009770E1">
            <w:pPr>
              <w:pStyle w:val="TableTextEntries"/>
              <w:jc w:val="center"/>
              <w:rPr>
                <w:b/>
              </w:rPr>
            </w:pPr>
            <w:r w:rsidRPr="009770E1">
              <w:rPr>
                <w:b/>
              </w:rPr>
              <w:t>5</w:t>
            </w:r>
          </w:p>
        </w:tc>
      </w:tr>
      <w:tr w:rsidR="009770E1" w:rsidRPr="009D53C4" w:rsidTr="009770E1">
        <w:trPr>
          <w:trHeight w:val="284"/>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jc w:val="center"/>
              <w:rPr>
                <w:rFonts w:ascii="Franklin Gothic Book" w:eastAsia="Times New Roman" w:hAnsi="Franklin Gothic Book" w:cs="Arial"/>
                <w:b/>
                <w:sz w:val="17"/>
                <w:szCs w:val="17"/>
              </w:rPr>
            </w:pPr>
            <w:r w:rsidRPr="009770E1">
              <w:rPr>
                <w:rFonts w:ascii="Franklin Gothic Book" w:eastAsia="Times New Roman" w:hAnsi="Franklin Gothic Book" w:cs="Arial"/>
                <w:b/>
                <w:sz w:val="17"/>
                <w:szCs w:val="17"/>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Civil Society Support Program</w:t>
            </w:r>
          </w:p>
        </w:tc>
        <w:tc>
          <w:tcPr>
            <w:tcW w:w="690" w:type="pct"/>
            <w:vMerge w:val="restart"/>
          </w:tcPr>
          <w:p w:rsidR="009770E1" w:rsidRPr="00F25253" w:rsidRDefault="009770E1" w:rsidP="009770E1">
            <w:pPr>
              <w:pStyle w:val="TableTextEntries"/>
            </w:pPr>
            <w:r w:rsidRPr="00F25253">
              <w:t>$7,949,999.25</w:t>
            </w:r>
          </w:p>
          <w:p w:rsidR="009770E1" w:rsidRPr="00F25253" w:rsidRDefault="009770E1" w:rsidP="009770E1">
            <w:pPr>
              <w:pStyle w:val="TableTextEntries"/>
            </w:pPr>
            <w:r w:rsidRPr="00F25253">
              <w:t>(2010-18)</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6</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School Fees Grant Scheme</w:t>
            </w:r>
          </w:p>
        </w:tc>
        <w:tc>
          <w:tcPr>
            <w:tcW w:w="690" w:type="pct"/>
            <w:vMerge w:val="restart"/>
          </w:tcPr>
          <w:p w:rsidR="009770E1" w:rsidRPr="00F25253" w:rsidRDefault="009770E1" w:rsidP="009770E1">
            <w:pPr>
              <w:pStyle w:val="TableTextEntries"/>
            </w:pPr>
            <w:r w:rsidRPr="00F25253">
              <w:t>$3,540,000.00</w:t>
            </w:r>
          </w:p>
          <w:p w:rsidR="009770E1" w:rsidRPr="00F25253" w:rsidRDefault="009770E1" w:rsidP="009770E1">
            <w:pPr>
              <w:pStyle w:val="TableTextEntries"/>
            </w:pPr>
            <w:r w:rsidRPr="00F25253">
              <w:t>(2011-15)</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Disability Program</w:t>
            </w:r>
          </w:p>
        </w:tc>
        <w:tc>
          <w:tcPr>
            <w:tcW w:w="690" w:type="pct"/>
            <w:vMerge w:val="restart"/>
          </w:tcPr>
          <w:p w:rsidR="009770E1" w:rsidRPr="00F25253" w:rsidRDefault="009770E1" w:rsidP="009770E1">
            <w:pPr>
              <w:pStyle w:val="TableTextEntries"/>
            </w:pPr>
            <w:r w:rsidRPr="00F25253">
              <w:t>$6,481,847.57</w:t>
            </w:r>
          </w:p>
          <w:p w:rsidR="009770E1" w:rsidRPr="00F25253" w:rsidRDefault="009770E1" w:rsidP="009770E1">
            <w:pPr>
              <w:pStyle w:val="TableTextEntries"/>
            </w:pPr>
            <w:r w:rsidRPr="00F25253">
              <w:t>(2012-18)</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E142CA">
        <w:trPr>
          <w:trHeight w:val="66"/>
        </w:trPr>
        <w:tc>
          <w:tcPr>
            <w:tcW w:w="965" w:type="pct"/>
            <w:vMerge/>
            <w:tcBorders>
              <w:bottom w:val="nil"/>
            </w:tcBorders>
          </w:tcPr>
          <w:p w:rsidR="009770E1" w:rsidRPr="00F25253" w:rsidRDefault="009770E1" w:rsidP="009770E1">
            <w:pPr>
              <w:pStyle w:val="TableTextEntries"/>
            </w:pPr>
          </w:p>
        </w:tc>
        <w:tc>
          <w:tcPr>
            <w:tcW w:w="690" w:type="pct"/>
            <w:vMerge/>
            <w:tcBorders>
              <w:bottom w:val="nil"/>
            </w:tcBorders>
          </w:tcPr>
          <w:p w:rsidR="009770E1" w:rsidRPr="00F25253" w:rsidRDefault="009770E1" w:rsidP="009770E1">
            <w:pPr>
              <w:pStyle w:val="TableTextEntries"/>
            </w:pPr>
          </w:p>
        </w:tc>
        <w:tc>
          <w:tcPr>
            <w:tcW w:w="433" w:type="pct"/>
            <w:tcBorders>
              <w:bottom w:val="nil"/>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06"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X</w:t>
            </w:r>
          </w:p>
        </w:tc>
        <w:tc>
          <w:tcPr>
            <w:tcW w:w="405"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56"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M</w:t>
            </w:r>
          </w:p>
        </w:tc>
        <w:tc>
          <w:tcPr>
            <w:tcW w:w="405"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P</w:t>
            </w:r>
          </w:p>
        </w:tc>
        <w:tc>
          <w:tcPr>
            <w:tcW w:w="455" w:type="pct"/>
            <w:tcBorders>
              <w:top w:val="single" w:sz="12" w:space="0" w:color="FFFFFF" w:themeColor="background1"/>
              <w:left w:val="single" w:sz="12" w:space="0" w:color="FFFFFF" w:themeColor="background1"/>
              <w:bottom w:val="nil"/>
              <w:right w:val="single" w:sz="12" w:space="0" w:color="FFFFFF" w:themeColor="background1"/>
            </w:tcBorders>
            <w:noWrap/>
          </w:tcPr>
          <w:p w:rsidR="009770E1" w:rsidRPr="009770E1" w:rsidRDefault="009770E1" w:rsidP="009770E1">
            <w:pPr>
              <w:pStyle w:val="TableTextEntries"/>
              <w:jc w:val="center"/>
              <w:rPr>
                <w:b/>
              </w:rPr>
            </w:pPr>
            <w:r w:rsidRPr="009770E1">
              <w:rPr>
                <w:b/>
              </w:rPr>
              <w:t>T</w:t>
            </w:r>
          </w:p>
        </w:tc>
        <w:tc>
          <w:tcPr>
            <w:tcW w:w="405" w:type="pct"/>
            <w:tcBorders>
              <w:top w:val="single" w:sz="12" w:space="0" w:color="FFFFFF" w:themeColor="background1"/>
              <w:left w:val="single" w:sz="12" w:space="0" w:color="FFFFFF" w:themeColor="background1"/>
              <w:bottom w:val="nil"/>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E142CA">
        <w:trPr>
          <w:trHeight w:val="50"/>
        </w:trPr>
        <w:tc>
          <w:tcPr>
            <w:tcW w:w="965" w:type="pct"/>
            <w:vMerge w:val="restart"/>
            <w:tcBorders>
              <w:top w:val="nil"/>
              <w:bottom w:val="nil"/>
            </w:tcBorders>
          </w:tcPr>
          <w:p w:rsidR="009770E1" w:rsidRPr="00F25253" w:rsidRDefault="009770E1" w:rsidP="009770E1">
            <w:pPr>
              <w:pStyle w:val="TableTextEntries"/>
            </w:pPr>
            <w:r w:rsidRPr="00F25253">
              <w:t>Health Program</w:t>
            </w:r>
          </w:p>
        </w:tc>
        <w:tc>
          <w:tcPr>
            <w:tcW w:w="690" w:type="pct"/>
            <w:vMerge w:val="restart"/>
            <w:tcBorders>
              <w:top w:val="nil"/>
              <w:bottom w:val="nil"/>
            </w:tcBorders>
          </w:tcPr>
          <w:p w:rsidR="009770E1" w:rsidRPr="00F25253" w:rsidRDefault="009770E1" w:rsidP="009770E1">
            <w:pPr>
              <w:pStyle w:val="TableTextEntries"/>
            </w:pPr>
            <w:r w:rsidRPr="00F25253">
              <w:t>$9,200,000.04</w:t>
            </w:r>
          </w:p>
          <w:p w:rsidR="009770E1" w:rsidRPr="00F25253" w:rsidRDefault="009770E1" w:rsidP="009770E1">
            <w:pPr>
              <w:pStyle w:val="TableTextEntries"/>
            </w:pPr>
            <w:r w:rsidRPr="00F25253">
              <w:t>(2013–22)</w:t>
            </w:r>
          </w:p>
        </w:tc>
        <w:tc>
          <w:tcPr>
            <w:tcW w:w="433" w:type="pct"/>
            <w:tcBorders>
              <w:top w:val="nil"/>
              <w:bottom w:val="nil"/>
              <w:right w:val="nil"/>
            </w:tcBorders>
          </w:tcPr>
          <w:p w:rsidR="009770E1" w:rsidRPr="00F25253" w:rsidRDefault="009770E1" w:rsidP="009770E1">
            <w:pPr>
              <w:pStyle w:val="TableTextEntries"/>
            </w:pPr>
            <w:r w:rsidRPr="00F25253">
              <w:t>2015 AQC</w:t>
            </w:r>
          </w:p>
        </w:tc>
        <w:tc>
          <w:tcPr>
            <w:tcW w:w="380" w:type="pct"/>
            <w:tcBorders>
              <w:top w:val="nil"/>
              <w:left w:val="nil"/>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6"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nil"/>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E142CA">
        <w:trPr>
          <w:trHeight w:val="66"/>
        </w:trPr>
        <w:tc>
          <w:tcPr>
            <w:tcW w:w="965" w:type="pct"/>
            <w:vMerge/>
            <w:tcBorders>
              <w:top w:val="nil"/>
            </w:tcBorders>
          </w:tcPr>
          <w:p w:rsidR="009770E1" w:rsidRPr="00F25253" w:rsidRDefault="009770E1" w:rsidP="009770E1">
            <w:pPr>
              <w:pStyle w:val="TableTextEntries"/>
            </w:pPr>
          </w:p>
        </w:tc>
        <w:tc>
          <w:tcPr>
            <w:tcW w:w="690" w:type="pct"/>
            <w:vMerge/>
            <w:tcBorders>
              <w:top w:val="nil"/>
            </w:tcBorders>
          </w:tcPr>
          <w:p w:rsidR="009770E1" w:rsidRPr="00F25253" w:rsidRDefault="009770E1" w:rsidP="009770E1">
            <w:pPr>
              <w:pStyle w:val="TableTextEntries"/>
            </w:pPr>
          </w:p>
        </w:tc>
        <w:tc>
          <w:tcPr>
            <w:tcW w:w="433" w:type="pct"/>
            <w:tcBorders>
              <w:top w:val="nil"/>
              <w:right w:val="single" w:sz="12" w:space="0" w:color="FFFFFF" w:themeColor="background1"/>
            </w:tcBorders>
          </w:tcPr>
          <w:p w:rsidR="009770E1" w:rsidRPr="00F25253" w:rsidRDefault="009770E1" w:rsidP="009770E1">
            <w:pPr>
              <w:pStyle w:val="TableTextEntries"/>
            </w:pP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Law and Justice Sector Program</w:t>
            </w:r>
          </w:p>
        </w:tc>
        <w:tc>
          <w:tcPr>
            <w:tcW w:w="690" w:type="pct"/>
            <w:vMerge w:val="restart"/>
          </w:tcPr>
          <w:p w:rsidR="009770E1" w:rsidRPr="00F25253" w:rsidRDefault="009770E1" w:rsidP="009770E1">
            <w:pPr>
              <w:pStyle w:val="TableTextEntries"/>
            </w:pPr>
            <w:r w:rsidRPr="00F25253">
              <w:t>$5,127,521.99</w:t>
            </w:r>
          </w:p>
          <w:p w:rsidR="009770E1" w:rsidRPr="00F25253" w:rsidRDefault="009770E1" w:rsidP="009770E1">
            <w:pPr>
              <w:pStyle w:val="TableTextEntries"/>
            </w:pPr>
            <w:r w:rsidRPr="00F25253">
              <w:t>(2007-16)</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Education Sector Program</w:t>
            </w:r>
          </w:p>
        </w:tc>
        <w:tc>
          <w:tcPr>
            <w:tcW w:w="690" w:type="pct"/>
            <w:vMerge w:val="restart"/>
          </w:tcPr>
          <w:p w:rsidR="009770E1" w:rsidRPr="00F25253" w:rsidRDefault="009770E1" w:rsidP="009770E1">
            <w:pPr>
              <w:pStyle w:val="TableTextEntries"/>
            </w:pPr>
            <w:r w:rsidRPr="00F25253">
              <w:t>$2,363,235.60</w:t>
            </w:r>
          </w:p>
          <w:p w:rsidR="009770E1" w:rsidRPr="00F25253" w:rsidRDefault="009770E1" w:rsidP="009770E1">
            <w:pPr>
              <w:pStyle w:val="TableTextEntries"/>
            </w:pPr>
            <w:r w:rsidRPr="00F25253">
              <w:lastRenderedPageBreak/>
              <w:t>(2011-18)</w:t>
            </w:r>
          </w:p>
        </w:tc>
        <w:tc>
          <w:tcPr>
            <w:tcW w:w="433" w:type="pct"/>
            <w:tcBorders>
              <w:right w:val="single" w:sz="12" w:space="0" w:color="FFFFFF" w:themeColor="background1"/>
            </w:tcBorders>
          </w:tcPr>
          <w:p w:rsidR="009770E1" w:rsidRPr="00F25253" w:rsidRDefault="009770E1" w:rsidP="009770E1">
            <w:pPr>
              <w:pStyle w:val="TableTextEntries"/>
            </w:pPr>
            <w:r w:rsidRPr="00F25253">
              <w:lastRenderedPageBreak/>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tcPr>
          <w:p w:rsidR="009770E1" w:rsidRPr="009770E1" w:rsidRDefault="009770E1" w:rsidP="009770E1">
            <w:pPr>
              <w:pStyle w:val="TableTextEntries"/>
              <w:jc w:val="center"/>
              <w:rPr>
                <w:b/>
              </w:rPr>
            </w:pPr>
            <w:r w:rsidRPr="009770E1">
              <w:rPr>
                <w:b/>
              </w:rPr>
              <w:t>5</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lastRenderedPageBreak/>
              <w:t>Samoa Inclusive Education Demonstration Program</w:t>
            </w:r>
          </w:p>
        </w:tc>
        <w:tc>
          <w:tcPr>
            <w:tcW w:w="690" w:type="pct"/>
            <w:vMerge w:val="restart"/>
          </w:tcPr>
          <w:p w:rsidR="009770E1" w:rsidRPr="00F25253" w:rsidRDefault="009770E1" w:rsidP="009770E1">
            <w:pPr>
              <w:pStyle w:val="TableTextEntries"/>
            </w:pPr>
            <w:r w:rsidRPr="00F25253">
              <w:t>$6,101,730.16</w:t>
            </w:r>
          </w:p>
          <w:p w:rsidR="009770E1" w:rsidRPr="00F25253" w:rsidRDefault="009770E1" w:rsidP="009770E1">
            <w:pPr>
              <w:pStyle w:val="TableTextEntries"/>
            </w:pPr>
            <w:r w:rsidRPr="00F25253">
              <w:t>(2009-18)</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rsidR="009770E1" w:rsidRPr="009770E1" w:rsidRDefault="009770E1" w:rsidP="009770E1">
            <w:pPr>
              <w:pStyle w:val="TableTextEntries"/>
              <w:jc w:val="center"/>
              <w:rPr>
                <w:b/>
              </w:rPr>
            </w:pPr>
            <w:r w:rsidRPr="009770E1">
              <w:rPr>
                <w:b/>
              </w:rPr>
              <w:t>3</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Cyclone Evan Response &amp; Recovery Program</w:t>
            </w:r>
          </w:p>
        </w:tc>
        <w:tc>
          <w:tcPr>
            <w:tcW w:w="690" w:type="pct"/>
            <w:vMerge w:val="restart"/>
          </w:tcPr>
          <w:p w:rsidR="009770E1" w:rsidRPr="00F25253" w:rsidRDefault="009770E1" w:rsidP="009770E1">
            <w:pPr>
              <w:pStyle w:val="TableTextEntries"/>
            </w:pPr>
            <w:r w:rsidRPr="00F25253">
              <w:t>$8,116,513.90 (2012-16)</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Post-Tsunami Recovery &amp; Reconstruction</w:t>
            </w:r>
          </w:p>
        </w:tc>
        <w:tc>
          <w:tcPr>
            <w:tcW w:w="690" w:type="pct"/>
            <w:vMerge w:val="restart"/>
          </w:tcPr>
          <w:p w:rsidR="009770E1" w:rsidRPr="00F25253" w:rsidRDefault="009770E1" w:rsidP="009770E1">
            <w:pPr>
              <w:pStyle w:val="TableTextEntries"/>
            </w:pPr>
            <w:r w:rsidRPr="00F25253">
              <w:t>$6,100,000.00</w:t>
            </w:r>
          </w:p>
          <w:p w:rsidR="009770E1" w:rsidRPr="00F25253" w:rsidRDefault="009770E1" w:rsidP="009770E1">
            <w:pPr>
              <w:pStyle w:val="TableTextEntries"/>
            </w:pPr>
            <w:r w:rsidRPr="00F25253">
              <w:t>(2009-15)</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X</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E</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M</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jc w:val="center"/>
              <w:rPr>
                <w:b/>
              </w:rPr>
            </w:pPr>
            <w:r w:rsidRPr="009770E1">
              <w:rPr>
                <w:b/>
              </w:rPr>
              <w:t>P</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noWrap/>
          </w:tcPr>
          <w:p w:rsidR="009770E1" w:rsidRPr="009770E1" w:rsidRDefault="009770E1" w:rsidP="009770E1">
            <w:pPr>
              <w:pStyle w:val="TableTextEntries"/>
              <w:tabs>
                <w:tab w:val="left" w:pos="368"/>
                <w:tab w:val="center" w:pos="451"/>
              </w:tabs>
              <w:rPr>
                <w:b/>
              </w:rPr>
            </w:pPr>
            <w:r w:rsidRPr="009770E1">
              <w:rPr>
                <w:b/>
              </w:rPr>
              <w:tab/>
            </w:r>
            <w:r w:rsidRPr="009770E1">
              <w:rPr>
                <w:b/>
              </w:rPr>
              <w:tab/>
              <w:t>T</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9770E1">
        <w:trPr>
          <w:trHeight w:val="66"/>
        </w:trPr>
        <w:tc>
          <w:tcPr>
            <w:tcW w:w="965" w:type="pct"/>
            <w:vMerge w:val="restart"/>
          </w:tcPr>
          <w:p w:rsidR="009770E1" w:rsidRPr="00F25253" w:rsidRDefault="009770E1" w:rsidP="009770E1">
            <w:pPr>
              <w:pStyle w:val="TableTextEntries"/>
            </w:pPr>
            <w:r w:rsidRPr="00F25253">
              <w:t>Samoa Climate Change Adaption</w:t>
            </w:r>
          </w:p>
        </w:tc>
        <w:tc>
          <w:tcPr>
            <w:tcW w:w="690" w:type="pct"/>
            <w:vMerge w:val="restart"/>
          </w:tcPr>
          <w:p w:rsidR="009770E1" w:rsidRPr="00F25253" w:rsidRDefault="009770E1" w:rsidP="009770E1">
            <w:pPr>
              <w:pStyle w:val="TableTextEntries"/>
            </w:pPr>
            <w:r w:rsidRPr="00F25253">
              <w:t>$1,937,710.08 (2011-16)</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noWrap/>
          </w:tcPr>
          <w:p w:rsidR="009770E1" w:rsidRPr="009770E1" w:rsidRDefault="009770E1" w:rsidP="009770E1">
            <w:pPr>
              <w:pStyle w:val="TableTextEntries"/>
              <w:jc w:val="center"/>
              <w:rPr>
                <w:b/>
              </w:rPr>
            </w:pPr>
            <w:r w:rsidRPr="009770E1">
              <w:rPr>
                <w:b/>
              </w:rPr>
              <w:t>3</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9770E1">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6</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9770E1" w:rsidRPr="009770E1" w:rsidRDefault="009770E1" w:rsidP="009770E1">
            <w:pPr>
              <w:pStyle w:val="TableTextEntries"/>
              <w:jc w:val="center"/>
              <w:rPr>
                <w:b/>
              </w:rPr>
            </w:pPr>
          </w:p>
        </w:tc>
      </w:tr>
      <w:tr w:rsidR="009770E1" w:rsidRPr="009D53C4" w:rsidTr="00E142CA">
        <w:trPr>
          <w:trHeight w:val="66"/>
        </w:trPr>
        <w:tc>
          <w:tcPr>
            <w:tcW w:w="965" w:type="pct"/>
            <w:vMerge w:val="restart"/>
          </w:tcPr>
          <w:p w:rsidR="009770E1" w:rsidRPr="00F25253" w:rsidRDefault="009770E1" w:rsidP="009770E1">
            <w:pPr>
              <w:pStyle w:val="TableTextEntries"/>
            </w:pPr>
            <w:r w:rsidRPr="00F25253">
              <w:t>Australian Development Scholarships – Apia</w:t>
            </w:r>
          </w:p>
        </w:tc>
        <w:tc>
          <w:tcPr>
            <w:tcW w:w="690" w:type="pct"/>
            <w:vMerge w:val="restart"/>
          </w:tcPr>
          <w:p w:rsidR="009770E1" w:rsidRPr="00F25253" w:rsidRDefault="009770E1" w:rsidP="009770E1">
            <w:pPr>
              <w:pStyle w:val="TableTextEntries"/>
            </w:pPr>
            <w:r w:rsidRPr="00F25253">
              <w:t>$4,374,898.63 (2010-16)</w:t>
            </w:r>
          </w:p>
        </w:tc>
        <w:tc>
          <w:tcPr>
            <w:tcW w:w="433" w:type="pct"/>
            <w:tcBorders>
              <w:right w:val="single" w:sz="12" w:space="0" w:color="FFFFFF" w:themeColor="background1"/>
            </w:tcBorders>
          </w:tcPr>
          <w:p w:rsidR="009770E1" w:rsidRPr="00F25253" w:rsidRDefault="009770E1" w:rsidP="009770E1">
            <w:pPr>
              <w:pStyle w:val="TableTextEntries"/>
            </w:pPr>
            <w:r w:rsidRPr="00F25253">
              <w:t>2015 AQC</w:t>
            </w:r>
          </w:p>
        </w:tc>
        <w:tc>
          <w:tcPr>
            <w:tcW w:w="38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56"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00"/>
          </w:tcPr>
          <w:p w:rsidR="009770E1" w:rsidRPr="009770E1" w:rsidRDefault="009770E1" w:rsidP="009770E1">
            <w:pPr>
              <w:pStyle w:val="TableTextEntries"/>
              <w:jc w:val="center"/>
              <w:rPr>
                <w:b/>
              </w:rPr>
            </w:pPr>
            <w:r w:rsidRPr="009770E1">
              <w:rPr>
                <w:b/>
              </w:rPr>
              <w:t>4</w:t>
            </w:r>
          </w:p>
        </w:tc>
      </w:tr>
      <w:tr w:rsidR="009770E1" w:rsidRPr="009D53C4" w:rsidTr="00E142CA">
        <w:trPr>
          <w:trHeight w:val="66"/>
        </w:trPr>
        <w:tc>
          <w:tcPr>
            <w:tcW w:w="965" w:type="pct"/>
            <w:vMerge/>
          </w:tcPr>
          <w:p w:rsidR="009770E1" w:rsidRPr="00F25253" w:rsidRDefault="009770E1" w:rsidP="009770E1">
            <w:pPr>
              <w:pStyle w:val="TableTextEntries"/>
            </w:pPr>
          </w:p>
        </w:tc>
        <w:tc>
          <w:tcPr>
            <w:tcW w:w="690" w:type="pct"/>
            <w:vMerge/>
          </w:tcPr>
          <w:p w:rsidR="009770E1" w:rsidRPr="00F25253" w:rsidRDefault="009770E1" w:rsidP="009770E1">
            <w:pPr>
              <w:pStyle w:val="TableTextEntries"/>
            </w:pPr>
          </w:p>
        </w:tc>
        <w:tc>
          <w:tcPr>
            <w:tcW w:w="433" w:type="pct"/>
            <w:tcBorders>
              <w:right w:val="single" w:sz="12" w:space="0" w:color="FFFFFF" w:themeColor="background1"/>
            </w:tcBorders>
          </w:tcPr>
          <w:p w:rsidR="009770E1" w:rsidRPr="00F25253" w:rsidRDefault="009770E1" w:rsidP="009770E1">
            <w:pPr>
              <w:pStyle w:val="TableTextEntries"/>
            </w:pPr>
            <w:r w:rsidRPr="00F25253">
              <w:t>2014 QAI</w:t>
            </w:r>
          </w:p>
        </w:tc>
        <w:tc>
          <w:tcPr>
            <w:tcW w:w="38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0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6"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FF0000"/>
            <w:noWrap/>
          </w:tcPr>
          <w:p w:rsidR="009770E1" w:rsidRPr="009770E1" w:rsidRDefault="009770E1" w:rsidP="009770E1">
            <w:pPr>
              <w:pStyle w:val="TableTextEntries"/>
              <w:jc w:val="center"/>
              <w:rPr>
                <w:b/>
              </w:rPr>
            </w:pPr>
            <w:r w:rsidRPr="009770E1">
              <w:rPr>
                <w:b/>
              </w:rPr>
              <w:t>2</w:t>
            </w:r>
          </w:p>
        </w:tc>
        <w:tc>
          <w:tcPr>
            <w:tcW w:w="4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92D050"/>
            <w:noWrap/>
          </w:tcPr>
          <w:p w:rsidR="009770E1" w:rsidRPr="009770E1" w:rsidRDefault="009770E1" w:rsidP="009770E1">
            <w:pPr>
              <w:pStyle w:val="TableTextEntries"/>
              <w:jc w:val="center"/>
              <w:rPr>
                <w:b/>
              </w:rPr>
            </w:pPr>
            <w:r w:rsidRPr="009770E1">
              <w:rPr>
                <w:b/>
              </w:rPr>
              <w:t>5</w:t>
            </w:r>
          </w:p>
        </w:tc>
        <w:tc>
          <w:tcPr>
            <w:tcW w:w="45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FFFF00"/>
            <w:noWrap/>
          </w:tcPr>
          <w:p w:rsidR="009770E1" w:rsidRPr="009770E1" w:rsidRDefault="009770E1" w:rsidP="009770E1">
            <w:pPr>
              <w:pStyle w:val="TableTextEntries"/>
              <w:jc w:val="center"/>
              <w:rPr>
                <w:b/>
              </w:rPr>
            </w:pPr>
            <w:r w:rsidRPr="009770E1">
              <w:rPr>
                <w:b/>
              </w:rPr>
              <w:t>4</w:t>
            </w:r>
          </w:p>
        </w:tc>
        <w:tc>
          <w:tcPr>
            <w:tcW w:w="405" w:type="pct"/>
            <w:tcBorders>
              <w:top w:val="single" w:sz="12" w:space="0" w:color="FFFFFF" w:themeColor="background1"/>
              <w:left w:val="single" w:sz="12" w:space="0" w:color="FFFFFF" w:themeColor="background1"/>
              <w:bottom w:val="single" w:sz="12" w:space="0" w:color="auto"/>
              <w:right w:val="single" w:sz="12" w:space="0" w:color="FFFFFF" w:themeColor="background1"/>
            </w:tcBorders>
          </w:tcPr>
          <w:p w:rsidR="009770E1" w:rsidRPr="009770E1" w:rsidRDefault="009770E1" w:rsidP="009770E1">
            <w:pPr>
              <w:pStyle w:val="TableTextEntries"/>
              <w:jc w:val="center"/>
              <w:rPr>
                <w:b/>
              </w:rPr>
            </w:pPr>
          </w:p>
        </w:tc>
      </w:tr>
    </w:tbl>
    <w:p w:rsidR="00D54696" w:rsidRPr="00D54696" w:rsidRDefault="00D54696" w:rsidP="00D54696">
      <w:pPr>
        <w:keepNext/>
        <w:numPr>
          <w:ilvl w:val="2"/>
          <w:numId w:val="0"/>
        </w:numPr>
        <w:spacing w:before="240" w:after="120"/>
        <w:outlineLvl w:val="2"/>
        <w:rPr>
          <w:rFonts w:ascii="Helvetica" w:eastAsia="Times New Roman" w:hAnsi="Helvetica" w:cs="Arial"/>
          <w:b/>
          <w:color w:val="124486"/>
          <w:kern w:val="28"/>
          <w:sz w:val="22"/>
          <w:szCs w:val="22"/>
          <w:lang w:eastAsia="zh-CN"/>
        </w:rPr>
      </w:pPr>
      <w:r w:rsidRPr="00D54696">
        <w:rPr>
          <w:rFonts w:ascii="Helvetica" w:eastAsia="Times New Roman" w:hAnsi="Helvetica" w:cs="Arial"/>
          <w:b/>
          <w:color w:val="124486"/>
          <w:kern w:val="28"/>
          <w:sz w:val="22"/>
          <w:szCs w:val="22"/>
          <w:lang w:eastAsia="zh-CN"/>
        </w:rPr>
        <w:t xml:space="preserve">FAQC ratings </w:t>
      </w:r>
      <w:r w:rsidRPr="00D54696">
        <w:rPr>
          <w:rFonts w:ascii="Franklin Gothic Book" w:eastAsia="Times New Roman" w:hAnsi="Franklin Gothic Book"/>
          <w:sz w:val="21"/>
        </w:rPr>
        <w:t>(include if relevant)</w:t>
      </w:r>
    </w:p>
    <w:p w:rsidR="00D54696" w:rsidRPr="00D54696" w:rsidRDefault="00D54696" w:rsidP="00D54696">
      <w:pPr>
        <w:spacing w:after="160" w:line="280" w:lineRule="exact"/>
        <w:rPr>
          <w:rFonts w:ascii="Franklin Gothic Book" w:eastAsia="Times New Roman" w:hAnsi="Franklin Gothic Book"/>
          <w:sz w:val="21"/>
        </w:rPr>
      </w:pPr>
      <w:r w:rsidRPr="00D54696">
        <w:rPr>
          <w:rFonts w:ascii="Franklin Gothic Book" w:eastAsia="Times New Roman" w:hAnsi="Franklin Gothic Book"/>
          <w:sz w:val="21"/>
        </w:rPr>
        <w:t>FAQC scores assess performance over the lifetime of the investment and should not be compared to the previous year’s QAI ratings.</w:t>
      </w:r>
    </w:p>
    <w:tbl>
      <w:tblPr>
        <w:tblStyle w:val="APPR2"/>
        <w:tblW w:w="5000" w:type="pct"/>
        <w:tblLook w:val="0000" w:firstRow="0" w:lastRow="0" w:firstColumn="0" w:lastColumn="0" w:noHBand="0" w:noVBand="0"/>
      </w:tblPr>
      <w:tblGrid>
        <w:gridCol w:w="2675"/>
        <w:gridCol w:w="1941"/>
        <w:gridCol w:w="1241"/>
        <w:gridCol w:w="1238"/>
        <w:gridCol w:w="1241"/>
        <w:gridCol w:w="1238"/>
        <w:gridCol w:w="1241"/>
        <w:gridCol w:w="1238"/>
        <w:gridCol w:w="1240"/>
        <w:gridCol w:w="1240"/>
      </w:tblGrid>
      <w:tr w:rsidR="00D54696" w:rsidRPr="00D54696" w:rsidTr="00550C12">
        <w:trPr>
          <w:cnfStyle w:val="000000010000" w:firstRow="0" w:lastRow="0" w:firstColumn="0" w:lastColumn="0" w:oddVBand="0" w:evenVBand="0" w:oddHBand="0" w:evenHBand="1" w:firstRowFirstColumn="0" w:firstRowLastColumn="0" w:lastRowFirstColumn="0" w:lastRowLastColumn="0"/>
          <w:trHeight w:val="1092"/>
        </w:trPr>
        <w:tc>
          <w:tcPr>
            <w:tcW w:w="903" w:type="pct"/>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noProof/>
                <w:sz w:val="17"/>
                <w:szCs w:val="17"/>
              </w:rPr>
              <w:drawing>
                <wp:anchor distT="0" distB="0" distL="114300" distR="114300" simplePos="0" relativeHeight="251667456" behindDoc="0" locked="0" layoutInCell="1" allowOverlap="1" wp14:anchorId="4F4DDD90" wp14:editId="7939C430">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696">
              <w:rPr>
                <w:rFonts w:ascii="Franklin Gothic Medium" w:eastAsia="Times New Roman" w:hAnsi="Franklin Gothic Medium"/>
                <w:b/>
                <w:iCs/>
                <w:sz w:val="17"/>
                <w:szCs w:val="17"/>
                <w:lang w:eastAsia="en-US"/>
              </w:rPr>
              <w:t>Investment name</w:t>
            </w:r>
          </w:p>
        </w:tc>
        <w:tc>
          <w:tcPr>
            <w:tcW w:w="656" w:type="pct"/>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Approved budget and duration</w:t>
            </w:r>
          </w:p>
        </w:tc>
        <w:tc>
          <w:tcPr>
            <w:tcW w:w="416"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Overall rating</w:t>
            </w:r>
          </w:p>
        </w:tc>
        <w:tc>
          <w:tcPr>
            <w:tcW w:w="415"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Relevance</w:t>
            </w:r>
          </w:p>
        </w:tc>
        <w:tc>
          <w:tcPr>
            <w:tcW w:w="416"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Effectiveness</w:t>
            </w:r>
          </w:p>
        </w:tc>
        <w:tc>
          <w:tcPr>
            <w:tcW w:w="415"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Efficiency</w:t>
            </w:r>
          </w:p>
        </w:tc>
        <w:tc>
          <w:tcPr>
            <w:tcW w:w="416"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Monitoring and Evaluation</w:t>
            </w:r>
          </w:p>
        </w:tc>
        <w:tc>
          <w:tcPr>
            <w:tcW w:w="415" w:type="pct"/>
            <w:noWrap/>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Sustainability</w:t>
            </w:r>
          </w:p>
        </w:tc>
        <w:tc>
          <w:tcPr>
            <w:tcW w:w="416" w:type="pct"/>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Gender equality</w:t>
            </w:r>
          </w:p>
        </w:tc>
        <w:tc>
          <w:tcPr>
            <w:tcW w:w="411" w:type="pct"/>
            <w:textDirection w:val="btLr"/>
          </w:tcPr>
          <w:p w:rsidR="00D54696" w:rsidRPr="00D54696" w:rsidRDefault="00D54696" w:rsidP="00D54696">
            <w:pPr>
              <w:keepLines/>
              <w:spacing w:before="80" w:after="80" w:line="200" w:lineRule="atLeast"/>
              <w:rPr>
                <w:rFonts w:ascii="Franklin Gothic Medium" w:eastAsia="Times New Roman" w:hAnsi="Franklin Gothic Medium"/>
                <w:b/>
                <w:iCs/>
                <w:sz w:val="17"/>
                <w:szCs w:val="17"/>
                <w:lang w:eastAsia="en-US"/>
              </w:rPr>
            </w:pPr>
            <w:r w:rsidRPr="00D54696">
              <w:rPr>
                <w:rFonts w:ascii="Franklin Gothic Medium" w:eastAsia="Times New Roman" w:hAnsi="Franklin Gothic Medium"/>
                <w:b/>
                <w:iCs/>
                <w:sz w:val="17"/>
                <w:szCs w:val="17"/>
                <w:lang w:eastAsia="en-US"/>
              </w:rPr>
              <w:t>Risks  and Safeguards</w:t>
            </w:r>
          </w:p>
        </w:tc>
      </w:tr>
      <w:tr w:rsidR="00D54696" w:rsidRPr="00D54696" w:rsidTr="001B128B">
        <w:trPr>
          <w:cnfStyle w:val="000000010000" w:firstRow="0" w:lastRow="0" w:firstColumn="0" w:lastColumn="0" w:oddVBand="0" w:evenVBand="0" w:oddHBand="0" w:evenHBand="1" w:firstRowFirstColumn="0" w:firstRowLastColumn="0" w:lastRowFirstColumn="0" w:lastRowLastColumn="0"/>
          <w:trHeight w:val="284"/>
        </w:trPr>
        <w:tc>
          <w:tcPr>
            <w:tcW w:w="903" w:type="pct"/>
          </w:tcPr>
          <w:p w:rsidR="00D54696" w:rsidRPr="00D54696" w:rsidRDefault="00D54696" w:rsidP="00D54696">
            <w:pPr>
              <w:keepLines/>
              <w:spacing w:before="40" w:after="40" w:line="200" w:lineRule="atLeast"/>
              <w:rPr>
                <w:rFonts w:ascii="Franklin Gothic Book" w:eastAsia="Times New Roman" w:hAnsi="Franklin Gothic Book"/>
                <w:iCs/>
                <w:sz w:val="17"/>
                <w:szCs w:val="17"/>
                <w:lang w:eastAsia="en-US"/>
              </w:rPr>
            </w:pPr>
            <w:r w:rsidRPr="00D54696">
              <w:rPr>
                <w:rFonts w:ascii="Franklin Gothic Book" w:eastAsia="Times New Roman" w:hAnsi="Franklin Gothic Book"/>
                <w:iCs/>
                <w:sz w:val="17"/>
                <w:szCs w:val="17"/>
                <w:lang w:eastAsia="en-US"/>
              </w:rPr>
              <w:t>Investment 1</w:t>
            </w:r>
          </w:p>
        </w:tc>
        <w:tc>
          <w:tcPr>
            <w:tcW w:w="656" w:type="pct"/>
          </w:tcPr>
          <w:p w:rsidR="00D54696" w:rsidRPr="00D54696" w:rsidRDefault="00D54696" w:rsidP="00D54696">
            <w:pPr>
              <w:keepLines/>
              <w:spacing w:before="40" w:after="40" w:line="200" w:lineRule="atLeast"/>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1" w:type="pct"/>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r>
      <w:tr w:rsidR="00D54696" w:rsidRPr="00D54696" w:rsidTr="001B128B">
        <w:trPr>
          <w:cnfStyle w:val="000000010000" w:firstRow="0" w:lastRow="0" w:firstColumn="0" w:lastColumn="0" w:oddVBand="0" w:evenVBand="0" w:oddHBand="0" w:evenHBand="1" w:firstRowFirstColumn="0" w:firstRowLastColumn="0" w:lastRowFirstColumn="0" w:lastRowLastColumn="0"/>
          <w:trHeight w:val="284"/>
        </w:trPr>
        <w:tc>
          <w:tcPr>
            <w:tcW w:w="903" w:type="pct"/>
          </w:tcPr>
          <w:p w:rsidR="00D54696" w:rsidRPr="00D54696" w:rsidRDefault="00D54696" w:rsidP="00D54696">
            <w:pPr>
              <w:keepLines/>
              <w:spacing w:before="40" w:after="40" w:line="200" w:lineRule="atLeast"/>
              <w:rPr>
                <w:rFonts w:ascii="Franklin Gothic Book" w:eastAsia="Times New Roman" w:hAnsi="Franklin Gothic Book"/>
                <w:iCs/>
                <w:sz w:val="17"/>
                <w:szCs w:val="17"/>
                <w:lang w:eastAsia="en-US"/>
              </w:rPr>
            </w:pPr>
            <w:r w:rsidRPr="00D54696">
              <w:rPr>
                <w:rFonts w:ascii="Franklin Gothic Book" w:eastAsia="Times New Roman" w:hAnsi="Franklin Gothic Book"/>
                <w:iCs/>
                <w:sz w:val="17"/>
                <w:szCs w:val="17"/>
                <w:lang w:eastAsia="en-US"/>
              </w:rPr>
              <w:t>Investment 2</w:t>
            </w:r>
          </w:p>
        </w:tc>
        <w:tc>
          <w:tcPr>
            <w:tcW w:w="656" w:type="pct"/>
          </w:tcPr>
          <w:p w:rsidR="00D54696" w:rsidRPr="00D54696" w:rsidRDefault="00D54696" w:rsidP="00D54696">
            <w:pPr>
              <w:keepLines/>
              <w:spacing w:before="40" w:after="40" w:line="200" w:lineRule="atLeast"/>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5" w:type="pct"/>
            <w:noWrap/>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6" w:type="pct"/>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c>
          <w:tcPr>
            <w:tcW w:w="411" w:type="pct"/>
          </w:tcPr>
          <w:p w:rsidR="00D54696" w:rsidRPr="00D54696" w:rsidRDefault="00D54696" w:rsidP="00D54696">
            <w:pPr>
              <w:keepLines/>
              <w:spacing w:before="40" w:after="40" w:line="200" w:lineRule="atLeast"/>
              <w:jc w:val="center"/>
              <w:rPr>
                <w:rFonts w:ascii="Franklin Gothic Book" w:eastAsia="Times New Roman" w:hAnsi="Franklin Gothic Book"/>
                <w:iCs/>
                <w:sz w:val="17"/>
                <w:szCs w:val="17"/>
                <w:lang w:eastAsia="en-US"/>
              </w:rPr>
            </w:pPr>
          </w:p>
        </w:tc>
      </w:tr>
    </w:tbl>
    <w:p w:rsidR="00D54696" w:rsidRPr="00D54696" w:rsidRDefault="00D54696" w:rsidP="00D54696">
      <w:pPr>
        <w:spacing w:before="20" w:after="20" w:line="180" w:lineRule="atLeast"/>
        <w:jc w:val="both"/>
        <w:rPr>
          <w:rFonts w:ascii="Franklin Gothic Book" w:eastAsia="Times New Roman" w:hAnsi="Franklin Gothic Book"/>
          <w:b/>
          <w:sz w:val="14"/>
          <w:szCs w:val="14"/>
        </w:rPr>
      </w:pPr>
    </w:p>
    <w:p w:rsidR="00D54696" w:rsidRPr="00D54696" w:rsidRDefault="00D54696" w:rsidP="00D54696">
      <w:pPr>
        <w:spacing w:before="20" w:after="20" w:line="180" w:lineRule="atLeast"/>
        <w:jc w:val="both"/>
        <w:rPr>
          <w:rFonts w:ascii="Franklin Gothic Book" w:eastAsia="Times New Roman" w:hAnsi="Franklin Gothic Book"/>
          <w:b/>
          <w:sz w:val="14"/>
          <w:szCs w:val="14"/>
        </w:rPr>
      </w:pPr>
      <w:r w:rsidRPr="00D54696">
        <w:rPr>
          <w:rFonts w:ascii="Franklin Gothic Book" w:eastAsia="Times New Roman" w:hAnsi="Franklin Gothic Book"/>
          <w:b/>
          <w:sz w:val="14"/>
          <w:szCs w:val="14"/>
        </w:rPr>
        <w:t>Definitions of rating scale:</w:t>
      </w:r>
      <w:r w:rsidRPr="00D54696">
        <w:rPr>
          <w:rFonts w:ascii="Franklin Gothic Book" w:eastAsia="Times New Roman" w:hAnsi="Franklin Gothic Book"/>
          <w:b/>
          <w:sz w:val="14"/>
          <w:szCs w:val="14"/>
        </w:rPr>
        <w:tab/>
      </w:r>
    </w:p>
    <w:p w:rsidR="00550C12" w:rsidRPr="00D54696" w:rsidRDefault="00D54696" w:rsidP="00550C12">
      <w:pPr>
        <w:spacing w:before="20" w:after="20" w:line="180" w:lineRule="atLeast"/>
        <w:jc w:val="both"/>
        <w:rPr>
          <w:rFonts w:ascii="Franklin Gothic Book" w:eastAsia="Times New Roman" w:hAnsi="Franklin Gothic Book"/>
          <w:b/>
          <w:sz w:val="14"/>
          <w:szCs w:val="14"/>
        </w:rPr>
      </w:pPr>
      <w:r w:rsidRPr="00D54696">
        <w:rPr>
          <w:rFonts w:ascii="Franklin Gothic Book" w:eastAsia="Times New Roman" w:hAnsi="Franklin Gothic Book"/>
          <w:b/>
          <w:sz w:val="14"/>
          <w:szCs w:val="14"/>
        </w:rPr>
        <w:t>Satisfactory (4, 5 and 6)</w:t>
      </w:r>
      <w:r w:rsidR="00550C12" w:rsidRPr="00550C12">
        <w:rPr>
          <w:rFonts w:ascii="Franklin Gothic Book" w:eastAsia="Times New Roman" w:hAnsi="Franklin Gothic Book"/>
          <w:b/>
          <w:sz w:val="14"/>
          <w:szCs w:val="14"/>
        </w:rPr>
        <w:t xml:space="preserve"> </w:t>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sidRPr="00D54696">
        <w:rPr>
          <w:rFonts w:ascii="Franklin Gothic Book" w:eastAsia="Times New Roman" w:hAnsi="Franklin Gothic Book"/>
          <w:b/>
          <w:sz w:val="14"/>
          <w:szCs w:val="14"/>
        </w:rPr>
        <w:t>Less than satisfactory (1, 2 and 3)</w:t>
      </w:r>
    </w:p>
    <w:p w:rsidR="00550C12" w:rsidRPr="00D54696" w:rsidRDefault="00D54696" w:rsidP="00550C12">
      <w:pPr>
        <w:spacing w:before="20" w:after="20" w:line="180" w:lineRule="atLeast"/>
        <w:jc w:val="both"/>
        <w:rPr>
          <w:rFonts w:ascii="Franklin Gothic Book" w:eastAsia="Times New Roman" w:hAnsi="Franklin Gothic Book"/>
          <w:b/>
          <w:sz w:val="14"/>
          <w:szCs w:val="14"/>
        </w:rPr>
      </w:pPr>
      <w:r w:rsidRPr="00D54696">
        <w:rPr>
          <w:rFonts w:ascii="Franklin Gothic Book" w:eastAsia="Times New Roman" w:hAnsi="Franklin Gothic Book"/>
          <w:b/>
          <w:color w:val="72AF2F"/>
          <w:sz w:val="14"/>
          <w:szCs w:val="14"/>
        </w:rPr>
        <w:sym w:font="Webdings" w:char="F067"/>
      </w:r>
      <w:r w:rsidRPr="00D54696">
        <w:rPr>
          <w:rFonts w:ascii="Franklin Gothic Book" w:eastAsia="Times New Roman" w:hAnsi="Franklin Gothic Book"/>
          <w:b/>
          <w:sz w:val="14"/>
          <w:szCs w:val="14"/>
        </w:rPr>
        <w:t xml:space="preserve"> = 6 = Very good; satisfies criteria in all or almost all areas</w:t>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sidRPr="00D54696">
        <w:rPr>
          <w:rFonts w:ascii="Franklin Gothic Book" w:eastAsia="Times New Roman" w:hAnsi="Franklin Gothic Book"/>
          <w:b/>
          <w:color w:val="E36C0A"/>
          <w:sz w:val="14"/>
          <w:szCs w:val="14"/>
        </w:rPr>
        <w:sym w:font="Webdings" w:char="F067"/>
      </w:r>
      <w:r w:rsidR="00550C12" w:rsidRPr="00D54696">
        <w:rPr>
          <w:rFonts w:ascii="Franklin Gothic Book" w:eastAsia="Times New Roman" w:hAnsi="Franklin Gothic Book"/>
          <w:b/>
          <w:color w:val="E36C0A"/>
          <w:sz w:val="14"/>
          <w:szCs w:val="14"/>
        </w:rPr>
        <w:t xml:space="preserve"> </w:t>
      </w:r>
      <w:r w:rsidR="00550C12" w:rsidRPr="00D54696">
        <w:rPr>
          <w:rFonts w:ascii="Franklin Gothic Book" w:eastAsia="Times New Roman" w:hAnsi="Franklin Gothic Book"/>
          <w:b/>
          <w:sz w:val="14"/>
          <w:szCs w:val="14"/>
        </w:rPr>
        <w:t>= 3 = Less than adequate; on balance does not satisfy criteria but does not fail in any major area</w:t>
      </w:r>
    </w:p>
    <w:p w:rsidR="00550C12" w:rsidRPr="00D54696" w:rsidRDefault="00D54696" w:rsidP="00550C12">
      <w:pPr>
        <w:spacing w:before="20" w:after="20" w:line="180" w:lineRule="atLeast"/>
        <w:jc w:val="both"/>
        <w:rPr>
          <w:rFonts w:ascii="Franklin Gothic Book" w:eastAsia="Times New Roman" w:hAnsi="Franklin Gothic Book"/>
          <w:b/>
          <w:sz w:val="14"/>
          <w:szCs w:val="14"/>
        </w:rPr>
      </w:pPr>
      <w:r w:rsidRPr="00D54696">
        <w:rPr>
          <w:rFonts w:ascii="Franklin Gothic Book" w:eastAsia="Times New Roman" w:hAnsi="Franklin Gothic Book"/>
          <w:b/>
          <w:color w:val="72AF2F"/>
          <w:sz w:val="14"/>
          <w:szCs w:val="14"/>
        </w:rPr>
        <w:sym w:font="Webdings" w:char="F067"/>
      </w:r>
      <w:r w:rsidRPr="00D54696">
        <w:rPr>
          <w:rFonts w:ascii="Franklin Gothic Book" w:eastAsia="Times New Roman" w:hAnsi="Franklin Gothic Book"/>
          <w:b/>
          <w:sz w:val="14"/>
          <w:szCs w:val="14"/>
        </w:rPr>
        <w:t xml:space="preserve"> = 5 = Good; satisfies criteria in most areas</w:t>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sidRPr="00D54696">
        <w:rPr>
          <w:rFonts w:ascii="Franklin Gothic Book" w:eastAsia="Times New Roman" w:hAnsi="Franklin Gothic Book"/>
          <w:b/>
          <w:color w:val="FF0000"/>
          <w:sz w:val="14"/>
          <w:szCs w:val="14"/>
        </w:rPr>
        <w:sym w:font="Webdings" w:char="F067"/>
      </w:r>
      <w:r w:rsidR="00550C12" w:rsidRPr="00D54696">
        <w:rPr>
          <w:rFonts w:ascii="Franklin Gothic Book" w:eastAsia="Times New Roman" w:hAnsi="Franklin Gothic Book"/>
          <w:b/>
          <w:sz w:val="14"/>
          <w:szCs w:val="14"/>
        </w:rPr>
        <w:t xml:space="preserve"> = 2 = Poor; does not satisfy criteria in major areas</w:t>
      </w:r>
    </w:p>
    <w:p w:rsidR="00550C12" w:rsidRPr="00D54696" w:rsidRDefault="00D54696" w:rsidP="00550C12">
      <w:pPr>
        <w:spacing w:before="20" w:after="20" w:line="180" w:lineRule="atLeast"/>
        <w:jc w:val="both"/>
        <w:rPr>
          <w:rFonts w:ascii="Franklin Gothic Book" w:eastAsia="Times New Roman" w:hAnsi="Franklin Gothic Book"/>
          <w:b/>
          <w:sz w:val="14"/>
          <w:szCs w:val="14"/>
        </w:rPr>
      </w:pPr>
      <w:r w:rsidRPr="00D54696">
        <w:rPr>
          <w:rFonts w:ascii="Franklin Gothic Book" w:eastAsia="Times New Roman" w:hAnsi="Franklin Gothic Book"/>
          <w:b/>
          <w:color w:val="FFFF00"/>
          <w:sz w:val="14"/>
          <w:szCs w:val="14"/>
        </w:rPr>
        <w:sym w:font="Webdings" w:char="F067"/>
      </w:r>
      <w:r w:rsidRPr="00D54696">
        <w:rPr>
          <w:rFonts w:ascii="Franklin Gothic Book" w:eastAsia="Times New Roman" w:hAnsi="Franklin Gothic Book"/>
          <w:b/>
          <w:sz w:val="14"/>
          <w:szCs w:val="14"/>
        </w:rPr>
        <w:t xml:space="preserve"> = 4 = Adequate; on balance, satisfies criteria; does not fail in any major area</w:t>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Pr>
          <w:rFonts w:ascii="Franklin Gothic Book" w:eastAsia="Times New Roman" w:hAnsi="Franklin Gothic Book"/>
          <w:b/>
          <w:sz w:val="14"/>
          <w:szCs w:val="14"/>
        </w:rPr>
        <w:tab/>
      </w:r>
      <w:r w:rsidR="00550C12" w:rsidRPr="00D54696">
        <w:rPr>
          <w:rFonts w:ascii="Franklin Gothic Book" w:eastAsia="Times New Roman" w:hAnsi="Franklin Gothic Book"/>
          <w:b/>
          <w:color w:val="FF0000"/>
          <w:sz w:val="14"/>
          <w:szCs w:val="14"/>
        </w:rPr>
        <w:sym w:font="Webdings" w:char="F067"/>
      </w:r>
      <w:r w:rsidR="00550C12" w:rsidRPr="00D54696">
        <w:rPr>
          <w:rFonts w:ascii="Franklin Gothic Book" w:eastAsia="Times New Roman" w:hAnsi="Franklin Gothic Book"/>
          <w:b/>
          <w:sz w:val="14"/>
          <w:szCs w:val="14"/>
        </w:rPr>
        <w:t xml:space="preserve"> = 1 = Very poor; does not satisfy criteria in many major areas</w:t>
      </w:r>
    </w:p>
    <w:p w:rsidR="00516D93" w:rsidRDefault="00516D93">
      <w:pPr>
        <w:spacing w:after="200" w:line="276" w:lineRule="auto"/>
        <w:rPr>
          <w:rFonts w:ascii="Franklin Gothic Demi" w:hAnsi="Franklin Gothic Demi" w:cs="Arial"/>
          <w:color w:val="AD495D"/>
          <w:kern w:val="28"/>
          <w:sz w:val="28"/>
          <w:szCs w:val="28"/>
        </w:rPr>
      </w:pPr>
    </w:p>
    <w:sectPr w:rsidR="00516D93" w:rsidSect="00E142CA">
      <w:headerReference w:type="even" r:id="rId19"/>
      <w:footerReference w:type="first" r:id="rId20"/>
      <w:pgSz w:w="16840" w:h="11907" w:orient="landscape" w:code="9"/>
      <w:pgMar w:top="142" w:right="1672" w:bottom="1134"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02E" w:rsidRDefault="0013302E" w:rsidP="0050529F">
      <w:r>
        <w:separator/>
      </w:r>
    </w:p>
    <w:p w:rsidR="0013302E" w:rsidRDefault="0013302E"/>
    <w:p w:rsidR="0013302E" w:rsidRDefault="0013302E"/>
    <w:p w:rsidR="0013302E" w:rsidRDefault="0013302E"/>
    <w:p w:rsidR="0013302E" w:rsidRDefault="0013302E"/>
    <w:p w:rsidR="0013302E" w:rsidRDefault="0013302E"/>
    <w:p w:rsidR="0013302E" w:rsidRDefault="0013302E"/>
  </w:endnote>
  <w:endnote w:type="continuationSeparator" w:id="0">
    <w:p w:rsidR="0013302E" w:rsidRDefault="0013302E" w:rsidP="0050529F">
      <w:r>
        <w:continuationSeparator/>
      </w:r>
    </w:p>
    <w:p w:rsidR="0013302E" w:rsidRDefault="0013302E"/>
    <w:p w:rsidR="0013302E" w:rsidRDefault="0013302E"/>
    <w:p w:rsidR="0013302E" w:rsidRDefault="0013302E"/>
    <w:p w:rsidR="0013302E" w:rsidRDefault="0013302E"/>
    <w:p w:rsidR="0013302E" w:rsidRDefault="0013302E"/>
    <w:p w:rsidR="0013302E" w:rsidRDefault="00133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871750"/>
      <w:docPartObj>
        <w:docPartGallery w:val="Page Numbers (Bottom of Page)"/>
        <w:docPartUnique/>
      </w:docPartObj>
    </w:sdtPr>
    <w:sdtEndPr>
      <w:rPr>
        <w:noProof/>
      </w:rPr>
    </w:sdtEndPr>
    <w:sdtContent>
      <w:p w:rsidR="002252D4" w:rsidRDefault="002252D4" w:rsidP="002252D4">
        <w:pPr>
          <w:pStyle w:val="Footer"/>
          <w:jc w:val="right"/>
        </w:pPr>
        <w:r>
          <w:fldChar w:fldCharType="begin"/>
        </w:r>
        <w:r>
          <w:instrText xml:space="preserve"> PAGE   \* MERGEFORMAT </w:instrText>
        </w:r>
        <w:r>
          <w:fldChar w:fldCharType="separate"/>
        </w:r>
        <w:r w:rsidR="00861217">
          <w:rPr>
            <w:noProof/>
          </w:rPr>
          <w:t>2</w:t>
        </w:r>
        <w:r>
          <w:rPr>
            <w:noProof/>
          </w:rPr>
          <w:fldChar w:fldCharType="end"/>
        </w:r>
      </w:p>
    </w:sdtContent>
  </w:sdt>
  <w:p w:rsidR="0013302E" w:rsidRDefault="00133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Pr="004C4A3E" w:rsidRDefault="0013302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75366BE9" wp14:editId="43D6B551">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861217">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861217">
      <w:rPr>
        <w:rFonts w:ascii="Franklin Gothic Medium" w:hAnsi="Franklin Gothic Medium"/>
        <w:noProof/>
        <w:color w:val="54534A"/>
        <w:sz w:val="14"/>
        <w:szCs w:val="14"/>
      </w:rPr>
      <w:t>11</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1EF6BF04" wp14:editId="7B0AC714">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6784472B" wp14:editId="58AB3508">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Pr="004C4A3E" w:rsidRDefault="0013302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8896" behindDoc="1" locked="1" layoutInCell="1" allowOverlap="1" wp14:anchorId="356D0A13" wp14:editId="332858CA">
              <wp:simplePos x="0" y="0"/>
              <wp:positionH relativeFrom="page">
                <wp:posOffset>0</wp:posOffset>
              </wp:positionH>
              <wp:positionV relativeFrom="page">
                <wp:posOffset>8533130</wp:posOffset>
              </wp:positionV>
              <wp:extent cx="7380000" cy="2181600"/>
              <wp:effectExtent l="0" t="0" r="0" b="9525"/>
              <wp:wrapNone/>
              <wp:docPr id="6" name="Rectangle 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AusAID web address graphic" style="position:absolute;margin-left:0;margin-top:671.9pt;width:581.1pt;height:171.8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kU1e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F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BkpFNX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7872" behindDoc="1" locked="0" layoutInCell="1" allowOverlap="1" wp14:anchorId="2DE307B7" wp14:editId="79ABB225">
              <wp:simplePos x="0" y="0"/>
              <wp:positionH relativeFrom="column">
                <wp:posOffset>0</wp:posOffset>
              </wp:positionH>
              <wp:positionV relativeFrom="paragraph">
                <wp:posOffset>8498840</wp:posOffset>
              </wp:positionV>
              <wp:extent cx="7379970" cy="2181860"/>
              <wp:effectExtent l="0" t="2540" r="1905" b="0"/>
              <wp:wrapNone/>
              <wp:docPr id="7" name="Rectangle 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alt="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1RJC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y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SNUSQ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6848" behindDoc="1" locked="0" layoutInCell="1" allowOverlap="1" wp14:anchorId="4ADE3E43" wp14:editId="4B075DBE">
              <wp:simplePos x="0" y="0"/>
              <wp:positionH relativeFrom="column">
                <wp:posOffset>0</wp:posOffset>
              </wp:positionH>
              <wp:positionV relativeFrom="paragraph">
                <wp:posOffset>8498840</wp:posOffset>
              </wp:positionV>
              <wp:extent cx="7379970" cy="2181860"/>
              <wp:effectExtent l="0" t="2540" r="1905" b="0"/>
              <wp:wrapNone/>
              <wp:docPr id="8" name="Rectangle 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aVq6q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gnFABRSZHqKMj&#10;1FFwFopMj1FGR6ii4C0UmR6ijIouAt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zfjT/AJBUX/XUfyNdJXN+NP8AkFRf9dR/I1y43/d5+h1YL/eIepwtFFFf&#10;JH1gVv6K2ii3/wBLC/asnBlzs9ulYFb+i/2L9m/0vb9qyf8AW52e1dOE/idPmcuM/hdfkaM8mseS&#10;39nCzMAH/Lrgn9a5BiS7FvvZ5+tdhOusmFv7OayEGOlrgcfjXHtncd3XPNbY7db/AD2+RjgNnt8t&#10;/mJWz4Wcrr8AH8QYH8jWNWv4Y/5GG2/4F/6Ca58L/Hh6o6cV/An6M9Hooor7A+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m/Gn/IKi/66j+RrpK5&#10;vxp/yCov+uo/ka5cb/u8/Q6sF/vEPU4Wiiivkj6wK2NN8P3GoW32nzUjgyRuOSePaset7RtM1GW2&#10;+1QXn2eDJ5yT09hXRhYKdSzjc58VNwp3UrD0XRdNY5urqeUdRGCgzWA5DOxGcE8ZrrbjV9PihaG9&#10;Y6hLjG4wBMVyLEFiQMDPArXGcqtGLXov6Zlg3J3lJO/d/pohK1/DH/Iw23/Av/QTWRWv4Y/5GG2/&#10;4F/6Caxwv8eHqjbFfwJ+jPR6KKK+wPk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5vxp/yCov+uo/ka6Sub8af8gqL/rqP5GuXG/7vP0OrBf7xD1OF&#10;ooor5I+sCrdlc30LgWckwP8Adjyf0qpW/o2uNZ232QWZkBJ+eLh+a3w6TnrKxhiG1DSNzRtW1m5j&#10;xe2Nu8eOWnUKf8/hXIyDEjDAGCeBXXT6MdShaf7XewcZ2XZyP51yDDDEZzg9a6MapJRT+99TmwLi&#10;3Jq3ougla/hj/kYbb/gX/oJrIrX8Mf8AIw23/Av/AEE1z4X+PD1R04r+BP0Z6PRRRX2B8g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NP+QVF/11&#10;H8jXSVzfjT/kFRf9dR/I1y43/d5+h1YL/eIepwtFFFfJH1gVv6Rrh06xML2jNESczRnDc++KwK3L&#10;OTVL3Q3sLa0EkAPL4565xXThZSjNuL1t2uc2LjGUEpLS/exNMNK1PLf2pcRSH+GcFh+dc8wwxAOc&#10;HrUv2WcyvF5L+YgJZccjHXNQ1Fao56uNmVRpqF1GV0Fa/hj/AJGG2/4F/wCgmsitfwx/yMNt/wAC&#10;/wDQTTwv8eHqg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p7OHUrrw/ajTmeMxSPvwdu/JyCD3xXMVuafpt9daeshvxbWwYhA8hAJ74rqwjfM0k3dd&#10;NPxOTGJcqbaVn11/A2xp94utW99IqrGYALliwAJxz/SuLm2+fJs+7uOPpmugbQ5mUg61bsCOQZDz&#10;XOsu12XIODjIrTGN2S5bdd7meDSu7SvstrCVr+GP+Rhtv+Bf+gmsitfwx/yMNt/wL/0E1hhf48PV&#10;HRiv4E/Rno9FFFfYHy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c340/5BUX/XUfyNdJXN+NP+QVF/11H8jXLjf93n6HVgv94h6nC0UUV8kfWBXR2t&#10;rDqPh+3invIbdoZG8vc3UE85Fc5WjNaQw6Ja3BBM87tjngKOK6MPLl5na6tqc2JjzcqvZ30Lh8P2&#10;wB/4nFof8/WsNl2sVznBxkV0q6FpqLBaT3Egv503LgfKD6VzckZileNuqsVP4VeJp8iXu2+dycLV&#10;521zX+Vhta/hj/kYbb/gX/oJrIrX8Mf8jDbf8C/9BNZ4X+PD1Rpiv4E/Rno9FFFfYHy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c340/5BUX/AF1H&#10;8jXSVzfjT/kFRf8AXUfyNcuN/wB3n6HVgv8AeIepwtFFFfJH1gVvaReB7MW9xpkl5FCxZDGpJUnq&#10;Kwa6eym1BfD9t/ZSncsj+ftXJJzx+FdeDvzt+Xa9zkxnwJefe1jOl1eWXXft5t8tH92Pn5QBWXI5&#10;kkZ26sSx/GuxSyujr0NybYrHNAPtHGACRzXHzKqzyKv3QxA+maeKhOKvJ7tk4WpCTtFbJf8ADDK1&#10;/DH/ACMNt/wL/wBBNZFa/hj/AJGG2/4F/wCgmssL/Hh6o2xX8Cfoz0eiiivsD5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af8AIKi/66j+RrpK&#10;5vxp/wAgqL/rqP5GuXG/7vP0OrBf7xD1OFooor5I+sCug0y21y402P7FOEtwx2jeFOc81z9bOmaW&#10;Z7Q3Vze/ZbUNtBJ5Y+1dOFu52V/k7fic2KsoXdvmr/gX5NL8SSRMj3W5COR5vWsX+yrn+zXvvk8p&#10;H2EZ5zWo+jw3ETnTtW8+VRnyicEj2rAMkgQxl225yVzxmtcQoxtzJ/fcxwzlJPla+6wytfwx/wAj&#10;Dbf8C/8AQTWRWv4Y/wCRhtv+Bf8AoJrDC/x4eqOj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ujtLe2v/D0NvPfQ27xyMyBm7H1Fc5Wkttpx0Qzm5P2&#10;0NxF+P8AhXRhnZy0TVuuhz4lXUdWnformxpum2NheLcHV7ZigO0Bsc4781nX2lWsMEtwuqW8r9di&#10;dT+tY1FVLEQcOXk/Fkxw81Pn5/wQVr+GP+Rhtv8AgX/oJrIrX8Mf8jDbf8C/9BNRhf40PVF4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ho6LaQ3eoAXA&#10;JhjRpHA7gdq0bW10vUlubl4mtY9yRRqpyFY55NZWlXw0++WZk3oQVdfUGr99qNj9hFnpcEqhpBI5&#10;frkdMV3UJU1TvK2l9Or7HBiI1XUtG+ttei7l0WOitdnSRDL9pA2/aNx+9j0zXMSIY5HQ9VJFdTa6&#10;9bNcxyXVikNyww1wRjt1rlpDukY5zkk59aWL9m4pxt12VtPMeE9opNTv03d9fIbWv4Y/5GG2/wCB&#10;f+gmsitfwx/yMNt/wL/0E1jhf48PVG+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dDa3H9j6HBeQW8ck9w7BpHXOwA8CuerT0zWLmwUwLGk8LnPlOMj&#10;PtXRhpqEnd28+xz4mDnBWV/LualhrE+s3S2V7bwyxSAgsqYKcda5uVQkzoDkKxANdej6teW7i3sI&#10;LCJh80h4OK4912uyk5IOM1ti78seZt+bVjDB25pcqSXZO42tfwx/yMNt/wAC/wDQTWRWv4Y/5GG2&#10;/wCBf+gmsML/AB4eqOjFfwJ+jPR6KKK+wPk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5vxp/yCov+uo/ka6Sub8af8gqL/rqP5GuXG/7vP0OrBf7x&#10;D1OFooor5I+sCuh0PWbKytTBLEYpiT/pCqGNc9WtFdpJob2UenmSbdkzKucc5/8ArV0YabhNyT1t&#10;6nNioKcFFrS/exfvNOutTUy22qLer12FtpH4VzZBUkHqOKcjPG+ULKw9OCKYTnmprVI1He1n6lUa&#10;cqa5W7rpoFa/hj/kYbb/AIF/6CayK1/DH/Iw23/Av/QTTwv8eHqgxX8Cfoz0eiiivsD5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b8af8gqL/rqP&#10;5Gukrm/Gn/IKi/66j+Rrlxv+7z9DqwX+8Q9ThaKKK+SPrArprK6vbfQLZtLjDP5jCfCbjnPH6VzN&#10;b+lf29NYiPT/AJYEY/N8oyfqetdeEk1NpX26bnJjIpwTdtH12NGO0lbxBDP9kKxXMGZxt4Ukc1yU&#10;yhJ5FX7qsQPpmunktfFMkTI8pKkc4da5ZlKsVbqDg1eMei91rVvUzwa1b5k9EtBK1/DH/Iw23/Av&#10;/QTWRWv4Y/5GG2/4F/6Cawwv8eHqjoxX8Cfoz0eiiivsD5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ub8af8AIKi/66j+RrpK5vxp/wAgqL/rqP5G&#10;uXG/7vP0OrBf7xD1OFooor5I+sCumtbO81Lw3bJauYzDI2QW2iQE9fwrmaeJpAgQSOFByAGOK3oV&#10;VTb5lo0YV6UqiXK7NO5uHw/rIGfNX/v/AFgsCrMG6g4NO82T/no//fVMpVZwlblTXq7jpQnG/O0/&#10;RWCtjwuM+ILb23f+gmseuo8G2TPdy3jA7I12qfUmtMFBzrxS7kY2ahQk32O2ooor6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m/Gf/ACCov+uo&#10;/ka6SmSRRyqBIiuB2YZrGvT9rTcL7mtCp7Kop22PJKMV6v8AYrX/AJ94v++BR9itf+feL/vgV5H9&#10;jy/n/A9f+2F/J+J5RijFer/YrX/n3i/74FH2K1/594v++BR/Y8v5/wAA/thfyfieUYpVVmOFUkns&#10;BXq32K1/594v++BTkt4Yj8kSL9FAoWTvrP8AAHnC/k/E4HTPDN7fOrSoYIe7MOT9BXeWlpDZWyW8&#10;CbY1HFT0V6WGwdPDr3d+55uJxdTEP3tuwUUUV1nK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" stroked="f" strokecolor="#4a7ebb" strokeweight="1.5pt">
              <v:fill r:id="rId2" o:title="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Pr="004C4A3E" w:rsidRDefault="0013302E"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4800" behindDoc="1" locked="1" layoutInCell="1" allowOverlap="1" wp14:anchorId="1A6E1104" wp14:editId="0B8F7D4E">
              <wp:simplePos x="0" y="0"/>
              <wp:positionH relativeFrom="page">
                <wp:posOffset>0</wp:posOffset>
              </wp:positionH>
              <wp:positionV relativeFrom="page">
                <wp:posOffset>8533130</wp:posOffset>
              </wp:positionV>
              <wp:extent cx="7380000" cy="2181600"/>
              <wp:effectExtent l="0" t="0" r="0" b="9525"/>
              <wp:wrapNone/>
              <wp:docPr id="3" name="Rectangle 3"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AusAID web address graphic" style="position:absolute;margin-left:0;margin-top:671.9pt;width:581.1pt;height:171.8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DcvSlAwAA2w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JxQAUUmR6ijI9RRcBaK&#10;TI9RRkeoouAtFJkeooyKL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c340/wCQVF/11H8jXSVzfjT/AJBUX/XUfyNcuN/3efodWC/3iHqcLRRRXyR9YFb+&#10;itoot/8ASwv2rJwZc7PbpWBW/ov9i/Zv9L2/asn/AFudntXThP4nT5nLjP4XX5GjPJrHkt/ZwszA&#10;B/y64J/WuQYkuxb72efrXYTrrJhb+zmshBjpa4HH41x7Z3Hd1zzW2O3W/wA9vkY4DZ7fLf5iVs+F&#10;nK6/AB/EGB/I1jVr+GP+Rhtv+Bf+gmufC/x4eqOnFfwJ+jPR6KKK+wPk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vxp/yCov+uo/ka6Sub8af8gq&#10;L/rqP5GuXG/7vP0OrBf7xD1OFooor5I+sCtjTfD9xqFt9p81I4Mkbjknj2rHre0bTNRltvtUF59n&#10;gyeck9PYV0YWCnUs43OfFTcKd1Kw9F0XTWObq6nlHURgoM1gOQzsRnBPGa6241fT4oWhvWOoS4xu&#10;MATFcixBYkDAzwK1xnKrRi16L+mZYNyd5STv3f6aIStfwx/yMNt/wL/0E1kVr+GP+Rhtv+Bf+gms&#10;cL/Hh6o2xX8Cfoz0eiiivsD5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ub8af8gqL/rqP5Gukrm/Gn/IKi/66j+Rrlxv+7z9DqwX+8Q9ThaKKK+SP&#10;rAq3ZXN9C4FnJMD/AHY8n9KqVv6NrjWdt9kFmZASfni4fmt8Ok56ysYYhtQ0jc0bVtZuY8XtjbvH&#10;jlp1Cn/P4VyMgxIwwBgngV10+jHUoWn+13sHGdl2cj+dcgwwxGc4PWujGqSUU/vfU5sC4tyat6Lo&#10;JWv4Y/5GG2/4F/6CayK1/DH/ACMNt/wL/wBBNc+F/jw9UdOK/gT9Gej0UUV9gfI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zfjT/kFRf9dR/I10lc&#10;340/5BUX/XUfyNcuN/3efodWC/3iHqcLRRRXyR9YFb+ka4dOsTC9ozREnM0Zw3PvisCtyzk1S90N&#10;7C2tBJADy+OeucV04WUozbi9bdrnNi4xlBKS0v3sTTDStTy39qXEUh/hnBYfnXPMMMQDnB61L9ln&#10;MrxeS/mICWXHIx1zUNRWqOerjZlUaahdRldBWv4Y/wCRhtv+Bf8AoJrIrX8Mf8jDbf8AAv8A0E08&#10;L/Hh6oMV/An6M9Hooor7A+Q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N+NP+QVF/11H8jXSVzfjT/kFRf9dR/I1y43/d5+h1YL/eIepwtFFFfJH1gV0draw6j4ft&#10;4p7yG3aGRvL3N1BPORXOVozWkMOiWtwQTPO7Y54CjiujDy5eZ2uranNiY83Kr2d9C4fD9sAf+Jxa&#10;H/P1rDZdrFc5wcZFdKuhaaiwWk9xIL+dNy4Hyg+lc3JGYpXjbqrFT+FXiafIl7tvncnC1edtc1/l&#10;YbWv4Y/5GG2/4F/6CayK1/DH/Iw23/Av/QTWeF/jw9UaYr+BP0Z6PRRRX2B8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XN+NP+QVF/wBdR/I10lc3&#10;40/5BUX/AF1H8jXLjf8Ad5+h1YL/AHiHqcLRRRXyR9YFb2kXgezFvcaZJeRQsWQxqSVJ6isGunsp&#10;tQXw/bf2Up3LI/n7VySc8fhXXg787fl2vc5MZ8CXn3tYzpdXll137ebfLR/dj5+UAVlyOZJGdurE&#10;sfxrsUsro69Dcm2KxzQD7RxgAkc1x8yqs8ir90MQPpmnioTirye7ZOFqQk7RWyX/AAwytfwx/wAj&#10;Dbf8C/8AQTWRWv4Y/wCRhtv+Bf8AoJrLC/x4eqNsV/An6M9Hooor7A+Q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m/Gn/ACCov+uo/ka6Sub8af8A&#10;IKi/66j+Rrlxv+7z9DqwX+8Q9ThaKKK+SPrAroNMttcuNNj+xThLcMdo3hTnPNc/Wzpmlme0N1c3&#10;v2W1DbQSeWPtXThbudlf5O34nNirKF3b5q/4F+TS/EkkTI91uQjkeb1rF/sq5/s1775PKR9hGec1&#10;qPo8NxE507VvPlUZ8onBI9qwDJIEMZdtuclc8ZrXEKMbcyf33McM5ST5WvusMrX8Mf8AIw23/Av/&#10;AEE1kVr+GP8AkYbb/gX/AKCawwv8eHqjoxX8Cfoz0eiiivsD5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ub8af8gqL/rqP5Gukrm/Gn/IKi/66j+R&#10;rlxv+7z9DqwX+8Q9ThaKKK+SPrAro7S3tr/w9Dbz30Nu8cjMgZux9RXOVpLbacdEM5uT9tDcRfj/&#10;AIV0YZ2ctE1broc+JV1HVp36K5sabptjYXi3B1e2YoDtAbHOO/NZ19pVrDBLcLqlvK/XYnU/rWNR&#10;VSxEHDl5PxZMcPNT5+f8EFa/hj/kYbb/AIF/6CayK1/DH/Iw23/Av/QTUYX+ND1ReK/gT9Gej0UU&#10;V9gfI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ub8af8gqL/rqP5Gukrm/Gn/IKi/66j+Rrlxv+7z9DqwX+8Q9ThaKK&#10;K+SPrArodD1mysrUwSxGKYk/6QqhjXPVrRXaSaG9lHp5km3ZMyrnHOf/AK1dGGm4Tck9bepzYqCn&#10;BRa0v3sX7zTrrU1Mttqi3q9dhbaR+Fc2QVJB6jinIzxvlCysPTgimE55qa1SNR3tZ+pVGnKmuVu6&#10;6aBWv4Y/5GG2/wCBf+gmsitfwx/yMNt/wL/0E08L/Hh6oMV/An6M9Hooor7A+Q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m/Gn/IKi/66j+RrpK5v&#10;xp/yCov+uo/ka5cb/u8/Q6sF/vEPU4Wiiivkj6wK6ayur230C2bS4wz+Ywnwm45zx+lczW/pX9vT&#10;WIj0/wCWBGPzfKMn6nrXXhJNTaV9um5yYyKcE3bR9djRjtJW8QQz/ZCsVzBmcbeFJHNclMoSeRV+&#10;6rED6Zrp5LXxTJEyPKSpHOHWuWZSrFW6g4NXjHovda1b1M8GtW+ZPRLQStfwx/yMNt/wL/0E1kVr&#10;+GP+Rhtv+Bf+gmsML/Hh6o6M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prWzvNS8N2yWrmMwyNkFtokBPX8K5mniaQIEEjhQcgBjit6FVU2+ZaN&#10;GFelKolyuzTubh8P6yBnzV/7/wBYLAqzBuoODTvNk/56P/31TKVWcJW5U16u46UJxvztP0VgrY8L&#10;jPiC29t3/oJrHrqPBtkz3ct4wOyNdqn1JrTBQc68Uu5GNmoUJN9jtqKKK+t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5vxn/wAgqL/rqP5Gukpk&#10;kUcqgSIrgdmGaxr0/a03C+5rQqeyqKdtjySjFer/AGK1/wCfeL/vgUfYrX/n3i/74FeR/Y8v5/wP&#10;X/thfyfieUYoxXq/2K1/594v++BR9itf+feL/vgUf2PL+f8AAP7YX8n4nlGKVVZjhVJJ7AV6t9it&#10;f+feL/vgU5LeGI/JEi/RQKFk76z/AAB5wv5PxOB0zwze3zq0qGCHuzDk/QV3lpaQ2VslvAm2NRxU&#10;9FelhsHTw693fuebicXUxD97bsFFFFdZy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2014-15</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23776" behindDoc="1" locked="0" layoutInCell="1" allowOverlap="1" wp14:anchorId="1AC6CB51" wp14:editId="57729BD2">
              <wp:simplePos x="0" y="0"/>
              <wp:positionH relativeFrom="column">
                <wp:posOffset>0</wp:posOffset>
              </wp:positionH>
              <wp:positionV relativeFrom="paragraph">
                <wp:posOffset>8498840</wp:posOffset>
              </wp:positionV>
              <wp:extent cx="7379970" cy="2181860"/>
              <wp:effectExtent l="0" t="2540" r="1905" b="0"/>
              <wp:wrapNone/>
              <wp:docPr id="4" name="Rectangle 4"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XW/G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EF1vx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22752" behindDoc="1" locked="0" layoutInCell="1" allowOverlap="1" wp14:anchorId="62D0A65F" wp14:editId="798B779B">
              <wp:simplePos x="0" y="0"/>
              <wp:positionH relativeFrom="column">
                <wp:posOffset>0</wp:posOffset>
              </wp:positionH>
              <wp:positionV relativeFrom="paragraph">
                <wp:posOffset>8498840</wp:posOffset>
              </wp:positionV>
              <wp:extent cx="7379970" cy="2181860"/>
              <wp:effectExtent l="0" t="2540" r="1905" b="0"/>
              <wp:wrapNone/>
              <wp:docPr id="5" name="Rectangle 5"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alt="AusAID web address graphic" style="position:absolute;margin-left:0;margin-top:669.2pt;width:581.1pt;height:171.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0fmerAwAA2w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JxQAUUmR6ij&#10;I9RRcBaKTI9RRkeoouAtFJkeooyKLgL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MJHj0uIozKfNHIOOxroq5vxp/yCov+uo/ka5ca&#10;7YeVux04NXxEL9zi/tVx/wA95f8Avs0farj/AJ7y/wDfZqGivlOeXc+r5I9ib7Vcf895f++zR9qu&#10;P+e8v/fZqGijnl3Dkh2JvtVx/wA95f8Avs06O+u4m3JczKfZzUUcMkzbY42c+ijNMIwcGnzzWt2L&#10;kpvSyOk0vxbcwOsd6fOiPG7+If4120MyTxLLGwZGGQR3ryWuw8GX7MJbFzkKN8f9RXr5djZufsqj&#10;vfY8jMcFBQ9rTVrbnXUUUV7p4Y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340/wCQVF/11H8jXSVzfjT/AJBUX/XUfyNcuN/3efodWC/3iHqcLRRR&#10;XyR9YFb+itoot/8ASwv2rJwZc7PbpWBW/ov9i/Zv9L2/asn/AFudntXThP4nT5nLjP4XX5GjPJrH&#10;kt/ZwszAB/y64J/WuQYkuxb72efrXYTrrJhb+zmshBjpa4HH41x7Z3Hd1zzW2O3W/wA9vkY4DZ7f&#10;Lf5iVs+FnK6/AB/EGB/I1jVr+GP+Rhtv+Bf+gmufC/x4eqOnFfwJ+jPR6KKK+wPk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vxp/yCov+uo/ka6S&#10;ub8af8gqL/rqP5GuXG/7vP0OrBf7xD1OFooor5I+sCtjTfD9xqFt9p81I4Mkbjknj2rHre0bTNRl&#10;tvtUF59ngyeck9PYV0YWCnUs43OfFTcKd1Kw9F0XTWObq6nlHURgoM1gOQzsRnBPGa6241fT4oWh&#10;vWOoS4xuMATFcixBYkDAzwK1xnKrRi16L+mZYNyd5STv3f6aIStfwx/yMNt/wL/0E1kVr+GP+Rht&#10;v+Bf+gmscL/Hh6o2xX8Cfoz0eiiivsD5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b8af8gqL/rqP5Gukrm/Gn/IKi/66j+Rrlxv+7z9DqwX+8Q9T&#10;haKKK+SPrAq3ZXN9C4FnJMD/AHY8n9KqVv6NrjWdt9kFmZASfni4fmt8Ok56ysYYhtQ0jc0bVtZu&#10;Y8XtjbvHjlp1Cn/P4VyMgxIwwBgngV10+jHUoWn+13sHGdl2cj+dcgwwxGc4PWujGqSUU/vfU5sC&#10;4tyat6LoJWv4Y/5GG2/4F/6CayK1/DH/ACMNt/wL/wBBNc+F/jw9UdOK/gT9Gej0UUV9gfI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zfjT/kFRf9&#10;dR/I10lc340/5BUX/XUfyNcuN/3efodWC/3iHqcLRRRXyR9YFb+ka4dOsTC9ozREnM0Zw3PvisCt&#10;yzk1S90N7C2tBJADy+OeucV04WUozbi9bdrnNi4xlBKS0v3sTTDStTy39qXEUh/hnBYfnXPMMMQD&#10;nB61L9lnMrxeS/mICWXHIx1zUNRWqOerjZlUaahdRldBWv4Y/wCRhtv+Bf8AoJrIrX8Mf8jDbf8A&#10;Av8A0E08L/Hh6o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ezh1K68P2o05njMUj78Hbvycgg98VzFbmn6bfXWnrIb8W1sGIQPIQCe+K6sI3zNJN3&#10;XTT8TkxiXKm2lZ9dfwNsafeLrVvfSKqxmAC5YsACcc/0ri5tvnybPu7jj6ZroG0OZlIOtW7AjkGQ&#10;81zrLtdlyDg4yK0xjdkuW3Xe5ng0ru0r7Lawla/hj/kYbb/gX/oJrIrX8Mf8jDbf8C/9BNYYX+PD&#10;1R0Yr+BP0Z6PRRRX2B8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XN+NP+QVF/11H8jXSVzfjT/kFRf9dR/I1y43/d5+h1YL/eIepwtFFFfJH1gV0d&#10;raw6j4ft4p7yG3aGRvL3N1BPORXOVozWkMOiWtwQTPO7Y54CjiujDy5eZ2uranNiY83Kr2d9C4fD&#10;9sAf+JxaH/P1rDZdrFc5wcZFdKuhaaiwWk9xIL+dNy4Hyg+lc3JGYpXjbqrFT+FXiafIl7tvncnC&#10;1edtc1/lYbWv4Y/5GG2/4F/6CayK1/DH/Iw23/Av/QTWeF/jw9UaYr+BP0Z6PRRRX2B8g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N+NP+QVF/wBd&#10;R/I10lc340/5BUX/AF1H8jXLjf8Ad5+h1YL/AHiHqcLRRRXyR9YFb2kXgezFvcaZJeRQsWQxqSVJ&#10;6isGunsptQXw/bf2Up3LI/n7VySc8fhXXg787fl2vc5MZ8CXn3tYzpdXll137ebfLR/dj5+UAVly&#10;OZJGdurEsfxrsUsro69Dcm2KxzQD7RxgAkc1x8yqs8ir90MQPpmnioTirye7ZOFqQk7RWyX/AAwy&#10;tfwx/wAjDbf8C/8AQTWRWv4Y/wCRhtv+Bf8AoJrLC/x4eqNsV/An6M9Hooor7A+Q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m/Gn/ACCov+uo/ka6&#10;Sub8af8AIKi/66j+Rrlxv+7z9DqwX+8Q9ThaKKK+SPrAroNMttcuNNj+xThLcMdo3hTnPNc/Wzpm&#10;lme0N1c3v2W1DbQSeWPtXThbudlf5O34nNirKF3b5q/4F+TS/EkkTI91uQjkeb1rF/sq5/s1775P&#10;KR9hGec1qPo8NxE507VvPlUZ8onBI9qwDJIEMZdtuclc8ZrXEKMbcyf33McM5ST5WvusMrX8Mf8A&#10;Iw23/Av/AEE1kVr+GP8AkYbb/gX/AKCawwv8eHqjo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o7S3tr/w9Dbz30Nu8cjMgZux9RXOVpLbacdEM5uT&#10;9tDcRfj/AIV0YZ2ctE1broc+JV1HVp36K5sabptjYXi3B1e2YoDtAbHOO/NZ19pVrDBLcLqlvK/X&#10;YnU/rWNRVSxEHDl5PxZMcPNT5+f8EFa/hj/kYbb/AIF/6CayK1/DH/Iw23/Av/QTUYX+ND1Re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aOi2kN3qAF&#10;wCYY0aRwO4HatG1tdL1Jbm5eJrWPckUaqchWOeTWVpV8NPvlmZN6EFXX1Bq/fajY/YRZ6XBKoaQS&#10;OX65HTFd1CVNU7ytpfTq+xwYiNV1LRvrbXou5dFjorXZ0kQy/aQNv2jcfvY9M1zEiGOR0PVSRXU2&#10;uvWzXMcl1YpDcsMNcEY7da5aQ7pGOc5JOfWli/ZuKcbddlbTzHhPaKTU79N3fXyG1r+GP+Rhtv8A&#10;gX/oJrIrX8Mf8jDbf8C/9BNY4X+PD1Rviv4E/Rno9FFFfYHy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c340/5BUX/XUfyNdJXN+NP+QVF/11H8jX&#10;Ljf93n6HVgv94h6nC0UUV8kfWBXQ2tx/Y+hwXkFvHJPcOwaR1zsAPArnq09M1i5sFMCxpPC5z5Tj&#10;Iz7V0YaahJ3dvPsc+Jg5wVlfy7mpYaxPrN0tle28MsUgILKmCnHWublUJM6A5CsQDXXo+rXlu4t7&#10;CCwiYfNIeDiuPddrspOSDjNbYu/LHmbfm1YwwduaXKkl2TuNrX8Mf8jDbf8AAv8A0E1kVr+GP+Rh&#10;tv8AgX/oJrDC/wAeHqjoxX8Cfoz0eiiivsD5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ub8af8gqL/rqP5Gukrm/Gn/IKi/66j+Rrlxv+7z9DqwX+&#10;8Q9ThaKKK+SPrArodD1mysrUwSxGKYk/6QqhjXPVrRXaSaG9lHp5km3ZMyrnHOf/AK1dGGm4Tck9&#10;bepzYqCnBRa0v3sX7zTrrU1Mttqi3q9dhbaR+Fc2QVJB6jinIzxvlCysPTgimE55qa1SNR3tZ+pV&#10;GnKmuVu66aBWv4Y/5GG2/wCBf+gmsitfwx/yMNt/wL/0E08L/Hh6oMV/An6M9Hooor7A+Q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m/Gn/IKi/66&#10;j+RrpK5vxp/yCov+uo/ka5cb/u8/Q6sF/vEPU4Wiiivkj6wK6ayur230C2bS4wz+Ywnwm45zx+lc&#10;zW/pX9vTWIj0/wCWBGPzfKMn6nrXXhJNTaV9um5yYyKcE3bR9djRjtJW8QQz/ZCsVzBmcbeFJHNc&#10;lMoSeRV+6rED6Zrp5LXxTJEyPKSpHOHWuWZSrFW6g4NXjHovda1b1M8GtW+ZPRLQStfwx/yMNt/w&#10;L/0E1kVr+GP+Rhtv+Bf+gmsML/Hh6o6MV/An6M9Hooor7A+Q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m/Gn/ACCov+uo/ka6Sub8af8AIKi/66j+&#10;Rrlxv+7z9DqwX+8Q9ThaKKK+SPrArprWzvNS8N2yWrmMwyNkFtokBPX8K5mniaQIEEjhQcgBjit6&#10;FVU2+ZaNGFelKolyuzTubh8P6yBnzV/7/wBYLAqzBuoODTvNk/56P/31TKVWcJW5U16u46UJxvzt&#10;P0VgrY8LjPiC29t3/oJrHrqPBtkz3ct4wOyNdqn1JrTBQc68Uu5GNmoUJN9jtqKKK+tPk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5vxn/wAgqL/r&#10;qP5GukpkkUcqgSIrgdmGaxr0/a03C+5rQqeyqKdtjySjFer/AGK1/wCfeL/vgUfYrX/n3i/74FeR&#10;/Y8v5/wPX/thfyfieUYoxXq/2K1/594v++BR9itf+feL/vgUf2PL+f8AAP7YX8n4nlGKVVZjhVJJ&#10;7AV6t9itf+feL/vgU5LeGI/JEi/RQKFk76z/AAB5wv5PxOB0zwze3zq0qGCHuzDk/QV3lpaQ2Vsl&#10;vAm2NRxU9FelhsHTw693fuebicXUxD97bsFFFFdZy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02E" w:rsidRDefault="0013302E" w:rsidP="0050529F">
      <w:r>
        <w:separator/>
      </w:r>
    </w:p>
    <w:p w:rsidR="0013302E" w:rsidRDefault="0013302E"/>
  </w:footnote>
  <w:footnote w:type="continuationSeparator" w:id="0">
    <w:p w:rsidR="0013302E" w:rsidRDefault="0013302E" w:rsidP="0050529F">
      <w:r>
        <w:continuationSeparator/>
      </w:r>
    </w:p>
    <w:p w:rsidR="0013302E" w:rsidRDefault="0013302E"/>
    <w:p w:rsidR="0013302E" w:rsidRDefault="0013302E"/>
    <w:p w:rsidR="0013302E" w:rsidRDefault="0013302E"/>
    <w:p w:rsidR="0013302E" w:rsidRDefault="0013302E"/>
    <w:p w:rsidR="0013302E" w:rsidRDefault="0013302E"/>
    <w:p w:rsidR="0013302E" w:rsidRDefault="0013302E"/>
  </w:footnote>
  <w:footnote w:id="1">
    <w:p w:rsidR="0013302E" w:rsidRDefault="0013302E">
      <w:pPr>
        <w:pStyle w:val="FootnoteText"/>
      </w:pPr>
      <w:r>
        <w:rPr>
          <w:rStyle w:val="FootnoteReference"/>
        </w:rPr>
        <w:footnoteRef/>
      </w:r>
      <w:r>
        <w:t xml:space="preserve"> Samoa Bureau of Statistics, Gross Domestic Product – June 2015 Quarter, 30 September 2015</w:t>
      </w:r>
    </w:p>
  </w:footnote>
  <w:footnote w:id="2">
    <w:p w:rsidR="0013302E" w:rsidRDefault="0013302E">
      <w:pPr>
        <w:pStyle w:val="FootnoteText"/>
      </w:pPr>
      <w:r>
        <w:rPr>
          <w:rStyle w:val="FootnoteReference"/>
        </w:rPr>
        <w:footnoteRef/>
      </w:r>
      <w:r>
        <w:t xml:space="preserve"> Government of Samoa 2015/16 Budget address, 27 May 2015, www.</w:t>
      </w:r>
      <w:r w:rsidRPr="00B640CC">
        <w:t xml:space="preserve"> </w:t>
      </w:r>
      <w:hyperlink r:id="rId1" w:history="1">
        <w:r w:rsidRPr="001B5D4C">
          <w:rPr>
            <w:rStyle w:val="Hyperlink"/>
            <w:sz w:val="16"/>
          </w:rPr>
          <w:t>http://www.samoagovt.ws/2015/05/20152016-budget-address/</w:t>
        </w:r>
      </w:hyperlink>
      <w:r>
        <w:t xml:space="preserve"> </w:t>
      </w:r>
    </w:p>
  </w:footnote>
  <w:footnote w:id="3">
    <w:p w:rsidR="0013302E" w:rsidRDefault="0013302E" w:rsidP="00BD4BD5">
      <w:pPr>
        <w:pStyle w:val="FootnoteText"/>
      </w:pPr>
      <w:r>
        <w:rPr>
          <w:rStyle w:val="FootnoteReference"/>
        </w:rPr>
        <w:footnoteRef/>
      </w:r>
      <w:r>
        <w:t xml:space="preserve"> </w:t>
      </w:r>
      <w:hyperlink r:id="rId2" w:history="1">
        <w:r w:rsidRPr="0065447B">
          <w:t>IMF</w:t>
        </w:r>
      </w:hyperlink>
      <w:r>
        <w:t xml:space="preserve"> World Economic Outlook Database, version April 2015</w:t>
      </w:r>
    </w:p>
  </w:footnote>
  <w:footnote w:id="4">
    <w:p w:rsidR="0013302E" w:rsidRDefault="0013302E" w:rsidP="005A17D6">
      <w:pPr>
        <w:pStyle w:val="FootnoteText"/>
      </w:pPr>
      <w:r>
        <w:rPr>
          <w:rStyle w:val="FootnoteReference"/>
        </w:rPr>
        <w:footnoteRef/>
      </w:r>
      <w:r>
        <w:t xml:space="preserve"> </w:t>
      </w:r>
      <w:r w:rsidRPr="00F76DB1">
        <w:t>http://www.mdgtrack.org/index.php?tab=c&amp;c=WSM</w:t>
      </w:r>
    </w:p>
  </w:footnote>
  <w:footnote w:id="5">
    <w:p w:rsidR="0013302E" w:rsidRDefault="0013302E" w:rsidP="009A4A63">
      <w:pPr>
        <w:pStyle w:val="FootnoteText"/>
      </w:pPr>
      <w:r>
        <w:rPr>
          <w:rStyle w:val="FootnoteReference"/>
        </w:rPr>
        <w:footnoteRef/>
      </w:r>
      <w:r>
        <w:t xml:space="preserve"> </w:t>
      </w:r>
      <w:r>
        <w:rPr>
          <w:szCs w:val="16"/>
        </w:rPr>
        <w:t xml:space="preserve">WHO. </w:t>
      </w:r>
      <w:r>
        <w:rPr>
          <w:i/>
          <w:iCs/>
          <w:szCs w:val="16"/>
        </w:rPr>
        <w:t xml:space="preserve">Multicountry Study on Women’s Health and Domestic Violence Against Women. </w:t>
      </w:r>
      <w:r>
        <w:rPr>
          <w:szCs w:val="16"/>
        </w:rPr>
        <w:t xml:space="preserve">2005. </w:t>
      </w:r>
      <w:r>
        <w:t xml:space="preserve"> </w:t>
      </w:r>
    </w:p>
  </w:footnote>
  <w:footnote w:id="6">
    <w:p w:rsidR="0013302E" w:rsidRDefault="0013302E">
      <w:pPr>
        <w:pStyle w:val="FootnoteText"/>
      </w:pPr>
      <w:r>
        <w:rPr>
          <w:rStyle w:val="FootnoteReference"/>
        </w:rPr>
        <w:footnoteRef/>
      </w:r>
      <w:r>
        <w:t xml:space="preserve"> </w:t>
      </w:r>
      <w:r w:rsidRPr="00297541">
        <w:t>http://www.lowyinstitute.org/chinese-aid-map/</w:t>
      </w:r>
    </w:p>
  </w:footnote>
  <w:footnote w:id="7">
    <w:p w:rsidR="0013302E" w:rsidRDefault="0013302E">
      <w:pPr>
        <w:pStyle w:val="FootnoteText"/>
      </w:pPr>
      <w:r>
        <w:rPr>
          <w:rStyle w:val="FootnoteReference"/>
        </w:rPr>
        <w:footnoteRef/>
      </w:r>
      <w:r>
        <w:t xml:space="preserve"> </w:t>
      </w:r>
      <w:r>
        <w:rPr>
          <w:color w:val="1F497D"/>
        </w:rPr>
        <w:t>2014 Statistical Digest, Samoan Ministry of Education Sports and Culture, pg.8,9</w:t>
      </w:r>
    </w:p>
  </w:footnote>
  <w:footnote w:id="8">
    <w:p w:rsidR="0013302E" w:rsidRDefault="0013302E">
      <w:pPr>
        <w:pStyle w:val="FootnoteText"/>
      </w:pPr>
      <w:r w:rsidRPr="001905FA">
        <w:rPr>
          <w:rStyle w:val="FootnoteReference"/>
        </w:rPr>
        <w:footnoteRef/>
      </w:r>
      <w:r>
        <w:t xml:space="preserve"> </w:t>
      </w:r>
      <w:r w:rsidRPr="001905FA">
        <w:t xml:space="preserve">Motivation Australia data </w:t>
      </w:r>
    </w:p>
  </w:footnote>
  <w:footnote w:id="9">
    <w:p w:rsidR="0013302E" w:rsidRDefault="0013302E" w:rsidP="00550C12">
      <w:pPr>
        <w:pStyle w:val="FootnoteText"/>
        <w:spacing w:line="240" w:lineRule="auto"/>
      </w:pPr>
      <w:r w:rsidRPr="001905FA">
        <w:rPr>
          <w:rStyle w:val="FootnoteReference"/>
        </w:rPr>
        <w:footnoteRef/>
      </w:r>
      <w:r w:rsidRPr="001905FA">
        <w:rPr>
          <w:rStyle w:val="FootnoteReference"/>
        </w:rPr>
        <w:t xml:space="preserve"> </w:t>
      </w:r>
      <w:r>
        <w:t xml:space="preserve">Government of Samoa </w:t>
      </w:r>
      <w:r w:rsidRPr="001905FA">
        <w:t>2011 census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Default="00133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Default="00133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2E" w:rsidRDefault="00133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09E635A"/>
    <w:multiLevelType w:val="hybridMultilevel"/>
    <w:tmpl w:val="59CE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0A0715"/>
    <w:multiLevelType w:val="hybridMultilevel"/>
    <w:tmpl w:val="9D7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2D640B"/>
    <w:multiLevelType w:val="hybridMultilevel"/>
    <w:tmpl w:val="4D320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A817871"/>
    <w:multiLevelType w:val="hybridMultilevel"/>
    <w:tmpl w:val="97B4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6490A34"/>
    <w:multiLevelType w:val="multilevel"/>
    <w:tmpl w:val="46AEE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A41B91"/>
    <w:multiLevelType w:val="hybridMultilevel"/>
    <w:tmpl w:val="4F747A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964DF9"/>
    <w:multiLevelType w:val="hybridMultilevel"/>
    <w:tmpl w:val="5754A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84537D0"/>
    <w:multiLevelType w:val="hybridMultilevel"/>
    <w:tmpl w:val="22D4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DB2187"/>
    <w:multiLevelType w:val="hybridMultilevel"/>
    <w:tmpl w:val="27040A06"/>
    <w:lvl w:ilvl="0" w:tplc="DFB0F088">
      <w:start w:val="1"/>
      <w:numFmt w:val="bullet"/>
      <w:lvlText w:val=""/>
      <w:lvlJc w:val="left"/>
      <w:pPr>
        <w:ind w:left="780" w:hanging="360"/>
      </w:pPr>
      <w:rPr>
        <w:rFonts w:ascii="Symbol" w:hAnsi="Symbol" w:hint="default"/>
        <w:color w:val="auto"/>
        <w:sz w:val="21"/>
        <w:szCs w:val="21"/>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nsid w:val="51586A1E"/>
    <w:multiLevelType w:val="hybridMultilevel"/>
    <w:tmpl w:val="5754A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8F2A64"/>
    <w:multiLevelType w:val="hybridMultilevel"/>
    <w:tmpl w:val="CEB46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8860C2"/>
    <w:multiLevelType w:val="hybridMultilevel"/>
    <w:tmpl w:val="5754A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83A69FF"/>
    <w:multiLevelType w:val="hybridMultilevel"/>
    <w:tmpl w:val="2F80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03F1CB4"/>
    <w:multiLevelType w:val="hybridMultilevel"/>
    <w:tmpl w:val="94E22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E69058D"/>
    <w:multiLevelType w:val="hybridMultilevel"/>
    <w:tmpl w:val="5E428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BAD0020"/>
    <w:multiLevelType w:val="hybridMultilevel"/>
    <w:tmpl w:val="F2B2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579"/>
    <w:multiLevelType w:val="multilevel"/>
    <w:tmpl w:val="6F568FEA"/>
    <w:lvl w:ilvl="0">
      <w:start w:val="1"/>
      <w:numFmt w:val="bullet"/>
      <w:pStyle w:val="dotpoin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7E4575E8"/>
    <w:multiLevelType w:val="hybridMultilevel"/>
    <w:tmpl w:val="3B546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7A528B"/>
    <w:multiLevelType w:val="hybridMultilevel"/>
    <w:tmpl w:val="4C9A0752"/>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7"/>
  </w:num>
  <w:num w:numId="4">
    <w:abstractNumId w:val="24"/>
  </w:num>
  <w:num w:numId="5">
    <w:abstractNumId w:val="18"/>
  </w:num>
  <w:num w:numId="6">
    <w:abstractNumId w:val="15"/>
  </w:num>
  <w:num w:numId="7">
    <w:abstractNumId w:val="30"/>
  </w:num>
  <w:num w:numId="8">
    <w:abstractNumId w:val="5"/>
  </w:num>
  <w:num w:numId="9">
    <w:abstractNumId w:val="10"/>
  </w:num>
  <w:num w:numId="10">
    <w:abstractNumId w:val="32"/>
  </w:num>
  <w:num w:numId="11">
    <w:abstractNumId w:val="36"/>
  </w:num>
  <w:num w:numId="12">
    <w:abstractNumId w:val="0"/>
  </w:num>
  <w:num w:numId="13">
    <w:abstractNumId w:val="4"/>
  </w:num>
  <w:num w:numId="14">
    <w:abstractNumId w:val="29"/>
  </w:num>
  <w:num w:numId="15">
    <w:abstractNumId w:val="1"/>
  </w:num>
  <w:num w:numId="16">
    <w:abstractNumId w:val="14"/>
  </w:num>
  <w:num w:numId="17">
    <w:abstractNumId w:val="11"/>
  </w:num>
  <w:num w:numId="18">
    <w:abstractNumId w:val="9"/>
  </w:num>
  <w:num w:numId="19">
    <w:abstractNumId w:val="34"/>
  </w:num>
  <w:num w:numId="20">
    <w:abstractNumId w:val="20"/>
  </w:num>
  <w:num w:numId="21">
    <w:abstractNumId w:val="16"/>
  </w:num>
  <w:num w:numId="22">
    <w:abstractNumId w:val="21"/>
  </w:num>
  <w:num w:numId="23">
    <w:abstractNumId w:val="25"/>
  </w:num>
  <w:num w:numId="24">
    <w:abstractNumId w:val="23"/>
  </w:num>
  <w:num w:numId="25">
    <w:abstractNumId w:val="17"/>
  </w:num>
  <w:num w:numId="26">
    <w:abstractNumId w:val="6"/>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5"/>
  </w:num>
  <w:num w:numId="36">
    <w:abstractNumId w:val="36"/>
  </w:num>
  <w:num w:numId="37">
    <w:abstractNumId w:val="36"/>
  </w:num>
  <w:num w:numId="38">
    <w:abstractNumId w:val="31"/>
  </w:num>
  <w:num w:numId="39">
    <w:abstractNumId w:val="36"/>
  </w:num>
  <w:num w:numId="40">
    <w:abstractNumId w:val="22"/>
  </w:num>
  <w:num w:numId="41">
    <w:abstractNumId w:val="8"/>
  </w:num>
  <w:num w:numId="42">
    <w:abstractNumId w:val="33"/>
  </w:num>
  <w:num w:numId="43">
    <w:abstractNumId w:val="3"/>
  </w:num>
  <w:num w:numId="44">
    <w:abstractNumId w:val="9"/>
  </w:num>
  <w:num w:numId="45">
    <w:abstractNumId w:val="27"/>
  </w:num>
  <w:num w:numId="46">
    <w:abstractNumId w:val="19"/>
  </w:num>
  <w:num w:numId="47">
    <w:abstractNumId w:val="2"/>
  </w:num>
  <w:num w:numId="48">
    <w:abstractNumId w:val="36"/>
  </w:num>
  <w:num w:numId="49">
    <w:abstractNumId w:val="36"/>
  </w:num>
  <w:num w:numId="50">
    <w:abstractNumId w:val="36"/>
  </w:num>
  <w:num w:numId="51">
    <w:abstractNumId w:val="36"/>
  </w:num>
  <w:num w:numId="52">
    <w:abstractNumId w:val="36"/>
  </w:num>
  <w:num w:numId="53">
    <w:abstractNumId w:val="36"/>
  </w:num>
  <w:num w:numId="54">
    <w:abstractNumId w:val="36"/>
  </w:num>
  <w:num w:numId="55">
    <w:abstractNumId w:val="9"/>
  </w:num>
  <w:num w:numId="56">
    <w:abstractNumId w:val="9"/>
  </w:num>
  <w:num w:numId="57">
    <w:abstractNumId w:val="9"/>
  </w:num>
  <w:num w:numId="58">
    <w:abstractNumId w:val="9"/>
  </w:num>
  <w:num w:numId="59">
    <w:abstractNumId w:val="36"/>
  </w:num>
  <w:num w:numId="6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59C"/>
    <w:rsid w:val="00002A92"/>
    <w:rsid w:val="00002E28"/>
    <w:rsid w:val="000039CF"/>
    <w:rsid w:val="00004E18"/>
    <w:rsid w:val="00006422"/>
    <w:rsid w:val="00007E94"/>
    <w:rsid w:val="000142A2"/>
    <w:rsid w:val="000143D9"/>
    <w:rsid w:val="00020121"/>
    <w:rsid w:val="00021660"/>
    <w:rsid w:val="00021A9E"/>
    <w:rsid w:val="000235C6"/>
    <w:rsid w:val="0002564E"/>
    <w:rsid w:val="00027629"/>
    <w:rsid w:val="00030111"/>
    <w:rsid w:val="00031100"/>
    <w:rsid w:val="00031EB5"/>
    <w:rsid w:val="0003231A"/>
    <w:rsid w:val="000334E8"/>
    <w:rsid w:val="00034541"/>
    <w:rsid w:val="00040AF6"/>
    <w:rsid w:val="000426DF"/>
    <w:rsid w:val="0004637C"/>
    <w:rsid w:val="000529AD"/>
    <w:rsid w:val="0005506B"/>
    <w:rsid w:val="000550B0"/>
    <w:rsid w:val="000555E2"/>
    <w:rsid w:val="00055E78"/>
    <w:rsid w:val="0005637C"/>
    <w:rsid w:val="00057589"/>
    <w:rsid w:val="00057797"/>
    <w:rsid w:val="00057D09"/>
    <w:rsid w:val="00063C53"/>
    <w:rsid w:val="00065D23"/>
    <w:rsid w:val="0007109D"/>
    <w:rsid w:val="0007149C"/>
    <w:rsid w:val="00071B95"/>
    <w:rsid w:val="0007395B"/>
    <w:rsid w:val="000745E2"/>
    <w:rsid w:val="0007703B"/>
    <w:rsid w:val="000774FD"/>
    <w:rsid w:val="00080C04"/>
    <w:rsid w:val="000818C0"/>
    <w:rsid w:val="00081F4E"/>
    <w:rsid w:val="00087160"/>
    <w:rsid w:val="000905A8"/>
    <w:rsid w:val="00091878"/>
    <w:rsid w:val="000957FC"/>
    <w:rsid w:val="00095CF5"/>
    <w:rsid w:val="000979A0"/>
    <w:rsid w:val="00097B02"/>
    <w:rsid w:val="000A1618"/>
    <w:rsid w:val="000A1E6F"/>
    <w:rsid w:val="000A4247"/>
    <w:rsid w:val="000A714B"/>
    <w:rsid w:val="000B0391"/>
    <w:rsid w:val="000B3121"/>
    <w:rsid w:val="000B68F6"/>
    <w:rsid w:val="000B6BE5"/>
    <w:rsid w:val="000B6FEA"/>
    <w:rsid w:val="000B75E8"/>
    <w:rsid w:val="000C1F7B"/>
    <w:rsid w:val="000C258A"/>
    <w:rsid w:val="000C29BF"/>
    <w:rsid w:val="000C4A7A"/>
    <w:rsid w:val="000C4FAD"/>
    <w:rsid w:val="000C6080"/>
    <w:rsid w:val="000C60A8"/>
    <w:rsid w:val="000C7CE1"/>
    <w:rsid w:val="000D151B"/>
    <w:rsid w:val="000D1993"/>
    <w:rsid w:val="000D2CDD"/>
    <w:rsid w:val="000D3EEA"/>
    <w:rsid w:val="000D733F"/>
    <w:rsid w:val="000D7952"/>
    <w:rsid w:val="000E4573"/>
    <w:rsid w:val="000E7297"/>
    <w:rsid w:val="000E7A8D"/>
    <w:rsid w:val="000F25CD"/>
    <w:rsid w:val="000F2D94"/>
    <w:rsid w:val="00100485"/>
    <w:rsid w:val="00100AA2"/>
    <w:rsid w:val="00106185"/>
    <w:rsid w:val="00106BDC"/>
    <w:rsid w:val="0010729C"/>
    <w:rsid w:val="00112E97"/>
    <w:rsid w:val="001139DE"/>
    <w:rsid w:val="00114751"/>
    <w:rsid w:val="001154CA"/>
    <w:rsid w:val="001171DE"/>
    <w:rsid w:val="00120FC7"/>
    <w:rsid w:val="00122038"/>
    <w:rsid w:val="00122299"/>
    <w:rsid w:val="001227C3"/>
    <w:rsid w:val="0012429A"/>
    <w:rsid w:val="00125002"/>
    <w:rsid w:val="001258C6"/>
    <w:rsid w:val="0012793C"/>
    <w:rsid w:val="00131FF0"/>
    <w:rsid w:val="00132003"/>
    <w:rsid w:val="00132643"/>
    <w:rsid w:val="0013302E"/>
    <w:rsid w:val="00133AAD"/>
    <w:rsid w:val="00135806"/>
    <w:rsid w:val="001366B4"/>
    <w:rsid w:val="00136CC1"/>
    <w:rsid w:val="001375E3"/>
    <w:rsid w:val="00141A30"/>
    <w:rsid w:val="00143053"/>
    <w:rsid w:val="0014411B"/>
    <w:rsid w:val="001448E7"/>
    <w:rsid w:val="00147846"/>
    <w:rsid w:val="0015043E"/>
    <w:rsid w:val="00152DFD"/>
    <w:rsid w:val="00154EF9"/>
    <w:rsid w:val="00155044"/>
    <w:rsid w:val="001550F4"/>
    <w:rsid w:val="00157858"/>
    <w:rsid w:val="001612CE"/>
    <w:rsid w:val="001624FB"/>
    <w:rsid w:val="0016544D"/>
    <w:rsid w:val="001657F1"/>
    <w:rsid w:val="00167331"/>
    <w:rsid w:val="0016740F"/>
    <w:rsid w:val="00171BB2"/>
    <w:rsid w:val="00173C6E"/>
    <w:rsid w:val="00173FE8"/>
    <w:rsid w:val="00175E4C"/>
    <w:rsid w:val="001772FD"/>
    <w:rsid w:val="00177FF9"/>
    <w:rsid w:val="00180B19"/>
    <w:rsid w:val="00180F3A"/>
    <w:rsid w:val="0018196F"/>
    <w:rsid w:val="001829BB"/>
    <w:rsid w:val="0018305E"/>
    <w:rsid w:val="0018353A"/>
    <w:rsid w:val="0018400E"/>
    <w:rsid w:val="001849BB"/>
    <w:rsid w:val="00187FF0"/>
    <w:rsid w:val="001905FA"/>
    <w:rsid w:val="00192498"/>
    <w:rsid w:val="001943B6"/>
    <w:rsid w:val="00194806"/>
    <w:rsid w:val="001A188F"/>
    <w:rsid w:val="001A374B"/>
    <w:rsid w:val="001A383D"/>
    <w:rsid w:val="001B128B"/>
    <w:rsid w:val="001B1A0C"/>
    <w:rsid w:val="001B2644"/>
    <w:rsid w:val="001B2948"/>
    <w:rsid w:val="001B41CD"/>
    <w:rsid w:val="001B5733"/>
    <w:rsid w:val="001B714C"/>
    <w:rsid w:val="001C1EA0"/>
    <w:rsid w:val="001C31B9"/>
    <w:rsid w:val="001C49FA"/>
    <w:rsid w:val="001C507E"/>
    <w:rsid w:val="001C700E"/>
    <w:rsid w:val="001C7117"/>
    <w:rsid w:val="001C745A"/>
    <w:rsid w:val="001C7DDD"/>
    <w:rsid w:val="001D20FC"/>
    <w:rsid w:val="001D210A"/>
    <w:rsid w:val="001D6059"/>
    <w:rsid w:val="001D6515"/>
    <w:rsid w:val="001D6BEB"/>
    <w:rsid w:val="001D6E5E"/>
    <w:rsid w:val="001D7E98"/>
    <w:rsid w:val="001E0B1B"/>
    <w:rsid w:val="001E3B7A"/>
    <w:rsid w:val="001E4BDE"/>
    <w:rsid w:val="001E6635"/>
    <w:rsid w:val="001E6C02"/>
    <w:rsid w:val="001F03BC"/>
    <w:rsid w:val="001F12A2"/>
    <w:rsid w:val="001F5CB1"/>
    <w:rsid w:val="001F61A8"/>
    <w:rsid w:val="001F7480"/>
    <w:rsid w:val="00201174"/>
    <w:rsid w:val="00202880"/>
    <w:rsid w:val="00202E4E"/>
    <w:rsid w:val="00203BCC"/>
    <w:rsid w:val="00205E0B"/>
    <w:rsid w:val="00205F2B"/>
    <w:rsid w:val="002115BD"/>
    <w:rsid w:val="002126BA"/>
    <w:rsid w:val="00212B27"/>
    <w:rsid w:val="002140E5"/>
    <w:rsid w:val="0021515C"/>
    <w:rsid w:val="002212A9"/>
    <w:rsid w:val="002227A9"/>
    <w:rsid w:val="00223901"/>
    <w:rsid w:val="002252D4"/>
    <w:rsid w:val="00226DEE"/>
    <w:rsid w:val="002311BD"/>
    <w:rsid w:val="00231D45"/>
    <w:rsid w:val="00231F47"/>
    <w:rsid w:val="002335A9"/>
    <w:rsid w:val="002343CF"/>
    <w:rsid w:val="00235D29"/>
    <w:rsid w:val="002363D9"/>
    <w:rsid w:val="00236B8C"/>
    <w:rsid w:val="002373C6"/>
    <w:rsid w:val="00237C4B"/>
    <w:rsid w:val="0024009A"/>
    <w:rsid w:val="00240D59"/>
    <w:rsid w:val="00242C0A"/>
    <w:rsid w:val="002441D5"/>
    <w:rsid w:val="002459ED"/>
    <w:rsid w:val="00246E5F"/>
    <w:rsid w:val="00254374"/>
    <w:rsid w:val="00255C91"/>
    <w:rsid w:val="002578C6"/>
    <w:rsid w:val="00261E78"/>
    <w:rsid w:val="00263F5F"/>
    <w:rsid w:val="002660AA"/>
    <w:rsid w:val="002672F8"/>
    <w:rsid w:val="00270898"/>
    <w:rsid w:val="00271A7C"/>
    <w:rsid w:val="00272AF0"/>
    <w:rsid w:val="00273C6F"/>
    <w:rsid w:val="002758F7"/>
    <w:rsid w:val="00275C42"/>
    <w:rsid w:val="00280711"/>
    <w:rsid w:val="00282FEF"/>
    <w:rsid w:val="002849B4"/>
    <w:rsid w:val="00287DC1"/>
    <w:rsid w:val="002901F8"/>
    <w:rsid w:val="002911A4"/>
    <w:rsid w:val="00291F1C"/>
    <w:rsid w:val="0029431D"/>
    <w:rsid w:val="00297541"/>
    <w:rsid w:val="002976CB"/>
    <w:rsid w:val="00297FA7"/>
    <w:rsid w:val="002A0757"/>
    <w:rsid w:val="002A1463"/>
    <w:rsid w:val="002A15F4"/>
    <w:rsid w:val="002A1935"/>
    <w:rsid w:val="002A1A79"/>
    <w:rsid w:val="002A21D1"/>
    <w:rsid w:val="002A22F7"/>
    <w:rsid w:val="002A2EE3"/>
    <w:rsid w:val="002A449A"/>
    <w:rsid w:val="002A4A85"/>
    <w:rsid w:val="002A4D70"/>
    <w:rsid w:val="002B1CB1"/>
    <w:rsid w:val="002B1F66"/>
    <w:rsid w:val="002B31B3"/>
    <w:rsid w:val="002B433A"/>
    <w:rsid w:val="002B4B3D"/>
    <w:rsid w:val="002B61A8"/>
    <w:rsid w:val="002B6EBE"/>
    <w:rsid w:val="002B79D4"/>
    <w:rsid w:val="002C1E00"/>
    <w:rsid w:val="002C5722"/>
    <w:rsid w:val="002C639B"/>
    <w:rsid w:val="002D1328"/>
    <w:rsid w:val="002D2DAE"/>
    <w:rsid w:val="002D5D7B"/>
    <w:rsid w:val="002D6914"/>
    <w:rsid w:val="002D6DF0"/>
    <w:rsid w:val="002D7FFA"/>
    <w:rsid w:val="002E3195"/>
    <w:rsid w:val="002E3B38"/>
    <w:rsid w:val="002E450E"/>
    <w:rsid w:val="002E55EA"/>
    <w:rsid w:val="002E5604"/>
    <w:rsid w:val="002E5AD3"/>
    <w:rsid w:val="002F2E20"/>
    <w:rsid w:val="002F479A"/>
    <w:rsid w:val="002F54F3"/>
    <w:rsid w:val="002F58C6"/>
    <w:rsid w:val="002F5A14"/>
    <w:rsid w:val="002F7CE2"/>
    <w:rsid w:val="00302052"/>
    <w:rsid w:val="00303038"/>
    <w:rsid w:val="0030318A"/>
    <w:rsid w:val="00306734"/>
    <w:rsid w:val="00310426"/>
    <w:rsid w:val="00310974"/>
    <w:rsid w:val="00310E3B"/>
    <w:rsid w:val="00313E45"/>
    <w:rsid w:val="00315135"/>
    <w:rsid w:val="00315D13"/>
    <w:rsid w:val="003167E5"/>
    <w:rsid w:val="00320FCE"/>
    <w:rsid w:val="003223F8"/>
    <w:rsid w:val="0032292A"/>
    <w:rsid w:val="00322D92"/>
    <w:rsid w:val="00323111"/>
    <w:rsid w:val="0032486D"/>
    <w:rsid w:val="003260C0"/>
    <w:rsid w:val="003266E1"/>
    <w:rsid w:val="00326B5A"/>
    <w:rsid w:val="003275D0"/>
    <w:rsid w:val="003279FD"/>
    <w:rsid w:val="003305E3"/>
    <w:rsid w:val="003326BE"/>
    <w:rsid w:val="003327F8"/>
    <w:rsid w:val="00335A7A"/>
    <w:rsid w:val="00335F19"/>
    <w:rsid w:val="003363C7"/>
    <w:rsid w:val="00341177"/>
    <w:rsid w:val="00341311"/>
    <w:rsid w:val="00342BF7"/>
    <w:rsid w:val="00343B25"/>
    <w:rsid w:val="00345B8E"/>
    <w:rsid w:val="00346A56"/>
    <w:rsid w:val="00351ACA"/>
    <w:rsid w:val="00352AE5"/>
    <w:rsid w:val="00357648"/>
    <w:rsid w:val="00357AF7"/>
    <w:rsid w:val="00360662"/>
    <w:rsid w:val="00371F53"/>
    <w:rsid w:val="00372D2E"/>
    <w:rsid w:val="00372E1B"/>
    <w:rsid w:val="003743C8"/>
    <w:rsid w:val="003759A4"/>
    <w:rsid w:val="003802AB"/>
    <w:rsid w:val="00383294"/>
    <w:rsid w:val="00383F3F"/>
    <w:rsid w:val="00384342"/>
    <w:rsid w:val="003849ED"/>
    <w:rsid w:val="00385A4C"/>
    <w:rsid w:val="00386243"/>
    <w:rsid w:val="003868CD"/>
    <w:rsid w:val="00392149"/>
    <w:rsid w:val="00392981"/>
    <w:rsid w:val="00395CFA"/>
    <w:rsid w:val="003A2059"/>
    <w:rsid w:val="003A27D2"/>
    <w:rsid w:val="003A2D7B"/>
    <w:rsid w:val="003A344F"/>
    <w:rsid w:val="003A74BF"/>
    <w:rsid w:val="003B122C"/>
    <w:rsid w:val="003B2756"/>
    <w:rsid w:val="003B5F7E"/>
    <w:rsid w:val="003C1FF5"/>
    <w:rsid w:val="003C288C"/>
    <w:rsid w:val="003C31EE"/>
    <w:rsid w:val="003C7721"/>
    <w:rsid w:val="003D081D"/>
    <w:rsid w:val="003D2B27"/>
    <w:rsid w:val="003D2E2F"/>
    <w:rsid w:val="003D44F4"/>
    <w:rsid w:val="003E0E66"/>
    <w:rsid w:val="003E156C"/>
    <w:rsid w:val="003E2F4D"/>
    <w:rsid w:val="003E4982"/>
    <w:rsid w:val="003E63B3"/>
    <w:rsid w:val="003E6E05"/>
    <w:rsid w:val="003E7AA9"/>
    <w:rsid w:val="004011E5"/>
    <w:rsid w:val="00403152"/>
    <w:rsid w:val="00403AAA"/>
    <w:rsid w:val="00405831"/>
    <w:rsid w:val="00406000"/>
    <w:rsid w:val="00406E98"/>
    <w:rsid w:val="00410C7E"/>
    <w:rsid w:val="00412707"/>
    <w:rsid w:val="00413539"/>
    <w:rsid w:val="0041396D"/>
    <w:rsid w:val="00414E38"/>
    <w:rsid w:val="00415A92"/>
    <w:rsid w:val="00416B02"/>
    <w:rsid w:val="0041730D"/>
    <w:rsid w:val="00420D79"/>
    <w:rsid w:val="00420E02"/>
    <w:rsid w:val="004228CD"/>
    <w:rsid w:val="0042527A"/>
    <w:rsid w:val="00426354"/>
    <w:rsid w:val="00430261"/>
    <w:rsid w:val="004309E9"/>
    <w:rsid w:val="0043158C"/>
    <w:rsid w:val="00433E70"/>
    <w:rsid w:val="00436BA1"/>
    <w:rsid w:val="00437067"/>
    <w:rsid w:val="00437C95"/>
    <w:rsid w:val="0044138E"/>
    <w:rsid w:val="00441E77"/>
    <w:rsid w:val="00443639"/>
    <w:rsid w:val="004450BD"/>
    <w:rsid w:val="004453CE"/>
    <w:rsid w:val="00445A3B"/>
    <w:rsid w:val="00445C4E"/>
    <w:rsid w:val="00445FE0"/>
    <w:rsid w:val="00446742"/>
    <w:rsid w:val="00451A9F"/>
    <w:rsid w:val="0045475F"/>
    <w:rsid w:val="0045669C"/>
    <w:rsid w:val="00462000"/>
    <w:rsid w:val="00466C98"/>
    <w:rsid w:val="00467C3F"/>
    <w:rsid w:val="00467CE4"/>
    <w:rsid w:val="004704E1"/>
    <w:rsid w:val="0047710F"/>
    <w:rsid w:val="00477283"/>
    <w:rsid w:val="00481777"/>
    <w:rsid w:val="00482F7A"/>
    <w:rsid w:val="00485569"/>
    <w:rsid w:val="00485E70"/>
    <w:rsid w:val="00490BDE"/>
    <w:rsid w:val="0049119D"/>
    <w:rsid w:val="00494504"/>
    <w:rsid w:val="004957EC"/>
    <w:rsid w:val="00496F8D"/>
    <w:rsid w:val="004A2EC3"/>
    <w:rsid w:val="004A568F"/>
    <w:rsid w:val="004A7400"/>
    <w:rsid w:val="004A7988"/>
    <w:rsid w:val="004B201A"/>
    <w:rsid w:val="004B23F2"/>
    <w:rsid w:val="004B41B9"/>
    <w:rsid w:val="004B48AF"/>
    <w:rsid w:val="004B4934"/>
    <w:rsid w:val="004B4A44"/>
    <w:rsid w:val="004B64F3"/>
    <w:rsid w:val="004B665A"/>
    <w:rsid w:val="004C33EA"/>
    <w:rsid w:val="004C36CF"/>
    <w:rsid w:val="004C4A3E"/>
    <w:rsid w:val="004C59EA"/>
    <w:rsid w:val="004C5F05"/>
    <w:rsid w:val="004C65C6"/>
    <w:rsid w:val="004C660D"/>
    <w:rsid w:val="004C72C5"/>
    <w:rsid w:val="004C7E92"/>
    <w:rsid w:val="004D0699"/>
    <w:rsid w:val="004D0A61"/>
    <w:rsid w:val="004D1529"/>
    <w:rsid w:val="004D19CE"/>
    <w:rsid w:val="004D23F6"/>
    <w:rsid w:val="004D2ED0"/>
    <w:rsid w:val="004D4522"/>
    <w:rsid w:val="004D740B"/>
    <w:rsid w:val="004E01E9"/>
    <w:rsid w:val="004E3E40"/>
    <w:rsid w:val="004E432E"/>
    <w:rsid w:val="004E570D"/>
    <w:rsid w:val="004E6400"/>
    <w:rsid w:val="004E642E"/>
    <w:rsid w:val="004E6924"/>
    <w:rsid w:val="004E6A61"/>
    <w:rsid w:val="004E6E33"/>
    <w:rsid w:val="004E702A"/>
    <w:rsid w:val="004F0C2D"/>
    <w:rsid w:val="004F3700"/>
    <w:rsid w:val="004F3D7E"/>
    <w:rsid w:val="004F4630"/>
    <w:rsid w:val="004F521E"/>
    <w:rsid w:val="004F6FEE"/>
    <w:rsid w:val="004F72E2"/>
    <w:rsid w:val="00500EB4"/>
    <w:rsid w:val="00501CD2"/>
    <w:rsid w:val="00503974"/>
    <w:rsid w:val="00503E20"/>
    <w:rsid w:val="0050439B"/>
    <w:rsid w:val="0050529F"/>
    <w:rsid w:val="00506A51"/>
    <w:rsid w:val="005110C3"/>
    <w:rsid w:val="00511A0F"/>
    <w:rsid w:val="0051450B"/>
    <w:rsid w:val="00514B5E"/>
    <w:rsid w:val="005157C1"/>
    <w:rsid w:val="00515954"/>
    <w:rsid w:val="00515B83"/>
    <w:rsid w:val="00515E3D"/>
    <w:rsid w:val="00516D93"/>
    <w:rsid w:val="005208AC"/>
    <w:rsid w:val="00521A78"/>
    <w:rsid w:val="0052286C"/>
    <w:rsid w:val="00522AB9"/>
    <w:rsid w:val="00524E69"/>
    <w:rsid w:val="005265B9"/>
    <w:rsid w:val="005307E8"/>
    <w:rsid w:val="0053175E"/>
    <w:rsid w:val="00533533"/>
    <w:rsid w:val="00534CCB"/>
    <w:rsid w:val="00535C99"/>
    <w:rsid w:val="00535E24"/>
    <w:rsid w:val="00537827"/>
    <w:rsid w:val="00537E02"/>
    <w:rsid w:val="00541E42"/>
    <w:rsid w:val="00542718"/>
    <w:rsid w:val="00543224"/>
    <w:rsid w:val="005440F6"/>
    <w:rsid w:val="00544CCD"/>
    <w:rsid w:val="0054557A"/>
    <w:rsid w:val="00545F86"/>
    <w:rsid w:val="00546DD6"/>
    <w:rsid w:val="00546E97"/>
    <w:rsid w:val="00547869"/>
    <w:rsid w:val="00550C12"/>
    <w:rsid w:val="0055172C"/>
    <w:rsid w:val="0055569F"/>
    <w:rsid w:val="0055771D"/>
    <w:rsid w:val="005609B0"/>
    <w:rsid w:val="00560D15"/>
    <w:rsid w:val="00563A70"/>
    <w:rsid w:val="00565055"/>
    <w:rsid w:val="00565635"/>
    <w:rsid w:val="005658CB"/>
    <w:rsid w:val="00567FCF"/>
    <w:rsid w:val="00570765"/>
    <w:rsid w:val="00570A53"/>
    <w:rsid w:val="00571521"/>
    <w:rsid w:val="005732BD"/>
    <w:rsid w:val="005733F9"/>
    <w:rsid w:val="00573E59"/>
    <w:rsid w:val="0057490F"/>
    <w:rsid w:val="00575295"/>
    <w:rsid w:val="00581979"/>
    <w:rsid w:val="00581C01"/>
    <w:rsid w:val="00581CCA"/>
    <w:rsid w:val="0058242D"/>
    <w:rsid w:val="00582C22"/>
    <w:rsid w:val="005845CB"/>
    <w:rsid w:val="0058498A"/>
    <w:rsid w:val="00586350"/>
    <w:rsid w:val="00586459"/>
    <w:rsid w:val="00586CDB"/>
    <w:rsid w:val="005901D2"/>
    <w:rsid w:val="0059461A"/>
    <w:rsid w:val="005950D0"/>
    <w:rsid w:val="00597520"/>
    <w:rsid w:val="005A0430"/>
    <w:rsid w:val="005A17D6"/>
    <w:rsid w:val="005A18C5"/>
    <w:rsid w:val="005A2DD9"/>
    <w:rsid w:val="005A3ED5"/>
    <w:rsid w:val="005A5020"/>
    <w:rsid w:val="005A511C"/>
    <w:rsid w:val="005A73A3"/>
    <w:rsid w:val="005A7CF6"/>
    <w:rsid w:val="005B3348"/>
    <w:rsid w:val="005B353F"/>
    <w:rsid w:val="005B42EE"/>
    <w:rsid w:val="005B4F7A"/>
    <w:rsid w:val="005B537E"/>
    <w:rsid w:val="005B7C71"/>
    <w:rsid w:val="005C310A"/>
    <w:rsid w:val="005C4A6B"/>
    <w:rsid w:val="005C661F"/>
    <w:rsid w:val="005D1763"/>
    <w:rsid w:val="005D2A59"/>
    <w:rsid w:val="005D2AEE"/>
    <w:rsid w:val="005E429C"/>
    <w:rsid w:val="005F0C00"/>
    <w:rsid w:val="005F15ED"/>
    <w:rsid w:val="005F1B86"/>
    <w:rsid w:val="005F33F2"/>
    <w:rsid w:val="005F3DAF"/>
    <w:rsid w:val="005F460C"/>
    <w:rsid w:val="005F51F6"/>
    <w:rsid w:val="005F651A"/>
    <w:rsid w:val="005F74D0"/>
    <w:rsid w:val="00600404"/>
    <w:rsid w:val="0060117A"/>
    <w:rsid w:val="00603A26"/>
    <w:rsid w:val="006050C2"/>
    <w:rsid w:val="00612E14"/>
    <w:rsid w:val="006154FD"/>
    <w:rsid w:val="00617F30"/>
    <w:rsid w:val="00621A45"/>
    <w:rsid w:val="006231CF"/>
    <w:rsid w:val="0062598A"/>
    <w:rsid w:val="00625A52"/>
    <w:rsid w:val="0062686B"/>
    <w:rsid w:val="00633A74"/>
    <w:rsid w:val="00637549"/>
    <w:rsid w:val="00637FE1"/>
    <w:rsid w:val="00641267"/>
    <w:rsid w:val="00642A6F"/>
    <w:rsid w:val="00642E50"/>
    <w:rsid w:val="00646049"/>
    <w:rsid w:val="006479A0"/>
    <w:rsid w:val="00647FBA"/>
    <w:rsid w:val="00650A37"/>
    <w:rsid w:val="0065268F"/>
    <w:rsid w:val="00652F96"/>
    <w:rsid w:val="0065391A"/>
    <w:rsid w:val="0065447B"/>
    <w:rsid w:val="00655501"/>
    <w:rsid w:val="0065679C"/>
    <w:rsid w:val="00657108"/>
    <w:rsid w:val="00663306"/>
    <w:rsid w:val="00663909"/>
    <w:rsid w:val="00663E95"/>
    <w:rsid w:val="006659FF"/>
    <w:rsid w:val="00666775"/>
    <w:rsid w:val="006671BC"/>
    <w:rsid w:val="00670C2E"/>
    <w:rsid w:val="00670CFA"/>
    <w:rsid w:val="0067299B"/>
    <w:rsid w:val="00673287"/>
    <w:rsid w:val="00674A45"/>
    <w:rsid w:val="00680679"/>
    <w:rsid w:val="0068146D"/>
    <w:rsid w:val="00682DB1"/>
    <w:rsid w:val="00683FFB"/>
    <w:rsid w:val="00686A24"/>
    <w:rsid w:val="00686E78"/>
    <w:rsid w:val="0068768A"/>
    <w:rsid w:val="00687B2F"/>
    <w:rsid w:val="00690BEA"/>
    <w:rsid w:val="00693CF3"/>
    <w:rsid w:val="00695279"/>
    <w:rsid w:val="00697C69"/>
    <w:rsid w:val="006A0A59"/>
    <w:rsid w:val="006A5742"/>
    <w:rsid w:val="006B0F12"/>
    <w:rsid w:val="006B33A7"/>
    <w:rsid w:val="006B3B1E"/>
    <w:rsid w:val="006B72FF"/>
    <w:rsid w:val="006C1260"/>
    <w:rsid w:val="006C2232"/>
    <w:rsid w:val="006C28F0"/>
    <w:rsid w:val="006C33A0"/>
    <w:rsid w:val="006C4181"/>
    <w:rsid w:val="006C46B6"/>
    <w:rsid w:val="006C6800"/>
    <w:rsid w:val="006D0BC5"/>
    <w:rsid w:val="006D2239"/>
    <w:rsid w:val="006D2CF2"/>
    <w:rsid w:val="006D2E37"/>
    <w:rsid w:val="006D34C3"/>
    <w:rsid w:val="006E0699"/>
    <w:rsid w:val="006E327C"/>
    <w:rsid w:val="006E58BA"/>
    <w:rsid w:val="006E5F38"/>
    <w:rsid w:val="006E7795"/>
    <w:rsid w:val="006E7E9F"/>
    <w:rsid w:val="006E7FA8"/>
    <w:rsid w:val="006F00DB"/>
    <w:rsid w:val="006F4623"/>
    <w:rsid w:val="006F4B40"/>
    <w:rsid w:val="00701FEA"/>
    <w:rsid w:val="007040D1"/>
    <w:rsid w:val="00705A00"/>
    <w:rsid w:val="007069F7"/>
    <w:rsid w:val="00706DE1"/>
    <w:rsid w:val="00710059"/>
    <w:rsid w:val="00710337"/>
    <w:rsid w:val="007110C9"/>
    <w:rsid w:val="00712349"/>
    <w:rsid w:val="00712FCE"/>
    <w:rsid w:val="007131CA"/>
    <w:rsid w:val="00714BA3"/>
    <w:rsid w:val="00715180"/>
    <w:rsid w:val="0071537B"/>
    <w:rsid w:val="007167AE"/>
    <w:rsid w:val="00720485"/>
    <w:rsid w:val="00721098"/>
    <w:rsid w:val="007237CB"/>
    <w:rsid w:val="0072495B"/>
    <w:rsid w:val="00725203"/>
    <w:rsid w:val="007311E0"/>
    <w:rsid w:val="007360D3"/>
    <w:rsid w:val="0073644C"/>
    <w:rsid w:val="00736D2D"/>
    <w:rsid w:val="00737641"/>
    <w:rsid w:val="00737C72"/>
    <w:rsid w:val="007452F9"/>
    <w:rsid w:val="0074660C"/>
    <w:rsid w:val="00747B69"/>
    <w:rsid w:val="00747C53"/>
    <w:rsid w:val="00747CA5"/>
    <w:rsid w:val="00750E77"/>
    <w:rsid w:val="00751449"/>
    <w:rsid w:val="00754536"/>
    <w:rsid w:val="00755D95"/>
    <w:rsid w:val="00756B0E"/>
    <w:rsid w:val="00757BAA"/>
    <w:rsid w:val="00762B9C"/>
    <w:rsid w:val="00763999"/>
    <w:rsid w:val="00766491"/>
    <w:rsid w:val="00766BCF"/>
    <w:rsid w:val="00767F39"/>
    <w:rsid w:val="007705BC"/>
    <w:rsid w:val="00771415"/>
    <w:rsid w:val="007726E1"/>
    <w:rsid w:val="00774F4B"/>
    <w:rsid w:val="0078264A"/>
    <w:rsid w:val="0079256F"/>
    <w:rsid w:val="00792FC9"/>
    <w:rsid w:val="0079307B"/>
    <w:rsid w:val="007941CF"/>
    <w:rsid w:val="00796F48"/>
    <w:rsid w:val="007A2A5E"/>
    <w:rsid w:val="007A3C6A"/>
    <w:rsid w:val="007A5821"/>
    <w:rsid w:val="007A6B87"/>
    <w:rsid w:val="007B0EBF"/>
    <w:rsid w:val="007B12EF"/>
    <w:rsid w:val="007B2912"/>
    <w:rsid w:val="007B3F06"/>
    <w:rsid w:val="007B51E2"/>
    <w:rsid w:val="007B6401"/>
    <w:rsid w:val="007B6F81"/>
    <w:rsid w:val="007B789A"/>
    <w:rsid w:val="007C08B4"/>
    <w:rsid w:val="007C298D"/>
    <w:rsid w:val="007D0A64"/>
    <w:rsid w:val="007D5D8D"/>
    <w:rsid w:val="007D608D"/>
    <w:rsid w:val="007D7EE0"/>
    <w:rsid w:val="007E10A5"/>
    <w:rsid w:val="007E2A95"/>
    <w:rsid w:val="007E3D71"/>
    <w:rsid w:val="007F0036"/>
    <w:rsid w:val="007F2841"/>
    <w:rsid w:val="007F3673"/>
    <w:rsid w:val="007F3E30"/>
    <w:rsid w:val="0080096B"/>
    <w:rsid w:val="00800B90"/>
    <w:rsid w:val="00801611"/>
    <w:rsid w:val="00802A66"/>
    <w:rsid w:val="00805ADD"/>
    <w:rsid w:val="008103A0"/>
    <w:rsid w:val="00810DE3"/>
    <w:rsid w:val="00821541"/>
    <w:rsid w:val="0082158E"/>
    <w:rsid w:val="00821A06"/>
    <w:rsid w:val="008220F3"/>
    <w:rsid w:val="00822273"/>
    <w:rsid w:val="008235DB"/>
    <w:rsid w:val="00823FCA"/>
    <w:rsid w:val="00824298"/>
    <w:rsid w:val="00826FE4"/>
    <w:rsid w:val="00827103"/>
    <w:rsid w:val="00827853"/>
    <w:rsid w:val="008278DB"/>
    <w:rsid w:val="00830647"/>
    <w:rsid w:val="00830E80"/>
    <w:rsid w:val="00832911"/>
    <w:rsid w:val="00832BDE"/>
    <w:rsid w:val="00833071"/>
    <w:rsid w:val="00833689"/>
    <w:rsid w:val="00833EB7"/>
    <w:rsid w:val="008343CF"/>
    <w:rsid w:val="00834487"/>
    <w:rsid w:val="00836943"/>
    <w:rsid w:val="0084092F"/>
    <w:rsid w:val="00843333"/>
    <w:rsid w:val="00844C87"/>
    <w:rsid w:val="00845E3F"/>
    <w:rsid w:val="00850A87"/>
    <w:rsid w:val="008532FB"/>
    <w:rsid w:val="008540F0"/>
    <w:rsid w:val="0085435B"/>
    <w:rsid w:val="008568C0"/>
    <w:rsid w:val="00861217"/>
    <w:rsid w:val="00864874"/>
    <w:rsid w:val="00865AEC"/>
    <w:rsid w:val="00871CA1"/>
    <w:rsid w:val="00874F47"/>
    <w:rsid w:val="00877D87"/>
    <w:rsid w:val="00880255"/>
    <w:rsid w:val="008809BB"/>
    <w:rsid w:val="008810FA"/>
    <w:rsid w:val="008843E0"/>
    <w:rsid w:val="00884878"/>
    <w:rsid w:val="00885B9C"/>
    <w:rsid w:val="00886D18"/>
    <w:rsid w:val="00887B22"/>
    <w:rsid w:val="00891951"/>
    <w:rsid w:val="00892303"/>
    <w:rsid w:val="00892F89"/>
    <w:rsid w:val="00896927"/>
    <w:rsid w:val="00897E16"/>
    <w:rsid w:val="008A144E"/>
    <w:rsid w:val="008A310A"/>
    <w:rsid w:val="008A6603"/>
    <w:rsid w:val="008B5F65"/>
    <w:rsid w:val="008C0FBD"/>
    <w:rsid w:val="008C4903"/>
    <w:rsid w:val="008C5617"/>
    <w:rsid w:val="008C6687"/>
    <w:rsid w:val="008C70BD"/>
    <w:rsid w:val="008C79C7"/>
    <w:rsid w:val="008C7AC8"/>
    <w:rsid w:val="008D0242"/>
    <w:rsid w:val="008D23EE"/>
    <w:rsid w:val="008D27EF"/>
    <w:rsid w:val="008D280D"/>
    <w:rsid w:val="008D28DF"/>
    <w:rsid w:val="008D299C"/>
    <w:rsid w:val="008D2DC8"/>
    <w:rsid w:val="008D34F9"/>
    <w:rsid w:val="008D3D46"/>
    <w:rsid w:val="008D4C9E"/>
    <w:rsid w:val="008D745E"/>
    <w:rsid w:val="008E282D"/>
    <w:rsid w:val="008E29AB"/>
    <w:rsid w:val="008E44A5"/>
    <w:rsid w:val="008E4EF2"/>
    <w:rsid w:val="008E7B08"/>
    <w:rsid w:val="008F06F2"/>
    <w:rsid w:val="008F1E28"/>
    <w:rsid w:val="008F4C4B"/>
    <w:rsid w:val="008F5D80"/>
    <w:rsid w:val="008F72D8"/>
    <w:rsid w:val="008F7B8C"/>
    <w:rsid w:val="009006D2"/>
    <w:rsid w:val="009023C3"/>
    <w:rsid w:val="00906A81"/>
    <w:rsid w:val="009103F3"/>
    <w:rsid w:val="009126A4"/>
    <w:rsid w:val="00913255"/>
    <w:rsid w:val="0091374F"/>
    <w:rsid w:val="009163AF"/>
    <w:rsid w:val="00916D52"/>
    <w:rsid w:val="00923D3D"/>
    <w:rsid w:val="00924CCB"/>
    <w:rsid w:val="0092520A"/>
    <w:rsid w:val="00927978"/>
    <w:rsid w:val="00932EC4"/>
    <w:rsid w:val="00932FAD"/>
    <w:rsid w:val="00934B83"/>
    <w:rsid w:val="00936ECF"/>
    <w:rsid w:val="00937307"/>
    <w:rsid w:val="0094076E"/>
    <w:rsid w:val="009445BA"/>
    <w:rsid w:val="00945130"/>
    <w:rsid w:val="00945B0A"/>
    <w:rsid w:val="00946F68"/>
    <w:rsid w:val="009475F3"/>
    <w:rsid w:val="00951562"/>
    <w:rsid w:val="00951651"/>
    <w:rsid w:val="00953CAB"/>
    <w:rsid w:val="00954EF3"/>
    <w:rsid w:val="0095603B"/>
    <w:rsid w:val="009560C5"/>
    <w:rsid w:val="00957948"/>
    <w:rsid w:val="00962F5A"/>
    <w:rsid w:val="009668EF"/>
    <w:rsid w:val="009713CF"/>
    <w:rsid w:val="009729A9"/>
    <w:rsid w:val="009761F8"/>
    <w:rsid w:val="00976AF1"/>
    <w:rsid w:val="00976FB3"/>
    <w:rsid w:val="009770E1"/>
    <w:rsid w:val="0098030D"/>
    <w:rsid w:val="00981B13"/>
    <w:rsid w:val="00981E62"/>
    <w:rsid w:val="009851B5"/>
    <w:rsid w:val="009928E1"/>
    <w:rsid w:val="0099488A"/>
    <w:rsid w:val="00994D57"/>
    <w:rsid w:val="00996460"/>
    <w:rsid w:val="0099677B"/>
    <w:rsid w:val="009A1E07"/>
    <w:rsid w:val="009A25EB"/>
    <w:rsid w:val="009A290D"/>
    <w:rsid w:val="009A4A63"/>
    <w:rsid w:val="009A67C0"/>
    <w:rsid w:val="009B5190"/>
    <w:rsid w:val="009B5381"/>
    <w:rsid w:val="009B654F"/>
    <w:rsid w:val="009C0F6E"/>
    <w:rsid w:val="009C16DF"/>
    <w:rsid w:val="009C1FDC"/>
    <w:rsid w:val="009C2407"/>
    <w:rsid w:val="009C4804"/>
    <w:rsid w:val="009D104E"/>
    <w:rsid w:val="009D1FDF"/>
    <w:rsid w:val="009D2DB4"/>
    <w:rsid w:val="009D3524"/>
    <w:rsid w:val="009D5236"/>
    <w:rsid w:val="009E0794"/>
    <w:rsid w:val="009E1667"/>
    <w:rsid w:val="009E1CA8"/>
    <w:rsid w:val="009E28E1"/>
    <w:rsid w:val="009E38C1"/>
    <w:rsid w:val="009E6780"/>
    <w:rsid w:val="009E689C"/>
    <w:rsid w:val="009E79EC"/>
    <w:rsid w:val="009F3569"/>
    <w:rsid w:val="009F4D99"/>
    <w:rsid w:val="009F50F0"/>
    <w:rsid w:val="009F6F80"/>
    <w:rsid w:val="00A01327"/>
    <w:rsid w:val="00A018E7"/>
    <w:rsid w:val="00A0285B"/>
    <w:rsid w:val="00A028D6"/>
    <w:rsid w:val="00A03911"/>
    <w:rsid w:val="00A05140"/>
    <w:rsid w:val="00A06FC9"/>
    <w:rsid w:val="00A10DE1"/>
    <w:rsid w:val="00A11D59"/>
    <w:rsid w:val="00A123C7"/>
    <w:rsid w:val="00A13029"/>
    <w:rsid w:val="00A14E44"/>
    <w:rsid w:val="00A14E66"/>
    <w:rsid w:val="00A1509B"/>
    <w:rsid w:val="00A20730"/>
    <w:rsid w:val="00A22538"/>
    <w:rsid w:val="00A232AC"/>
    <w:rsid w:val="00A27E2B"/>
    <w:rsid w:val="00A33B7B"/>
    <w:rsid w:val="00A34039"/>
    <w:rsid w:val="00A3552E"/>
    <w:rsid w:val="00A35E94"/>
    <w:rsid w:val="00A360DB"/>
    <w:rsid w:val="00A36449"/>
    <w:rsid w:val="00A414EE"/>
    <w:rsid w:val="00A417FA"/>
    <w:rsid w:val="00A42760"/>
    <w:rsid w:val="00A443C7"/>
    <w:rsid w:val="00A4467D"/>
    <w:rsid w:val="00A458B3"/>
    <w:rsid w:val="00A45B60"/>
    <w:rsid w:val="00A45E73"/>
    <w:rsid w:val="00A5551F"/>
    <w:rsid w:val="00A6058E"/>
    <w:rsid w:val="00A60F86"/>
    <w:rsid w:val="00A61B0C"/>
    <w:rsid w:val="00A62E17"/>
    <w:rsid w:val="00A65CAA"/>
    <w:rsid w:val="00A662CF"/>
    <w:rsid w:val="00A766FD"/>
    <w:rsid w:val="00A77AE8"/>
    <w:rsid w:val="00A80353"/>
    <w:rsid w:val="00A80BEA"/>
    <w:rsid w:val="00A820E7"/>
    <w:rsid w:val="00A82DF8"/>
    <w:rsid w:val="00A82EAE"/>
    <w:rsid w:val="00A84E29"/>
    <w:rsid w:val="00A9333E"/>
    <w:rsid w:val="00A93521"/>
    <w:rsid w:val="00A93FEC"/>
    <w:rsid w:val="00A94EC5"/>
    <w:rsid w:val="00A9554E"/>
    <w:rsid w:val="00A962DC"/>
    <w:rsid w:val="00A978A0"/>
    <w:rsid w:val="00AA1EAB"/>
    <w:rsid w:val="00AA31F2"/>
    <w:rsid w:val="00AA406C"/>
    <w:rsid w:val="00AA4F9F"/>
    <w:rsid w:val="00AA5E1B"/>
    <w:rsid w:val="00AA6DFB"/>
    <w:rsid w:val="00AA7256"/>
    <w:rsid w:val="00AB0987"/>
    <w:rsid w:val="00AB0FD3"/>
    <w:rsid w:val="00AB1C8B"/>
    <w:rsid w:val="00AB3900"/>
    <w:rsid w:val="00AB7215"/>
    <w:rsid w:val="00AB7298"/>
    <w:rsid w:val="00AC005D"/>
    <w:rsid w:val="00AC14DE"/>
    <w:rsid w:val="00AC22F7"/>
    <w:rsid w:val="00AC312F"/>
    <w:rsid w:val="00AC56C2"/>
    <w:rsid w:val="00AC5E19"/>
    <w:rsid w:val="00AC66BB"/>
    <w:rsid w:val="00AC6F49"/>
    <w:rsid w:val="00AD1584"/>
    <w:rsid w:val="00AD2723"/>
    <w:rsid w:val="00AD445D"/>
    <w:rsid w:val="00AD6F47"/>
    <w:rsid w:val="00AE2781"/>
    <w:rsid w:val="00AE5C52"/>
    <w:rsid w:val="00AE6D76"/>
    <w:rsid w:val="00AE6E0A"/>
    <w:rsid w:val="00AE7A7F"/>
    <w:rsid w:val="00AF045F"/>
    <w:rsid w:val="00AF0FA2"/>
    <w:rsid w:val="00AF0FDD"/>
    <w:rsid w:val="00AF5A70"/>
    <w:rsid w:val="00AF5C5C"/>
    <w:rsid w:val="00B033C0"/>
    <w:rsid w:val="00B03FB1"/>
    <w:rsid w:val="00B15829"/>
    <w:rsid w:val="00B16BCA"/>
    <w:rsid w:val="00B17A9D"/>
    <w:rsid w:val="00B2032D"/>
    <w:rsid w:val="00B206FA"/>
    <w:rsid w:val="00B21C2F"/>
    <w:rsid w:val="00B22CB8"/>
    <w:rsid w:val="00B249B7"/>
    <w:rsid w:val="00B2764E"/>
    <w:rsid w:val="00B300DD"/>
    <w:rsid w:val="00B30E77"/>
    <w:rsid w:val="00B32DE0"/>
    <w:rsid w:val="00B33F27"/>
    <w:rsid w:val="00B34B88"/>
    <w:rsid w:val="00B37A25"/>
    <w:rsid w:val="00B43386"/>
    <w:rsid w:val="00B434EA"/>
    <w:rsid w:val="00B44032"/>
    <w:rsid w:val="00B456CC"/>
    <w:rsid w:val="00B478EF"/>
    <w:rsid w:val="00B47CB9"/>
    <w:rsid w:val="00B51BAD"/>
    <w:rsid w:val="00B53E4E"/>
    <w:rsid w:val="00B55BE4"/>
    <w:rsid w:val="00B564A3"/>
    <w:rsid w:val="00B56514"/>
    <w:rsid w:val="00B56551"/>
    <w:rsid w:val="00B569CB"/>
    <w:rsid w:val="00B57AE9"/>
    <w:rsid w:val="00B57CA2"/>
    <w:rsid w:val="00B57CD8"/>
    <w:rsid w:val="00B620E3"/>
    <w:rsid w:val="00B638BD"/>
    <w:rsid w:val="00B640CC"/>
    <w:rsid w:val="00B65EB5"/>
    <w:rsid w:val="00B662BF"/>
    <w:rsid w:val="00B66555"/>
    <w:rsid w:val="00B71672"/>
    <w:rsid w:val="00B72CEC"/>
    <w:rsid w:val="00B73156"/>
    <w:rsid w:val="00B73650"/>
    <w:rsid w:val="00B74929"/>
    <w:rsid w:val="00B74FF3"/>
    <w:rsid w:val="00B7716B"/>
    <w:rsid w:val="00B777E6"/>
    <w:rsid w:val="00B80134"/>
    <w:rsid w:val="00B803D2"/>
    <w:rsid w:val="00B80707"/>
    <w:rsid w:val="00B861D4"/>
    <w:rsid w:val="00B8737A"/>
    <w:rsid w:val="00B87675"/>
    <w:rsid w:val="00B87741"/>
    <w:rsid w:val="00B910DF"/>
    <w:rsid w:val="00B922B9"/>
    <w:rsid w:val="00B92B2F"/>
    <w:rsid w:val="00B93C83"/>
    <w:rsid w:val="00B95043"/>
    <w:rsid w:val="00B95164"/>
    <w:rsid w:val="00B9749F"/>
    <w:rsid w:val="00BA3026"/>
    <w:rsid w:val="00BA316D"/>
    <w:rsid w:val="00BA3EFF"/>
    <w:rsid w:val="00BA4972"/>
    <w:rsid w:val="00BA5FE7"/>
    <w:rsid w:val="00BA60BB"/>
    <w:rsid w:val="00BB1C24"/>
    <w:rsid w:val="00BB2580"/>
    <w:rsid w:val="00BB27EC"/>
    <w:rsid w:val="00BB36D7"/>
    <w:rsid w:val="00BB37EE"/>
    <w:rsid w:val="00BB3E26"/>
    <w:rsid w:val="00BB530B"/>
    <w:rsid w:val="00BB58D3"/>
    <w:rsid w:val="00BC179B"/>
    <w:rsid w:val="00BC432E"/>
    <w:rsid w:val="00BC6774"/>
    <w:rsid w:val="00BC6C8B"/>
    <w:rsid w:val="00BC6EEF"/>
    <w:rsid w:val="00BC7980"/>
    <w:rsid w:val="00BD28C5"/>
    <w:rsid w:val="00BD2FEE"/>
    <w:rsid w:val="00BD4BD5"/>
    <w:rsid w:val="00BD4D43"/>
    <w:rsid w:val="00BD63CA"/>
    <w:rsid w:val="00BD7695"/>
    <w:rsid w:val="00BE0D5C"/>
    <w:rsid w:val="00BE0EE1"/>
    <w:rsid w:val="00BE1787"/>
    <w:rsid w:val="00BE3935"/>
    <w:rsid w:val="00BE43CE"/>
    <w:rsid w:val="00BE4BDF"/>
    <w:rsid w:val="00BE5FED"/>
    <w:rsid w:val="00BE65E4"/>
    <w:rsid w:val="00BE7D81"/>
    <w:rsid w:val="00BF0839"/>
    <w:rsid w:val="00BF0AA7"/>
    <w:rsid w:val="00BF2F26"/>
    <w:rsid w:val="00BF2F97"/>
    <w:rsid w:val="00C00765"/>
    <w:rsid w:val="00C00AF0"/>
    <w:rsid w:val="00C00E26"/>
    <w:rsid w:val="00C03A2E"/>
    <w:rsid w:val="00C055E3"/>
    <w:rsid w:val="00C05D5D"/>
    <w:rsid w:val="00C06287"/>
    <w:rsid w:val="00C12309"/>
    <w:rsid w:val="00C20D5E"/>
    <w:rsid w:val="00C23583"/>
    <w:rsid w:val="00C312CC"/>
    <w:rsid w:val="00C36C67"/>
    <w:rsid w:val="00C4066A"/>
    <w:rsid w:val="00C40D0E"/>
    <w:rsid w:val="00C45FC6"/>
    <w:rsid w:val="00C469FC"/>
    <w:rsid w:val="00C46B7B"/>
    <w:rsid w:val="00C51DF7"/>
    <w:rsid w:val="00C5201A"/>
    <w:rsid w:val="00C5255D"/>
    <w:rsid w:val="00C56BAB"/>
    <w:rsid w:val="00C57E14"/>
    <w:rsid w:val="00C602B7"/>
    <w:rsid w:val="00C60D92"/>
    <w:rsid w:val="00C61130"/>
    <w:rsid w:val="00C65930"/>
    <w:rsid w:val="00C73E1D"/>
    <w:rsid w:val="00C75287"/>
    <w:rsid w:val="00C75AB0"/>
    <w:rsid w:val="00C80C67"/>
    <w:rsid w:val="00C82AA4"/>
    <w:rsid w:val="00C8305C"/>
    <w:rsid w:val="00C844D6"/>
    <w:rsid w:val="00C85FF6"/>
    <w:rsid w:val="00C86B9F"/>
    <w:rsid w:val="00C8748C"/>
    <w:rsid w:val="00C92ED5"/>
    <w:rsid w:val="00C9326B"/>
    <w:rsid w:val="00C94419"/>
    <w:rsid w:val="00C95691"/>
    <w:rsid w:val="00C96A47"/>
    <w:rsid w:val="00C970CE"/>
    <w:rsid w:val="00CA113C"/>
    <w:rsid w:val="00CA15DE"/>
    <w:rsid w:val="00CA1ECD"/>
    <w:rsid w:val="00CA4C7F"/>
    <w:rsid w:val="00CA73B3"/>
    <w:rsid w:val="00CB1255"/>
    <w:rsid w:val="00CB13B7"/>
    <w:rsid w:val="00CB4411"/>
    <w:rsid w:val="00CB6FEF"/>
    <w:rsid w:val="00CB7087"/>
    <w:rsid w:val="00CB723D"/>
    <w:rsid w:val="00CB79B6"/>
    <w:rsid w:val="00CC41EE"/>
    <w:rsid w:val="00CC482D"/>
    <w:rsid w:val="00CC4C40"/>
    <w:rsid w:val="00CD01CD"/>
    <w:rsid w:val="00CD061B"/>
    <w:rsid w:val="00CD0BF5"/>
    <w:rsid w:val="00CD0FA4"/>
    <w:rsid w:val="00CD1089"/>
    <w:rsid w:val="00CD1BCD"/>
    <w:rsid w:val="00CD41F8"/>
    <w:rsid w:val="00CD6D61"/>
    <w:rsid w:val="00CD7853"/>
    <w:rsid w:val="00CD7D66"/>
    <w:rsid w:val="00CD7FFC"/>
    <w:rsid w:val="00CE1586"/>
    <w:rsid w:val="00CE1DFB"/>
    <w:rsid w:val="00CE2C6E"/>
    <w:rsid w:val="00CE2D75"/>
    <w:rsid w:val="00CE6C66"/>
    <w:rsid w:val="00CE799B"/>
    <w:rsid w:val="00CF046A"/>
    <w:rsid w:val="00CF321C"/>
    <w:rsid w:val="00CF3AED"/>
    <w:rsid w:val="00CF4FE6"/>
    <w:rsid w:val="00CF556F"/>
    <w:rsid w:val="00CF5974"/>
    <w:rsid w:val="00D0030F"/>
    <w:rsid w:val="00D006D4"/>
    <w:rsid w:val="00D0445F"/>
    <w:rsid w:val="00D0608D"/>
    <w:rsid w:val="00D061D5"/>
    <w:rsid w:val="00D06E87"/>
    <w:rsid w:val="00D06EFC"/>
    <w:rsid w:val="00D074BF"/>
    <w:rsid w:val="00D1197E"/>
    <w:rsid w:val="00D122E5"/>
    <w:rsid w:val="00D14505"/>
    <w:rsid w:val="00D1619E"/>
    <w:rsid w:val="00D206B3"/>
    <w:rsid w:val="00D219C1"/>
    <w:rsid w:val="00D22C33"/>
    <w:rsid w:val="00D25F87"/>
    <w:rsid w:val="00D27373"/>
    <w:rsid w:val="00D32833"/>
    <w:rsid w:val="00D33DA7"/>
    <w:rsid w:val="00D3507E"/>
    <w:rsid w:val="00D354D0"/>
    <w:rsid w:val="00D41D9A"/>
    <w:rsid w:val="00D461E5"/>
    <w:rsid w:val="00D46CFA"/>
    <w:rsid w:val="00D472D8"/>
    <w:rsid w:val="00D5255B"/>
    <w:rsid w:val="00D538F6"/>
    <w:rsid w:val="00D5457D"/>
    <w:rsid w:val="00D54696"/>
    <w:rsid w:val="00D54EF5"/>
    <w:rsid w:val="00D5505D"/>
    <w:rsid w:val="00D551E2"/>
    <w:rsid w:val="00D564B3"/>
    <w:rsid w:val="00D56FF4"/>
    <w:rsid w:val="00D61E55"/>
    <w:rsid w:val="00D6213A"/>
    <w:rsid w:val="00D62CAE"/>
    <w:rsid w:val="00D6604E"/>
    <w:rsid w:val="00D67F22"/>
    <w:rsid w:val="00D70223"/>
    <w:rsid w:val="00D73760"/>
    <w:rsid w:val="00D74036"/>
    <w:rsid w:val="00D753D8"/>
    <w:rsid w:val="00D763C0"/>
    <w:rsid w:val="00D7660B"/>
    <w:rsid w:val="00D802BD"/>
    <w:rsid w:val="00D808EE"/>
    <w:rsid w:val="00D872D9"/>
    <w:rsid w:val="00D87A84"/>
    <w:rsid w:val="00D87FE7"/>
    <w:rsid w:val="00D91885"/>
    <w:rsid w:val="00D931A5"/>
    <w:rsid w:val="00D93663"/>
    <w:rsid w:val="00D94097"/>
    <w:rsid w:val="00D95DDC"/>
    <w:rsid w:val="00D96B60"/>
    <w:rsid w:val="00DA0634"/>
    <w:rsid w:val="00DA157D"/>
    <w:rsid w:val="00DA3C83"/>
    <w:rsid w:val="00DA3E6F"/>
    <w:rsid w:val="00DA62C5"/>
    <w:rsid w:val="00DA6E1C"/>
    <w:rsid w:val="00DA7CB8"/>
    <w:rsid w:val="00DA7DA7"/>
    <w:rsid w:val="00DB0410"/>
    <w:rsid w:val="00DB0871"/>
    <w:rsid w:val="00DB0CB2"/>
    <w:rsid w:val="00DB2F1B"/>
    <w:rsid w:val="00DB4242"/>
    <w:rsid w:val="00DB523D"/>
    <w:rsid w:val="00DC08BC"/>
    <w:rsid w:val="00DC1F63"/>
    <w:rsid w:val="00DC231E"/>
    <w:rsid w:val="00DC3FAB"/>
    <w:rsid w:val="00DD1011"/>
    <w:rsid w:val="00DD547F"/>
    <w:rsid w:val="00DE221F"/>
    <w:rsid w:val="00DE3A2A"/>
    <w:rsid w:val="00DE55E6"/>
    <w:rsid w:val="00DE5DBB"/>
    <w:rsid w:val="00DF169D"/>
    <w:rsid w:val="00DF7AE1"/>
    <w:rsid w:val="00E004A1"/>
    <w:rsid w:val="00E0241F"/>
    <w:rsid w:val="00E04482"/>
    <w:rsid w:val="00E04D37"/>
    <w:rsid w:val="00E05840"/>
    <w:rsid w:val="00E07968"/>
    <w:rsid w:val="00E10BA8"/>
    <w:rsid w:val="00E120F4"/>
    <w:rsid w:val="00E12448"/>
    <w:rsid w:val="00E142CA"/>
    <w:rsid w:val="00E14683"/>
    <w:rsid w:val="00E15678"/>
    <w:rsid w:val="00E207DB"/>
    <w:rsid w:val="00E21EFB"/>
    <w:rsid w:val="00E2267F"/>
    <w:rsid w:val="00E235D4"/>
    <w:rsid w:val="00E25276"/>
    <w:rsid w:val="00E25FBA"/>
    <w:rsid w:val="00E26E6C"/>
    <w:rsid w:val="00E270B7"/>
    <w:rsid w:val="00E27C9F"/>
    <w:rsid w:val="00E36A50"/>
    <w:rsid w:val="00E372DB"/>
    <w:rsid w:val="00E41B22"/>
    <w:rsid w:val="00E43C87"/>
    <w:rsid w:val="00E44BDB"/>
    <w:rsid w:val="00E457BF"/>
    <w:rsid w:val="00E528EB"/>
    <w:rsid w:val="00E5370B"/>
    <w:rsid w:val="00E53F77"/>
    <w:rsid w:val="00E56811"/>
    <w:rsid w:val="00E56A3E"/>
    <w:rsid w:val="00E57E11"/>
    <w:rsid w:val="00E6139F"/>
    <w:rsid w:val="00E61E1E"/>
    <w:rsid w:val="00E62387"/>
    <w:rsid w:val="00E64230"/>
    <w:rsid w:val="00E64B3B"/>
    <w:rsid w:val="00E6618A"/>
    <w:rsid w:val="00E67D97"/>
    <w:rsid w:val="00E71A05"/>
    <w:rsid w:val="00E740F4"/>
    <w:rsid w:val="00E742BC"/>
    <w:rsid w:val="00E76DA2"/>
    <w:rsid w:val="00E775C9"/>
    <w:rsid w:val="00E80AB0"/>
    <w:rsid w:val="00E81E67"/>
    <w:rsid w:val="00E8435E"/>
    <w:rsid w:val="00E90B9D"/>
    <w:rsid w:val="00E923F1"/>
    <w:rsid w:val="00E93762"/>
    <w:rsid w:val="00E96A6F"/>
    <w:rsid w:val="00EA1649"/>
    <w:rsid w:val="00EA1B79"/>
    <w:rsid w:val="00EA42B1"/>
    <w:rsid w:val="00EA469A"/>
    <w:rsid w:val="00EA4BDE"/>
    <w:rsid w:val="00EA6D03"/>
    <w:rsid w:val="00EB0D89"/>
    <w:rsid w:val="00EB1D3D"/>
    <w:rsid w:val="00EB3D8A"/>
    <w:rsid w:val="00EB4AF9"/>
    <w:rsid w:val="00EB6139"/>
    <w:rsid w:val="00EB711D"/>
    <w:rsid w:val="00EC0476"/>
    <w:rsid w:val="00EC71ED"/>
    <w:rsid w:val="00EC7486"/>
    <w:rsid w:val="00ED04F4"/>
    <w:rsid w:val="00ED2536"/>
    <w:rsid w:val="00ED27A5"/>
    <w:rsid w:val="00ED6790"/>
    <w:rsid w:val="00ED7B38"/>
    <w:rsid w:val="00ED7BC1"/>
    <w:rsid w:val="00EE0057"/>
    <w:rsid w:val="00EE0E84"/>
    <w:rsid w:val="00EE120A"/>
    <w:rsid w:val="00EE208F"/>
    <w:rsid w:val="00EE308D"/>
    <w:rsid w:val="00EE44C9"/>
    <w:rsid w:val="00EF087C"/>
    <w:rsid w:val="00EF2769"/>
    <w:rsid w:val="00EF366A"/>
    <w:rsid w:val="00EF4CE2"/>
    <w:rsid w:val="00EF4DF3"/>
    <w:rsid w:val="00EF68E5"/>
    <w:rsid w:val="00EF7AFC"/>
    <w:rsid w:val="00F02F28"/>
    <w:rsid w:val="00F03CEE"/>
    <w:rsid w:val="00F0799D"/>
    <w:rsid w:val="00F119C6"/>
    <w:rsid w:val="00F12744"/>
    <w:rsid w:val="00F13F24"/>
    <w:rsid w:val="00F1419E"/>
    <w:rsid w:val="00F1472A"/>
    <w:rsid w:val="00F16EEB"/>
    <w:rsid w:val="00F209D8"/>
    <w:rsid w:val="00F21F2F"/>
    <w:rsid w:val="00F2439D"/>
    <w:rsid w:val="00F27ED1"/>
    <w:rsid w:val="00F30CF8"/>
    <w:rsid w:val="00F31315"/>
    <w:rsid w:val="00F36BFC"/>
    <w:rsid w:val="00F40408"/>
    <w:rsid w:val="00F41192"/>
    <w:rsid w:val="00F42301"/>
    <w:rsid w:val="00F42F5E"/>
    <w:rsid w:val="00F43B6E"/>
    <w:rsid w:val="00F43BA3"/>
    <w:rsid w:val="00F451BD"/>
    <w:rsid w:val="00F46297"/>
    <w:rsid w:val="00F46ABC"/>
    <w:rsid w:val="00F46FA2"/>
    <w:rsid w:val="00F50098"/>
    <w:rsid w:val="00F5172B"/>
    <w:rsid w:val="00F52F48"/>
    <w:rsid w:val="00F53655"/>
    <w:rsid w:val="00F53C1E"/>
    <w:rsid w:val="00F55290"/>
    <w:rsid w:val="00F55956"/>
    <w:rsid w:val="00F56CA9"/>
    <w:rsid w:val="00F6071E"/>
    <w:rsid w:val="00F614AD"/>
    <w:rsid w:val="00F616C5"/>
    <w:rsid w:val="00F62CFC"/>
    <w:rsid w:val="00F639E2"/>
    <w:rsid w:val="00F65284"/>
    <w:rsid w:val="00F711FF"/>
    <w:rsid w:val="00F71512"/>
    <w:rsid w:val="00F73C0E"/>
    <w:rsid w:val="00F74363"/>
    <w:rsid w:val="00F74FA5"/>
    <w:rsid w:val="00F7658C"/>
    <w:rsid w:val="00F769FF"/>
    <w:rsid w:val="00F76DB1"/>
    <w:rsid w:val="00F77E6A"/>
    <w:rsid w:val="00F81D93"/>
    <w:rsid w:val="00F831FB"/>
    <w:rsid w:val="00F8684C"/>
    <w:rsid w:val="00F86C62"/>
    <w:rsid w:val="00F87B17"/>
    <w:rsid w:val="00F907B5"/>
    <w:rsid w:val="00F90FEB"/>
    <w:rsid w:val="00F93164"/>
    <w:rsid w:val="00F93332"/>
    <w:rsid w:val="00F939BA"/>
    <w:rsid w:val="00F940A3"/>
    <w:rsid w:val="00F9413F"/>
    <w:rsid w:val="00F94A2D"/>
    <w:rsid w:val="00F94D21"/>
    <w:rsid w:val="00F94F18"/>
    <w:rsid w:val="00F95F64"/>
    <w:rsid w:val="00FA11D0"/>
    <w:rsid w:val="00FA14EB"/>
    <w:rsid w:val="00FA1BD5"/>
    <w:rsid w:val="00FA32B3"/>
    <w:rsid w:val="00FA344A"/>
    <w:rsid w:val="00FA39DE"/>
    <w:rsid w:val="00FA406D"/>
    <w:rsid w:val="00FA44DE"/>
    <w:rsid w:val="00FA4570"/>
    <w:rsid w:val="00FA690F"/>
    <w:rsid w:val="00FA6B79"/>
    <w:rsid w:val="00FB0D05"/>
    <w:rsid w:val="00FB3748"/>
    <w:rsid w:val="00FB5056"/>
    <w:rsid w:val="00FB70A9"/>
    <w:rsid w:val="00FC015B"/>
    <w:rsid w:val="00FC019D"/>
    <w:rsid w:val="00FC19A6"/>
    <w:rsid w:val="00FC3C87"/>
    <w:rsid w:val="00FD0CB0"/>
    <w:rsid w:val="00FD1315"/>
    <w:rsid w:val="00FD19F3"/>
    <w:rsid w:val="00FD7BD8"/>
    <w:rsid w:val="00FE1536"/>
    <w:rsid w:val="00FE25EE"/>
    <w:rsid w:val="00FE4491"/>
    <w:rsid w:val="00FE5718"/>
    <w:rsid w:val="00FE68CD"/>
    <w:rsid w:val="00FF061A"/>
    <w:rsid w:val="00FF2137"/>
    <w:rsid w:val="00FF2D07"/>
    <w:rsid w:val="00FF3DA4"/>
    <w:rsid w:val="00FF638A"/>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2E3195"/>
    <w:pPr>
      <w:numPr>
        <w:ilvl w:val="2"/>
      </w:numPr>
      <w:spacing w:before="120"/>
      <w:outlineLvl w:val="2"/>
    </w:pPr>
    <w:rPr>
      <w:b/>
      <w:color w:val="124486"/>
      <w:sz w:val="20"/>
      <w:szCs w:val="20"/>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2E3195"/>
    <w:rPr>
      <w:rFonts w:ascii="Helvetica" w:eastAsia="Times New Roman" w:hAnsi="Helvetica" w:cs="Arial"/>
      <w:b/>
      <w:color w:val="124486"/>
      <w:kern w:val="28"/>
      <w:sz w:val="20"/>
      <w:szCs w:val="20"/>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F451BD"/>
    <w:pPr>
      <w:ind w:right="-122"/>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otpoint">
    <w:name w:val="dot point"/>
    <w:basedOn w:val="Normal"/>
    <w:link w:val="dotpointChar"/>
    <w:qFormat/>
    <w:rsid w:val="00B74FF3"/>
    <w:pPr>
      <w:numPr>
        <w:numId w:val="19"/>
      </w:numPr>
      <w:ind w:right="283"/>
    </w:pPr>
    <w:rPr>
      <w:rFonts w:asciiTheme="minorHAnsi" w:eastAsia="Times New Roman" w:hAnsiTheme="minorHAnsi" w:cstheme="minorHAnsi"/>
      <w:sz w:val="22"/>
      <w:szCs w:val="22"/>
      <w:lang w:val="en-US"/>
    </w:rPr>
  </w:style>
  <w:style w:type="character" w:customStyle="1" w:styleId="dotpointChar">
    <w:name w:val="dot point Char"/>
    <w:basedOn w:val="DefaultParagraphFont"/>
    <w:link w:val="dotpoint"/>
    <w:rsid w:val="00B74FF3"/>
    <w:rPr>
      <w:rFonts w:eastAsia="Times New Roman" w:cstheme="minorHAnsi"/>
      <w:lang w:val="en-US"/>
    </w:rPr>
  </w:style>
  <w:style w:type="table" w:customStyle="1" w:styleId="APPR1">
    <w:name w:val="APPR1"/>
    <w:basedOn w:val="TableNormal"/>
    <w:uiPriority w:val="99"/>
    <w:rsid w:val="00F5009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D5469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1D6BE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head1">
    <w:name w:val="head 1"/>
    <w:basedOn w:val="Normal"/>
    <w:link w:val="head1Char"/>
    <w:qFormat/>
    <w:rsid w:val="001D6BEB"/>
    <w:pPr>
      <w:spacing w:after="60"/>
      <w:ind w:right="284"/>
    </w:pPr>
    <w:rPr>
      <w:rFonts w:asciiTheme="minorHAnsi" w:eastAsiaTheme="majorEastAsia" w:hAnsiTheme="minorHAnsi" w:cstheme="minorHAnsi"/>
      <w:b/>
      <w:bCs/>
      <w:color w:val="365F91" w:themeColor="accent1" w:themeShade="BF"/>
      <w:kern w:val="28"/>
      <w:sz w:val="24"/>
    </w:rPr>
  </w:style>
  <w:style w:type="character" w:customStyle="1" w:styleId="head1Char">
    <w:name w:val="head 1 Char"/>
    <w:basedOn w:val="DefaultParagraphFont"/>
    <w:link w:val="head1"/>
    <w:rsid w:val="001D6BEB"/>
    <w:rPr>
      <w:rFonts w:eastAsiaTheme="majorEastAsia" w:cstheme="minorHAnsi"/>
      <w:b/>
      <w:bCs/>
      <w:color w:val="365F91" w:themeColor="accent1" w:themeShade="BF"/>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2E3195"/>
    <w:pPr>
      <w:numPr>
        <w:ilvl w:val="2"/>
      </w:numPr>
      <w:spacing w:before="120"/>
      <w:outlineLvl w:val="2"/>
    </w:pPr>
    <w:rPr>
      <w:b/>
      <w:color w:val="124486"/>
      <w:sz w:val="20"/>
      <w:szCs w:val="20"/>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2E3195"/>
    <w:rPr>
      <w:rFonts w:ascii="Helvetica" w:eastAsia="Times New Roman" w:hAnsi="Helvetica" w:cs="Arial"/>
      <w:b/>
      <w:color w:val="124486"/>
      <w:kern w:val="28"/>
      <w:sz w:val="20"/>
      <w:szCs w:val="20"/>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901D2"/>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582C22"/>
    <w:pPr>
      <w:keepLines w:val="0"/>
      <w:spacing w:before="20" w:after="20" w:line="180" w:lineRule="atLeast"/>
      <w:jc w:val="both"/>
    </w:pPr>
    <w:rPr>
      <w:b/>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582C22"/>
    <w:rPr>
      <w:rFonts w:ascii="Franklin Gothic Book" w:eastAsia="Times New Roman" w:hAnsi="Franklin Gothic Book" w:cs="Times New Roman"/>
      <w:b/>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F451BD"/>
    <w:pPr>
      <w:ind w:right="-122"/>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901D2"/>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otpoint">
    <w:name w:val="dot point"/>
    <w:basedOn w:val="Normal"/>
    <w:link w:val="dotpointChar"/>
    <w:qFormat/>
    <w:rsid w:val="00B74FF3"/>
    <w:pPr>
      <w:numPr>
        <w:numId w:val="19"/>
      </w:numPr>
      <w:ind w:right="283"/>
    </w:pPr>
    <w:rPr>
      <w:rFonts w:asciiTheme="minorHAnsi" w:eastAsia="Times New Roman" w:hAnsiTheme="minorHAnsi" w:cstheme="minorHAnsi"/>
      <w:sz w:val="22"/>
      <w:szCs w:val="22"/>
      <w:lang w:val="en-US"/>
    </w:rPr>
  </w:style>
  <w:style w:type="character" w:customStyle="1" w:styleId="dotpointChar">
    <w:name w:val="dot point Char"/>
    <w:basedOn w:val="DefaultParagraphFont"/>
    <w:link w:val="dotpoint"/>
    <w:rsid w:val="00B74FF3"/>
    <w:rPr>
      <w:rFonts w:eastAsia="Times New Roman" w:cstheme="minorHAnsi"/>
      <w:lang w:val="en-US"/>
    </w:rPr>
  </w:style>
  <w:style w:type="table" w:customStyle="1" w:styleId="APPR1">
    <w:name w:val="APPR1"/>
    <w:basedOn w:val="TableNormal"/>
    <w:uiPriority w:val="99"/>
    <w:rsid w:val="00F50098"/>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APPR2">
    <w:name w:val="APPR2"/>
    <w:basedOn w:val="TableNormal"/>
    <w:uiPriority w:val="99"/>
    <w:rsid w:val="00D5469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Default">
    <w:name w:val="Default"/>
    <w:rsid w:val="001D6BEB"/>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head1">
    <w:name w:val="head 1"/>
    <w:basedOn w:val="Normal"/>
    <w:link w:val="head1Char"/>
    <w:qFormat/>
    <w:rsid w:val="001D6BEB"/>
    <w:pPr>
      <w:spacing w:after="60"/>
      <w:ind w:right="284"/>
    </w:pPr>
    <w:rPr>
      <w:rFonts w:asciiTheme="minorHAnsi" w:eastAsiaTheme="majorEastAsia" w:hAnsiTheme="minorHAnsi" w:cstheme="minorHAnsi"/>
      <w:b/>
      <w:bCs/>
      <w:color w:val="365F91" w:themeColor="accent1" w:themeShade="BF"/>
      <w:kern w:val="28"/>
      <w:sz w:val="24"/>
    </w:rPr>
  </w:style>
  <w:style w:type="character" w:customStyle="1" w:styleId="head1Char">
    <w:name w:val="head 1 Char"/>
    <w:basedOn w:val="DefaultParagraphFont"/>
    <w:link w:val="head1"/>
    <w:rsid w:val="001D6BEB"/>
    <w:rPr>
      <w:rFonts w:eastAsiaTheme="majorEastAsia" w:cstheme="minorHAnsi"/>
      <w:b/>
      <w:bCs/>
      <w:color w:val="365F91" w:themeColor="accent1" w:themeShade="BF"/>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44455603">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34980344">
      <w:bodyDiv w:val="1"/>
      <w:marLeft w:val="0"/>
      <w:marRight w:val="0"/>
      <w:marTop w:val="0"/>
      <w:marBottom w:val="0"/>
      <w:divBdr>
        <w:top w:val="none" w:sz="0" w:space="0" w:color="auto"/>
        <w:left w:val="none" w:sz="0" w:space="0" w:color="auto"/>
        <w:bottom w:val="none" w:sz="0" w:space="0" w:color="auto"/>
        <w:right w:val="none" w:sz="0" w:space="0" w:color="auto"/>
      </w:divBdr>
    </w:div>
    <w:div w:id="690373862">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78250597">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63399741">
      <w:bodyDiv w:val="1"/>
      <w:marLeft w:val="0"/>
      <w:marRight w:val="0"/>
      <w:marTop w:val="0"/>
      <w:marBottom w:val="0"/>
      <w:divBdr>
        <w:top w:val="none" w:sz="0" w:space="0" w:color="auto"/>
        <w:left w:val="none" w:sz="0" w:space="0" w:color="auto"/>
        <w:bottom w:val="none" w:sz="0" w:space="0" w:color="auto"/>
        <w:right w:val="none" w:sz="0" w:space="0" w:color="auto"/>
      </w:divBdr>
    </w:div>
    <w:div w:id="1178234874">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33613650">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692589">
      <w:bodyDiv w:val="1"/>
      <w:marLeft w:val="0"/>
      <w:marRight w:val="0"/>
      <w:marTop w:val="0"/>
      <w:marBottom w:val="0"/>
      <w:divBdr>
        <w:top w:val="none" w:sz="0" w:space="0" w:color="auto"/>
        <w:left w:val="none" w:sz="0" w:space="0" w:color="auto"/>
        <w:bottom w:val="none" w:sz="0" w:space="0" w:color="auto"/>
        <w:right w:val="none" w:sz="0" w:space="0" w:color="auto"/>
      </w:divBdr>
    </w:div>
    <w:div w:id="1844737713">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IMF" TargetMode="External"/><Relationship Id="rId1" Type="http://schemas.openxmlformats.org/officeDocument/2006/relationships/hyperlink" Target="http://www.samoagovt.ws/2015/05/20152016-budget-addres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15BC8-487D-4479-BA27-1649A04C2196}"/>
</file>

<file path=customXml/itemProps2.xml><?xml version="1.0" encoding="utf-8"?>
<ds:datastoreItem xmlns:ds="http://schemas.openxmlformats.org/officeDocument/2006/customXml" ds:itemID="{C0365663-05BE-41A2-A060-9C67065AF9D5}"/>
</file>

<file path=customXml/itemProps3.xml><?xml version="1.0" encoding="utf-8"?>
<ds:datastoreItem xmlns:ds="http://schemas.openxmlformats.org/officeDocument/2006/customXml" ds:itemID="{C9514666-743A-47B9-879B-C6722833369A}"/>
</file>

<file path=customXml/itemProps4.xml><?xml version="1.0" encoding="utf-8"?>
<ds:datastoreItem xmlns:ds="http://schemas.openxmlformats.org/officeDocument/2006/customXml" ds:itemID="{2B1FDAE3-1EE0-480E-8960-8DC1F3735EE5}"/>
</file>

<file path=docProps/app.xml><?xml version="1.0" encoding="utf-8"?>
<Properties xmlns="http://schemas.openxmlformats.org/officeDocument/2006/extended-properties" xmlns:vt="http://schemas.openxmlformats.org/officeDocument/2006/docPropsVTypes">
  <Template>B3E52375</Template>
  <TotalTime>0</TotalTime>
  <Pages>15</Pages>
  <Words>7226</Words>
  <Characters>41192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48322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2015-10-30T04:52:00Z</dcterms:created>
  <dcterms:modified xsi:type="dcterms:W3CDTF">2015-10-30T05:30:00Z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982500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