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40B9F" w14:textId="77777777" w:rsidR="000D733F" w:rsidRDefault="000D733F">
      <w:pPr>
        <w:spacing w:after="200" w:line="276" w:lineRule="auto"/>
      </w:pPr>
      <w:bookmarkStart w:id="0" w:name="_GoBack"/>
      <w:bookmarkEnd w:id="0"/>
    </w:p>
    <w:p w14:paraId="73F40BA0" w14:textId="77777777" w:rsidR="000D733F" w:rsidRDefault="000D733F" w:rsidP="009E79EC"/>
    <w:p w14:paraId="73F40BA1" w14:textId="77777777" w:rsidR="000D733F" w:rsidRDefault="000D733F">
      <w:pPr>
        <w:spacing w:after="200" w:line="276" w:lineRule="auto"/>
      </w:pPr>
    </w:p>
    <w:p w14:paraId="73F40BA2" w14:textId="77777777" w:rsidR="000D733F" w:rsidRDefault="000D733F">
      <w:pPr>
        <w:spacing w:after="200" w:line="276" w:lineRule="auto"/>
      </w:pPr>
    </w:p>
    <w:p w14:paraId="73F40BA3" w14:textId="77777777" w:rsidR="001227C3" w:rsidRDefault="001227C3" w:rsidP="000D733F">
      <w:pPr>
        <w:pStyle w:val="Title"/>
        <w:ind w:left="2694" w:right="-624"/>
        <w:rPr>
          <w:noProof/>
          <w:color w:val="FFFFFF"/>
          <w:spacing w:val="0"/>
          <w:sz w:val="50"/>
          <w:szCs w:val="50"/>
          <w:lang w:val="en-US" w:eastAsia="en-US"/>
        </w:rPr>
      </w:pPr>
    </w:p>
    <w:p w14:paraId="73F40BA4" w14:textId="77777777" w:rsidR="001227C3" w:rsidRDefault="001227C3" w:rsidP="000D733F">
      <w:pPr>
        <w:pStyle w:val="Title"/>
        <w:ind w:left="2694" w:right="-624"/>
        <w:rPr>
          <w:noProof/>
          <w:color w:val="FFFFFF"/>
          <w:spacing w:val="0"/>
          <w:sz w:val="50"/>
          <w:szCs w:val="50"/>
          <w:lang w:val="en-US" w:eastAsia="en-US"/>
        </w:rPr>
      </w:pPr>
    </w:p>
    <w:p w14:paraId="73F40BA5" w14:textId="77777777" w:rsidR="001227C3" w:rsidRDefault="001227C3" w:rsidP="000D733F">
      <w:pPr>
        <w:pStyle w:val="Title"/>
        <w:ind w:left="2694" w:right="-624"/>
        <w:rPr>
          <w:noProof/>
          <w:color w:val="FFFFFF"/>
          <w:spacing w:val="0"/>
          <w:sz w:val="50"/>
          <w:szCs w:val="50"/>
          <w:lang w:val="en-US" w:eastAsia="en-US"/>
        </w:rPr>
      </w:pPr>
    </w:p>
    <w:p w14:paraId="73F40BA6" w14:textId="77777777" w:rsidR="001227C3" w:rsidRDefault="001227C3" w:rsidP="000D733F">
      <w:pPr>
        <w:pStyle w:val="Title"/>
        <w:ind w:left="2694" w:right="-624"/>
        <w:rPr>
          <w:noProof/>
          <w:color w:val="FFFFFF"/>
          <w:spacing w:val="0"/>
          <w:sz w:val="50"/>
          <w:szCs w:val="50"/>
          <w:lang w:val="en-US" w:eastAsia="en-US"/>
        </w:rPr>
      </w:pPr>
    </w:p>
    <w:p w14:paraId="73F40BA7" w14:textId="77777777" w:rsidR="001227C3" w:rsidRDefault="001227C3" w:rsidP="000D733F">
      <w:pPr>
        <w:pStyle w:val="Title"/>
        <w:ind w:left="2694" w:right="-624"/>
        <w:rPr>
          <w:noProof/>
          <w:color w:val="FFFFFF"/>
          <w:spacing w:val="0"/>
          <w:sz w:val="50"/>
          <w:szCs w:val="50"/>
          <w:lang w:val="en-US" w:eastAsia="en-US"/>
        </w:rPr>
      </w:pPr>
    </w:p>
    <w:p w14:paraId="73F40BA8" w14:textId="77777777" w:rsidR="001227C3" w:rsidRDefault="001227C3" w:rsidP="000D733F">
      <w:pPr>
        <w:pStyle w:val="Title"/>
        <w:ind w:left="2694" w:right="-624"/>
        <w:rPr>
          <w:noProof/>
          <w:color w:val="FFFFFF"/>
          <w:spacing w:val="0"/>
          <w:sz w:val="50"/>
          <w:szCs w:val="50"/>
          <w:lang w:val="en-US" w:eastAsia="en-US"/>
        </w:rPr>
      </w:pPr>
    </w:p>
    <w:p w14:paraId="73F40BA9" w14:textId="77777777" w:rsidR="001227C3" w:rsidRDefault="001227C3" w:rsidP="000D733F">
      <w:pPr>
        <w:pStyle w:val="Title"/>
        <w:ind w:left="2694" w:right="-624"/>
        <w:rPr>
          <w:noProof/>
          <w:color w:val="FFFFFF"/>
          <w:spacing w:val="0"/>
          <w:sz w:val="50"/>
          <w:szCs w:val="50"/>
          <w:lang w:val="en-US" w:eastAsia="en-US"/>
        </w:rPr>
      </w:pPr>
    </w:p>
    <w:p w14:paraId="73F40BAA" w14:textId="77777777" w:rsidR="001227C3" w:rsidRDefault="001227C3" w:rsidP="000D733F">
      <w:pPr>
        <w:pStyle w:val="Title"/>
        <w:ind w:left="2694" w:right="-624"/>
        <w:rPr>
          <w:noProof/>
          <w:color w:val="FFFFFF"/>
          <w:spacing w:val="0"/>
          <w:sz w:val="50"/>
          <w:szCs w:val="50"/>
          <w:lang w:val="en-US" w:eastAsia="en-US"/>
        </w:rPr>
      </w:pPr>
    </w:p>
    <w:p w14:paraId="73F40BAB" w14:textId="77777777" w:rsidR="001227C3" w:rsidRDefault="001227C3" w:rsidP="000D733F">
      <w:pPr>
        <w:pStyle w:val="Title"/>
        <w:ind w:left="2694" w:right="-624"/>
        <w:rPr>
          <w:noProof/>
          <w:color w:val="FFFFFF"/>
          <w:spacing w:val="0"/>
          <w:sz w:val="50"/>
          <w:szCs w:val="50"/>
          <w:lang w:val="en-US" w:eastAsia="en-US"/>
        </w:rPr>
      </w:pPr>
    </w:p>
    <w:p w14:paraId="73F40BAC" w14:textId="77777777" w:rsidR="001227C3" w:rsidRDefault="001227C3" w:rsidP="000D733F">
      <w:pPr>
        <w:pStyle w:val="Title"/>
        <w:ind w:left="2694" w:right="-624"/>
        <w:rPr>
          <w:noProof/>
          <w:color w:val="FFFFFF"/>
          <w:spacing w:val="0"/>
          <w:sz w:val="50"/>
          <w:szCs w:val="50"/>
          <w:lang w:val="en-US" w:eastAsia="en-US"/>
        </w:rPr>
      </w:pPr>
    </w:p>
    <w:p w14:paraId="73F40BAD" w14:textId="77777777"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 xml:space="preserve">Aid Program Performance Report 2013-14 </w:t>
      </w:r>
      <w:r w:rsidRPr="001227C3">
        <w:rPr>
          <w:noProof/>
          <w:color w:val="FFFFFF"/>
          <w:spacing w:val="0"/>
          <w:sz w:val="50"/>
          <w:szCs w:val="50"/>
        </w:rPr>
        <w:drawing>
          <wp:anchor distT="0" distB="0" distL="114300" distR="114300" simplePos="0" relativeHeight="251662336" behindDoc="1" locked="1" layoutInCell="1" allowOverlap="1" wp14:anchorId="73F40E8F" wp14:editId="73F40E90">
            <wp:simplePos x="0" y="0"/>
            <wp:positionH relativeFrom="page">
              <wp:align>left</wp:align>
            </wp:positionH>
            <wp:positionV relativeFrom="page">
              <wp:align>top</wp:align>
            </wp:positionV>
            <wp:extent cx="7558405" cy="10691495"/>
            <wp:effectExtent l="0" t="0" r="4445"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F40BAE" w14:textId="77777777" w:rsidR="000D733F" w:rsidRPr="001227C3" w:rsidRDefault="00AB4381"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Samoa</w:t>
      </w:r>
    </w:p>
    <w:p w14:paraId="73F40BAF" w14:textId="77777777" w:rsidR="000D733F" w:rsidRDefault="000D733F" w:rsidP="001227C3">
      <w:pPr>
        <w:pStyle w:val="Date"/>
        <w:spacing w:before="200" w:after="600" w:line="380" w:lineRule="atLeast"/>
        <w:ind w:left="2694" w:right="-624"/>
        <w:rPr>
          <w:rFonts w:ascii="Helvetica" w:eastAsia="Times New Roman" w:hAnsi="Helvetica"/>
          <w:noProof/>
          <w:color w:val="FFFFFF"/>
          <w:kern w:val="28"/>
          <w:sz w:val="24"/>
          <w:lang w:val="en-US" w:eastAsia="en-US"/>
        </w:rPr>
      </w:pPr>
      <w:r w:rsidRPr="001227C3">
        <w:rPr>
          <w:rFonts w:ascii="Helvetica" w:eastAsia="Times New Roman" w:hAnsi="Helvetica"/>
          <w:noProof/>
          <w:color w:val="FFFFFF"/>
          <w:kern w:val="28"/>
          <w:sz w:val="24"/>
          <w:lang w:val="en-US" w:eastAsia="en-US"/>
        </w:rPr>
        <w:t>September 2014</w:t>
      </w:r>
    </w:p>
    <w:p w14:paraId="73F40BB0" w14:textId="77777777" w:rsidR="001D6059" w:rsidRDefault="001D6059" w:rsidP="00CD061B">
      <w:pPr>
        <w:rPr>
          <w:lang w:val="en-US" w:eastAsia="en-US"/>
        </w:rPr>
      </w:pPr>
    </w:p>
    <w:p w14:paraId="73F40BB1" w14:textId="77777777" w:rsidR="00AC6F49" w:rsidRDefault="00AC6F49">
      <w:pPr>
        <w:spacing w:after="200" w:line="276" w:lineRule="auto"/>
        <w:rPr>
          <w:lang w:val="en-US" w:eastAsia="en-US"/>
        </w:rPr>
      </w:pPr>
      <w:r>
        <w:rPr>
          <w:lang w:val="en-US" w:eastAsia="en-US"/>
        </w:rPr>
        <w:br w:type="page"/>
      </w:r>
    </w:p>
    <w:p w14:paraId="73F40BB2" w14:textId="77777777" w:rsidR="005B42EE" w:rsidRPr="00CD061B" w:rsidRDefault="005B42EE" w:rsidP="00CD061B">
      <w:pPr>
        <w:rPr>
          <w:lang w:val="en-US" w:eastAsia="en-US"/>
        </w:rPr>
        <w:sectPr w:rsidR="005B42EE" w:rsidRPr="00CD061B" w:rsidSect="000D733F">
          <w:headerReference w:type="even" r:id="rId13"/>
          <w:headerReference w:type="default" r:id="rId14"/>
          <w:footerReference w:type="even" r:id="rId15"/>
          <w:footerReference w:type="default" r:id="rId16"/>
          <w:headerReference w:type="first" r:id="rId17"/>
          <w:footerReference w:type="first" r:id="rId18"/>
          <w:pgSz w:w="11907" w:h="16840" w:code="9"/>
          <w:pgMar w:top="2268" w:right="1871" w:bottom="907" w:left="1871" w:header="851" w:footer="454" w:gutter="0"/>
          <w:cols w:space="720"/>
          <w:docGrid w:linePitch="272"/>
        </w:sectPr>
      </w:pPr>
    </w:p>
    <w:p w14:paraId="73F40BB3" w14:textId="77777777" w:rsidR="000D733F" w:rsidRPr="00B43B60" w:rsidRDefault="000D733F" w:rsidP="000D733F">
      <w:pPr>
        <w:pStyle w:val="Heading2"/>
        <w:rPr>
          <w:rStyle w:val="BodyTextChar"/>
          <w:color w:val="auto"/>
        </w:rPr>
      </w:pPr>
      <w:bookmarkStart w:id="1" w:name="_Toc373853205"/>
      <w:r w:rsidRPr="009E38C1">
        <w:rPr>
          <w:sz w:val="28"/>
        </w:rPr>
        <w:lastRenderedPageBreak/>
        <w:t>Key Messages</w:t>
      </w:r>
      <w:bookmarkEnd w:id="1"/>
      <w:r w:rsidRPr="009E38C1">
        <w:rPr>
          <w:sz w:val="28"/>
        </w:rPr>
        <w:tab/>
      </w:r>
      <w:r w:rsidRPr="009E38C1">
        <w:rPr>
          <w:sz w:val="28"/>
        </w:rPr>
        <w:tab/>
      </w:r>
      <w:r>
        <w:rPr>
          <w:sz w:val="32"/>
          <w:szCs w:val="32"/>
        </w:rPr>
        <w:tab/>
      </w:r>
      <w:r>
        <w:rPr>
          <w:sz w:val="32"/>
          <w:szCs w:val="32"/>
        </w:rPr>
        <w:tab/>
      </w:r>
      <w:r>
        <w:rPr>
          <w:sz w:val="32"/>
          <w:szCs w:val="32"/>
        </w:rPr>
        <w:tab/>
      </w:r>
      <w:r>
        <w:rPr>
          <w:sz w:val="32"/>
          <w:szCs w:val="32"/>
        </w:rPr>
        <w:tab/>
      </w:r>
    </w:p>
    <w:p w14:paraId="73F40BB4" w14:textId="77777777" w:rsidR="00125903" w:rsidRDefault="00824ECA" w:rsidP="00824ECA">
      <w:pPr>
        <w:pStyle w:val="ListBullet"/>
        <w:numPr>
          <w:ilvl w:val="0"/>
          <w:numId w:val="0"/>
        </w:numPr>
        <w:tabs>
          <w:tab w:val="clear" w:pos="284"/>
        </w:tabs>
      </w:pPr>
      <w:r>
        <w:t xml:space="preserve">This </w:t>
      </w:r>
      <w:r w:rsidR="00125903">
        <w:t>Aid</w:t>
      </w:r>
      <w:r>
        <w:t xml:space="preserve"> Program Performance Report (APPR) outlines the objectives of the Australian Government’s </w:t>
      </w:r>
      <w:r w:rsidR="009C6F38">
        <w:t xml:space="preserve">bilateral </w:t>
      </w:r>
      <w:r>
        <w:t>aid program to Samoa from July 2013 to June 2014</w:t>
      </w:r>
      <w:r w:rsidR="008E63F4">
        <w:t xml:space="preserve"> as articulated in the Partnership for Development</w:t>
      </w:r>
      <w:r>
        <w:t>, progress towards objectives and recommendations for improving program performance going forward.</w:t>
      </w:r>
      <w:r w:rsidR="009C6F38">
        <w:t xml:space="preserve">  </w:t>
      </w:r>
      <w:r w:rsidR="00125903">
        <w:t>Key findings in this report are:</w:t>
      </w:r>
    </w:p>
    <w:p w14:paraId="73F40BB5" w14:textId="77777777" w:rsidR="00125903" w:rsidRDefault="00125903" w:rsidP="00C0387F">
      <w:pPr>
        <w:pStyle w:val="ListBullet"/>
        <w:numPr>
          <w:ilvl w:val="0"/>
          <w:numId w:val="35"/>
        </w:numPr>
        <w:tabs>
          <w:tab w:val="clear" w:pos="284"/>
        </w:tabs>
      </w:pPr>
      <w:r>
        <w:t xml:space="preserve">Australia continues to </w:t>
      </w:r>
      <w:r w:rsidR="00340047">
        <w:t xml:space="preserve">use the Government of Samoa to deliver the majority of its development assistance, in line with </w:t>
      </w:r>
      <w:r w:rsidR="007F43CE">
        <w:t xml:space="preserve">the </w:t>
      </w:r>
      <w:r w:rsidR="00340047">
        <w:t>Strategy for the Development of Samoa</w:t>
      </w:r>
      <w:r w:rsidR="007F43CE">
        <w:t xml:space="preserve"> 2012-2016.</w:t>
      </w:r>
      <w:r w:rsidR="001D0C20">
        <w:t xml:space="preserve">  </w:t>
      </w:r>
      <w:r w:rsidR="00340047">
        <w:t xml:space="preserve">Australia </w:t>
      </w:r>
      <w:r w:rsidR="00C0387F">
        <w:t xml:space="preserve">maintains a strong working relationship </w:t>
      </w:r>
      <w:r w:rsidR="00340047">
        <w:t xml:space="preserve">with Samoa </w:t>
      </w:r>
      <w:r w:rsidR="00C0387F">
        <w:t>on development and other issues</w:t>
      </w:r>
      <w:r w:rsidR="008E63F4">
        <w:t>.</w:t>
      </w:r>
    </w:p>
    <w:p w14:paraId="73F40BB6" w14:textId="77777777" w:rsidR="00554C68" w:rsidRDefault="00554C68" w:rsidP="00554C68">
      <w:pPr>
        <w:pStyle w:val="ListBullet"/>
        <w:numPr>
          <w:ilvl w:val="0"/>
          <w:numId w:val="35"/>
        </w:numPr>
        <w:tabs>
          <w:tab w:val="clear" w:pos="284"/>
        </w:tabs>
      </w:pPr>
      <w:r>
        <w:t>The unified approach of the Government of Samoa (GoS) and donor partners on maintaining economic stability has been beneficial and Australia’s support to Samoa under the Cyclone Recover</w:t>
      </w:r>
      <w:r w:rsidR="008659F1">
        <w:t>y</w:t>
      </w:r>
      <w:r>
        <w:t xml:space="preserve"> Program has assisted Samoa to maintain economic stability. A new program of investments in economic infrastructure is set to improve prospects for the private sector.</w:t>
      </w:r>
    </w:p>
    <w:p w14:paraId="73F40BB7" w14:textId="77777777" w:rsidR="001D0C20" w:rsidRDefault="001D0C20" w:rsidP="001D0C20">
      <w:pPr>
        <w:pStyle w:val="ListBullet"/>
        <w:numPr>
          <w:ilvl w:val="0"/>
          <w:numId w:val="35"/>
        </w:numPr>
        <w:tabs>
          <w:tab w:val="clear" w:pos="284"/>
        </w:tabs>
      </w:pPr>
      <w:r>
        <w:t>Delays on new infrastructure under the sector-wide approach (SWAp) for health means there is a significant under-spend.  Urgent action is required to get this program back on track.  There has been good progress in improving health services and infrastructure under support provided through the Cyclone Recovery Program which is supporting initiatives such as the construction of a new hospital in Savaii to replace one damaged in Cyclone Evan.  Australia’s new package of assistance in health to Samoa will address priority issues such as under and over nutrition.</w:t>
      </w:r>
    </w:p>
    <w:p w14:paraId="73F40BB8" w14:textId="77777777" w:rsidR="00C0387F" w:rsidRDefault="00C0387F" w:rsidP="00C0387F">
      <w:pPr>
        <w:pStyle w:val="ListBullet"/>
        <w:numPr>
          <w:ilvl w:val="0"/>
          <w:numId w:val="35"/>
        </w:numPr>
        <w:tabs>
          <w:tab w:val="clear" w:pos="284"/>
        </w:tabs>
      </w:pPr>
      <w:r>
        <w:t>There has been good progress on the fundamentals of the education system, from early childhood to post-secondary, including increasing access for people with a disability. Attendance levels are high but there is growing concern about education quality</w:t>
      </w:r>
      <w:r w:rsidR="00340047">
        <w:t xml:space="preserve">. The Government of Samoa and key donors agree that </w:t>
      </w:r>
      <w:r w:rsidR="00266A9F">
        <w:t>this issue requires significant attention</w:t>
      </w:r>
      <w:r w:rsidR="001D0C20">
        <w:t xml:space="preserve">. </w:t>
      </w:r>
      <w:r w:rsidR="00266A9F">
        <w:t xml:space="preserve"> It will be a key focus of Australia</w:t>
      </w:r>
      <w:r w:rsidR="001311EC">
        <w:t>’s</w:t>
      </w:r>
      <w:r w:rsidR="00266A9F">
        <w:t xml:space="preserve"> future support to the education sector.</w:t>
      </w:r>
    </w:p>
    <w:p w14:paraId="73F40BB9" w14:textId="77777777" w:rsidR="006B3CB0" w:rsidRPr="006B3CB0" w:rsidRDefault="006B3CB0" w:rsidP="006B3CB0">
      <w:pPr>
        <w:pStyle w:val="ListBullet"/>
        <w:numPr>
          <w:ilvl w:val="0"/>
          <w:numId w:val="35"/>
        </w:numPr>
        <w:tabs>
          <w:tab w:val="clear" w:pos="284"/>
        </w:tabs>
        <w:rPr>
          <w:color w:val="000000" w:themeColor="text1"/>
        </w:rPr>
      </w:pPr>
      <w:r w:rsidRPr="006B3CB0">
        <w:rPr>
          <w:color w:val="000000" w:themeColor="text1"/>
        </w:rPr>
        <w:t xml:space="preserve">Australian support for the law and justice sector has had mixed results, with </w:t>
      </w:r>
      <w:r w:rsidR="00554C68">
        <w:rPr>
          <w:color w:val="000000" w:themeColor="text1"/>
        </w:rPr>
        <w:t>some aspects</w:t>
      </w:r>
      <w:r w:rsidRPr="006B3CB0">
        <w:rPr>
          <w:color w:val="000000" w:themeColor="text1"/>
        </w:rPr>
        <w:t xml:space="preserve"> not delivering </w:t>
      </w:r>
      <w:r>
        <w:rPr>
          <w:color w:val="000000" w:themeColor="text1"/>
        </w:rPr>
        <w:t xml:space="preserve">the </w:t>
      </w:r>
      <w:r w:rsidRPr="006B3CB0">
        <w:rPr>
          <w:color w:val="000000" w:themeColor="text1"/>
        </w:rPr>
        <w:t xml:space="preserve">outcomes expected. Whilst the police partnership </w:t>
      </w:r>
      <w:r w:rsidR="00554C68">
        <w:rPr>
          <w:color w:val="000000" w:themeColor="text1"/>
        </w:rPr>
        <w:t xml:space="preserve">has been effective and </w:t>
      </w:r>
      <w:r w:rsidRPr="006B3CB0">
        <w:rPr>
          <w:color w:val="000000" w:themeColor="text1"/>
        </w:rPr>
        <w:t>will continue, broader Australian assistance to the sector will be re-visited in a new Aid Investment Plan.</w:t>
      </w:r>
    </w:p>
    <w:p w14:paraId="73F40BBA" w14:textId="77777777" w:rsidR="000D733F" w:rsidRDefault="009C6F38" w:rsidP="00824ECA">
      <w:pPr>
        <w:pStyle w:val="ListBullet"/>
        <w:numPr>
          <w:ilvl w:val="0"/>
          <w:numId w:val="0"/>
        </w:numPr>
        <w:tabs>
          <w:tab w:val="clear" w:pos="284"/>
        </w:tabs>
      </w:pPr>
      <w:r>
        <w:t>Australia’s bilateral program to Samoa is complemented by regional activities which are assessed in a separate Regional APPR.  A description of key regional activities is at Annex E.</w:t>
      </w:r>
    </w:p>
    <w:p w14:paraId="73F40BBB" w14:textId="77777777" w:rsidR="000D733F" w:rsidRPr="00B43B60" w:rsidRDefault="000D733F" w:rsidP="000D733F">
      <w:pPr>
        <w:pStyle w:val="Heading2"/>
        <w:rPr>
          <w:rStyle w:val="BodyTextChar"/>
          <w:color w:val="auto"/>
        </w:rPr>
      </w:pPr>
      <w:r w:rsidRPr="009E38C1">
        <w:rPr>
          <w:sz w:val="28"/>
        </w:rPr>
        <w:t xml:space="preserve">Context </w:t>
      </w:r>
      <w:r w:rsidRPr="009E38C1">
        <w:rPr>
          <w:sz w:val="28"/>
        </w:rPr>
        <w:tab/>
      </w:r>
      <w:r>
        <w:rPr>
          <w:sz w:val="32"/>
          <w:szCs w:val="32"/>
        </w:rPr>
        <w:tab/>
      </w:r>
      <w:r>
        <w:rPr>
          <w:rStyle w:val="BodyTextChar"/>
        </w:rPr>
        <w:tab/>
      </w:r>
      <w:r>
        <w:rPr>
          <w:rStyle w:val="BodyTextChar"/>
        </w:rPr>
        <w:tab/>
      </w:r>
      <w:r>
        <w:rPr>
          <w:rStyle w:val="BodyTextChar"/>
        </w:rPr>
        <w:tab/>
      </w:r>
      <w:r>
        <w:rPr>
          <w:rStyle w:val="BodyTextChar"/>
        </w:rPr>
        <w:tab/>
      </w:r>
      <w:r>
        <w:rPr>
          <w:rStyle w:val="BodyTextChar"/>
        </w:rPr>
        <w:tab/>
      </w:r>
    </w:p>
    <w:p w14:paraId="73F40BBC" w14:textId="77777777" w:rsidR="00D500ED" w:rsidRDefault="00A217CB" w:rsidP="00C550DE">
      <w:pPr>
        <w:pStyle w:val="ListBullet"/>
        <w:numPr>
          <w:ilvl w:val="0"/>
          <w:numId w:val="0"/>
        </w:numPr>
      </w:pPr>
      <w:r>
        <w:t>2013-14 was</w:t>
      </w:r>
      <w:r w:rsidR="00C550DE">
        <w:t xml:space="preserve"> a year of consolidation for Samoa. </w:t>
      </w:r>
      <w:r w:rsidR="001334E1">
        <w:t>Steady</w:t>
      </w:r>
      <w:r w:rsidR="00C550DE">
        <w:t xml:space="preserve"> recovery from a number of shocks, most notably Cyclone Evan in 2012, has </w:t>
      </w:r>
      <w:r w:rsidR="005874F0">
        <w:t>helped improve confidence</w:t>
      </w:r>
      <w:r w:rsidR="00C550DE">
        <w:t xml:space="preserve">. </w:t>
      </w:r>
      <w:r w:rsidR="001334E1">
        <w:t xml:space="preserve">The Central Bank of Samoa is predicting </w:t>
      </w:r>
      <w:r w:rsidR="009C6F38">
        <w:t xml:space="preserve">relatively </w:t>
      </w:r>
      <w:r w:rsidR="001334E1">
        <w:t xml:space="preserve">weak growth of around 1.5 per cent in 2014. Others are slightly more positive – the </w:t>
      </w:r>
      <w:r w:rsidR="00163D2A">
        <w:t>Asian Development Bank (</w:t>
      </w:r>
      <w:r w:rsidR="001334E1">
        <w:t>ADB</w:t>
      </w:r>
      <w:r w:rsidR="00163D2A">
        <w:t>)</w:t>
      </w:r>
      <w:r w:rsidR="001334E1">
        <w:t xml:space="preserve"> predicts </w:t>
      </w:r>
      <w:r w:rsidR="00767398">
        <w:t>growth</w:t>
      </w:r>
      <w:r w:rsidR="001334E1">
        <w:t xml:space="preserve"> of </w:t>
      </w:r>
      <w:r w:rsidR="00C550DE">
        <w:t xml:space="preserve">2 per cent in 2014 and </w:t>
      </w:r>
      <w:r w:rsidR="00C550DE">
        <w:lastRenderedPageBreak/>
        <w:t>2.5 per cent in 2015</w:t>
      </w:r>
      <w:r w:rsidR="00C550DE">
        <w:rPr>
          <w:rStyle w:val="FootnoteReference"/>
        </w:rPr>
        <w:footnoteReference w:id="1"/>
      </w:r>
      <w:r w:rsidR="00C550DE">
        <w:t xml:space="preserve">. </w:t>
      </w:r>
      <w:r w:rsidR="00D500ED" w:rsidRPr="00D500ED">
        <w:t xml:space="preserve">GDP per capita </w:t>
      </w:r>
      <w:r w:rsidR="00C550DE">
        <w:t>was</w:t>
      </w:r>
      <w:r w:rsidR="00D500ED" w:rsidRPr="00D500ED">
        <w:t xml:space="preserve"> </w:t>
      </w:r>
      <w:r w:rsidR="005874F0">
        <w:t>US</w:t>
      </w:r>
      <w:r w:rsidR="00D500ED" w:rsidRPr="00D500ED">
        <w:t>$</w:t>
      </w:r>
      <w:r w:rsidR="005874F0">
        <w:t>3,647</w:t>
      </w:r>
      <w:r w:rsidR="00D500ED" w:rsidRPr="00D500ED">
        <w:t xml:space="preserve"> in 2013</w:t>
      </w:r>
      <w:r w:rsidR="005874F0">
        <w:rPr>
          <w:rStyle w:val="FootnoteReference"/>
        </w:rPr>
        <w:footnoteReference w:id="2"/>
      </w:r>
      <w:r w:rsidR="00D500ED" w:rsidRPr="00D500ED">
        <w:t xml:space="preserve">. </w:t>
      </w:r>
      <w:r w:rsidR="00C550DE">
        <w:t xml:space="preserve">Concerns remain about the sustainability of </w:t>
      </w:r>
      <w:r w:rsidR="00D500ED" w:rsidRPr="00D500ED">
        <w:t>debt levels</w:t>
      </w:r>
      <w:r w:rsidR="00D500ED">
        <w:t xml:space="preserve"> – </w:t>
      </w:r>
      <w:r w:rsidR="007F43CE">
        <w:t xml:space="preserve">with both </w:t>
      </w:r>
      <w:r w:rsidR="00D500ED">
        <w:t>t</w:t>
      </w:r>
      <w:r w:rsidR="00D500ED" w:rsidRPr="00D500ED">
        <w:t xml:space="preserve">he World Bank </w:t>
      </w:r>
      <w:r w:rsidR="00D500ED">
        <w:t xml:space="preserve">and the IMF </w:t>
      </w:r>
      <w:r w:rsidR="008659F1">
        <w:t>emphasising caution</w:t>
      </w:r>
      <w:r w:rsidR="00C85C91">
        <w:rPr>
          <w:rStyle w:val="FootnoteReference"/>
        </w:rPr>
        <w:footnoteReference w:id="3"/>
      </w:r>
      <w:r w:rsidR="00D500ED">
        <w:t xml:space="preserve">. </w:t>
      </w:r>
      <w:r w:rsidR="000E6496">
        <w:t xml:space="preserve">Promisingly, </w:t>
      </w:r>
      <w:r w:rsidR="00A03341">
        <w:t xml:space="preserve">Samoa has demonstrated it is </w:t>
      </w:r>
      <w:r w:rsidR="00C64EB8">
        <w:t>complying with</w:t>
      </w:r>
      <w:r w:rsidR="005C6F38">
        <w:t xml:space="preserve"> </w:t>
      </w:r>
      <w:r w:rsidR="00A03341">
        <w:t xml:space="preserve">its own debt management </w:t>
      </w:r>
      <w:r w:rsidR="00163D2A">
        <w:t>strategy.</w:t>
      </w:r>
    </w:p>
    <w:p w14:paraId="73F40BBD" w14:textId="77777777" w:rsidR="00782241" w:rsidRPr="00E20AC7" w:rsidRDefault="00782241" w:rsidP="00782241">
      <w:pPr>
        <w:pStyle w:val="ListBullet"/>
        <w:numPr>
          <w:ilvl w:val="0"/>
          <w:numId w:val="0"/>
        </w:numPr>
      </w:pPr>
      <w:r>
        <w:t>Over 25 per cent of Samoans live below the basic needs poverty line, struggling to meet the costs of basic services like electricity, water, school uniforms and a nutritional</w:t>
      </w:r>
      <w:r w:rsidR="00163D2A">
        <w:t>ly balanced</w:t>
      </w:r>
      <w:r>
        <w:t xml:space="preserve"> diet. Hunger is almost non-existent but hardship is a reality. </w:t>
      </w:r>
      <w:r w:rsidR="007F43CE">
        <w:t>Meeting</w:t>
      </w:r>
      <w:r>
        <w:t xml:space="preserve"> community and church obligations adds to this hardship</w:t>
      </w:r>
      <w:r>
        <w:rPr>
          <w:rStyle w:val="FootnoteReference"/>
        </w:rPr>
        <w:footnoteReference w:id="4"/>
      </w:r>
      <w:r>
        <w:t>. Research shows that households headed by a person 65 and over a</w:t>
      </w:r>
      <w:r w:rsidR="00424768">
        <w:t>re</w:t>
      </w:r>
      <w:r>
        <w:t xml:space="preserve"> more likely to suffer </w:t>
      </w:r>
      <w:r w:rsidR="00163D2A">
        <w:t xml:space="preserve">hardship.  </w:t>
      </w:r>
      <w:r>
        <w:t>Additionally, t</w:t>
      </w:r>
      <w:r w:rsidRPr="00E20AC7">
        <w:t>he gap be</w:t>
      </w:r>
      <w:r>
        <w:t xml:space="preserve">tween the rich and poor </w:t>
      </w:r>
      <w:r w:rsidRPr="00E20AC7">
        <w:t>has been growing</w:t>
      </w:r>
      <w:r>
        <w:t xml:space="preserve"> and </w:t>
      </w:r>
      <w:r w:rsidRPr="00E20AC7">
        <w:t xml:space="preserve">is now </w:t>
      </w:r>
      <w:r w:rsidR="00377800">
        <w:t>seen as having an unsettling impact on Samoan society and culture</w:t>
      </w:r>
      <w:r w:rsidR="00377800">
        <w:rPr>
          <w:rStyle w:val="FootnoteReference"/>
        </w:rPr>
        <w:footnoteReference w:id="5"/>
      </w:r>
      <w:r w:rsidRPr="00E20AC7">
        <w:t>.</w:t>
      </w:r>
      <w:r w:rsidR="006B3F39">
        <w:t xml:space="preserve"> </w:t>
      </w:r>
      <w:r w:rsidR="006B3F39" w:rsidRPr="00CC71EC">
        <w:t>The rate of violence</w:t>
      </w:r>
      <w:r w:rsidR="00203949" w:rsidRPr="00CC71EC">
        <w:t xml:space="preserve"> against women in Samoa is </w:t>
      </w:r>
      <w:r w:rsidR="00163D2A">
        <w:t>high.  Fifty per cent of those who</w:t>
      </w:r>
      <w:r w:rsidR="00203949" w:rsidRPr="00CC71EC">
        <w:t xml:space="preserve"> had ever been in a relationship are likely to have experienced one or more types of abuse by their partner</w:t>
      </w:r>
      <w:r w:rsidR="006B3F39" w:rsidRPr="00CC71EC">
        <w:rPr>
          <w:rStyle w:val="FootnoteReference"/>
        </w:rPr>
        <w:footnoteReference w:id="6"/>
      </w:r>
      <w:r w:rsidR="006B3F39" w:rsidRPr="00CC71EC">
        <w:t>.</w:t>
      </w:r>
    </w:p>
    <w:p w14:paraId="73F40BBE" w14:textId="77777777" w:rsidR="00782241" w:rsidRDefault="00782241" w:rsidP="00782241">
      <w:pPr>
        <w:pStyle w:val="ListBullet"/>
        <w:numPr>
          <w:ilvl w:val="0"/>
          <w:numId w:val="0"/>
        </w:numPr>
      </w:pPr>
      <w:r>
        <w:t xml:space="preserve">Samoa’s progress towards meeting the Millennium Development Goals (MDGs) is </w:t>
      </w:r>
      <w:r w:rsidR="00377800">
        <w:t xml:space="preserve">generally </w:t>
      </w:r>
      <w:r>
        <w:t xml:space="preserve">good, with targets relating to universal primary education (MDG2), </w:t>
      </w:r>
      <w:r w:rsidR="00377800">
        <w:t>r</w:t>
      </w:r>
      <w:r>
        <w:t>educing childhood mortality (MDG4), and ensuring environmental stability (MDG7) all on track</w:t>
      </w:r>
      <w:r>
        <w:rPr>
          <w:rStyle w:val="FootnoteReference"/>
        </w:rPr>
        <w:footnoteReference w:id="7"/>
      </w:r>
      <w:r>
        <w:t>.</w:t>
      </w:r>
      <w:r w:rsidR="00377800">
        <w:t xml:space="preserve"> While there are no MDGs classified as being off-track, those relating to poverty and hunger (MDG1), gender equality (MDG3), maternal health (MDG5) and HIV/AIDs and other diseases (MDG6) are showing mixed results.</w:t>
      </w:r>
      <w:r w:rsidR="008659F1">
        <w:t xml:space="preserve">  It should be noted that Samoa has an accelerated program for the achievement of the MDGs in place which takes into account the local context.  This for example puts more emphasis on the control of NCDs (rather than malaria).</w:t>
      </w:r>
    </w:p>
    <w:p w14:paraId="73F40BBF" w14:textId="77777777" w:rsidR="00163D2A" w:rsidRDefault="00D500ED" w:rsidP="00CA18C9">
      <w:pPr>
        <w:pStyle w:val="ListBullet"/>
        <w:numPr>
          <w:ilvl w:val="0"/>
          <w:numId w:val="0"/>
        </w:numPr>
      </w:pPr>
      <w:r w:rsidRPr="000A2267">
        <w:t>Australia is Samoa’</w:t>
      </w:r>
      <w:r w:rsidR="00C05910" w:rsidRPr="000A2267">
        <w:t xml:space="preserve">s </w:t>
      </w:r>
      <w:r w:rsidR="00AB2289" w:rsidRPr="000A2267">
        <w:t xml:space="preserve">largest </w:t>
      </w:r>
      <w:r w:rsidR="0067364F" w:rsidRPr="000A2267">
        <w:t>development partner</w:t>
      </w:r>
      <w:r w:rsidR="00C05910" w:rsidRPr="000A2267">
        <w:t>.</w:t>
      </w:r>
      <w:r w:rsidR="0067364F" w:rsidRPr="000A2267">
        <w:t xml:space="preserve"> </w:t>
      </w:r>
      <w:r w:rsidR="00C05910" w:rsidRPr="000A2267">
        <w:t xml:space="preserve">In 2012, Australian official development assistance (ODA) was 40 per cent of all aid </w:t>
      </w:r>
      <w:r w:rsidR="00424768" w:rsidRPr="000A2267">
        <w:t xml:space="preserve">from OECD DAC member countries </w:t>
      </w:r>
      <w:r w:rsidR="00C05910" w:rsidRPr="000A2267">
        <w:t>received by Samoa. The next biggest donors were ADB (17 per cent), New Zealand (14 per cent) and Japan (12 per cent)</w:t>
      </w:r>
      <w:r w:rsidR="00C05910" w:rsidRPr="00CA18C9">
        <w:rPr>
          <w:vertAlign w:val="superscript"/>
        </w:rPr>
        <w:footnoteReference w:id="8"/>
      </w:r>
      <w:r w:rsidR="00C05910" w:rsidRPr="000A2267">
        <w:t>. In 2013-14, we provided</w:t>
      </w:r>
      <w:r w:rsidRPr="000A2267">
        <w:t xml:space="preserve"> $36.4 million in </w:t>
      </w:r>
      <w:r w:rsidR="00C05910" w:rsidRPr="000A2267">
        <w:t>ODA</w:t>
      </w:r>
      <w:r w:rsidR="00163D2A">
        <w:t xml:space="preserve">.  This consisted </w:t>
      </w:r>
      <w:r w:rsidR="00C23727" w:rsidRPr="000A2267">
        <w:t>of $25.7 million in bilateral funding and $10.7 million</w:t>
      </w:r>
      <w:r w:rsidR="009C6F38" w:rsidRPr="000A2267">
        <w:t xml:space="preserve"> in regional funding</w:t>
      </w:r>
      <w:r w:rsidRPr="000A2267">
        <w:t xml:space="preserve">. This is equivalent to </w:t>
      </w:r>
      <w:r w:rsidR="007F43CE">
        <w:t>six</w:t>
      </w:r>
      <w:r w:rsidR="007F43CE" w:rsidRPr="000A2267">
        <w:t> </w:t>
      </w:r>
      <w:r w:rsidRPr="000A2267">
        <w:t xml:space="preserve">per cent of Samoa’s GDP and 14 per cent of public expenditure. </w:t>
      </w:r>
      <w:r w:rsidR="005D2AB3" w:rsidRPr="000A2267">
        <w:t>China is also a major donor</w:t>
      </w:r>
      <w:r w:rsidR="00BF7A16" w:rsidRPr="000A2267">
        <w:t>. While precise figures are unavailable, it is estimated that China is the fourth biggest b</w:t>
      </w:r>
      <w:r w:rsidR="00032EAF" w:rsidRPr="000A2267">
        <w:t>il</w:t>
      </w:r>
      <w:r w:rsidR="00BF7A16" w:rsidRPr="000A2267">
        <w:t>ateral donor in Samoa</w:t>
      </w:r>
      <w:r w:rsidR="00F32857" w:rsidRPr="00CA18C9">
        <w:rPr>
          <w:vertAlign w:val="superscript"/>
        </w:rPr>
        <w:footnoteReference w:id="9"/>
      </w:r>
      <w:r w:rsidR="00BF7A16" w:rsidRPr="000A2267">
        <w:t>.</w:t>
      </w:r>
      <w:r w:rsidR="00D3274D" w:rsidRPr="000A2267">
        <w:t xml:space="preserve">  </w:t>
      </w:r>
    </w:p>
    <w:p w14:paraId="73F40BC0" w14:textId="77777777" w:rsidR="00BF7A16" w:rsidRDefault="00D3274D" w:rsidP="00CA18C9">
      <w:pPr>
        <w:pStyle w:val="ListBullet"/>
        <w:numPr>
          <w:ilvl w:val="0"/>
          <w:numId w:val="0"/>
        </w:numPr>
      </w:pPr>
      <w:r w:rsidRPr="000A2267">
        <w:t>In January 2014, Samoa graduated from Least Developed Country status</w:t>
      </w:r>
      <w:r w:rsidR="000A2267" w:rsidRPr="000A2267">
        <w:t>, which reduces preferential treatment on trade preferences, development financing and other forms of assistance.</w:t>
      </w:r>
      <w:r w:rsidR="00BB5975">
        <w:t xml:space="preserve"> Samoa has </w:t>
      </w:r>
      <w:r w:rsidR="00BB5975" w:rsidRPr="005C4CAF">
        <w:t>the highest levels of delivery through government systems across the Australian aid program</w:t>
      </w:r>
      <w:r w:rsidR="00BB5975">
        <w:t>, and as such, any assessment of our own performance is closely linked to the performance of the GoS.</w:t>
      </w:r>
    </w:p>
    <w:p w14:paraId="73F40BC1" w14:textId="77777777" w:rsidR="00782241" w:rsidRDefault="0050556B" w:rsidP="00AC7FE8">
      <w:pPr>
        <w:pStyle w:val="ListBullet"/>
        <w:numPr>
          <w:ilvl w:val="0"/>
          <w:numId w:val="0"/>
        </w:numPr>
      </w:pPr>
      <w:r>
        <w:lastRenderedPageBreak/>
        <w:t xml:space="preserve">The focus of Australia’s aid program as articulated in the Partnership for Development is </w:t>
      </w:r>
      <w:r w:rsidR="00B41194">
        <w:t xml:space="preserve">currently </w:t>
      </w:r>
      <w:r w:rsidR="007F43CE">
        <w:t xml:space="preserve">focussed </w:t>
      </w:r>
      <w:r>
        <w:t xml:space="preserve">on </w:t>
      </w:r>
      <w:r w:rsidR="00B41194">
        <w:t xml:space="preserve">governance and economic stability, education, health, </w:t>
      </w:r>
      <w:r>
        <w:t>and law and justice</w:t>
      </w:r>
      <w:r w:rsidR="00B41194">
        <w:t>.  Develo</w:t>
      </w:r>
      <w:r w:rsidR="00163D2A">
        <w:t>pment of an Aid Investment Plan</w:t>
      </w:r>
      <w:r w:rsidR="007F43CE">
        <w:t xml:space="preserve">, to be finalised by mid 2015, </w:t>
      </w:r>
      <w:r w:rsidR="00B41194">
        <w:t>will provide an opportunity to review the focus of Australia’s aid program to Samoa and a</w:t>
      </w:r>
      <w:r w:rsidR="007F43CE">
        <w:t xml:space="preserve">gree on </w:t>
      </w:r>
      <w:r w:rsidR="00B41194">
        <w:t>key performance benchmarks going forward.</w:t>
      </w:r>
    </w:p>
    <w:p w14:paraId="73F40BC2" w14:textId="77777777" w:rsidR="000D733F" w:rsidRPr="009E38C1" w:rsidRDefault="000D733F" w:rsidP="000D733F">
      <w:pPr>
        <w:pStyle w:val="Heading2"/>
        <w:rPr>
          <w:sz w:val="28"/>
        </w:rPr>
      </w:pPr>
      <w:r w:rsidRPr="009E38C1">
        <w:rPr>
          <w:sz w:val="28"/>
        </w:rPr>
        <w:t>Expenditure</w:t>
      </w:r>
    </w:p>
    <w:p w14:paraId="73F40BC3" w14:textId="77777777" w:rsidR="000D733F" w:rsidRDefault="000D733F" w:rsidP="005F3A5F">
      <w:pPr>
        <w:pStyle w:val="Caption"/>
      </w:pPr>
      <w:bookmarkStart w:id="2" w:name="_Toc373853206"/>
      <w:r>
        <w:t xml:space="preserve">Table </w:t>
      </w:r>
      <w:fldSimple w:instr=" SEQ Table \* ARABIC ">
        <w:r w:rsidR="008C1633">
          <w:rPr>
            <w:noProof/>
          </w:rPr>
          <w:t>1</w:t>
        </w:r>
      </w:fldSimple>
      <w:r>
        <w:t xml:space="preserve"> Expenditure in FY 2013-14</w:t>
      </w:r>
      <w:r w:rsidR="00CC71EC">
        <w:t xml:space="preserve"> under the Bilateral program</w:t>
      </w:r>
    </w:p>
    <w:tbl>
      <w:tblPr>
        <w:tblStyle w:val="APPR"/>
        <w:tblpPr w:leftFromText="180" w:rightFromText="180" w:vertAnchor="text" w:tblpY="1"/>
        <w:tblW w:w="5000" w:type="pct"/>
        <w:tblLayout w:type="fixed"/>
        <w:tblLook w:val="0000" w:firstRow="0" w:lastRow="0" w:firstColumn="0" w:lastColumn="0" w:noHBand="0" w:noVBand="0"/>
      </w:tblPr>
      <w:tblGrid>
        <w:gridCol w:w="5239"/>
        <w:gridCol w:w="2032"/>
        <w:gridCol w:w="1506"/>
      </w:tblGrid>
      <w:tr w:rsidR="000D733F" w:rsidRPr="00180B19" w14:paraId="73F40BC7" w14:textId="77777777" w:rsidTr="00824ECA">
        <w:trPr>
          <w:cnfStyle w:val="000000010000" w:firstRow="0" w:lastRow="0" w:firstColumn="0" w:lastColumn="0" w:oddVBand="0" w:evenVBand="0" w:oddHBand="0" w:evenHBand="1" w:firstRowFirstColumn="0" w:firstRowLastColumn="0" w:lastRowFirstColumn="0" w:lastRowLastColumn="0"/>
        </w:trPr>
        <w:tc>
          <w:tcPr>
            <w:tcW w:w="5197" w:type="dxa"/>
          </w:tcPr>
          <w:p w14:paraId="73F40BC4" w14:textId="77777777" w:rsidR="000D733F" w:rsidRPr="00180B19" w:rsidRDefault="000D733F" w:rsidP="000D733F">
            <w:pPr>
              <w:pStyle w:val="TableHeading1"/>
            </w:pPr>
            <w:r w:rsidRPr="00180B19">
              <w:t>Objective</w:t>
            </w:r>
          </w:p>
        </w:tc>
        <w:tc>
          <w:tcPr>
            <w:tcW w:w="2004" w:type="dxa"/>
          </w:tcPr>
          <w:p w14:paraId="73F40BC5" w14:textId="77777777" w:rsidR="000D733F" w:rsidRPr="00180B19" w:rsidRDefault="000D733F" w:rsidP="000D733F">
            <w:pPr>
              <w:pStyle w:val="TableHeading1"/>
            </w:pPr>
            <w:r w:rsidRPr="00180B19">
              <w:t>A$ million</w:t>
            </w:r>
          </w:p>
        </w:tc>
        <w:tc>
          <w:tcPr>
            <w:tcW w:w="1464" w:type="dxa"/>
          </w:tcPr>
          <w:p w14:paraId="73F40BC6" w14:textId="77777777" w:rsidR="000D733F" w:rsidRPr="00180B19" w:rsidRDefault="000D733F" w:rsidP="000D733F">
            <w:pPr>
              <w:pStyle w:val="TableHeading1"/>
            </w:pPr>
            <w:r w:rsidRPr="00180B19">
              <w:t>% of bilateral program</w:t>
            </w:r>
          </w:p>
        </w:tc>
      </w:tr>
      <w:tr w:rsidR="001D74CF" w:rsidRPr="00180B19" w14:paraId="73F40BCB" w14:textId="77777777" w:rsidTr="00824ECA">
        <w:trPr>
          <w:cnfStyle w:val="000000010000" w:firstRow="0" w:lastRow="0" w:firstColumn="0" w:lastColumn="0" w:oddVBand="0" w:evenVBand="0" w:oddHBand="0" w:evenHBand="1" w:firstRowFirstColumn="0" w:firstRowLastColumn="0" w:lastRowFirstColumn="0" w:lastRowLastColumn="0"/>
        </w:trPr>
        <w:tc>
          <w:tcPr>
            <w:tcW w:w="5197" w:type="dxa"/>
          </w:tcPr>
          <w:p w14:paraId="73F40BC8" w14:textId="77777777" w:rsidR="001D74CF" w:rsidRPr="0019341B" w:rsidRDefault="001D74CF" w:rsidP="00DB386B">
            <w:pPr>
              <w:pStyle w:val="TableTextEntries"/>
            </w:pPr>
            <w:r>
              <w:t>Objective 1: Support Samoa’s ambition to achieve and move beyond MDG targets to address better quality and more equitable education for all.</w:t>
            </w:r>
          </w:p>
        </w:tc>
        <w:tc>
          <w:tcPr>
            <w:tcW w:w="2004" w:type="dxa"/>
          </w:tcPr>
          <w:p w14:paraId="73F40BC9" w14:textId="77777777" w:rsidR="001D74CF" w:rsidRPr="00C57923" w:rsidRDefault="001D74CF" w:rsidP="00824ECA">
            <w:pPr>
              <w:pStyle w:val="TableTextEntries"/>
              <w:jc w:val="right"/>
            </w:pPr>
            <w:r w:rsidRPr="00D3274D">
              <w:t>$5,839,987.10</w:t>
            </w:r>
          </w:p>
        </w:tc>
        <w:tc>
          <w:tcPr>
            <w:tcW w:w="1464" w:type="dxa"/>
          </w:tcPr>
          <w:p w14:paraId="73F40BCA" w14:textId="77777777" w:rsidR="001D74CF" w:rsidRPr="00C57923" w:rsidRDefault="00C5264B" w:rsidP="00824ECA">
            <w:pPr>
              <w:pStyle w:val="TableTextEntries"/>
              <w:jc w:val="center"/>
            </w:pPr>
            <w:r>
              <w:t>25</w:t>
            </w:r>
          </w:p>
        </w:tc>
      </w:tr>
      <w:tr w:rsidR="001D74CF" w:rsidRPr="00180B19" w14:paraId="73F40BCF" w14:textId="77777777" w:rsidTr="00824ECA">
        <w:trPr>
          <w:cnfStyle w:val="000000010000" w:firstRow="0" w:lastRow="0" w:firstColumn="0" w:lastColumn="0" w:oddVBand="0" w:evenVBand="0" w:oddHBand="0" w:evenHBand="1" w:firstRowFirstColumn="0" w:firstRowLastColumn="0" w:lastRowFirstColumn="0" w:lastRowLastColumn="0"/>
        </w:trPr>
        <w:tc>
          <w:tcPr>
            <w:tcW w:w="5197" w:type="dxa"/>
          </w:tcPr>
          <w:p w14:paraId="73F40BCC" w14:textId="77777777" w:rsidR="001D74CF" w:rsidRPr="0019341B" w:rsidRDefault="001D74CF" w:rsidP="00DB386B">
            <w:pPr>
              <w:pStyle w:val="TableTextEntries"/>
            </w:pPr>
            <w:r>
              <w:t>Objective 2: Enable Samoa to provide better quality and more equitable health services to the people of Samoa.</w:t>
            </w:r>
          </w:p>
        </w:tc>
        <w:tc>
          <w:tcPr>
            <w:tcW w:w="2004" w:type="dxa"/>
          </w:tcPr>
          <w:p w14:paraId="73F40BCD" w14:textId="77777777" w:rsidR="001D74CF" w:rsidRPr="00C57923" w:rsidRDefault="000738E8" w:rsidP="00824ECA">
            <w:pPr>
              <w:pStyle w:val="TableTextEntries"/>
              <w:jc w:val="right"/>
            </w:pPr>
            <w:r w:rsidRPr="00D3274D">
              <w:t>$2,356,409.03</w:t>
            </w:r>
          </w:p>
        </w:tc>
        <w:tc>
          <w:tcPr>
            <w:tcW w:w="1464" w:type="dxa"/>
          </w:tcPr>
          <w:p w14:paraId="73F40BCE" w14:textId="77777777" w:rsidR="001D74CF" w:rsidRPr="00C57923" w:rsidRDefault="00C5264B" w:rsidP="00824ECA">
            <w:pPr>
              <w:pStyle w:val="TableTextEntries"/>
              <w:jc w:val="center"/>
            </w:pPr>
            <w:r>
              <w:t>10</w:t>
            </w:r>
          </w:p>
        </w:tc>
      </w:tr>
      <w:tr w:rsidR="001D74CF" w:rsidRPr="00180B19" w14:paraId="73F40BD3" w14:textId="77777777" w:rsidTr="00824ECA">
        <w:trPr>
          <w:cnfStyle w:val="000000010000" w:firstRow="0" w:lastRow="0" w:firstColumn="0" w:lastColumn="0" w:oddVBand="0" w:evenVBand="0" w:oddHBand="0" w:evenHBand="1" w:firstRowFirstColumn="0" w:firstRowLastColumn="0" w:lastRowFirstColumn="0" w:lastRowLastColumn="0"/>
        </w:trPr>
        <w:tc>
          <w:tcPr>
            <w:tcW w:w="5197" w:type="dxa"/>
          </w:tcPr>
          <w:p w14:paraId="73F40BD0" w14:textId="77777777" w:rsidR="001D74CF" w:rsidRDefault="001D74CF" w:rsidP="00DB386B">
            <w:pPr>
              <w:pStyle w:val="TableTextEntries"/>
            </w:pPr>
            <w:r>
              <w:t>Objective 3: Enable Samoa to achieve its goals of sustained macroeconomic stability and improved governance.</w:t>
            </w:r>
          </w:p>
        </w:tc>
        <w:tc>
          <w:tcPr>
            <w:tcW w:w="2004" w:type="dxa"/>
          </w:tcPr>
          <w:p w14:paraId="73F40BD1" w14:textId="77777777" w:rsidR="001D74CF" w:rsidRPr="00C57923" w:rsidRDefault="000738E8" w:rsidP="00824ECA">
            <w:pPr>
              <w:pStyle w:val="TableTextEntries"/>
              <w:jc w:val="right"/>
            </w:pPr>
            <w:r w:rsidRPr="00D3274D">
              <w:t>$14,750,289.15</w:t>
            </w:r>
          </w:p>
        </w:tc>
        <w:tc>
          <w:tcPr>
            <w:tcW w:w="1464" w:type="dxa"/>
          </w:tcPr>
          <w:p w14:paraId="73F40BD2" w14:textId="77777777" w:rsidR="001D74CF" w:rsidRPr="00C57923" w:rsidRDefault="001D74CF" w:rsidP="00824ECA">
            <w:pPr>
              <w:pStyle w:val="TableTextEntries"/>
              <w:jc w:val="center"/>
            </w:pPr>
            <w:r>
              <w:t>64</w:t>
            </w:r>
          </w:p>
        </w:tc>
      </w:tr>
      <w:tr w:rsidR="001D74CF" w:rsidRPr="00180B19" w14:paraId="73F40BD7" w14:textId="77777777" w:rsidTr="00824ECA">
        <w:trPr>
          <w:cnfStyle w:val="000000010000" w:firstRow="0" w:lastRow="0" w:firstColumn="0" w:lastColumn="0" w:oddVBand="0" w:evenVBand="0" w:oddHBand="0" w:evenHBand="1" w:firstRowFirstColumn="0" w:firstRowLastColumn="0" w:lastRowFirstColumn="0" w:lastRowLastColumn="0"/>
        </w:trPr>
        <w:tc>
          <w:tcPr>
            <w:tcW w:w="5197" w:type="dxa"/>
          </w:tcPr>
          <w:p w14:paraId="73F40BD4" w14:textId="77777777" w:rsidR="001D74CF" w:rsidRDefault="001D74CF" w:rsidP="00DB386B">
            <w:pPr>
              <w:pStyle w:val="TableTextEntries"/>
            </w:pPr>
            <w:r>
              <w:t>Objective 4: Enable Samoa to have safer communities, better access to justice and integration between the customary and formal justice systems.</w:t>
            </w:r>
          </w:p>
        </w:tc>
        <w:tc>
          <w:tcPr>
            <w:tcW w:w="2004" w:type="dxa"/>
          </w:tcPr>
          <w:p w14:paraId="73F40BD5" w14:textId="77777777" w:rsidR="001D74CF" w:rsidRPr="00C57923" w:rsidRDefault="001D74CF" w:rsidP="00824ECA">
            <w:pPr>
              <w:pStyle w:val="TableTextEntries"/>
              <w:jc w:val="right"/>
            </w:pPr>
            <w:r w:rsidRPr="00D3274D">
              <w:t>$185,366.77</w:t>
            </w:r>
          </w:p>
        </w:tc>
        <w:tc>
          <w:tcPr>
            <w:tcW w:w="1464" w:type="dxa"/>
          </w:tcPr>
          <w:p w14:paraId="73F40BD6" w14:textId="77777777" w:rsidR="001D74CF" w:rsidRPr="00C57923" w:rsidRDefault="001D74CF" w:rsidP="00824ECA">
            <w:pPr>
              <w:pStyle w:val="TableTextEntries"/>
              <w:jc w:val="center"/>
            </w:pPr>
            <w:r>
              <w:t>1</w:t>
            </w:r>
          </w:p>
        </w:tc>
      </w:tr>
    </w:tbl>
    <w:p w14:paraId="73F40BD8" w14:textId="77777777" w:rsidR="00E76F49" w:rsidRDefault="00E76F49" w:rsidP="00824ECA">
      <w:pPr>
        <w:pStyle w:val="Caption"/>
      </w:pPr>
      <w:r>
        <w:t>Table 1a: Expenditure by Other Government Departments in FY 2013-14</w:t>
      </w:r>
    </w:p>
    <w:tbl>
      <w:tblPr>
        <w:tblStyle w:val="APPR"/>
        <w:tblpPr w:leftFromText="180" w:rightFromText="180" w:vertAnchor="text" w:tblpY="1"/>
        <w:tblW w:w="5000" w:type="pct"/>
        <w:tblLayout w:type="fixed"/>
        <w:tblLook w:val="0000" w:firstRow="0" w:lastRow="0" w:firstColumn="0" w:lastColumn="0" w:noHBand="0" w:noVBand="0"/>
      </w:tblPr>
      <w:tblGrid>
        <w:gridCol w:w="4956"/>
        <w:gridCol w:w="992"/>
        <w:gridCol w:w="2829"/>
      </w:tblGrid>
      <w:tr w:rsidR="00E03536" w:rsidRPr="00180B19" w14:paraId="73F40BDC" w14:textId="77777777" w:rsidTr="00824ECA">
        <w:trPr>
          <w:cnfStyle w:val="000000010000" w:firstRow="0" w:lastRow="0" w:firstColumn="0" w:lastColumn="0" w:oddVBand="0" w:evenVBand="0" w:oddHBand="0" w:evenHBand="1" w:firstRowFirstColumn="0" w:firstRowLastColumn="0" w:lastRowFirstColumn="0" w:lastRowLastColumn="0"/>
        </w:trPr>
        <w:tc>
          <w:tcPr>
            <w:tcW w:w="4914" w:type="dxa"/>
          </w:tcPr>
          <w:p w14:paraId="73F40BD9" w14:textId="77777777" w:rsidR="00E03536" w:rsidRPr="00180B19" w:rsidRDefault="00E03536" w:rsidP="00E03536">
            <w:pPr>
              <w:pStyle w:val="TableHeading1"/>
            </w:pPr>
            <w:r>
              <w:t>Other Government Department</w:t>
            </w:r>
          </w:p>
        </w:tc>
        <w:tc>
          <w:tcPr>
            <w:tcW w:w="964" w:type="dxa"/>
          </w:tcPr>
          <w:p w14:paraId="73F40BDA" w14:textId="77777777" w:rsidR="00E03536" w:rsidRPr="00180B19" w:rsidRDefault="00E03536" w:rsidP="00E03536">
            <w:pPr>
              <w:pStyle w:val="TableHeading1"/>
            </w:pPr>
            <w:r w:rsidRPr="00180B19">
              <w:t>A$ million</w:t>
            </w:r>
          </w:p>
        </w:tc>
        <w:tc>
          <w:tcPr>
            <w:tcW w:w="2787" w:type="dxa"/>
          </w:tcPr>
          <w:p w14:paraId="73F40BDB" w14:textId="77777777" w:rsidR="00E03536" w:rsidRPr="00180B19" w:rsidRDefault="00E03536" w:rsidP="00E03536">
            <w:pPr>
              <w:pStyle w:val="TableHeading1"/>
            </w:pPr>
            <w:r>
              <w:t>Related objective</w:t>
            </w:r>
          </w:p>
        </w:tc>
      </w:tr>
      <w:tr w:rsidR="00E03536" w:rsidRPr="00180B19" w14:paraId="73F40BE0" w14:textId="77777777" w:rsidTr="00824ECA">
        <w:trPr>
          <w:cnfStyle w:val="000000010000" w:firstRow="0" w:lastRow="0" w:firstColumn="0" w:lastColumn="0" w:oddVBand="0" w:evenVBand="0" w:oddHBand="0" w:evenHBand="1" w:firstRowFirstColumn="0" w:firstRowLastColumn="0" w:lastRowFirstColumn="0" w:lastRowLastColumn="0"/>
        </w:trPr>
        <w:tc>
          <w:tcPr>
            <w:tcW w:w="4914" w:type="dxa"/>
          </w:tcPr>
          <w:p w14:paraId="73F40BDD" w14:textId="77777777" w:rsidR="00E03536" w:rsidRPr="00E03536" w:rsidRDefault="00E03536" w:rsidP="00E03536">
            <w:pPr>
              <w:pStyle w:val="TableTextEntries"/>
            </w:pPr>
            <w:r w:rsidRPr="00824ECA">
              <w:rPr>
                <w:rFonts w:cs="Calibri"/>
                <w:bCs/>
                <w:color w:val="000000"/>
                <w:lang w:eastAsia="en-AU"/>
              </w:rPr>
              <w:t>Australian Centre for International Agricultural Research (ACIAR)</w:t>
            </w:r>
          </w:p>
        </w:tc>
        <w:tc>
          <w:tcPr>
            <w:tcW w:w="964" w:type="dxa"/>
          </w:tcPr>
          <w:p w14:paraId="73F40BDE" w14:textId="77777777" w:rsidR="00E03536" w:rsidRPr="00E03536" w:rsidRDefault="00E03536" w:rsidP="00824ECA">
            <w:pPr>
              <w:pStyle w:val="TableTextEntries"/>
              <w:jc w:val="right"/>
            </w:pPr>
            <w:r w:rsidRPr="00824ECA">
              <w:rPr>
                <w:rFonts w:cs="Calibri"/>
                <w:bCs/>
                <w:color w:val="000000"/>
                <w:lang w:eastAsia="en-AU"/>
              </w:rPr>
              <w:t>0.27</w:t>
            </w:r>
          </w:p>
        </w:tc>
        <w:tc>
          <w:tcPr>
            <w:tcW w:w="2787" w:type="dxa"/>
          </w:tcPr>
          <w:p w14:paraId="73F40BDF" w14:textId="77777777" w:rsidR="00E03536" w:rsidRPr="00824ECA" w:rsidRDefault="00E03536" w:rsidP="00824ECA">
            <w:pPr>
              <w:pStyle w:val="TableTextEntries"/>
              <w:rPr>
                <w:rFonts w:cs="Calibri"/>
                <w:bCs/>
                <w:color w:val="000000"/>
                <w:lang w:eastAsia="en-AU"/>
              </w:rPr>
            </w:pPr>
            <w:r w:rsidRPr="00824ECA">
              <w:rPr>
                <w:rFonts w:cs="Calibri"/>
                <w:bCs/>
                <w:color w:val="000000"/>
                <w:lang w:eastAsia="en-AU"/>
              </w:rPr>
              <w:t>3: Governance and Economic Stability</w:t>
            </w:r>
          </w:p>
        </w:tc>
      </w:tr>
      <w:tr w:rsidR="00E03536" w:rsidRPr="00180B19" w14:paraId="73F40BE4" w14:textId="77777777" w:rsidTr="00824ECA">
        <w:trPr>
          <w:cnfStyle w:val="000000010000" w:firstRow="0" w:lastRow="0" w:firstColumn="0" w:lastColumn="0" w:oddVBand="0" w:evenVBand="0" w:oddHBand="0" w:evenHBand="1" w:firstRowFirstColumn="0" w:firstRowLastColumn="0" w:lastRowFirstColumn="0" w:lastRowLastColumn="0"/>
        </w:trPr>
        <w:tc>
          <w:tcPr>
            <w:tcW w:w="4914" w:type="dxa"/>
          </w:tcPr>
          <w:p w14:paraId="73F40BE1" w14:textId="77777777" w:rsidR="00E03536" w:rsidRPr="00E03536" w:rsidRDefault="00E03536" w:rsidP="00E03536">
            <w:pPr>
              <w:pStyle w:val="TableTextEntries"/>
            </w:pPr>
            <w:r w:rsidRPr="00824ECA">
              <w:rPr>
                <w:rFonts w:cs="Calibri"/>
                <w:bCs/>
                <w:color w:val="000000"/>
                <w:lang w:eastAsia="en-AU"/>
              </w:rPr>
              <w:t>Australian Federal Police</w:t>
            </w:r>
          </w:p>
        </w:tc>
        <w:tc>
          <w:tcPr>
            <w:tcW w:w="964" w:type="dxa"/>
          </w:tcPr>
          <w:p w14:paraId="73F40BE2" w14:textId="77777777" w:rsidR="00E03536" w:rsidRPr="00E03536" w:rsidRDefault="00E03536" w:rsidP="00824ECA">
            <w:pPr>
              <w:pStyle w:val="TableTextEntries"/>
              <w:jc w:val="right"/>
            </w:pPr>
            <w:r w:rsidRPr="00824ECA">
              <w:rPr>
                <w:rFonts w:cs="Calibri"/>
                <w:bCs/>
                <w:color w:val="000000"/>
                <w:lang w:eastAsia="en-AU"/>
              </w:rPr>
              <w:t>1.99</w:t>
            </w:r>
          </w:p>
        </w:tc>
        <w:tc>
          <w:tcPr>
            <w:tcW w:w="2787" w:type="dxa"/>
          </w:tcPr>
          <w:p w14:paraId="73F40BE3" w14:textId="77777777" w:rsidR="00E03536" w:rsidRDefault="00E03536" w:rsidP="00824ECA">
            <w:pPr>
              <w:pStyle w:val="TableTextEntries"/>
              <w:rPr>
                <w:rFonts w:cs="Calibri"/>
                <w:color w:val="000000"/>
                <w:lang w:eastAsia="en-AU"/>
              </w:rPr>
            </w:pPr>
            <w:r w:rsidRPr="0024226C">
              <w:rPr>
                <w:rFonts w:cs="Calibri"/>
                <w:bCs/>
                <w:color w:val="000000"/>
                <w:lang w:eastAsia="en-AU"/>
              </w:rPr>
              <w:t>3: Governance and Economic Stability</w:t>
            </w:r>
          </w:p>
        </w:tc>
      </w:tr>
      <w:tr w:rsidR="00E03536" w:rsidRPr="00180B19" w14:paraId="73F40BE8" w14:textId="77777777" w:rsidTr="00824ECA">
        <w:trPr>
          <w:cnfStyle w:val="000000010000" w:firstRow="0" w:lastRow="0" w:firstColumn="0" w:lastColumn="0" w:oddVBand="0" w:evenVBand="0" w:oddHBand="0" w:evenHBand="1" w:firstRowFirstColumn="0" w:firstRowLastColumn="0" w:lastRowFirstColumn="0" w:lastRowLastColumn="0"/>
        </w:trPr>
        <w:tc>
          <w:tcPr>
            <w:tcW w:w="4914" w:type="dxa"/>
          </w:tcPr>
          <w:p w14:paraId="73F40BE5" w14:textId="77777777" w:rsidR="00E03536" w:rsidRPr="00E03536" w:rsidRDefault="00E03536" w:rsidP="00E03536">
            <w:pPr>
              <w:pStyle w:val="TableTextEntries"/>
            </w:pPr>
            <w:r w:rsidRPr="00824ECA">
              <w:rPr>
                <w:rFonts w:cs="Calibri"/>
                <w:bCs/>
                <w:color w:val="000000"/>
                <w:lang w:eastAsia="en-AU"/>
              </w:rPr>
              <w:t>Department of Education</w:t>
            </w:r>
          </w:p>
        </w:tc>
        <w:tc>
          <w:tcPr>
            <w:tcW w:w="964" w:type="dxa"/>
          </w:tcPr>
          <w:p w14:paraId="73F40BE6" w14:textId="77777777" w:rsidR="00E03536" w:rsidRPr="00E03536" w:rsidRDefault="00E03536" w:rsidP="00824ECA">
            <w:pPr>
              <w:pStyle w:val="TableTextEntries"/>
              <w:jc w:val="right"/>
            </w:pPr>
            <w:r w:rsidRPr="00824ECA">
              <w:rPr>
                <w:rFonts w:cs="Calibri"/>
                <w:bCs/>
                <w:color w:val="000000"/>
                <w:lang w:eastAsia="en-AU"/>
              </w:rPr>
              <w:t>0.06</w:t>
            </w:r>
          </w:p>
        </w:tc>
        <w:tc>
          <w:tcPr>
            <w:tcW w:w="2787" w:type="dxa"/>
          </w:tcPr>
          <w:p w14:paraId="73F40BE7" w14:textId="77777777" w:rsidR="00E03536" w:rsidRDefault="00E03536" w:rsidP="00824ECA">
            <w:pPr>
              <w:pStyle w:val="TableTextEntries"/>
              <w:rPr>
                <w:rFonts w:cs="Calibri"/>
                <w:color w:val="000000"/>
                <w:lang w:eastAsia="en-AU"/>
              </w:rPr>
            </w:pPr>
            <w:r>
              <w:rPr>
                <w:rFonts w:cs="Calibri"/>
                <w:color w:val="000000"/>
                <w:lang w:eastAsia="en-AU"/>
              </w:rPr>
              <w:t>1: Education</w:t>
            </w:r>
          </w:p>
        </w:tc>
      </w:tr>
      <w:tr w:rsidR="00E03536" w:rsidRPr="00180B19" w14:paraId="73F40BEC" w14:textId="77777777" w:rsidTr="00824ECA">
        <w:trPr>
          <w:cnfStyle w:val="000000010000" w:firstRow="0" w:lastRow="0" w:firstColumn="0" w:lastColumn="0" w:oddVBand="0" w:evenVBand="0" w:oddHBand="0" w:evenHBand="1" w:firstRowFirstColumn="0" w:firstRowLastColumn="0" w:lastRowFirstColumn="0" w:lastRowLastColumn="0"/>
        </w:trPr>
        <w:tc>
          <w:tcPr>
            <w:tcW w:w="4914" w:type="dxa"/>
            <w:tcBorders>
              <w:bottom w:val="single" w:sz="12" w:space="0" w:color="000000" w:themeColor="text1"/>
            </w:tcBorders>
          </w:tcPr>
          <w:p w14:paraId="73F40BE9" w14:textId="77777777" w:rsidR="00E03536" w:rsidRPr="00824ECA" w:rsidRDefault="00E03536" w:rsidP="00E03536">
            <w:pPr>
              <w:pStyle w:val="TableTextEntries"/>
              <w:rPr>
                <w:b/>
              </w:rPr>
            </w:pPr>
            <w:r w:rsidRPr="00E03536">
              <w:rPr>
                <w:rFonts w:cs="Calibri"/>
                <w:b/>
                <w:bCs/>
                <w:color w:val="000000"/>
                <w:lang w:eastAsia="en-AU"/>
              </w:rPr>
              <w:t>Total</w:t>
            </w:r>
          </w:p>
        </w:tc>
        <w:tc>
          <w:tcPr>
            <w:tcW w:w="964" w:type="dxa"/>
            <w:tcBorders>
              <w:bottom w:val="single" w:sz="12" w:space="0" w:color="000000" w:themeColor="text1"/>
            </w:tcBorders>
          </w:tcPr>
          <w:p w14:paraId="73F40BEA" w14:textId="77777777" w:rsidR="00E03536" w:rsidRPr="00E03536" w:rsidRDefault="00E03536" w:rsidP="00824ECA">
            <w:pPr>
              <w:pStyle w:val="TableTextEntries"/>
              <w:jc w:val="right"/>
            </w:pPr>
            <w:r w:rsidRPr="00824ECA">
              <w:rPr>
                <w:rFonts w:cs="Calibri"/>
                <w:bCs/>
                <w:color w:val="000000"/>
                <w:lang w:eastAsia="en-AU"/>
              </w:rPr>
              <w:t>2.32</w:t>
            </w:r>
          </w:p>
        </w:tc>
        <w:tc>
          <w:tcPr>
            <w:tcW w:w="2787" w:type="dxa"/>
            <w:tcBorders>
              <w:bottom w:val="single" w:sz="12" w:space="0" w:color="000000" w:themeColor="text1"/>
            </w:tcBorders>
          </w:tcPr>
          <w:p w14:paraId="73F40BEB" w14:textId="77777777" w:rsidR="00E03536" w:rsidRPr="00C57923" w:rsidRDefault="00E03536" w:rsidP="00824ECA">
            <w:pPr>
              <w:pStyle w:val="TableTextEntries"/>
            </w:pPr>
          </w:p>
        </w:tc>
      </w:tr>
    </w:tbl>
    <w:p w14:paraId="73F40BED" w14:textId="77777777" w:rsidR="000D733F" w:rsidRDefault="000D733F" w:rsidP="000D733F">
      <w:pPr>
        <w:pStyle w:val="Heading3"/>
        <w:rPr>
          <w:sz w:val="32"/>
          <w:szCs w:val="32"/>
        </w:rPr>
      </w:pPr>
      <w:r w:rsidRPr="009E38C1">
        <w:rPr>
          <w:b w:val="0"/>
          <w:color w:val="007FAD"/>
          <w:sz w:val="28"/>
          <w:szCs w:val="28"/>
          <w:lang w:eastAsia="en-AU"/>
        </w:rPr>
        <w:t>Progress towards objectives</w:t>
      </w:r>
      <w:r>
        <w:rPr>
          <w:sz w:val="32"/>
          <w:szCs w:val="32"/>
        </w:rPr>
        <w:tab/>
      </w:r>
    </w:p>
    <w:p w14:paraId="73F40BEE" w14:textId="77777777" w:rsidR="00B95CE9" w:rsidRPr="00AE0E0D" w:rsidRDefault="00B95CE9" w:rsidP="00AE0E0D">
      <w:pPr>
        <w:pStyle w:val="BodyText"/>
        <w:rPr>
          <w:lang w:eastAsia="zh-CN"/>
        </w:rPr>
      </w:pPr>
      <w:r>
        <w:rPr>
          <w:lang w:eastAsia="zh-CN"/>
        </w:rPr>
        <w:t>Table two summarises progress against Australia’s four objectives in Samoa as currently articulated in the Partnership for Development.</w:t>
      </w:r>
    </w:p>
    <w:p w14:paraId="73F40BEF" w14:textId="77777777" w:rsidR="005F3A5F" w:rsidRDefault="005F3A5F" w:rsidP="005F3A5F">
      <w:pPr>
        <w:pStyle w:val="Caption"/>
      </w:pPr>
      <w:r>
        <w:t xml:space="preserve">Table </w:t>
      </w:r>
      <w:fldSimple w:instr=" SEQ Table \* ARABIC ">
        <w:r w:rsidR="008C1633">
          <w:rPr>
            <w:noProof/>
          </w:rPr>
          <w:t>2</w:t>
        </w:r>
      </w:fldSimple>
      <w:r>
        <w:t xml:space="preserve"> Rating of the program's progress towards Australia’s aid objectives</w:t>
      </w:r>
    </w:p>
    <w:tbl>
      <w:tblPr>
        <w:tblStyle w:val="APPR"/>
        <w:tblW w:w="4757" w:type="pct"/>
        <w:tblLook w:val="0000" w:firstRow="0" w:lastRow="0" w:firstColumn="0" w:lastColumn="0" w:noHBand="0" w:noVBand="0"/>
      </w:tblPr>
      <w:tblGrid>
        <w:gridCol w:w="6233"/>
        <w:gridCol w:w="1026"/>
        <w:gridCol w:w="1091"/>
      </w:tblGrid>
      <w:tr w:rsidR="00965055" w:rsidRPr="0019341B" w14:paraId="73F40BF3" w14:textId="77777777" w:rsidTr="00965055">
        <w:trPr>
          <w:cnfStyle w:val="000000010000" w:firstRow="0" w:lastRow="0" w:firstColumn="0" w:lastColumn="0" w:oddVBand="0" w:evenVBand="0" w:oddHBand="0" w:evenHBand="1" w:firstRowFirstColumn="0" w:firstRowLastColumn="0" w:lastRowFirstColumn="0" w:lastRowLastColumn="0"/>
          <w:trHeight w:val="651"/>
        </w:trPr>
        <w:tc>
          <w:tcPr>
            <w:tcW w:w="6192" w:type="dxa"/>
          </w:tcPr>
          <w:p w14:paraId="73F40BF0" w14:textId="77777777" w:rsidR="00965055" w:rsidRPr="0019341B" w:rsidRDefault="00965055" w:rsidP="00DB386B">
            <w:pPr>
              <w:pStyle w:val="TableTextColumnHeading"/>
            </w:pPr>
            <w:r w:rsidRPr="0019341B">
              <w:rPr>
                <w:noProof/>
                <w:lang w:eastAsia="en-AU"/>
              </w:rPr>
              <w:drawing>
                <wp:anchor distT="0" distB="0" distL="114300" distR="114300" simplePos="0" relativeHeight="251671552" behindDoc="0" locked="0" layoutInCell="1" allowOverlap="1" wp14:anchorId="73F40E91" wp14:editId="73F40E92">
                  <wp:simplePos x="0" y="0"/>
                  <wp:positionH relativeFrom="column">
                    <wp:posOffset>0</wp:posOffset>
                  </wp:positionH>
                  <wp:positionV relativeFrom="paragraph">
                    <wp:posOffset>0</wp:posOffset>
                  </wp:positionV>
                  <wp:extent cx="1857375" cy="228600"/>
                  <wp:effectExtent l="0" t="0" r="9525" b="0"/>
                  <wp:wrapNone/>
                  <wp:docPr id="1" name="Picture 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Objective</w:t>
            </w:r>
          </w:p>
        </w:tc>
        <w:tc>
          <w:tcPr>
            <w:tcW w:w="998" w:type="dxa"/>
          </w:tcPr>
          <w:p w14:paraId="73F40BF1" w14:textId="77777777" w:rsidR="00965055" w:rsidRPr="0019341B" w:rsidRDefault="00965055" w:rsidP="00DB386B">
            <w:pPr>
              <w:pStyle w:val="TableTextColumnHeading"/>
            </w:pPr>
            <w:r>
              <w:t>Previous Rating</w:t>
            </w:r>
          </w:p>
        </w:tc>
        <w:tc>
          <w:tcPr>
            <w:tcW w:w="1049" w:type="dxa"/>
          </w:tcPr>
          <w:p w14:paraId="73F40BF2" w14:textId="77777777" w:rsidR="00965055" w:rsidRPr="0019341B" w:rsidRDefault="00965055" w:rsidP="00DB386B">
            <w:pPr>
              <w:pStyle w:val="TableTextColumnHeading"/>
            </w:pPr>
            <w:r>
              <w:t>Current Rating</w:t>
            </w:r>
          </w:p>
        </w:tc>
      </w:tr>
      <w:tr w:rsidR="00965055" w:rsidRPr="009D53C4" w14:paraId="73F40BF7" w14:textId="77777777" w:rsidTr="00965055">
        <w:trPr>
          <w:cnfStyle w:val="000000010000" w:firstRow="0" w:lastRow="0" w:firstColumn="0" w:lastColumn="0" w:oddVBand="0" w:evenVBand="0" w:oddHBand="0" w:evenHBand="1" w:firstRowFirstColumn="0" w:firstRowLastColumn="0" w:lastRowFirstColumn="0" w:lastRowLastColumn="0"/>
        </w:trPr>
        <w:tc>
          <w:tcPr>
            <w:tcW w:w="6192" w:type="dxa"/>
          </w:tcPr>
          <w:p w14:paraId="73F40BF4" w14:textId="77777777" w:rsidR="00965055" w:rsidRPr="0019341B" w:rsidRDefault="00965055" w:rsidP="005F3A5F">
            <w:pPr>
              <w:pStyle w:val="TableTextEntries"/>
            </w:pPr>
            <w:r>
              <w:t>Objective 1: Support Samoa’s ambition to achieve and move beyond MDG targets to address better quality and more equitable education for all.</w:t>
            </w:r>
          </w:p>
        </w:tc>
        <w:tc>
          <w:tcPr>
            <w:tcW w:w="998" w:type="dxa"/>
            <w:shd w:val="clear" w:color="auto" w:fill="669900"/>
            <w:noWrap/>
            <w:vAlign w:val="center"/>
          </w:tcPr>
          <w:p w14:paraId="73F40BF5" w14:textId="77777777" w:rsidR="00965055" w:rsidRPr="00443639" w:rsidRDefault="00965055" w:rsidP="00DB386B">
            <w:pPr>
              <w:pStyle w:val="TableTextEntries"/>
              <w:jc w:val="center"/>
              <w:rPr>
                <w:color w:val="FFFFFF" w:themeColor="background1"/>
              </w:rPr>
            </w:pPr>
            <w:r w:rsidRPr="00443639">
              <w:rPr>
                <w:color w:val="FFFFFF" w:themeColor="background1"/>
              </w:rPr>
              <w:t>Green</w:t>
            </w:r>
          </w:p>
        </w:tc>
        <w:tc>
          <w:tcPr>
            <w:tcW w:w="1049" w:type="dxa"/>
            <w:shd w:val="clear" w:color="auto" w:fill="E36C0A" w:themeFill="accent6" w:themeFillShade="BF"/>
            <w:noWrap/>
            <w:vAlign w:val="center"/>
          </w:tcPr>
          <w:p w14:paraId="73F40BF6" w14:textId="77777777" w:rsidR="00965055" w:rsidRPr="00443639" w:rsidRDefault="00965055" w:rsidP="00DB386B">
            <w:pPr>
              <w:pStyle w:val="TableTextEntries"/>
              <w:jc w:val="center"/>
              <w:rPr>
                <w:color w:val="FFFFFF" w:themeColor="background1"/>
              </w:rPr>
            </w:pPr>
            <w:r w:rsidRPr="00443639">
              <w:rPr>
                <w:color w:val="FFFFFF" w:themeColor="background1"/>
              </w:rPr>
              <w:t>Amber</w:t>
            </w:r>
          </w:p>
        </w:tc>
      </w:tr>
      <w:tr w:rsidR="00965055" w:rsidRPr="009D53C4" w14:paraId="73F40BFB" w14:textId="77777777" w:rsidTr="00D3274D">
        <w:trPr>
          <w:cnfStyle w:val="000000010000" w:firstRow="0" w:lastRow="0" w:firstColumn="0" w:lastColumn="0" w:oddVBand="0" w:evenVBand="0" w:oddHBand="0" w:evenHBand="1" w:firstRowFirstColumn="0" w:firstRowLastColumn="0" w:lastRowFirstColumn="0" w:lastRowLastColumn="0"/>
        </w:trPr>
        <w:tc>
          <w:tcPr>
            <w:tcW w:w="6192" w:type="dxa"/>
          </w:tcPr>
          <w:p w14:paraId="73F40BF8" w14:textId="77777777" w:rsidR="00965055" w:rsidRPr="0019341B" w:rsidRDefault="00965055" w:rsidP="005F3A5F">
            <w:pPr>
              <w:pStyle w:val="TableTextEntries"/>
            </w:pPr>
            <w:r>
              <w:t>Objective 2: Enable Samoa to provide better quality and more equitable health services to the people of Samoa.</w:t>
            </w:r>
          </w:p>
        </w:tc>
        <w:tc>
          <w:tcPr>
            <w:tcW w:w="998" w:type="dxa"/>
            <w:shd w:val="clear" w:color="auto" w:fill="669900"/>
            <w:noWrap/>
            <w:vAlign w:val="center"/>
          </w:tcPr>
          <w:p w14:paraId="73F40BF9" w14:textId="77777777" w:rsidR="00965055" w:rsidRPr="00443639" w:rsidRDefault="00965055" w:rsidP="00DB386B">
            <w:pPr>
              <w:pStyle w:val="TableTextEntries"/>
              <w:jc w:val="center"/>
              <w:rPr>
                <w:color w:val="FFFFFF" w:themeColor="background1"/>
              </w:rPr>
            </w:pPr>
            <w:r w:rsidRPr="00443639">
              <w:rPr>
                <w:color w:val="FFFFFF" w:themeColor="background1"/>
              </w:rPr>
              <w:t>Green</w:t>
            </w:r>
          </w:p>
        </w:tc>
        <w:tc>
          <w:tcPr>
            <w:tcW w:w="1049" w:type="dxa"/>
            <w:shd w:val="clear" w:color="auto" w:fill="E36C0A" w:themeFill="accent6" w:themeFillShade="BF"/>
            <w:noWrap/>
            <w:vAlign w:val="center"/>
          </w:tcPr>
          <w:p w14:paraId="73F40BFA" w14:textId="77777777" w:rsidR="00965055" w:rsidRPr="00443639" w:rsidRDefault="006B2A13" w:rsidP="00DB386B">
            <w:pPr>
              <w:pStyle w:val="TableTextEntries"/>
              <w:jc w:val="center"/>
              <w:rPr>
                <w:color w:val="FFFFFF" w:themeColor="background1"/>
              </w:rPr>
            </w:pPr>
            <w:r>
              <w:rPr>
                <w:color w:val="FFFFFF" w:themeColor="background1"/>
              </w:rPr>
              <w:t>Amber</w:t>
            </w:r>
          </w:p>
        </w:tc>
      </w:tr>
      <w:tr w:rsidR="00965055" w:rsidRPr="009D53C4" w14:paraId="73F40BFF" w14:textId="77777777" w:rsidTr="00965055">
        <w:trPr>
          <w:cnfStyle w:val="000000010000" w:firstRow="0" w:lastRow="0" w:firstColumn="0" w:lastColumn="0" w:oddVBand="0" w:evenVBand="0" w:oddHBand="0" w:evenHBand="1" w:firstRowFirstColumn="0" w:firstRowLastColumn="0" w:lastRowFirstColumn="0" w:lastRowLastColumn="0"/>
        </w:trPr>
        <w:tc>
          <w:tcPr>
            <w:tcW w:w="6192" w:type="dxa"/>
          </w:tcPr>
          <w:p w14:paraId="73F40BFC" w14:textId="77777777" w:rsidR="00965055" w:rsidRDefault="00965055" w:rsidP="005F3A5F">
            <w:pPr>
              <w:pStyle w:val="TableTextEntries"/>
            </w:pPr>
            <w:r>
              <w:t>Objective 3: Enable Samoa to achieve its goals of sustained macroeconomic stability and improved governance.</w:t>
            </w:r>
          </w:p>
        </w:tc>
        <w:tc>
          <w:tcPr>
            <w:tcW w:w="998" w:type="dxa"/>
            <w:shd w:val="clear" w:color="auto" w:fill="E36C0A" w:themeFill="accent6" w:themeFillShade="BF"/>
            <w:noWrap/>
            <w:vAlign w:val="center"/>
          </w:tcPr>
          <w:p w14:paraId="73F40BFD" w14:textId="77777777" w:rsidR="00965055" w:rsidRPr="00443639" w:rsidRDefault="00965055" w:rsidP="00DB386B">
            <w:pPr>
              <w:pStyle w:val="TableTextEntries"/>
              <w:jc w:val="center"/>
              <w:rPr>
                <w:color w:val="FFFFFF" w:themeColor="background1"/>
              </w:rPr>
            </w:pPr>
            <w:r>
              <w:rPr>
                <w:color w:val="FFFFFF" w:themeColor="background1"/>
              </w:rPr>
              <w:t>Amber</w:t>
            </w:r>
          </w:p>
        </w:tc>
        <w:tc>
          <w:tcPr>
            <w:tcW w:w="1049" w:type="dxa"/>
            <w:shd w:val="clear" w:color="auto" w:fill="669900"/>
            <w:noWrap/>
            <w:vAlign w:val="center"/>
          </w:tcPr>
          <w:p w14:paraId="73F40BFE" w14:textId="77777777" w:rsidR="00965055" w:rsidRPr="00443639" w:rsidRDefault="00965055" w:rsidP="00DB386B">
            <w:pPr>
              <w:pStyle w:val="TableTextEntries"/>
              <w:jc w:val="center"/>
              <w:rPr>
                <w:color w:val="FFFFFF" w:themeColor="background1"/>
              </w:rPr>
            </w:pPr>
            <w:r>
              <w:rPr>
                <w:color w:val="FFFFFF" w:themeColor="background1"/>
              </w:rPr>
              <w:t>Green</w:t>
            </w:r>
          </w:p>
        </w:tc>
      </w:tr>
      <w:tr w:rsidR="00965055" w:rsidRPr="009D53C4" w14:paraId="73F40C03" w14:textId="77777777" w:rsidTr="00965055">
        <w:trPr>
          <w:cnfStyle w:val="000000010000" w:firstRow="0" w:lastRow="0" w:firstColumn="0" w:lastColumn="0" w:oddVBand="0" w:evenVBand="0" w:oddHBand="0" w:evenHBand="1" w:firstRowFirstColumn="0" w:firstRowLastColumn="0" w:lastRowFirstColumn="0" w:lastRowLastColumn="0"/>
        </w:trPr>
        <w:tc>
          <w:tcPr>
            <w:tcW w:w="6192" w:type="dxa"/>
          </w:tcPr>
          <w:p w14:paraId="73F40C00" w14:textId="77777777" w:rsidR="00965055" w:rsidRDefault="00965055" w:rsidP="005F3A5F">
            <w:pPr>
              <w:pStyle w:val="TableTextEntries"/>
            </w:pPr>
            <w:r>
              <w:t>Objective 4: Enable Samoa to have safer communities, better access to justice and integration between the customary and formal justice systems.</w:t>
            </w:r>
          </w:p>
        </w:tc>
        <w:tc>
          <w:tcPr>
            <w:tcW w:w="998" w:type="dxa"/>
            <w:shd w:val="clear" w:color="auto" w:fill="E36C0A" w:themeFill="accent6" w:themeFillShade="BF"/>
            <w:noWrap/>
            <w:vAlign w:val="center"/>
          </w:tcPr>
          <w:p w14:paraId="73F40C01" w14:textId="77777777" w:rsidR="00965055" w:rsidRPr="00443639" w:rsidRDefault="00965055" w:rsidP="00DB386B">
            <w:pPr>
              <w:pStyle w:val="TableTextEntries"/>
              <w:jc w:val="center"/>
              <w:rPr>
                <w:color w:val="FFFFFF" w:themeColor="background1"/>
              </w:rPr>
            </w:pPr>
            <w:r w:rsidRPr="00443639">
              <w:rPr>
                <w:color w:val="FFFFFF" w:themeColor="background1"/>
              </w:rPr>
              <w:t>Amber</w:t>
            </w:r>
          </w:p>
        </w:tc>
        <w:tc>
          <w:tcPr>
            <w:tcW w:w="1049" w:type="dxa"/>
            <w:shd w:val="clear" w:color="auto" w:fill="E36C0A" w:themeFill="accent6" w:themeFillShade="BF"/>
            <w:noWrap/>
            <w:vAlign w:val="center"/>
          </w:tcPr>
          <w:p w14:paraId="73F40C02" w14:textId="77777777" w:rsidR="00965055" w:rsidRPr="00443639" w:rsidRDefault="00965055" w:rsidP="00DB386B">
            <w:pPr>
              <w:pStyle w:val="TableTextEntries"/>
              <w:jc w:val="center"/>
              <w:rPr>
                <w:color w:val="FFFFFF" w:themeColor="background1"/>
              </w:rPr>
            </w:pPr>
            <w:r>
              <w:rPr>
                <w:color w:val="FFFFFF" w:themeColor="background1"/>
              </w:rPr>
              <w:t>Amber</w:t>
            </w:r>
          </w:p>
        </w:tc>
      </w:tr>
    </w:tbl>
    <w:p w14:paraId="73F40C04" w14:textId="77777777" w:rsidR="005F3A5F" w:rsidRDefault="005F3A5F" w:rsidP="005F3A5F">
      <w:pPr>
        <w:rPr>
          <w:rFonts w:ascii="Helvetica" w:hAnsi="Helvetica" w:cs="Arial"/>
          <w:color w:val="0C7DAF"/>
          <w:kern w:val="28"/>
          <w:szCs w:val="28"/>
        </w:rPr>
      </w:pPr>
    </w:p>
    <w:p w14:paraId="73F40C05" w14:textId="77777777" w:rsidR="005F3A5F" w:rsidRDefault="005F3A5F" w:rsidP="00007BB5">
      <w:pPr>
        <w:pStyle w:val="BodyText"/>
        <w:rPr>
          <w:b/>
        </w:rPr>
      </w:pPr>
      <w:r w:rsidRPr="005F3A5F">
        <w:rPr>
          <w:b/>
        </w:rPr>
        <w:lastRenderedPageBreak/>
        <w:t>Objective 1: Support Samoa’s ambition to achieve and move beyond MDG targets to address better quality and more equitable education for all.</w:t>
      </w:r>
    </w:p>
    <w:p w14:paraId="73F40C06" w14:textId="77777777" w:rsidR="00B95CE9" w:rsidRPr="00AE0E0D" w:rsidRDefault="00B95CE9" w:rsidP="00007BB5">
      <w:pPr>
        <w:pStyle w:val="BodyText"/>
        <w:rPr>
          <w:u w:val="single"/>
        </w:rPr>
      </w:pPr>
      <w:r w:rsidRPr="00CC71EC">
        <w:t xml:space="preserve">This objective is rated </w:t>
      </w:r>
      <w:r w:rsidR="001311EC">
        <w:t>amber</w:t>
      </w:r>
      <w:r w:rsidR="001311EC" w:rsidRPr="00CC71EC">
        <w:t xml:space="preserve"> </w:t>
      </w:r>
      <w:r w:rsidRPr="00CC71EC">
        <w:t>overall</w:t>
      </w:r>
      <w:r w:rsidR="00CC71EC">
        <w:t xml:space="preserve"> as performance was slower than expected for the reporting period.  </w:t>
      </w:r>
      <w:r w:rsidRPr="00CC71EC">
        <w:t xml:space="preserve">While </w:t>
      </w:r>
      <w:r>
        <w:t>there is a strong mutual commitment to improving the quality of education</w:t>
      </w:r>
      <w:r w:rsidR="00163D2A">
        <w:t xml:space="preserve"> there has been </w:t>
      </w:r>
      <w:r w:rsidRPr="002E42DE">
        <w:t xml:space="preserve">slow implementation </w:t>
      </w:r>
      <w:r w:rsidR="00CC71EC">
        <w:t>of reforms</w:t>
      </w:r>
      <w:r w:rsidR="00163D2A">
        <w:t>.  This is due</w:t>
      </w:r>
      <w:r w:rsidR="00CC71EC">
        <w:t xml:space="preserve"> to thin capacity, </w:t>
      </w:r>
      <w:r w:rsidR="00163D2A">
        <w:t>a</w:t>
      </w:r>
      <w:r w:rsidR="00CC71EC">
        <w:t xml:space="preserve"> need for better monitoring and evaluation and </w:t>
      </w:r>
      <w:r w:rsidR="00163D2A">
        <w:t xml:space="preserve">a </w:t>
      </w:r>
      <w:r w:rsidR="00CC71EC">
        <w:t>need for more active strategies to reduce gender disparities</w:t>
      </w:r>
      <w:r w:rsidR="001311EC">
        <w:t xml:space="preserve"> particularly for males </w:t>
      </w:r>
      <w:r w:rsidR="008659F1">
        <w:t xml:space="preserve">in relation to </w:t>
      </w:r>
      <w:r w:rsidR="001311EC">
        <w:t>learning achievements</w:t>
      </w:r>
      <w:r w:rsidR="00163D2A">
        <w:t xml:space="preserve">.  This </w:t>
      </w:r>
      <w:r>
        <w:t>means that Australia’s support to the education sector continues to require close monitoring</w:t>
      </w:r>
      <w:r w:rsidR="00CC71EC">
        <w:t>.</w:t>
      </w:r>
      <w:r>
        <w:t xml:space="preserve"> </w:t>
      </w:r>
    </w:p>
    <w:p w14:paraId="73F40C07" w14:textId="77777777" w:rsidR="0000772B" w:rsidRDefault="007045D9" w:rsidP="0000772B">
      <w:pPr>
        <w:pStyle w:val="BodyText"/>
      </w:pPr>
      <w:r>
        <w:t>Samoa</w:t>
      </w:r>
      <w:r w:rsidR="00B83CD3">
        <w:t xml:space="preserve"> </w:t>
      </w:r>
      <w:r w:rsidR="00B27F58" w:rsidRPr="00B83CD3">
        <w:t>is one of the few Pacific countries on track to achiev</w:t>
      </w:r>
      <w:r w:rsidR="00163D2A">
        <w:t>e</w:t>
      </w:r>
      <w:r w:rsidR="00B27F58" w:rsidRPr="00B83CD3">
        <w:t xml:space="preserve"> 100% access </w:t>
      </w:r>
      <w:r w:rsidR="00B83CD3" w:rsidRPr="00B83CD3">
        <w:t>for all primary school children</w:t>
      </w:r>
      <w:r w:rsidR="00540801">
        <w:t>. N</w:t>
      </w:r>
      <w:r w:rsidR="00B27F58" w:rsidRPr="00B83CD3">
        <w:t xml:space="preserve">et enrolment rates are currently 97% </w:t>
      </w:r>
      <w:r w:rsidR="006F0765">
        <w:t xml:space="preserve">with comparable enrolment rates for boys and girls </w:t>
      </w:r>
      <w:r w:rsidR="00163D2A">
        <w:t xml:space="preserve">between </w:t>
      </w:r>
      <w:r w:rsidR="006F0765">
        <w:t>ages 5 to 12.  However by the age</w:t>
      </w:r>
      <w:r w:rsidR="00163D2A">
        <w:t>s</w:t>
      </w:r>
      <w:r w:rsidR="006F0765">
        <w:t xml:space="preserve"> of 13 and 14</w:t>
      </w:r>
      <w:r w:rsidR="002E3184">
        <w:t>,</w:t>
      </w:r>
      <w:r w:rsidR="006F0765">
        <w:t xml:space="preserve"> fewer girls than boys are completing </w:t>
      </w:r>
      <w:r w:rsidR="007F43CE">
        <w:t xml:space="preserve">primary </w:t>
      </w:r>
      <w:r w:rsidR="006F0765">
        <w:t>school</w:t>
      </w:r>
      <w:r w:rsidR="001311EC">
        <w:t>, although the gap is small</w:t>
      </w:r>
      <w:r w:rsidR="006F0765">
        <w:t>.</w:t>
      </w:r>
      <w:r w:rsidR="0096032F">
        <w:t xml:space="preserve"> </w:t>
      </w:r>
      <w:r w:rsidR="0000772B">
        <w:t xml:space="preserve">Widespread concerns remain about the </w:t>
      </w:r>
      <w:r w:rsidR="001311EC">
        <w:t xml:space="preserve">low </w:t>
      </w:r>
      <w:r w:rsidR="0000772B">
        <w:t xml:space="preserve">quality of education. The 2012 Samoan Primary Education Literacy Levels (SPELL) assessment shows that a quarter of Year 4 and half of Year 6 students are defined as ‘at risk’ against literacy and numeracy standards. Learning outcomes for boys are particularly </w:t>
      </w:r>
      <w:r w:rsidR="001311EC">
        <w:t>low</w:t>
      </w:r>
      <w:r w:rsidR="0000772B">
        <w:t xml:space="preserve">.  Samoa’s sex disaggregated data confirms that girls are out-performing boys with more than 60 percent of Year </w:t>
      </w:r>
      <w:r w:rsidR="00163D2A">
        <w:t>6</w:t>
      </w:r>
      <w:r w:rsidR="0000772B">
        <w:t xml:space="preserve"> boys not meeting national numeracy standards and over 50 per cent not meeting national standards for English literacy. A Joint Review Mission (JRM) of the Education Support Program II (ESP II)</w:t>
      </w:r>
      <w:r w:rsidR="0000772B" w:rsidRPr="00C022A4">
        <w:t xml:space="preserve"> </w:t>
      </w:r>
      <w:r w:rsidR="0000772B">
        <w:t xml:space="preserve">in </w:t>
      </w:r>
      <w:r w:rsidR="000A2267">
        <w:t>May 2014</w:t>
      </w:r>
      <w:r w:rsidR="0000772B">
        <w:t xml:space="preserve"> revealed that there ha</w:t>
      </w:r>
      <w:r w:rsidR="00163D2A">
        <w:t>d</w:t>
      </w:r>
      <w:r w:rsidR="0000772B">
        <w:t xml:space="preserve"> been no sustained improvements in SPELL results over the past seven years. </w:t>
      </w:r>
    </w:p>
    <w:p w14:paraId="73F40C08" w14:textId="77777777" w:rsidR="0000772B" w:rsidRDefault="0000772B" w:rsidP="0000772B">
      <w:pPr>
        <w:pStyle w:val="BodyText"/>
      </w:pPr>
      <w:r>
        <w:t>This poor performance is validated by the regional Pacific Island Literacy and Numeracy Assessment (PILNA) undertaken in 2013, which signal</w:t>
      </w:r>
      <w:r w:rsidR="00163D2A">
        <w:t>led</w:t>
      </w:r>
      <w:r>
        <w:t xml:space="preserve"> a serious decline in learning outcomes – 92 and 66 per cent of year six students </w:t>
      </w:r>
      <w:r w:rsidR="00163D2A">
        <w:t>were</w:t>
      </w:r>
      <w:r>
        <w:t xml:space="preserve"> not achieving at the expected standards for literacy and numeracy. Results at Year 8 levels </w:t>
      </w:r>
      <w:r w:rsidR="00163D2A">
        <w:t>were</w:t>
      </w:r>
      <w:r>
        <w:t xml:space="preserve"> also poor. At the post-secondary level, there are high drop-out rates attributed to cost, course relevance, provider standards and student preparedness (possibly linked to poor quality at secondary levels). </w:t>
      </w:r>
    </w:p>
    <w:p w14:paraId="73F40C09" w14:textId="77777777" w:rsidR="00B27F58" w:rsidRDefault="009E3825" w:rsidP="00007BB5">
      <w:pPr>
        <w:pStyle w:val="BodyText"/>
      </w:pPr>
      <w:r>
        <w:t>Australia’s support</w:t>
      </w:r>
      <w:r w:rsidR="008660A3">
        <w:t xml:space="preserve"> </w:t>
      </w:r>
      <w:r>
        <w:t xml:space="preserve">to the </w:t>
      </w:r>
      <w:r w:rsidR="00703E07">
        <w:t>GoS</w:t>
      </w:r>
      <w:r>
        <w:t xml:space="preserve"> in </w:t>
      </w:r>
      <w:r w:rsidR="002E3184">
        <w:t>the past financial year has</w:t>
      </w:r>
      <w:r>
        <w:t xml:space="preserve"> contributed to the development of t</w:t>
      </w:r>
      <w:r w:rsidRPr="00B83CD3">
        <w:t xml:space="preserve">eacher </w:t>
      </w:r>
      <w:r w:rsidR="00B27F58" w:rsidRPr="00B83CD3">
        <w:t xml:space="preserve">manuals for </w:t>
      </w:r>
      <w:r w:rsidR="00073887">
        <w:t>a</w:t>
      </w:r>
      <w:r w:rsidR="008660A3">
        <w:t>n outcomes based</w:t>
      </w:r>
      <w:r w:rsidR="00073887">
        <w:t xml:space="preserve"> </w:t>
      </w:r>
      <w:r w:rsidR="00B27F58" w:rsidRPr="00B83CD3">
        <w:t>bilingual curriculum</w:t>
      </w:r>
      <w:r w:rsidR="00073887">
        <w:t xml:space="preserve"> </w:t>
      </w:r>
      <w:r w:rsidR="00ED56F0">
        <w:t xml:space="preserve">and </w:t>
      </w:r>
      <w:r>
        <w:t xml:space="preserve">to training </w:t>
      </w:r>
      <w:r w:rsidR="00ED56F0">
        <w:t xml:space="preserve">1000 </w:t>
      </w:r>
      <w:r>
        <w:t xml:space="preserve">out of </w:t>
      </w:r>
      <w:r w:rsidR="00ED56F0">
        <w:t xml:space="preserve">1600 teachers to deliver this </w:t>
      </w:r>
      <w:r w:rsidR="0096032F">
        <w:t xml:space="preserve">curriculum. </w:t>
      </w:r>
      <w:r>
        <w:t>Our support has</w:t>
      </w:r>
      <w:r w:rsidR="003F0CE4">
        <w:t xml:space="preserve"> also</w:t>
      </w:r>
      <w:r>
        <w:t xml:space="preserve"> </w:t>
      </w:r>
      <w:r w:rsidR="003F0CE4">
        <w:t xml:space="preserve">been </w:t>
      </w:r>
      <w:r w:rsidR="0096032F">
        <w:t>used to</w:t>
      </w:r>
      <w:r w:rsidR="00ED56F0">
        <w:t xml:space="preserve"> </w:t>
      </w:r>
      <w:r>
        <w:t>finalis</w:t>
      </w:r>
      <w:r w:rsidR="003F0CE4">
        <w:t>e</w:t>
      </w:r>
      <w:r>
        <w:t xml:space="preserve"> professional standards </w:t>
      </w:r>
      <w:r w:rsidR="00ED56F0">
        <w:t>so</w:t>
      </w:r>
      <w:r w:rsidR="00073887">
        <w:t xml:space="preserve"> </w:t>
      </w:r>
      <w:r>
        <w:t xml:space="preserve">that </w:t>
      </w:r>
      <w:r w:rsidR="00ED56F0">
        <w:t>teacher quality can</w:t>
      </w:r>
      <w:r w:rsidR="00B27F58" w:rsidRPr="00B83CD3">
        <w:t xml:space="preserve"> </w:t>
      </w:r>
      <w:r w:rsidR="00ED56F0">
        <w:t xml:space="preserve">be assessed and monitored. </w:t>
      </w:r>
      <w:r>
        <w:t xml:space="preserve">Australia’s support has also contributed towards </w:t>
      </w:r>
      <w:r w:rsidR="00421092">
        <w:t xml:space="preserve">increasing children’s access to </w:t>
      </w:r>
      <w:r w:rsidR="00B27F58" w:rsidRPr="00B83CD3">
        <w:t>90 per cent of Samoa’s 160 government and mission primary schools</w:t>
      </w:r>
      <w:r w:rsidR="00421092">
        <w:t>.</w:t>
      </w:r>
    </w:p>
    <w:p w14:paraId="73F40C0A" w14:textId="77777777" w:rsidR="009E3825" w:rsidRPr="00B83CD3" w:rsidRDefault="00421092" w:rsidP="009E3825">
      <w:pPr>
        <w:pStyle w:val="BodyText"/>
      </w:pPr>
      <w:r>
        <w:t>Australian support is also providing opportunities for children living with disabilities to a</w:t>
      </w:r>
      <w:r w:rsidR="009E3825">
        <w:t xml:space="preserve">ccess </w:t>
      </w:r>
      <w:r>
        <w:t>early learning</w:t>
      </w:r>
      <w:r w:rsidR="00290926">
        <w:t xml:space="preserve"> interventions </w:t>
      </w:r>
      <w:r w:rsidR="0000772B">
        <w:t xml:space="preserve">in communities </w:t>
      </w:r>
      <w:r w:rsidR="00290926">
        <w:t>and primary and s</w:t>
      </w:r>
      <w:r>
        <w:t xml:space="preserve">econdary education services </w:t>
      </w:r>
      <w:r w:rsidR="0000772B">
        <w:t xml:space="preserve">in </w:t>
      </w:r>
      <w:r>
        <w:t xml:space="preserve">Special Needs schools and main-stream school settings.  </w:t>
      </w:r>
      <w:r w:rsidR="009E3825">
        <w:t>In 2013 an additional 227 children with a disability gained access to primary and secondary school</w:t>
      </w:r>
      <w:r w:rsidR="00163D2A">
        <w:t>.  This increased</w:t>
      </w:r>
      <w:r w:rsidR="00112048">
        <w:t xml:space="preserve"> overall figures </w:t>
      </w:r>
      <w:r w:rsidR="0096032F">
        <w:t xml:space="preserve">from 2009-10 </w:t>
      </w:r>
      <w:r w:rsidR="00112048">
        <w:t xml:space="preserve">for disability access </w:t>
      </w:r>
      <w:r w:rsidR="0096032F">
        <w:t xml:space="preserve">from 882 </w:t>
      </w:r>
      <w:r w:rsidR="00112048">
        <w:t>to 1109</w:t>
      </w:r>
      <w:r w:rsidR="0096032F">
        <w:t xml:space="preserve">. </w:t>
      </w:r>
      <w:r w:rsidR="009E3825">
        <w:t xml:space="preserve">Around 48 per cent of these children are girls. However, while more children with disability are accessing education services these </w:t>
      </w:r>
      <w:r w:rsidR="0000772B">
        <w:t>s</w:t>
      </w:r>
      <w:r w:rsidR="009E3825">
        <w:t xml:space="preserve">ervices remain heavily reliant on NGO and </w:t>
      </w:r>
      <w:r w:rsidR="002E3184">
        <w:t>d</w:t>
      </w:r>
      <w:r w:rsidR="009E3825">
        <w:t xml:space="preserve">onor support. While there is policy commitment by the </w:t>
      </w:r>
      <w:r w:rsidR="00E30F06">
        <w:t>GoS</w:t>
      </w:r>
      <w:r w:rsidR="009E3825">
        <w:t xml:space="preserve"> </w:t>
      </w:r>
      <w:r w:rsidR="00290926">
        <w:t xml:space="preserve">this has not yet fully translated into </w:t>
      </w:r>
      <w:r w:rsidR="000A2267">
        <w:t>implementation</w:t>
      </w:r>
      <w:r w:rsidR="009E3825">
        <w:t xml:space="preserve">. A re-design of the Samoa Inclusive Education Demonstration Program is planned in </w:t>
      </w:r>
      <w:r w:rsidR="00266A9F">
        <w:t xml:space="preserve">September </w:t>
      </w:r>
      <w:r w:rsidR="009E3825">
        <w:t xml:space="preserve">2014. This will examine issues of sustainability and quality of education provided to children with disabilities and consider how </w:t>
      </w:r>
      <w:r w:rsidR="00290926">
        <w:t xml:space="preserve">to transition this into </w:t>
      </w:r>
      <w:r w:rsidR="009E3825">
        <w:t xml:space="preserve">the </w:t>
      </w:r>
      <w:r w:rsidR="00E30F06">
        <w:t>GoS</w:t>
      </w:r>
      <w:r w:rsidR="009E3825">
        <w:t>’s own planning and funding.</w:t>
      </w:r>
    </w:p>
    <w:p w14:paraId="73F40C0B" w14:textId="77777777" w:rsidR="00421092" w:rsidRDefault="00421092" w:rsidP="00421092">
      <w:pPr>
        <w:pStyle w:val="BodyText"/>
      </w:pPr>
      <w:r>
        <w:lastRenderedPageBreak/>
        <w:t>Australia’s support</w:t>
      </w:r>
      <w:r w:rsidR="001B7E1F">
        <w:t xml:space="preserve"> towards increasing opportunities for Samoans </w:t>
      </w:r>
      <w:r>
        <w:t xml:space="preserve">in the Post- Secondary and Tertiary (PSET) and </w:t>
      </w:r>
      <w:r w:rsidRPr="00B83CD3">
        <w:t>T</w:t>
      </w:r>
      <w:r>
        <w:t xml:space="preserve">echnical </w:t>
      </w:r>
      <w:r w:rsidRPr="00B83CD3">
        <w:t>V</w:t>
      </w:r>
      <w:r>
        <w:t xml:space="preserve">ocational </w:t>
      </w:r>
      <w:r w:rsidRPr="00B83CD3">
        <w:t>E</w:t>
      </w:r>
      <w:r>
        <w:t xml:space="preserve">ducation (TVET) sub-sectors is </w:t>
      </w:r>
      <w:r w:rsidRPr="00020E6C">
        <w:t>proceeding well</w:t>
      </w:r>
      <w:r>
        <w:t xml:space="preserve">. Over 400 National Competency Standards across seven trades have been developed and 13 post-school education and training (PSET) providers have been registered to national standards. A tracer study of PSET graduates undertaken in 2013 showed that 56 per cent of PSET graduates are in paid employment and three per cent are self-employed. </w:t>
      </w:r>
    </w:p>
    <w:p w14:paraId="73F40C0C" w14:textId="77777777" w:rsidR="006B794E" w:rsidRDefault="006B794E" w:rsidP="00CC71EC">
      <w:pPr>
        <w:pStyle w:val="BodyText"/>
        <w:spacing w:line="276" w:lineRule="auto"/>
      </w:pPr>
      <w:r>
        <w:t xml:space="preserve">The </w:t>
      </w:r>
      <w:r w:rsidRPr="00B83CD3">
        <w:t>Au</w:t>
      </w:r>
      <w:r>
        <w:t>stralia A</w:t>
      </w:r>
      <w:r w:rsidRPr="00B83CD3">
        <w:t xml:space="preserve">wards continue to be </w:t>
      </w:r>
      <w:r w:rsidR="009E3825">
        <w:t>a</w:t>
      </w:r>
      <w:r w:rsidRPr="00B83CD3">
        <w:t xml:space="preserve"> major source </w:t>
      </w:r>
      <w:r>
        <w:t>of human development for Samoa</w:t>
      </w:r>
      <w:r w:rsidR="000A2267">
        <w:t>, with 52 awards to Samoans for the 2013-14 intake</w:t>
      </w:r>
      <w:r w:rsidR="00B84049">
        <w:t xml:space="preserve">.  </w:t>
      </w:r>
      <w:r>
        <w:t xml:space="preserve">A three year pilot program in education and health will commence in 2015 to address </w:t>
      </w:r>
      <w:r w:rsidR="00163D2A">
        <w:t xml:space="preserve">critical </w:t>
      </w:r>
      <w:r>
        <w:t xml:space="preserve">areas of critical work-force. </w:t>
      </w:r>
      <w:r w:rsidR="001311EC">
        <w:t>While a national bond system is in place for scholarship students to return to Samoa.  The pilot will ensure that s</w:t>
      </w:r>
      <w:r>
        <w:t>uccessful awardees</w:t>
      </w:r>
      <w:r w:rsidR="001311EC">
        <w:t xml:space="preserve"> are bonded </w:t>
      </w:r>
      <w:r>
        <w:t xml:space="preserve"> </w:t>
      </w:r>
      <w:r w:rsidR="0091044C">
        <w:t xml:space="preserve">to </w:t>
      </w:r>
      <w:r>
        <w:t xml:space="preserve">the respective Ministries on completion of their qualification as an incentive to </w:t>
      </w:r>
      <w:r w:rsidR="00163D2A">
        <w:t xml:space="preserve">complete </w:t>
      </w:r>
      <w:r>
        <w:t>teaching and allied health qualifications.</w:t>
      </w:r>
      <w:r w:rsidR="001311EC">
        <w:t xml:space="preserve">  The Health Sector currently has a bond system in place that is working well.</w:t>
      </w:r>
    </w:p>
    <w:p w14:paraId="73F40C0D" w14:textId="77777777" w:rsidR="00121571" w:rsidRPr="00CC71EC" w:rsidRDefault="004D3331" w:rsidP="00CC71EC">
      <w:pPr>
        <w:spacing w:line="276" w:lineRule="auto"/>
        <w:rPr>
          <w:rFonts w:ascii="Franklin Gothic Book" w:eastAsia="Times New Roman" w:hAnsi="Franklin Gothic Book"/>
          <w:sz w:val="21"/>
        </w:rPr>
      </w:pPr>
      <w:r w:rsidRPr="00CC71EC">
        <w:rPr>
          <w:rFonts w:ascii="Franklin Gothic Book" w:eastAsia="Times New Roman" w:hAnsi="Franklin Gothic Book"/>
          <w:sz w:val="21"/>
        </w:rPr>
        <w:t>T</w:t>
      </w:r>
      <w:r w:rsidR="006B794E" w:rsidRPr="00CC71EC">
        <w:rPr>
          <w:rFonts w:ascii="Franklin Gothic Book" w:eastAsia="Times New Roman" w:hAnsi="Franklin Gothic Book"/>
          <w:sz w:val="21"/>
        </w:rPr>
        <w:t xml:space="preserve">here is </w:t>
      </w:r>
      <w:r w:rsidR="00236A2A" w:rsidRPr="00CC71EC">
        <w:rPr>
          <w:rFonts w:ascii="Franklin Gothic Book" w:eastAsia="Times New Roman" w:hAnsi="Franklin Gothic Book"/>
          <w:sz w:val="21"/>
        </w:rPr>
        <w:t xml:space="preserve">strong commitment </w:t>
      </w:r>
      <w:r w:rsidR="006B794E" w:rsidRPr="00CC71EC">
        <w:rPr>
          <w:rFonts w:ascii="Franklin Gothic Book" w:eastAsia="Times New Roman" w:hAnsi="Franklin Gothic Book"/>
          <w:sz w:val="21"/>
        </w:rPr>
        <w:t xml:space="preserve">from the </w:t>
      </w:r>
      <w:r w:rsidR="00E30F06" w:rsidRPr="00CC71EC">
        <w:rPr>
          <w:rFonts w:ascii="Franklin Gothic Book" w:eastAsia="Times New Roman" w:hAnsi="Franklin Gothic Book"/>
          <w:sz w:val="21"/>
        </w:rPr>
        <w:t>GoS</w:t>
      </w:r>
      <w:r w:rsidR="006B794E" w:rsidRPr="00CC71EC">
        <w:rPr>
          <w:rFonts w:ascii="Franklin Gothic Book" w:eastAsia="Times New Roman" w:hAnsi="Franklin Gothic Book"/>
          <w:sz w:val="21"/>
        </w:rPr>
        <w:t xml:space="preserve"> and</w:t>
      </w:r>
      <w:r w:rsidR="00236A2A" w:rsidRPr="00CC71EC">
        <w:rPr>
          <w:rFonts w:ascii="Franklin Gothic Book" w:eastAsia="Times New Roman" w:hAnsi="Franklin Gothic Book"/>
          <w:sz w:val="21"/>
        </w:rPr>
        <w:t xml:space="preserve"> its</w:t>
      </w:r>
      <w:r w:rsidR="006B794E" w:rsidRPr="00CC71EC">
        <w:rPr>
          <w:rFonts w:ascii="Franklin Gothic Book" w:eastAsia="Times New Roman" w:hAnsi="Franklin Gothic Book"/>
          <w:sz w:val="21"/>
        </w:rPr>
        <w:t xml:space="preserve"> donor partners</w:t>
      </w:r>
      <w:r w:rsidR="00163D2A">
        <w:rPr>
          <w:rFonts w:ascii="Franklin Gothic Book" w:eastAsia="Times New Roman" w:hAnsi="Franklin Gothic Book"/>
          <w:sz w:val="21"/>
        </w:rPr>
        <w:t>, Australia and New Zealand,</w:t>
      </w:r>
      <w:r w:rsidR="006B794E" w:rsidRPr="00CC71EC">
        <w:rPr>
          <w:rFonts w:ascii="Franklin Gothic Book" w:eastAsia="Times New Roman" w:hAnsi="Franklin Gothic Book"/>
          <w:sz w:val="21"/>
        </w:rPr>
        <w:t xml:space="preserve"> </w:t>
      </w:r>
      <w:r w:rsidR="00236A2A" w:rsidRPr="00CC71EC">
        <w:rPr>
          <w:rFonts w:ascii="Franklin Gothic Book" w:eastAsia="Times New Roman" w:hAnsi="Franklin Gothic Book"/>
          <w:sz w:val="21"/>
        </w:rPr>
        <w:t xml:space="preserve">to strengthen its focus </w:t>
      </w:r>
      <w:r w:rsidR="006B794E" w:rsidRPr="00CC71EC">
        <w:rPr>
          <w:rFonts w:ascii="Franklin Gothic Book" w:eastAsia="Times New Roman" w:hAnsi="Franklin Gothic Book"/>
          <w:sz w:val="21"/>
        </w:rPr>
        <w:t>on i</w:t>
      </w:r>
      <w:r w:rsidR="00B45FD5" w:rsidRPr="00CC71EC">
        <w:rPr>
          <w:rFonts w:ascii="Franklin Gothic Book" w:eastAsia="Times New Roman" w:hAnsi="Franklin Gothic Book"/>
          <w:sz w:val="21"/>
        </w:rPr>
        <w:t>mproving the quality of education</w:t>
      </w:r>
      <w:r w:rsidR="0091044C" w:rsidRPr="00CC71EC">
        <w:rPr>
          <w:rFonts w:ascii="Franklin Gothic Book" w:eastAsia="Times New Roman" w:hAnsi="Franklin Gothic Book"/>
          <w:sz w:val="21"/>
        </w:rPr>
        <w:t xml:space="preserve"> in Samoa</w:t>
      </w:r>
      <w:r w:rsidR="001216B7" w:rsidRPr="00CC71EC">
        <w:rPr>
          <w:rFonts w:ascii="Franklin Gothic Book" w:eastAsia="Times New Roman" w:hAnsi="Franklin Gothic Book"/>
          <w:sz w:val="21"/>
        </w:rPr>
        <w:t>.</w:t>
      </w:r>
      <w:r w:rsidR="006C43BB" w:rsidRPr="00CC71EC">
        <w:rPr>
          <w:rFonts w:ascii="Franklin Gothic Book" w:eastAsia="Times New Roman" w:hAnsi="Franklin Gothic Book"/>
          <w:sz w:val="21"/>
        </w:rPr>
        <w:t xml:space="preserve"> </w:t>
      </w:r>
      <w:r w:rsidR="00CC71EC">
        <w:rPr>
          <w:rFonts w:ascii="Franklin Gothic Book" w:eastAsia="Times New Roman" w:hAnsi="Franklin Gothic Book"/>
          <w:sz w:val="21"/>
        </w:rPr>
        <w:t xml:space="preserve">  </w:t>
      </w:r>
      <w:r w:rsidR="0091044C" w:rsidRPr="00CC71EC">
        <w:rPr>
          <w:rFonts w:ascii="Franklin Gothic Book" w:eastAsia="Times New Roman" w:hAnsi="Franklin Gothic Book"/>
          <w:sz w:val="21"/>
        </w:rPr>
        <w:t xml:space="preserve">The next phase of Australia’s support to the sector </w:t>
      </w:r>
      <w:r w:rsidR="00133784" w:rsidRPr="00CC71EC">
        <w:rPr>
          <w:rFonts w:ascii="Franklin Gothic Book" w:eastAsia="Times New Roman" w:hAnsi="Franklin Gothic Book"/>
          <w:sz w:val="21"/>
        </w:rPr>
        <w:t>will have strong</w:t>
      </w:r>
      <w:r w:rsidRPr="00CC71EC">
        <w:rPr>
          <w:rFonts w:ascii="Franklin Gothic Book" w:eastAsia="Times New Roman" w:hAnsi="Franklin Gothic Book"/>
          <w:sz w:val="21"/>
        </w:rPr>
        <w:t xml:space="preserve"> performance benchmarks</w:t>
      </w:r>
      <w:r w:rsidR="00133784" w:rsidRPr="00CC71EC">
        <w:rPr>
          <w:rFonts w:ascii="Franklin Gothic Book" w:eastAsia="Times New Roman" w:hAnsi="Franklin Gothic Book"/>
          <w:sz w:val="21"/>
        </w:rPr>
        <w:t xml:space="preserve"> linked to a </w:t>
      </w:r>
      <w:r w:rsidR="00163D2A">
        <w:rPr>
          <w:rFonts w:ascii="Franklin Gothic Book" w:eastAsia="Times New Roman" w:hAnsi="Franklin Gothic Book"/>
          <w:sz w:val="21"/>
        </w:rPr>
        <w:t>proportion</w:t>
      </w:r>
      <w:r w:rsidR="00133784" w:rsidRPr="00CC71EC">
        <w:rPr>
          <w:rFonts w:ascii="Franklin Gothic Book" w:eastAsia="Times New Roman" w:hAnsi="Franklin Gothic Book"/>
          <w:sz w:val="21"/>
        </w:rPr>
        <w:t xml:space="preserve"> of funding</w:t>
      </w:r>
      <w:r w:rsidRPr="00CC71EC">
        <w:rPr>
          <w:rFonts w:ascii="Franklin Gothic Book" w:eastAsia="Times New Roman" w:hAnsi="Franklin Gothic Book"/>
          <w:sz w:val="21"/>
        </w:rPr>
        <w:t xml:space="preserve"> </w:t>
      </w:r>
      <w:r w:rsidR="0096032F" w:rsidRPr="00CC71EC">
        <w:rPr>
          <w:rFonts w:ascii="Franklin Gothic Book" w:eastAsia="Times New Roman" w:hAnsi="Franklin Gothic Book"/>
          <w:sz w:val="21"/>
        </w:rPr>
        <w:t xml:space="preserve">as an incentive to drive forward implementation in </w:t>
      </w:r>
      <w:r w:rsidRPr="00CC71EC">
        <w:rPr>
          <w:rFonts w:ascii="Franklin Gothic Book" w:eastAsia="Times New Roman" w:hAnsi="Franklin Gothic Book"/>
          <w:sz w:val="21"/>
        </w:rPr>
        <w:t>critical areas</w:t>
      </w:r>
      <w:r w:rsidR="00133784" w:rsidRPr="00CC71EC">
        <w:rPr>
          <w:rFonts w:ascii="Franklin Gothic Book" w:eastAsia="Times New Roman" w:hAnsi="Franklin Gothic Book"/>
          <w:sz w:val="21"/>
        </w:rPr>
        <w:t xml:space="preserve"> and thereby helping to lift education quality.</w:t>
      </w:r>
      <w:r w:rsidR="0096032F" w:rsidRPr="00CC71EC">
        <w:rPr>
          <w:rFonts w:ascii="Franklin Gothic Book" w:eastAsia="Times New Roman" w:hAnsi="Franklin Gothic Book"/>
          <w:sz w:val="21"/>
        </w:rPr>
        <w:t xml:space="preserve">  </w:t>
      </w:r>
      <w:r w:rsidR="00CC71EC" w:rsidRPr="00AE0E0D">
        <w:rPr>
          <w:rFonts w:ascii="Franklin Gothic Book" w:eastAsia="Times New Roman" w:hAnsi="Franklin Gothic Book"/>
          <w:sz w:val="21"/>
        </w:rPr>
        <w:t xml:space="preserve">The design includes the establishment of a sector-wide system for </w:t>
      </w:r>
      <w:r w:rsidR="00163D2A">
        <w:rPr>
          <w:rFonts w:ascii="Franklin Gothic Book" w:eastAsia="Times New Roman" w:hAnsi="Franklin Gothic Book"/>
          <w:sz w:val="21"/>
        </w:rPr>
        <w:t>monitoring and evaluation (</w:t>
      </w:r>
      <w:r w:rsidR="00CC71EC" w:rsidRPr="00AE0E0D">
        <w:rPr>
          <w:rFonts w:ascii="Franklin Gothic Book" w:eastAsia="Times New Roman" w:hAnsi="Franklin Gothic Book"/>
          <w:sz w:val="21"/>
        </w:rPr>
        <w:t>M&amp;E</w:t>
      </w:r>
      <w:r w:rsidR="00163D2A">
        <w:rPr>
          <w:rFonts w:ascii="Franklin Gothic Book" w:eastAsia="Times New Roman" w:hAnsi="Franklin Gothic Book"/>
          <w:sz w:val="21"/>
        </w:rPr>
        <w:t>)</w:t>
      </w:r>
      <w:r w:rsidR="00CC71EC" w:rsidRPr="00AE0E0D">
        <w:rPr>
          <w:rFonts w:ascii="Franklin Gothic Book" w:eastAsia="Times New Roman" w:hAnsi="Franklin Gothic Book"/>
          <w:sz w:val="21"/>
        </w:rPr>
        <w:t xml:space="preserve"> </w:t>
      </w:r>
      <w:r w:rsidR="00CC71EC" w:rsidRPr="00CC71EC">
        <w:rPr>
          <w:rFonts w:ascii="Franklin Gothic Book" w:eastAsia="Times New Roman" w:hAnsi="Franklin Gothic Book"/>
          <w:sz w:val="21"/>
        </w:rPr>
        <w:t xml:space="preserve">to </w:t>
      </w:r>
      <w:r w:rsidR="00CC71EC" w:rsidRPr="00AE0E0D">
        <w:rPr>
          <w:rFonts w:ascii="Franklin Gothic Book" w:eastAsia="Times New Roman" w:hAnsi="Franklin Gothic Book"/>
          <w:sz w:val="21"/>
        </w:rPr>
        <w:t>support sectoral, institutional and sub-institutional needs</w:t>
      </w:r>
      <w:r w:rsidR="00CC71EC" w:rsidRPr="00CC71EC">
        <w:rPr>
          <w:rFonts w:ascii="Franklin Gothic Book" w:eastAsia="Times New Roman" w:hAnsi="Franklin Gothic Book"/>
          <w:sz w:val="21"/>
        </w:rPr>
        <w:t xml:space="preserve"> and a sectoral strategy for reducing gender disparities in literacy and numeracy.</w:t>
      </w:r>
      <w:r w:rsidR="00CC71EC" w:rsidRPr="00AE0E0D">
        <w:rPr>
          <w:rFonts w:ascii="Franklin Gothic Book" w:eastAsia="Times New Roman" w:hAnsi="Franklin Gothic Book"/>
          <w:sz w:val="21"/>
        </w:rPr>
        <w:t xml:space="preserve">.   </w:t>
      </w:r>
    </w:p>
    <w:p w14:paraId="73F40C0E" w14:textId="77777777" w:rsidR="00DB386B" w:rsidRPr="00DB386B" w:rsidRDefault="00DB386B" w:rsidP="0002110A">
      <w:pPr>
        <w:pStyle w:val="BodyText"/>
        <w:rPr>
          <w:b/>
        </w:rPr>
      </w:pPr>
      <w:r w:rsidRPr="00DB386B">
        <w:rPr>
          <w:b/>
        </w:rPr>
        <w:t>Objective 2: Enable Samoa to provide better quality and more equitable health services to the people of Samoa.</w:t>
      </w:r>
    </w:p>
    <w:p w14:paraId="73F40C0F" w14:textId="77777777" w:rsidR="00B95CE9" w:rsidRDefault="00B95CE9" w:rsidP="0002110A">
      <w:pPr>
        <w:pStyle w:val="BodyText"/>
      </w:pPr>
      <w:r>
        <w:t>This objective was rated amber because of slow progress under the SWAp during the reporting period.</w:t>
      </w:r>
    </w:p>
    <w:p w14:paraId="73F40C10" w14:textId="77777777" w:rsidR="00E42369" w:rsidRDefault="009F56D8" w:rsidP="0002110A">
      <w:pPr>
        <w:pStyle w:val="BodyText"/>
      </w:pPr>
      <w:r>
        <w:t>Between 2008 and 2014</w:t>
      </w:r>
      <w:r w:rsidR="000004C1">
        <w:t xml:space="preserve"> </w:t>
      </w:r>
      <w:r w:rsidR="00156BC5">
        <w:t>Australia’s main investment in the</w:t>
      </w:r>
      <w:r>
        <w:t xml:space="preserve"> health</w:t>
      </w:r>
      <w:r w:rsidR="00156BC5">
        <w:t xml:space="preserve"> sector </w:t>
      </w:r>
      <w:r w:rsidR="00163D2A">
        <w:t>was</w:t>
      </w:r>
      <w:r w:rsidR="00156BC5">
        <w:t xml:space="preserve"> through</w:t>
      </w:r>
      <w:r w:rsidR="00772354">
        <w:t xml:space="preserve"> </w:t>
      </w:r>
      <w:r>
        <w:t>the health SWAp</w:t>
      </w:r>
      <w:r w:rsidR="00156BC5">
        <w:t xml:space="preserve"> </w:t>
      </w:r>
      <w:r w:rsidR="0002110A">
        <w:t>, a</w:t>
      </w:r>
      <w:r w:rsidR="0002110A" w:rsidRPr="0002110A">
        <w:t xml:space="preserve"> partnership </w:t>
      </w:r>
      <w:r w:rsidR="0002110A" w:rsidRPr="00616A38">
        <w:t xml:space="preserve">with </w:t>
      </w:r>
      <w:r w:rsidR="0002110A">
        <w:t>Samoa, New Zealand and the World Bank</w:t>
      </w:r>
      <w:r w:rsidR="00156BC5">
        <w:t>.</w:t>
      </w:r>
      <w:r w:rsidR="00772354">
        <w:t xml:space="preserve"> </w:t>
      </w:r>
      <w:r w:rsidR="000004C1">
        <w:t xml:space="preserve"> </w:t>
      </w:r>
    </w:p>
    <w:p w14:paraId="73F40C11" w14:textId="77777777" w:rsidR="002A3B4D" w:rsidRDefault="0002110A" w:rsidP="0002110A">
      <w:pPr>
        <w:pStyle w:val="BodyText"/>
      </w:pPr>
      <w:r>
        <w:t>SWAp</w:t>
      </w:r>
      <w:r w:rsidR="003F4646">
        <w:t xml:space="preserve"> </w:t>
      </w:r>
      <w:r>
        <w:t>fund</w:t>
      </w:r>
      <w:r w:rsidR="00E42369">
        <w:t xml:space="preserve">s have </w:t>
      </w:r>
      <w:r w:rsidR="00A63EE9">
        <w:t xml:space="preserve">supported the implementation of the first five years of the Government’s </w:t>
      </w:r>
      <w:r w:rsidRPr="0002110A">
        <w:t xml:space="preserve">Health Sector Plan </w:t>
      </w:r>
      <w:r w:rsidRPr="0047113B">
        <w:t>2008-2018</w:t>
      </w:r>
      <w:r w:rsidR="007970F1">
        <w:t xml:space="preserve"> (HSP)</w:t>
      </w:r>
      <w:r w:rsidR="002A3B4D">
        <w:t xml:space="preserve"> and all non-infrastructure components of the SWAp </w:t>
      </w:r>
      <w:r w:rsidR="00163D2A">
        <w:t>were</w:t>
      </w:r>
      <w:r w:rsidR="002A3B4D">
        <w:t xml:space="preserve"> completed in previous years.  </w:t>
      </w:r>
      <w:r w:rsidR="003F4646">
        <w:t>H</w:t>
      </w:r>
      <w:r w:rsidR="00E42369">
        <w:t xml:space="preserve">owever, </w:t>
      </w:r>
      <w:r w:rsidR="0032127F">
        <w:t xml:space="preserve">as a result of delayed procurement and construction of </w:t>
      </w:r>
      <w:r w:rsidR="00E42369">
        <w:t>key infrastructure</w:t>
      </w:r>
      <w:r w:rsidR="003F4646">
        <w:t>,</w:t>
      </w:r>
      <w:r w:rsidR="0032127F">
        <w:t xml:space="preserve"> </w:t>
      </w:r>
      <w:r w:rsidR="00950387">
        <w:t xml:space="preserve">Australia’s </w:t>
      </w:r>
      <w:r w:rsidR="00A63EE9">
        <w:t>spending in 2013-14 was minimal</w:t>
      </w:r>
      <w:r w:rsidR="000004C1">
        <w:t>.</w:t>
      </w:r>
      <w:r w:rsidR="006C43BB">
        <w:t xml:space="preserve"> </w:t>
      </w:r>
      <w:r w:rsidR="002A3B4D">
        <w:t>There</w:t>
      </w:r>
      <w:r w:rsidR="00163D2A">
        <w:t xml:space="preserve"> </w:t>
      </w:r>
      <w:r w:rsidR="00C308B0">
        <w:t xml:space="preserve">is currently </w:t>
      </w:r>
      <w:r w:rsidR="002A3B4D">
        <w:t xml:space="preserve">an </w:t>
      </w:r>
      <w:r w:rsidR="002A3B4D" w:rsidRPr="00F476A4">
        <w:t>estimated $14 million unspent – including approximat</w:t>
      </w:r>
      <w:r w:rsidR="00021A21">
        <w:t>ely $5.7 million from Australia.  T</w:t>
      </w:r>
      <w:r w:rsidR="002A3B4D" w:rsidRPr="00F476A4">
        <w:t>here is a high risk these funds will not be expended on time</w:t>
      </w:r>
      <w:r w:rsidR="002A3B4D">
        <w:t xml:space="preserve">.  </w:t>
      </w:r>
      <w:r w:rsidR="00F476A4">
        <w:t>As a result of this s</w:t>
      </w:r>
      <w:r w:rsidR="00F476A4" w:rsidRPr="00F476A4">
        <w:t xml:space="preserve">low progress </w:t>
      </w:r>
      <w:r w:rsidR="00021A21">
        <w:t>development</w:t>
      </w:r>
      <w:r w:rsidR="00F476A4" w:rsidRPr="00F476A4">
        <w:t xml:space="preserve"> </w:t>
      </w:r>
      <w:r w:rsidR="00022BD1">
        <w:t xml:space="preserve">partners agreed to </w:t>
      </w:r>
      <w:r w:rsidR="00F476A4" w:rsidRPr="00F476A4">
        <w:t>extend</w:t>
      </w:r>
      <w:r w:rsidR="00022BD1">
        <w:t xml:space="preserve"> </w:t>
      </w:r>
      <w:r w:rsidR="003F4646">
        <w:t>the SWAp</w:t>
      </w:r>
      <w:r w:rsidR="00F476A4" w:rsidRPr="00F476A4">
        <w:t xml:space="preserve"> until the end of 2015</w:t>
      </w:r>
      <w:r w:rsidR="00F476A4">
        <w:t xml:space="preserve"> to allow for </w:t>
      </w:r>
      <w:r w:rsidR="00022BD1">
        <w:t>the</w:t>
      </w:r>
      <w:r w:rsidR="00580D0F">
        <w:t xml:space="preserve"> remaining four</w:t>
      </w:r>
      <w:r w:rsidR="00022BD1">
        <w:t xml:space="preserve"> civil works to be</w:t>
      </w:r>
      <w:r w:rsidR="00F476A4">
        <w:t xml:space="preserve"> complet</w:t>
      </w:r>
      <w:r w:rsidR="00022BD1">
        <w:t>ed</w:t>
      </w:r>
      <w:r w:rsidR="00F476A4" w:rsidRPr="00F476A4">
        <w:t>.</w:t>
      </w:r>
      <w:r w:rsidR="006C43BB">
        <w:t xml:space="preserve"> </w:t>
      </w:r>
    </w:p>
    <w:p w14:paraId="73F40C12" w14:textId="77777777" w:rsidR="00014C62" w:rsidRDefault="002A3B4D" w:rsidP="0002110A">
      <w:pPr>
        <w:pStyle w:val="BodyText"/>
      </w:pPr>
      <w:r>
        <w:t xml:space="preserve">One of these </w:t>
      </w:r>
      <w:r w:rsidR="00C308B0">
        <w:t>civil works</w:t>
      </w:r>
      <w:r w:rsidR="00021A21">
        <w:t>,</w:t>
      </w:r>
      <w:r>
        <w:t xml:space="preserve"> the orthotics</w:t>
      </w:r>
      <w:r w:rsidR="00014C62">
        <w:t xml:space="preserve"> and p</w:t>
      </w:r>
      <w:r w:rsidR="00014C62" w:rsidRPr="00F65A35">
        <w:t xml:space="preserve">rosthetics </w:t>
      </w:r>
      <w:r w:rsidR="00014C62">
        <w:t>w</w:t>
      </w:r>
      <w:r w:rsidR="00014C62" w:rsidRPr="00F65A35">
        <w:t>orkshop</w:t>
      </w:r>
      <w:r w:rsidR="00021A21">
        <w:t>,</w:t>
      </w:r>
      <w:r>
        <w:t xml:space="preserve"> has commenced</w:t>
      </w:r>
      <w:r w:rsidR="00BA2A1B">
        <w:t xml:space="preserve"> construction</w:t>
      </w:r>
      <w:r w:rsidR="00B21B5C">
        <w:t>.</w:t>
      </w:r>
      <w:r w:rsidR="006C43BB">
        <w:t xml:space="preserve"> </w:t>
      </w:r>
      <w:r w:rsidR="00B21B5C">
        <w:t>When c</w:t>
      </w:r>
      <w:r w:rsidR="00014C62">
        <w:t>ompleted</w:t>
      </w:r>
      <w:r w:rsidR="00021A21">
        <w:t>,</w:t>
      </w:r>
      <w:r w:rsidR="00014C62">
        <w:t xml:space="preserve"> </w:t>
      </w:r>
      <w:r w:rsidR="00B21B5C">
        <w:t xml:space="preserve">the workshop will form part of a mobility </w:t>
      </w:r>
      <w:r w:rsidR="00014C62" w:rsidRPr="00F65A35">
        <w:t>service</w:t>
      </w:r>
      <w:r w:rsidR="00014C62">
        <w:t xml:space="preserve"> which w</w:t>
      </w:r>
      <w:r w:rsidR="00014C62" w:rsidRPr="00F65A35">
        <w:t xml:space="preserve">ill provide wheelchairs, prosthetics </w:t>
      </w:r>
      <w:r w:rsidR="00580D0F">
        <w:t>and</w:t>
      </w:r>
      <w:r w:rsidR="00014C62" w:rsidRPr="00F65A35">
        <w:t xml:space="preserve"> orthotic services and other devices such as walking frames and crutches from a purpose built facility in the grounds of </w:t>
      </w:r>
      <w:r w:rsidR="00C308B0">
        <w:t xml:space="preserve">the </w:t>
      </w:r>
      <w:r w:rsidR="00014C62" w:rsidRPr="00F65A35">
        <w:t>national hospital in Samoa.</w:t>
      </w:r>
      <w:r w:rsidR="006C43BB">
        <w:t xml:space="preserve"> </w:t>
      </w:r>
      <w:r w:rsidR="00014C62" w:rsidRPr="00F65A35">
        <w:t>Th</w:t>
      </w:r>
      <w:r w:rsidR="00867CB1">
        <w:t xml:space="preserve">is </w:t>
      </w:r>
      <w:r w:rsidR="00014C62" w:rsidRPr="00F65A35">
        <w:t xml:space="preserve">service </w:t>
      </w:r>
      <w:r w:rsidR="00021A21">
        <w:t>aims</w:t>
      </w:r>
      <w:r w:rsidR="00095272">
        <w:t xml:space="preserve"> to</w:t>
      </w:r>
      <w:r w:rsidR="00014C62" w:rsidRPr="00F65A35">
        <w:t xml:space="preserve"> create consistent, equitable and sustainable access to appropriate devices for </w:t>
      </w:r>
      <w:r w:rsidR="003F4646">
        <w:t>all people</w:t>
      </w:r>
      <w:r w:rsidR="00014C62" w:rsidRPr="00F65A35">
        <w:t xml:space="preserve"> with a mobility disability in Samoa. </w:t>
      </w:r>
    </w:p>
    <w:p w14:paraId="73F40C13" w14:textId="77777777" w:rsidR="00022BD1" w:rsidRDefault="008659F1" w:rsidP="00D3274D">
      <w:pPr>
        <w:pStyle w:val="BodyText"/>
      </w:pPr>
      <w:r>
        <w:t xml:space="preserve">As the SWAp makes full use of government systems and an inherent aspect of its design is that it directly contributes to the sector plan, making the performance of the partnership intrinsically </w:t>
      </w:r>
      <w:r>
        <w:lastRenderedPageBreak/>
        <w:t xml:space="preserve">linked to the performance of the sector plan.  </w:t>
      </w:r>
      <w:r w:rsidR="00022BD1">
        <w:t>T</w:t>
      </w:r>
      <w:r w:rsidR="00022BD1" w:rsidRPr="006F374D">
        <w:t xml:space="preserve">he SWAp has led to improvements in </w:t>
      </w:r>
      <w:r w:rsidR="00022BD1">
        <w:t>Samoa’s</w:t>
      </w:r>
      <w:r w:rsidR="00022BD1" w:rsidRPr="006F374D">
        <w:t xml:space="preserve"> capacity to plan and manage complex health sector projects</w:t>
      </w:r>
      <w:r w:rsidR="00022BD1">
        <w:t>.</w:t>
      </w:r>
      <w:r w:rsidR="006C43BB">
        <w:t xml:space="preserve"> </w:t>
      </w:r>
      <w:r w:rsidR="00022BD1">
        <w:t xml:space="preserve">An independent evaluation of the SWAp </w:t>
      </w:r>
      <w:r w:rsidR="00BA2A1B">
        <w:t xml:space="preserve">which took place in May 2013 </w:t>
      </w:r>
      <w:r w:rsidR="00022BD1" w:rsidRPr="00D3274D">
        <w:t>noted that</w:t>
      </w:r>
      <w:r w:rsidR="00E42369">
        <w:t xml:space="preserve"> </w:t>
      </w:r>
      <w:r w:rsidR="00022BD1" w:rsidRPr="00D3274D">
        <w:t xml:space="preserve">better-trained staff, new equipment, stronger policy settings, </w:t>
      </w:r>
      <w:r w:rsidR="003F4646">
        <w:t xml:space="preserve">and </w:t>
      </w:r>
      <w:r w:rsidR="00022BD1" w:rsidRPr="00D3274D">
        <w:t xml:space="preserve">enhanced health promotion efforts </w:t>
      </w:r>
      <w:r w:rsidR="00C308B0">
        <w:t xml:space="preserve">would </w:t>
      </w:r>
      <w:r w:rsidR="00095272">
        <w:t>contribute</w:t>
      </w:r>
      <w:r w:rsidR="00022BD1" w:rsidRPr="00D3274D">
        <w:t xml:space="preserve"> to better health outcomes.</w:t>
      </w:r>
      <w:r w:rsidR="006C43BB">
        <w:t xml:space="preserve"> </w:t>
      </w:r>
      <w:r w:rsidR="00022BD1" w:rsidRPr="00D3274D">
        <w:t xml:space="preserve">What is less clear is the extent to which the specific mix of initiatives delivered by the SWAp was the most appropriate in terms of its ability to deliver improvements </w:t>
      </w:r>
      <w:r w:rsidR="00E42369">
        <w:t>to</w:t>
      </w:r>
      <w:r w:rsidR="00022BD1" w:rsidRPr="00D3274D">
        <w:t xml:space="preserve"> both the overall level </w:t>
      </w:r>
      <w:r w:rsidR="003F4646">
        <w:t xml:space="preserve">and </w:t>
      </w:r>
      <w:r w:rsidR="00022BD1" w:rsidRPr="00D3274D">
        <w:t xml:space="preserve">equity of health outcomes </w:t>
      </w:r>
      <w:r w:rsidR="003F4646">
        <w:t>for Samoans</w:t>
      </w:r>
      <w:r w:rsidR="00022BD1" w:rsidRPr="00D3274D">
        <w:t>.</w:t>
      </w:r>
    </w:p>
    <w:p w14:paraId="73F40C14" w14:textId="77777777" w:rsidR="008C4DB1" w:rsidRPr="00D3274D" w:rsidRDefault="008C4DB1" w:rsidP="00D3274D">
      <w:pPr>
        <w:pStyle w:val="BodyText"/>
      </w:pPr>
      <w:r>
        <w:t xml:space="preserve">This </w:t>
      </w:r>
      <w:r w:rsidR="00014C62">
        <w:t xml:space="preserve">is </w:t>
      </w:r>
      <w:r>
        <w:t xml:space="preserve">particularly evident when trying to demonstrate if </w:t>
      </w:r>
      <w:r w:rsidR="00014C62">
        <w:t>the SWAp</w:t>
      </w:r>
      <w:r>
        <w:t xml:space="preserve"> is </w:t>
      </w:r>
      <w:r w:rsidRPr="00D3274D">
        <w:t>addre</w:t>
      </w:r>
      <w:r w:rsidRPr="00AF4414">
        <w:t xml:space="preserve">ssing </w:t>
      </w:r>
      <w:r w:rsidR="006A4FE8">
        <w:t>gender equity goals</w:t>
      </w:r>
      <w:r>
        <w:t>.</w:t>
      </w:r>
      <w:r w:rsidR="006C43BB">
        <w:t xml:space="preserve"> </w:t>
      </w:r>
      <w:r w:rsidR="000F41DE">
        <w:t xml:space="preserve"> While the </w:t>
      </w:r>
      <w:r>
        <w:t xml:space="preserve">SWAp </w:t>
      </w:r>
      <w:r w:rsidR="000F41DE">
        <w:t>has improved</w:t>
      </w:r>
      <w:r>
        <w:t xml:space="preserve"> </w:t>
      </w:r>
      <w:r w:rsidRPr="00AF4414">
        <w:t>M&amp;E systems</w:t>
      </w:r>
      <w:r w:rsidR="006A4FE8">
        <w:t xml:space="preserve"> and </w:t>
      </w:r>
      <w:r w:rsidR="000F41DE">
        <w:t xml:space="preserve">the </w:t>
      </w:r>
      <w:r w:rsidR="006A4FE8">
        <w:t xml:space="preserve">collection of </w:t>
      </w:r>
      <w:r w:rsidR="003B2131" w:rsidRPr="007A39A8">
        <w:t>sex-disaggregated data</w:t>
      </w:r>
      <w:r w:rsidR="003B2131" w:rsidRPr="00AF4414">
        <w:t xml:space="preserve"> </w:t>
      </w:r>
      <w:r w:rsidR="003B2131">
        <w:t xml:space="preserve">it is </w:t>
      </w:r>
      <w:r w:rsidR="000F41DE">
        <w:t>not clear</w:t>
      </w:r>
      <w:r w:rsidR="003B2131">
        <w:t xml:space="preserve"> </w:t>
      </w:r>
      <w:r w:rsidR="006A4FE8">
        <w:t>whether</w:t>
      </w:r>
      <w:r w:rsidR="003B2131">
        <w:t xml:space="preserve"> </w:t>
      </w:r>
      <w:r w:rsidR="000F41DE">
        <w:t xml:space="preserve">the </w:t>
      </w:r>
      <w:r w:rsidR="003B2131" w:rsidRPr="00D3274D">
        <w:t xml:space="preserve">data </w:t>
      </w:r>
      <w:r w:rsidR="00BA2A1B">
        <w:t>is</w:t>
      </w:r>
      <w:r w:rsidR="00BA2A1B" w:rsidRPr="00D3274D">
        <w:t xml:space="preserve"> </w:t>
      </w:r>
      <w:r w:rsidR="003B2131" w:rsidRPr="00D3274D">
        <w:t xml:space="preserve">being analysed and used to inform </w:t>
      </w:r>
      <w:r w:rsidR="00BA2A1B">
        <w:t xml:space="preserve">and improve </w:t>
      </w:r>
      <w:r w:rsidR="003B2131" w:rsidRPr="00D3274D">
        <w:t>policy and programming</w:t>
      </w:r>
      <w:r w:rsidRPr="00D3274D">
        <w:t>.</w:t>
      </w:r>
    </w:p>
    <w:p w14:paraId="73F40C15" w14:textId="77777777" w:rsidR="00E30EB6" w:rsidRDefault="00D64044" w:rsidP="00E30EB6">
      <w:pPr>
        <w:pStyle w:val="BodyText"/>
      </w:pPr>
      <w:r w:rsidRPr="00F916D6">
        <w:rPr>
          <w:rFonts w:eastAsiaTheme="minorHAnsi"/>
        </w:rPr>
        <w:t>Evaluating</w:t>
      </w:r>
      <w:r>
        <w:rPr>
          <w:szCs w:val="16"/>
        </w:rPr>
        <w:t xml:space="preserve"> the Health SWAp provided </w:t>
      </w:r>
      <w:r w:rsidRPr="00383573">
        <w:rPr>
          <w:szCs w:val="16"/>
        </w:rPr>
        <w:t xml:space="preserve">important lessons </w:t>
      </w:r>
      <w:r>
        <w:rPr>
          <w:szCs w:val="16"/>
        </w:rPr>
        <w:t xml:space="preserve">about </w:t>
      </w:r>
      <w:r w:rsidR="00580D0F">
        <w:rPr>
          <w:szCs w:val="16"/>
        </w:rPr>
        <w:t>our</w:t>
      </w:r>
      <w:r w:rsidRPr="00383573">
        <w:t xml:space="preserve"> approach</w:t>
      </w:r>
      <w:r>
        <w:t>.</w:t>
      </w:r>
      <w:r w:rsidR="006C43BB">
        <w:t xml:space="preserve"> </w:t>
      </w:r>
      <w:r w:rsidR="00580D0F">
        <w:t xml:space="preserve"> </w:t>
      </w:r>
      <w:r w:rsidR="00E42369">
        <w:t>Australia’s</w:t>
      </w:r>
      <w:r>
        <w:t xml:space="preserve"> new </w:t>
      </w:r>
      <w:r w:rsidR="0004258B">
        <w:t>approach</w:t>
      </w:r>
      <w:r w:rsidR="00E42369">
        <w:t xml:space="preserve"> will</w:t>
      </w:r>
      <w:r w:rsidRPr="00D3274D">
        <w:t xml:space="preserve"> </w:t>
      </w:r>
      <w:r w:rsidR="00735367">
        <w:t xml:space="preserve">aim to </w:t>
      </w:r>
      <w:r w:rsidRPr="00D3274D">
        <w:t>address immediate health needs by strengthening primary level health services</w:t>
      </w:r>
      <w:r w:rsidR="00651EFF">
        <w:t xml:space="preserve">, </w:t>
      </w:r>
      <w:r w:rsidRPr="00D3274D">
        <w:t>service delivery</w:t>
      </w:r>
      <w:r w:rsidR="00C308B0">
        <w:t xml:space="preserve"> </w:t>
      </w:r>
      <w:r w:rsidRPr="00D3274D">
        <w:t>and improv</w:t>
      </w:r>
      <w:r w:rsidR="00735367">
        <w:t>ing</w:t>
      </w:r>
      <w:r w:rsidRPr="00D3274D">
        <w:t xml:space="preserve"> strategic engagement and dialogue with government around key areas of health reform.</w:t>
      </w:r>
      <w:r w:rsidR="006C43BB">
        <w:t xml:space="preserve"> </w:t>
      </w:r>
      <w:r w:rsidR="00651EFF">
        <w:t xml:space="preserve">It will also focus on </w:t>
      </w:r>
      <w:r w:rsidR="00BA2A1B">
        <w:t xml:space="preserve">improving the </w:t>
      </w:r>
      <w:r w:rsidR="00651EFF">
        <w:t xml:space="preserve">health of </w:t>
      </w:r>
      <w:r w:rsidR="00C15E39">
        <w:t>women and girls</w:t>
      </w:r>
      <w:r w:rsidR="00651EFF">
        <w:t xml:space="preserve">, </w:t>
      </w:r>
      <w:r w:rsidR="000E1969">
        <w:t>including sexual and reproductive</w:t>
      </w:r>
      <w:r w:rsidR="00651EFF">
        <w:t xml:space="preserve"> health</w:t>
      </w:r>
      <w:r w:rsidR="000E1969">
        <w:t>, nutrition and health information.</w:t>
      </w:r>
      <w:r w:rsidR="006C43BB">
        <w:t xml:space="preserve"> </w:t>
      </w:r>
      <w:r w:rsidR="002C48BB">
        <w:t>Gender-disaggregated data will be available from the GoS</w:t>
      </w:r>
      <w:r w:rsidR="00266A9F">
        <w:t>’s</w:t>
      </w:r>
      <w:r w:rsidR="002C48BB">
        <w:t xml:space="preserve"> 2014 Demographic and Health </w:t>
      </w:r>
      <w:r w:rsidR="00C308B0">
        <w:t xml:space="preserve">Survey, which will improve M&amp;E.  </w:t>
      </w:r>
      <w:r w:rsidR="00266A9F">
        <w:t>DFAT’s engagement with the Ministry of Health</w:t>
      </w:r>
      <w:r w:rsidR="000A2267">
        <w:t xml:space="preserve"> was</w:t>
      </w:r>
      <w:r w:rsidR="004A3489">
        <w:t xml:space="preserve"> strengthened by having an internationally recruited health specialist</w:t>
      </w:r>
      <w:r w:rsidR="00D571A5">
        <w:t xml:space="preserve"> at Post</w:t>
      </w:r>
      <w:r w:rsidR="00266A9F">
        <w:t>.  While</w:t>
      </w:r>
      <w:r w:rsidR="00D571A5">
        <w:t xml:space="preserve"> this </w:t>
      </w:r>
      <w:r w:rsidR="00266A9F">
        <w:t xml:space="preserve">position </w:t>
      </w:r>
      <w:r w:rsidR="00D571A5">
        <w:t>ended</w:t>
      </w:r>
      <w:r w:rsidR="00735367">
        <w:t xml:space="preserve"> in August 2014</w:t>
      </w:r>
      <w:r w:rsidR="00266A9F">
        <w:t xml:space="preserve"> arrangements </w:t>
      </w:r>
      <w:r w:rsidR="00BA2A1B">
        <w:t>are</w:t>
      </w:r>
      <w:r w:rsidR="00266A9F">
        <w:t xml:space="preserve"> in place to continue this close engagement with the recruitment of a locally engaged senior program officer in health and </w:t>
      </w:r>
      <w:r w:rsidR="0049577B">
        <w:t>short term technical assistance.</w:t>
      </w:r>
    </w:p>
    <w:p w14:paraId="73F40C16" w14:textId="77777777" w:rsidR="006335EA" w:rsidRDefault="006335EA" w:rsidP="00824ECA">
      <w:pPr>
        <w:pStyle w:val="BodyText"/>
      </w:pPr>
      <w:r>
        <w:rPr>
          <w:b/>
        </w:rPr>
        <w:t xml:space="preserve">Objective 3: </w:t>
      </w:r>
      <w:r w:rsidRPr="00824ECA">
        <w:rPr>
          <w:b/>
        </w:rPr>
        <w:t>To enable Samoa to achieve its goals of sustained macroeconomic stability and improved governance.</w:t>
      </w:r>
    </w:p>
    <w:p w14:paraId="73F40C17" w14:textId="77777777" w:rsidR="00B95CE9" w:rsidRDefault="00B95CE9" w:rsidP="00824ECA">
      <w:pPr>
        <w:pStyle w:val="BodyText"/>
        <w:rPr>
          <w:lang w:val="en-GB"/>
        </w:rPr>
      </w:pPr>
      <w:r>
        <w:rPr>
          <w:lang w:val="en-GB"/>
        </w:rPr>
        <w:t>This objective was rated green because progress met expectations overall for the reporting period.</w:t>
      </w:r>
    </w:p>
    <w:p w14:paraId="73F40C18" w14:textId="77777777" w:rsidR="00F9437B" w:rsidRPr="00F9437B" w:rsidRDefault="00B22808" w:rsidP="00824ECA">
      <w:pPr>
        <w:pStyle w:val="BodyText"/>
        <w:rPr>
          <w:lang w:val="en-GB"/>
        </w:rPr>
      </w:pPr>
      <w:r>
        <w:rPr>
          <w:lang w:val="en-GB"/>
        </w:rPr>
        <w:t>Australia’s assistance in this area aims to improve</w:t>
      </w:r>
      <w:r w:rsidR="00F9437B" w:rsidRPr="00F9437B">
        <w:rPr>
          <w:lang w:val="en-GB"/>
        </w:rPr>
        <w:t xml:space="preserve"> public governance in Samoa in three important and interlinked areas: public sector capability and effectiveness</w:t>
      </w:r>
      <w:r w:rsidR="00F9437B">
        <w:rPr>
          <w:lang w:val="en-GB"/>
        </w:rPr>
        <w:t xml:space="preserve">; </w:t>
      </w:r>
      <w:r w:rsidR="00F9437B" w:rsidRPr="00F9437B">
        <w:rPr>
          <w:lang w:val="en-GB"/>
        </w:rPr>
        <w:t>political governance, leadership and oversight</w:t>
      </w:r>
      <w:r w:rsidR="00F9437B">
        <w:rPr>
          <w:lang w:val="en-GB"/>
        </w:rPr>
        <w:t>, and</w:t>
      </w:r>
      <w:r w:rsidR="00C308B0">
        <w:rPr>
          <w:lang w:val="en-GB"/>
        </w:rPr>
        <w:t>,</w:t>
      </w:r>
      <w:r w:rsidR="00F9437B">
        <w:rPr>
          <w:lang w:val="en-GB"/>
        </w:rPr>
        <w:t xml:space="preserve"> </w:t>
      </w:r>
      <w:r w:rsidR="00F9437B" w:rsidRPr="00F9437B">
        <w:rPr>
          <w:lang w:val="en-GB"/>
        </w:rPr>
        <w:t>sound macroeconomic, fiscal and public financial management</w:t>
      </w:r>
      <w:r w:rsidR="005E1751">
        <w:rPr>
          <w:lang w:val="en-GB"/>
        </w:rPr>
        <w:t>.</w:t>
      </w:r>
    </w:p>
    <w:p w14:paraId="73F40C19" w14:textId="77777777" w:rsidR="00F9437B" w:rsidRPr="00F9437B" w:rsidRDefault="00D201A8" w:rsidP="00824ECA">
      <w:pPr>
        <w:pStyle w:val="BodyText"/>
      </w:pPr>
      <w:r>
        <w:t xml:space="preserve">The </w:t>
      </w:r>
      <w:r w:rsidR="00BA2A1B">
        <w:t>Joint Policy Action Matrix</w:t>
      </w:r>
      <w:r>
        <w:t xml:space="preserve">, a performance linked program, </w:t>
      </w:r>
      <w:r w:rsidR="00424768">
        <w:t>is</w:t>
      </w:r>
      <w:r>
        <w:t xml:space="preserve"> an incentive</w:t>
      </w:r>
      <w:r w:rsidR="00424768">
        <w:t xml:space="preserve"> for reform</w:t>
      </w:r>
      <w:r>
        <w:t xml:space="preserve">. In 2013-14, </w:t>
      </w:r>
      <w:r w:rsidR="00F9437B" w:rsidRPr="00F9437B">
        <w:t>$3.5 million out of a possible $4 million was provided to Samoa after it achieved benchmarks for fiscal discipline and debt management, improvements in public financial management and accountability</w:t>
      </w:r>
      <w:r w:rsidR="00424768">
        <w:t xml:space="preserve"> and </w:t>
      </w:r>
      <w:r w:rsidR="00424768" w:rsidRPr="00424768">
        <w:t>regular and substantial engagement with development partners on policy issues including vulnerability and macroeconomic management</w:t>
      </w:r>
      <w:r>
        <w:t>.</w:t>
      </w:r>
    </w:p>
    <w:p w14:paraId="73F40C1A" w14:textId="77777777" w:rsidR="00390013" w:rsidRPr="00F9437B" w:rsidRDefault="00F9437B" w:rsidP="00390013">
      <w:pPr>
        <w:pStyle w:val="BodyText"/>
      </w:pPr>
      <w:r w:rsidRPr="00F9437B">
        <w:t xml:space="preserve">The policy matrix </w:t>
      </w:r>
      <w:r w:rsidR="00424768">
        <w:t xml:space="preserve">is improving coordination </w:t>
      </w:r>
      <w:r w:rsidR="00665516">
        <w:t xml:space="preserve">of </w:t>
      </w:r>
      <w:r w:rsidR="00424768">
        <w:t xml:space="preserve">development partner support for </w:t>
      </w:r>
      <w:r w:rsidRPr="00F9437B">
        <w:t xml:space="preserve">the </w:t>
      </w:r>
      <w:r w:rsidR="00E30F06">
        <w:t>GoS</w:t>
      </w:r>
      <w:r w:rsidRPr="00F9437B">
        <w:t xml:space="preserve">’s strong work to date on critical macroeconomic management and </w:t>
      </w:r>
      <w:r w:rsidR="00C308B0">
        <w:t xml:space="preserve">Public Financial Management </w:t>
      </w:r>
      <w:r w:rsidRPr="00F9437B">
        <w:t>reforms</w:t>
      </w:r>
      <w:r w:rsidR="00AC3C09">
        <w:t>.  This</w:t>
      </w:r>
      <w:r w:rsidRPr="00F9437B">
        <w:t xml:space="preserve"> </w:t>
      </w:r>
      <w:r w:rsidR="00424768">
        <w:t xml:space="preserve">is a key way </w:t>
      </w:r>
      <w:r w:rsidR="00AC3C09">
        <w:t>Australia is</w:t>
      </w:r>
      <w:r w:rsidR="00424768">
        <w:t xml:space="preserve"> supporting the government to apply policy settings which </w:t>
      </w:r>
      <w:r w:rsidR="00AC3C09">
        <w:t>encourage</w:t>
      </w:r>
      <w:r w:rsidR="00424768">
        <w:t xml:space="preserve"> </w:t>
      </w:r>
      <w:r w:rsidR="00AC3C09">
        <w:t xml:space="preserve">increased </w:t>
      </w:r>
      <w:r w:rsidRPr="00F9437B">
        <w:t>economic growth and private sector development</w:t>
      </w:r>
      <w:r w:rsidR="00D201A8">
        <w:t>.</w:t>
      </w:r>
      <w:r w:rsidR="00665516">
        <w:t xml:space="preserve"> </w:t>
      </w:r>
      <w:r w:rsidR="00390013">
        <w:t xml:space="preserve">Even so, </w:t>
      </w:r>
      <w:r w:rsidR="00665516">
        <w:t xml:space="preserve">over the next few years </w:t>
      </w:r>
      <w:r w:rsidR="00390013">
        <w:t>i</w:t>
      </w:r>
      <w:r w:rsidR="00390013" w:rsidRPr="00F9437B">
        <w:t>t will be important to clearly identify what the reforms are achieving</w:t>
      </w:r>
      <w:r w:rsidR="00AC3C09">
        <w:t>.</w:t>
      </w:r>
    </w:p>
    <w:p w14:paraId="73F40C1B" w14:textId="77777777" w:rsidR="009D3B43" w:rsidRDefault="00E30F06" w:rsidP="009F3650">
      <w:pPr>
        <w:pStyle w:val="BodyText"/>
      </w:pPr>
      <w:r w:rsidRPr="00824ECA">
        <w:t xml:space="preserve">While there </w:t>
      </w:r>
      <w:r>
        <w:t xml:space="preserve">is </w:t>
      </w:r>
      <w:r w:rsidR="00AC3C09">
        <w:t>an acknowledged</w:t>
      </w:r>
      <w:r w:rsidRPr="00F9437B">
        <w:t xml:space="preserve"> need for renewed economic growth in Samoa, </w:t>
      </w:r>
      <w:r>
        <w:t xml:space="preserve">growth options </w:t>
      </w:r>
      <w:r w:rsidR="00AC3C09">
        <w:t>are</w:t>
      </w:r>
      <w:r>
        <w:t xml:space="preserve"> limited </w:t>
      </w:r>
      <w:r w:rsidR="00AC3C09">
        <w:t xml:space="preserve">given it is a remote small island economy </w:t>
      </w:r>
      <w:r>
        <w:t>and will take time to develop. In 2013-14 considerable effort was undertaken to develop a new program of investments in economic infrastructure</w:t>
      </w:r>
      <w:r w:rsidR="009D3B43">
        <w:t xml:space="preserve">, </w:t>
      </w:r>
      <w:r w:rsidR="00DE2D8C">
        <w:t>the Samoa</w:t>
      </w:r>
      <w:r w:rsidR="009D3B43" w:rsidRPr="009D3B43">
        <w:t xml:space="preserve"> Economic Infrastructure Program </w:t>
      </w:r>
      <w:r w:rsidR="009D3B43">
        <w:t xml:space="preserve">(SEIP), </w:t>
      </w:r>
      <w:r>
        <w:t xml:space="preserve">to drive private sector-led </w:t>
      </w:r>
      <w:r w:rsidRPr="00A25CA0">
        <w:lastRenderedPageBreak/>
        <w:t>growth. Indeed, our 2013-14 spending</w:t>
      </w:r>
      <w:r w:rsidR="00346CE3" w:rsidRPr="00A25CA0">
        <w:t xml:space="preserve"> of $14,903,945.84</w:t>
      </w:r>
      <w:r w:rsidR="00C308B0">
        <w:t xml:space="preserve"> million</w:t>
      </w:r>
      <w:r w:rsidRPr="00A25CA0">
        <w:t xml:space="preserve"> on economic infrastructure and governance was more than any other sector. Initial</w:t>
      </w:r>
      <w:r w:rsidR="00B84049">
        <w:t xml:space="preserve"> infrastructure spending of </w:t>
      </w:r>
      <w:r w:rsidR="00957353">
        <w:t>around $3.5 million in</w:t>
      </w:r>
      <w:r>
        <w:t xml:space="preserve"> 2013-14 was on a key joint program with the World Bank to improve key access roads and bridges</w:t>
      </w:r>
      <w:r w:rsidR="00B84049">
        <w:t xml:space="preserve"> </w:t>
      </w:r>
      <w:r>
        <w:t>.</w:t>
      </w:r>
    </w:p>
    <w:p w14:paraId="73F40C1C" w14:textId="77777777" w:rsidR="009D3B43" w:rsidRPr="009D3B43" w:rsidRDefault="009D3B43" w:rsidP="009D3B43">
      <w:pPr>
        <w:pStyle w:val="BodyText"/>
      </w:pPr>
      <w:r>
        <w:t>SEIP</w:t>
      </w:r>
      <w:r w:rsidRPr="009D3B43">
        <w:t xml:space="preserve"> </w:t>
      </w:r>
      <w:r w:rsidR="00AC3C09">
        <w:t xml:space="preserve">also aims </w:t>
      </w:r>
      <w:r w:rsidRPr="009D3B43">
        <w:t xml:space="preserve">to expand opportunities for the economic empowerment of women through improving access to domestic and international markets. </w:t>
      </w:r>
      <w:r>
        <w:t>P</w:t>
      </w:r>
      <w:r w:rsidRPr="009D3B43">
        <w:t>rojects supported under this program will promote the participation of women in consultation, planning and implementation. </w:t>
      </w:r>
      <w:r w:rsidR="00E55A95">
        <w:t xml:space="preserve">Recognising the need to improve M&amp;E around this objective, Post </w:t>
      </w:r>
      <w:r>
        <w:t xml:space="preserve">will collaborate with </w:t>
      </w:r>
      <w:r w:rsidRPr="009D3B43">
        <w:t xml:space="preserve">the World Bank </w:t>
      </w:r>
      <w:r>
        <w:t>on a</w:t>
      </w:r>
      <w:r w:rsidRPr="009D3B43">
        <w:t xml:space="preserve"> beneficiary study </w:t>
      </w:r>
      <w:r w:rsidR="00C308B0">
        <w:t>that will assess</w:t>
      </w:r>
      <w:r w:rsidRPr="009D3B43">
        <w:t xml:space="preserve"> how improving a particular road or bridge </w:t>
      </w:r>
      <w:r w:rsidR="00C308B0">
        <w:t>will improve</w:t>
      </w:r>
      <w:r w:rsidRPr="009D3B43">
        <w:t xml:space="preserve"> the lives of nearby communities.</w:t>
      </w:r>
    </w:p>
    <w:p w14:paraId="73F40C1D" w14:textId="77777777" w:rsidR="00E30F06" w:rsidRPr="00E30F06" w:rsidRDefault="00E30F06" w:rsidP="009F3650">
      <w:pPr>
        <w:pStyle w:val="BodyText"/>
        <w:rPr>
          <w:lang w:val="en-GB"/>
        </w:rPr>
      </w:pPr>
      <w:r>
        <w:t>Overall, Samoa remain</w:t>
      </w:r>
      <w:r w:rsidR="00E12CDA">
        <w:t xml:space="preserve">s economically stable but </w:t>
      </w:r>
      <w:r>
        <w:t>public debt levels are still high. This was highlighted in April 2014 when the IMF again raised concerns about the public debt-GDP ratio, pointing to World Bank figures showing this ratio had</w:t>
      </w:r>
      <w:r w:rsidRPr="003561EB">
        <w:rPr>
          <w:lang w:val="en-GB"/>
        </w:rPr>
        <w:t xml:space="preserve"> increased to 62 per cent for the 2012-13 financial ye</w:t>
      </w:r>
      <w:r>
        <w:rPr>
          <w:lang w:val="en-GB"/>
        </w:rPr>
        <w:t>a</w:t>
      </w:r>
      <w:r w:rsidRPr="003561EB">
        <w:rPr>
          <w:lang w:val="en-GB"/>
        </w:rPr>
        <w:t>r.</w:t>
      </w:r>
      <w:r>
        <w:rPr>
          <w:lang w:val="en-GB"/>
        </w:rPr>
        <w:t xml:space="preserve"> The IMF recognised that the GoS had reacted appropriately in response to the economic shock of natural disasters</w:t>
      </w:r>
      <w:r>
        <w:rPr>
          <w:rStyle w:val="FootnoteReference"/>
          <w:lang w:val="en-GB"/>
        </w:rPr>
        <w:footnoteReference w:id="10"/>
      </w:r>
      <w:r>
        <w:rPr>
          <w:lang w:val="en-GB"/>
        </w:rPr>
        <w:t xml:space="preserve"> but with debt levels expected to peak in 2015-16, continued focus in this area will need to be maintained for the medium term. </w:t>
      </w:r>
    </w:p>
    <w:p w14:paraId="73F40C1E" w14:textId="77777777" w:rsidR="00A25CA0" w:rsidRDefault="00610596" w:rsidP="009F3650">
      <w:pPr>
        <w:pStyle w:val="BodyText"/>
      </w:pPr>
      <w:r w:rsidRPr="00A25CA0">
        <w:t xml:space="preserve">Our Cyclone Evan recovery </w:t>
      </w:r>
      <w:r w:rsidR="00B411E6" w:rsidRPr="00A25CA0">
        <w:t xml:space="preserve">funding </w:t>
      </w:r>
      <w:r w:rsidR="00346CE3" w:rsidRPr="00A25CA0">
        <w:t xml:space="preserve">of $4,772,956.16 </w:t>
      </w:r>
      <w:r w:rsidR="00A25CA0" w:rsidRPr="00A25CA0">
        <w:t xml:space="preserve">in 13-14 </w:t>
      </w:r>
      <w:r w:rsidRPr="00A25CA0">
        <w:t xml:space="preserve">provided </w:t>
      </w:r>
      <w:r w:rsidR="00B411E6" w:rsidRPr="00A25CA0">
        <w:t xml:space="preserve">much needed </w:t>
      </w:r>
      <w:r w:rsidRPr="00A25CA0">
        <w:t xml:space="preserve">fiscal support </w:t>
      </w:r>
      <w:r w:rsidR="00B411E6" w:rsidRPr="00A25CA0">
        <w:t xml:space="preserve">and helped Samoa to </w:t>
      </w:r>
      <w:r w:rsidRPr="00A25CA0">
        <w:t xml:space="preserve">maintain economic </w:t>
      </w:r>
      <w:r w:rsidR="00B411E6" w:rsidRPr="00A25CA0">
        <w:t xml:space="preserve">stability and positive economic growth under circumstances </w:t>
      </w:r>
      <w:r w:rsidR="00CD0A95">
        <w:t xml:space="preserve">in which </w:t>
      </w:r>
      <w:r w:rsidR="00B411E6" w:rsidRPr="00A25CA0">
        <w:t>it would otherwise have experienced negative growth.</w:t>
      </w:r>
      <w:r w:rsidR="00C022A4">
        <w:t xml:space="preserve"> </w:t>
      </w:r>
      <w:r w:rsidR="00A25CA0">
        <w:t xml:space="preserve"> This support </w:t>
      </w:r>
      <w:r w:rsidR="00CD0A95">
        <w:t>was</w:t>
      </w:r>
      <w:r w:rsidR="00A25CA0">
        <w:t xml:space="preserve"> focussed on rebuilding schools and medical facilities.</w:t>
      </w:r>
    </w:p>
    <w:p w14:paraId="73F40C1F" w14:textId="77777777" w:rsidR="00665516" w:rsidRDefault="00E30F06" w:rsidP="009F3650">
      <w:pPr>
        <w:pStyle w:val="BodyText"/>
      </w:pPr>
      <w:r>
        <w:t>A major initiative</w:t>
      </w:r>
      <w:r w:rsidR="00610596">
        <w:t xml:space="preserve"> in the governance sector is </w:t>
      </w:r>
      <w:r w:rsidR="00AC3C09">
        <w:t xml:space="preserve">assistance </w:t>
      </w:r>
      <w:r w:rsidR="00CD0A95">
        <w:t xml:space="preserve">for a new Parliament House </w:t>
      </w:r>
      <w:r w:rsidR="00610596">
        <w:t>in support of Samoa’s democratic values.</w:t>
      </w:r>
      <w:r w:rsidR="00B411E6">
        <w:t xml:space="preserve"> The </w:t>
      </w:r>
      <w:r>
        <w:t>GoS</w:t>
      </w:r>
      <w:r w:rsidR="00E47DAC">
        <w:t xml:space="preserve"> engaged an Australian firm through an internationally competitive tender to undertake </w:t>
      </w:r>
      <w:r w:rsidR="00CD0A95">
        <w:t xml:space="preserve">a </w:t>
      </w:r>
      <w:r w:rsidR="00E47DAC">
        <w:t>detailed design of the new building</w:t>
      </w:r>
      <w:r w:rsidR="00CD0A95">
        <w:t xml:space="preserve">. A </w:t>
      </w:r>
      <w:r w:rsidR="00E47DAC">
        <w:t xml:space="preserve">final design is expected to be agreed soon. </w:t>
      </w:r>
      <w:r w:rsidR="00665516">
        <w:t xml:space="preserve">Negotiations </w:t>
      </w:r>
      <w:r w:rsidR="00CD0A95">
        <w:t>on keeping</w:t>
      </w:r>
      <w:r w:rsidR="00665516">
        <w:t xml:space="preserve"> costs </w:t>
      </w:r>
      <w:r w:rsidR="00B22808">
        <w:t>as close as poss</w:t>
      </w:r>
      <w:r w:rsidR="00E12CDA">
        <w:t>ible to the current budget of $9</w:t>
      </w:r>
      <w:r w:rsidR="00B22808">
        <w:t xml:space="preserve"> million </w:t>
      </w:r>
      <w:r w:rsidR="00665516">
        <w:t xml:space="preserve">are </w:t>
      </w:r>
      <w:r w:rsidR="00B22808">
        <w:t>underway</w:t>
      </w:r>
      <w:r w:rsidR="00665516">
        <w:t>.</w:t>
      </w:r>
      <w:r w:rsidR="006C43BB">
        <w:t xml:space="preserve"> </w:t>
      </w:r>
    </w:p>
    <w:p w14:paraId="73F40C20" w14:textId="77777777" w:rsidR="00610596" w:rsidRPr="00824ECA" w:rsidRDefault="00E12CDA" w:rsidP="009F3650">
      <w:pPr>
        <w:pStyle w:val="BodyText"/>
      </w:pPr>
      <w:r>
        <w:t>T</w:t>
      </w:r>
      <w:r w:rsidR="00665516">
        <w:t>he Samoa Civil Soci</w:t>
      </w:r>
      <w:r>
        <w:t>ety Support Program (CSSP) is a</w:t>
      </w:r>
      <w:r w:rsidR="00665516">
        <w:t xml:space="preserve"> small grants scheme </w:t>
      </w:r>
      <w:r>
        <w:t xml:space="preserve">which </w:t>
      </w:r>
      <w:r w:rsidR="003843EE">
        <w:t>aims to reduce hardship and strengthen civil s</w:t>
      </w:r>
      <w:r>
        <w:t xml:space="preserve">ociety. It </w:t>
      </w:r>
      <w:r w:rsidR="003843EE">
        <w:t xml:space="preserve">is a partnership with </w:t>
      </w:r>
      <w:r w:rsidR="00CD0A95">
        <w:t>the</w:t>
      </w:r>
      <w:r w:rsidR="003843EE">
        <w:t xml:space="preserve">EU and the </w:t>
      </w:r>
      <w:r w:rsidR="00E30F06">
        <w:t>GoS</w:t>
      </w:r>
      <w:r w:rsidR="003843EE">
        <w:t>. Overall, the CSSP is performing well and the recommendations of a 2013 review</w:t>
      </w:r>
      <w:r w:rsidR="00815D47">
        <w:t>, such as the development of an overall Program Monitoring and Evaluation Framework,</w:t>
      </w:r>
      <w:r w:rsidR="003843EE">
        <w:t xml:space="preserve"> are being implemented. The CSSP has allowed Post to develop strong relationships in this sector. </w:t>
      </w:r>
    </w:p>
    <w:p w14:paraId="73F40C21" w14:textId="77777777" w:rsidR="00F9437B" w:rsidRDefault="00C347B0" w:rsidP="00F9437B">
      <w:pPr>
        <w:pStyle w:val="BodyText"/>
      </w:pPr>
      <w:r>
        <w:t>There i</w:t>
      </w:r>
      <w:r w:rsidR="00906FF7">
        <w:t xml:space="preserve">s a high level of mutual obligation in the approach towards maintaining economic stability and good governance. As well as </w:t>
      </w:r>
      <w:r w:rsidR="00CF00BB">
        <w:t xml:space="preserve">generally </w:t>
      </w:r>
      <w:r w:rsidR="00906FF7">
        <w:t xml:space="preserve">strong engagement from Samoan leadership, there is a clear understanding amongst most donor partners about the importance of a </w:t>
      </w:r>
      <w:r w:rsidR="007A65D0">
        <w:t xml:space="preserve">consistent </w:t>
      </w:r>
      <w:r w:rsidR="00906FF7">
        <w:t xml:space="preserve">approach towards maintaining economic stability. </w:t>
      </w:r>
    </w:p>
    <w:p w14:paraId="73F40C22" w14:textId="77777777" w:rsidR="006335EA" w:rsidRDefault="006335EA" w:rsidP="00824ECA">
      <w:pPr>
        <w:pStyle w:val="BodyText"/>
        <w:rPr>
          <w:b/>
        </w:rPr>
      </w:pPr>
      <w:r>
        <w:rPr>
          <w:b/>
        </w:rPr>
        <w:t xml:space="preserve">Objective 4: </w:t>
      </w:r>
      <w:r w:rsidRPr="00824ECA">
        <w:rPr>
          <w:b/>
        </w:rPr>
        <w:t>To enable Samoa to have safer communities, better access to justice and integration between the customary and formal justice systems.</w:t>
      </w:r>
    </w:p>
    <w:p w14:paraId="73F40C23" w14:textId="77777777" w:rsidR="00B95CE9" w:rsidRDefault="00B95CE9" w:rsidP="00824ECA">
      <w:pPr>
        <w:pStyle w:val="BodyText"/>
      </w:pPr>
      <w:r>
        <w:rPr>
          <w:b/>
        </w:rPr>
        <w:t xml:space="preserve">This objective was rated amber overall given that </w:t>
      </w:r>
      <w:r w:rsidR="00EE7BFD">
        <w:rPr>
          <w:b/>
        </w:rPr>
        <w:t>progress was less than expected.</w:t>
      </w:r>
    </w:p>
    <w:p w14:paraId="73F40C24" w14:textId="77777777" w:rsidR="00AD3B15" w:rsidRPr="00AD3B15" w:rsidRDefault="006C04EE" w:rsidP="00AD3B15">
      <w:pPr>
        <w:pStyle w:val="BodyText"/>
      </w:pPr>
      <w:r>
        <w:lastRenderedPageBreak/>
        <w:t xml:space="preserve">Australia funds two core programs of complementary assistance. </w:t>
      </w:r>
      <w:r w:rsidR="00AD3B15">
        <w:t xml:space="preserve">We </w:t>
      </w:r>
      <w:r>
        <w:t xml:space="preserve">provide core funding to the Law and Justice Sector through a </w:t>
      </w:r>
      <w:r w:rsidR="00AD3B15" w:rsidRPr="00AD3B15">
        <w:t>Secretariat which manages and monitors the sector’s development activities</w:t>
      </w:r>
      <w:r>
        <w:t>. Australian funds are put towards</w:t>
      </w:r>
      <w:r w:rsidR="00AD3B15" w:rsidRPr="00AD3B15">
        <w:t xml:space="preserve"> high priority projects proposed by sector agencies </w:t>
      </w:r>
      <w:r>
        <w:t>in accordance with the priorities of the Samoan Law and Justice Sector Plan</w:t>
      </w:r>
      <w:r w:rsidR="00AD3B15">
        <w:t>.</w:t>
      </w:r>
      <w:r>
        <w:t xml:space="preserve"> The Australian Federal Police is directly managing</w:t>
      </w:r>
      <w:r w:rsidR="00095272">
        <w:t xml:space="preserve"> a</w:t>
      </w:r>
      <w:r>
        <w:t xml:space="preserve"> parallel</w:t>
      </w:r>
      <w:r w:rsidR="00390013">
        <w:t xml:space="preserve"> policing partnership with the Samoan Police. </w:t>
      </w:r>
    </w:p>
    <w:p w14:paraId="73F40C25" w14:textId="77777777" w:rsidR="008A3D0C" w:rsidRDefault="00B22808" w:rsidP="00824ECA">
      <w:pPr>
        <w:pStyle w:val="BodyText"/>
      </w:pPr>
      <w:r>
        <w:t xml:space="preserve">Australian assistance </w:t>
      </w:r>
      <w:r w:rsidR="00352298">
        <w:t xml:space="preserve">to </w:t>
      </w:r>
      <w:r w:rsidR="00CD0A95">
        <w:t>the Law and Justice</w:t>
      </w:r>
      <w:r w:rsidR="00352298">
        <w:t xml:space="preserve"> sector </w:t>
      </w:r>
      <w:r>
        <w:t>has allowed a number of</w:t>
      </w:r>
      <w:r w:rsidR="008A3D0C">
        <w:t xml:space="preserve"> beneficial development projects </w:t>
      </w:r>
      <w:r>
        <w:t xml:space="preserve">to be completed in the sector such as </w:t>
      </w:r>
      <w:r w:rsidR="008A3D0C">
        <w:t>increasing online access to legislation, court records and land titles, renovating the Tafaigata Women’s Prison, and training law and justice officials.</w:t>
      </w:r>
      <w:r w:rsidR="00352298">
        <w:t xml:space="preserve"> </w:t>
      </w:r>
      <w:r w:rsidR="00F50498">
        <w:t xml:space="preserve">While these outcomes are important, </w:t>
      </w:r>
      <w:r w:rsidR="00F35B38">
        <w:t>there has been a failure to link them to the</w:t>
      </w:r>
      <w:r w:rsidR="00F50498">
        <w:t xml:space="preserve"> overall objectives, which include increasing access to justice</w:t>
      </w:r>
      <w:r w:rsidR="00F35B38">
        <w:t>, law and legal service</w:t>
      </w:r>
      <w:r w:rsidR="00B93E35">
        <w:t xml:space="preserve">s (critical for reducing gender violence). </w:t>
      </w:r>
      <w:r w:rsidR="00F35B38">
        <w:t>A</w:t>
      </w:r>
      <w:r w:rsidR="00E12CDA">
        <w:t>greement was not reached</w:t>
      </w:r>
      <w:r w:rsidR="00352298">
        <w:t xml:space="preserve"> on the </w:t>
      </w:r>
      <w:r w:rsidR="009340D6">
        <w:t>details</w:t>
      </w:r>
      <w:r w:rsidR="00352298">
        <w:t xml:space="preserve"> of a new phase of support </w:t>
      </w:r>
      <w:r w:rsidR="007C39EC">
        <w:t>and low scores on internal quality at implementation reporting in terms of effectiveness</w:t>
      </w:r>
      <w:r w:rsidR="009340D6">
        <w:t xml:space="preserve"> </w:t>
      </w:r>
      <w:r w:rsidR="0085054B">
        <w:t>resulted</w:t>
      </w:r>
      <w:r w:rsidR="00352298">
        <w:t>, i</w:t>
      </w:r>
      <w:r w:rsidR="000C0C8B">
        <w:t>n December 2013</w:t>
      </w:r>
      <w:r w:rsidR="00352298">
        <w:t xml:space="preserve">, </w:t>
      </w:r>
      <w:r w:rsidR="0085054B">
        <w:t xml:space="preserve">in the </w:t>
      </w:r>
      <w:r w:rsidR="000C0C8B">
        <w:t xml:space="preserve">Australian and Samoan Governments </w:t>
      </w:r>
      <w:r w:rsidR="007C39EC">
        <w:t xml:space="preserve">agreeing to </w:t>
      </w:r>
      <w:r w:rsidR="009340D6">
        <w:t>cease funding w</w:t>
      </w:r>
      <w:r w:rsidR="007C39EC">
        <w:t xml:space="preserve">hen the current funding arrangement </w:t>
      </w:r>
      <w:r w:rsidR="00CD0A95">
        <w:t xml:space="preserve">ceases in August 2014. </w:t>
      </w:r>
      <w:r w:rsidR="007C39EC">
        <w:t xml:space="preserve"> We will revisit law and justice in </w:t>
      </w:r>
      <w:r w:rsidR="009340D6">
        <w:t>the context of a</w:t>
      </w:r>
      <w:r w:rsidR="007C39EC">
        <w:t xml:space="preserve"> </w:t>
      </w:r>
      <w:r w:rsidR="0085054B">
        <w:t xml:space="preserve">new aid investment plan to be developed </w:t>
      </w:r>
      <w:r w:rsidR="009340D6">
        <w:t>by 1 July 2015</w:t>
      </w:r>
      <w:r w:rsidR="006C04EE">
        <w:t>.</w:t>
      </w:r>
    </w:p>
    <w:p w14:paraId="73F40C26" w14:textId="77777777" w:rsidR="00235562" w:rsidRDefault="006C04EE" w:rsidP="00E62DA2">
      <w:pPr>
        <w:pStyle w:val="BodyText"/>
      </w:pPr>
      <w:r>
        <w:t>T</w:t>
      </w:r>
      <w:r w:rsidR="004B634B">
        <w:t>he Samoa Australia Police Partnership</w:t>
      </w:r>
      <w:r>
        <w:t xml:space="preserve"> </w:t>
      </w:r>
      <w:r w:rsidR="00E62DA2">
        <w:t xml:space="preserve">(SAPP) </w:t>
      </w:r>
      <w:r>
        <w:t>is managed by the Australian Federal Police</w:t>
      </w:r>
      <w:r w:rsidR="004B634B">
        <w:t>.</w:t>
      </w:r>
      <w:r w:rsidR="00F909AD">
        <w:t xml:space="preserve"> </w:t>
      </w:r>
      <w:r w:rsidR="00AC06D9" w:rsidRPr="00AC06D9">
        <w:t>The program focuses on enhancing the capacity and professionalism of the Samoan Police Service through training, policy development and mentoring by Australian Federal Police advisers</w:t>
      </w:r>
      <w:r w:rsidR="00F909AD">
        <w:t xml:space="preserve">. </w:t>
      </w:r>
      <w:r w:rsidR="00AC06D9">
        <w:t xml:space="preserve">The goals of the program include improved public safety through strengthened policing and increasing the capacity of the police </w:t>
      </w:r>
      <w:r w:rsidR="00AF463F">
        <w:t>force.</w:t>
      </w:r>
      <w:r w:rsidR="00AC06D9">
        <w:t xml:space="preserve"> </w:t>
      </w:r>
      <w:r w:rsidR="008659F1">
        <w:t xml:space="preserve"> One issue to date is communicating success of the partnership to in-country stakeholders.  This will be addressed through more regular attendance by the police (AFP and counterparts) at the regular law and justice sector meetings.</w:t>
      </w:r>
    </w:p>
    <w:p w14:paraId="73F40C27" w14:textId="77777777" w:rsidR="00E62DA2" w:rsidRDefault="00E62DA2" w:rsidP="00E62DA2">
      <w:pPr>
        <w:pStyle w:val="BodyText"/>
      </w:pPr>
      <w:r>
        <w:t xml:space="preserve">In 2013-14, a range of activities contributed to improving </w:t>
      </w:r>
      <w:r w:rsidR="00235562">
        <w:t>community engagement and safety</w:t>
      </w:r>
      <w:r>
        <w:t>. Ten motorbikes and 12 bicycles were supplied</w:t>
      </w:r>
      <w:r w:rsidR="00AF463F">
        <w:t xml:space="preserve"> to enhance</w:t>
      </w:r>
      <w:r w:rsidR="00235562">
        <w:t xml:space="preserve"> community access</w:t>
      </w:r>
      <w:r>
        <w:t xml:space="preserve">, especially in rural areas. In </w:t>
      </w:r>
      <w:r w:rsidRPr="00CA18C9">
        <w:t>partnership with the Disaster Management O</w:t>
      </w:r>
      <w:r w:rsidRPr="00E62DA2">
        <w:t xml:space="preserve">ffice, Red Cross, and Fire and </w:t>
      </w:r>
      <w:r>
        <w:t>E</w:t>
      </w:r>
      <w:r w:rsidRPr="00E62DA2">
        <w:t xml:space="preserve">mergency </w:t>
      </w:r>
      <w:r>
        <w:t>S</w:t>
      </w:r>
      <w:r w:rsidRPr="00CA18C9">
        <w:t>ervices</w:t>
      </w:r>
      <w:r>
        <w:t xml:space="preserve"> </w:t>
      </w:r>
      <w:r w:rsidRPr="00E62DA2">
        <w:t xml:space="preserve">a </w:t>
      </w:r>
      <w:r w:rsidR="00AF463F">
        <w:t xml:space="preserve">new digital </w:t>
      </w:r>
      <w:r>
        <w:t>n</w:t>
      </w:r>
      <w:r w:rsidRPr="00E62DA2">
        <w:t xml:space="preserve">ationwide </w:t>
      </w:r>
      <w:r>
        <w:t>r</w:t>
      </w:r>
      <w:r w:rsidRPr="00E62DA2">
        <w:t>adio network</w:t>
      </w:r>
      <w:r>
        <w:t xml:space="preserve"> was </w:t>
      </w:r>
      <w:r w:rsidR="00AF463F">
        <w:t>established</w:t>
      </w:r>
      <w:r w:rsidR="00B27F3B">
        <w:t xml:space="preserve">. </w:t>
      </w:r>
      <w:r w:rsidR="00AF463F">
        <w:t>T</w:t>
      </w:r>
      <w:r w:rsidR="00B27F3B" w:rsidRPr="00441E83">
        <w:t>raffic control</w:t>
      </w:r>
      <w:r w:rsidR="00235562">
        <w:t xml:space="preserve">, and </w:t>
      </w:r>
      <w:r w:rsidR="00CD0A95">
        <w:t xml:space="preserve">associated </w:t>
      </w:r>
      <w:r w:rsidR="00235562">
        <w:t xml:space="preserve">equipment was supplied to improve public order management. </w:t>
      </w:r>
      <w:r w:rsidR="00AF463F">
        <w:t xml:space="preserve">Training was provided to </w:t>
      </w:r>
      <w:r w:rsidR="00235562">
        <w:t>535 Samoan police including in investigations and statement taking.</w:t>
      </w:r>
    </w:p>
    <w:p w14:paraId="73F40C28" w14:textId="77777777" w:rsidR="000738E8" w:rsidRPr="000738E8" w:rsidRDefault="00E12CDA" w:rsidP="008A3D0C">
      <w:pPr>
        <w:pStyle w:val="BodyText"/>
      </w:pPr>
      <w:r>
        <w:t>A major achievement in 2013-14 was</w:t>
      </w:r>
      <w:r w:rsidR="00C772DB">
        <w:t xml:space="preserve"> </w:t>
      </w:r>
      <w:r w:rsidR="00F909AD">
        <w:t xml:space="preserve">negotiating </w:t>
      </w:r>
      <w:r w:rsidR="00C772DB">
        <w:t xml:space="preserve">the details of </w:t>
      </w:r>
      <w:r w:rsidR="00F909AD">
        <w:t xml:space="preserve">$1million of </w:t>
      </w:r>
      <w:r w:rsidR="00AF463F">
        <w:t xml:space="preserve">equipment </w:t>
      </w:r>
      <w:r w:rsidR="00F909AD">
        <w:t xml:space="preserve">that Australia provided to ensure that the Samoa Police Force was properly </w:t>
      </w:r>
      <w:r>
        <w:t xml:space="preserve">trained and </w:t>
      </w:r>
      <w:r w:rsidR="00F909AD">
        <w:t xml:space="preserve">equipped to </w:t>
      </w:r>
      <w:r>
        <w:t>provide effective</w:t>
      </w:r>
      <w:r w:rsidR="00F909AD">
        <w:t xml:space="preserve"> security for the </w:t>
      </w:r>
      <w:r>
        <w:t xml:space="preserve">United Nation </w:t>
      </w:r>
      <w:r w:rsidR="00F909AD">
        <w:t>S</w:t>
      </w:r>
      <w:r>
        <w:t>mall Island Developing States conference in September 2014.</w:t>
      </w:r>
      <w:r w:rsidR="00AF463F">
        <w:t xml:space="preserve">  This equipment remains with the Police after the SIDS Conference.</w:t>
      </w:r>
    </w:p>
    <w:p w14:paraId="73F40C29" w14:textId="77777777" w:rsidR="000D733F" w:rsidRPr="00180B19" w:rsidRDefault="000D733F" w:rsidP="000D733F">
      <w:pPr>
        <w:pStyle w:val="Heading3"/>
      </w:pPr>
      <w:r>
        <w:t xml:space="preserve">Analysis of </w:t>
      </w:r>
      <w:r w:rsidRPr="00180B19">
        <w:t xml:space="preserve">Quality at Implementation </w:t>
      </w:r>
      <w:r>
        <w:t xml:space="preserve">Reports </w:t>
      </w:r>
    </w:p>
    <w:p w14:paraId="73F40C2A" w14:textId="77777777" w:rsidR="009A5968" w:rsidRDefault="00876277" w:rsidP="00876277">
      <w:pPr>
        <w:pStyle w:val="BodyText"/>
      </w:pPr>
      <w:r>
        <w:t>The</w:t>
      </w:r>
      <w:r w:rsidRPr="00876277">
        <w:t xml:space="preserve"> 2014 Quality at</w:t>
      </w:r>
      <w:r>
        <w:t xml:space="preserve"> </w:t>
      </w:r>
      <w:r w:rsidRPr="00876277">
        <w:t>Implementation scores show a decline in performance in some areas in comparison to the 2013</w:t>
      </w:r>
      <w:r>
        <w:t xml:space="preserve"> </w:t>
      </w:r>
      <w:r w:rsidRPr="00876277">
        <w:t xml:space="preserve">scores, specifically monitoring and evaluation </w:t>
      </w:r>
      <w:r w:rsidR="00393782">
        <w:t xml:space="preserve">(M&amp;E), </w:t>
      </w:r>
      <w:r w:rsidRPr="00876277">
        <w:t>gender</w:t>
      </w:r>
      <w:r w:rsidR="00393782">
        <w:t>, and law and justice</w:t>
      </w:r>
      <w:r w:rsidRPr="00876277">
        <w:t>.</w:t>
      </w:r>
      <w:r>
        <w:t xml:space="preserve"> </w:t>
      </w:r>
      <w:r w:rsidR="00CD0A95">
        <w:t xml:space="preserve">In the education sector especially </w:t>
      </w:r>
      <w:r w:rsidR="009A5968">
        <w:t xml:space="preserve">there is a lack of consolidated frameworks and overall weakness in the M&amp;E systems. </w:t>
      </w:r>
      <w:r w:rsidR="00A42FCA">
        <w:t xml:space="preserve">The low scores for gender are related to the low M&amp;E scores, as a lack of gender-disaggregated data makes it difficult to assess whether the programs are gender-inclusive. </w:t>
      </w:r>
      <w:r w:rsidR="009A5968">
        <w:t>For example, the Education Sector Project II does not report</w:t>
      </w:r>
      <w:r w:rsidR="009A5968" w:rsidRPr="009A5968">
        <w:rPr>
          <w:szCs w:val="16"/>
        </w:rPr>
        <w:t xml:space="preserve"> </w:t>
      </w:r>
      <w:r w:rsidR="009A5968">
        <w:rPr>
          <w:szCs w:val="16"/>
        </w:rPr>
        <w:t xml:space="preserve">on </w:t>
      </w:r>
      <w:r w:rsidR="002327C2">
        <w:rPr>
          <w:szCs w:val="16"/>
        </w:rPr>
        <w:t xml:space="preserve">how activities are addressing </w:t>
      </w:r>
      <w:r w:rsidR="009A5968">
        <w:rPr>
          <w:szCs w:val="16"/>
        </w:rPr>
        <w:t>gender equality. While a key objective of the program is to ensure equitable access to education</w:t>
      </w:r>
      <w:r w:rsidR="00012AB8">
        <w:rPr>
          <w:szCs w:val="16"/>
        </w:rPr>
        <w:t xml:space="preserve"> there is no evidence that specific measures have been put in </w:t>
      </w:r>
      <w:r w:rsidR="00012AB8">
        <w:rPr>
          <w:szCs w:val="16"/>
        </w:rPr>
        <w:lastRenderedPageBreak/>
        <w:t>place to achieve thi</w:t>
      </w:r>
      <w:r w:rsidR="002327C2">
        <w:t>s. For example five evaluations examining the short term impacts of ESPII interventions have been documented in its progress reports, however it is unclear how the findings will be used to inform strategies for application in the longer term.</w:t>
      </w:r>
    </w:p>
    <w:p w14:paraId="73F40C2B" w14:textId="77777777" w:rsidR="00393782" w:rsidRDefault="00AF463F" w:rsidP="00876277">
      <w:pPr>
        <w:pStyle w:val="BodyText"/>
      </w:pPr>
      <w:r>
        <w:t>Some</w:t>
      </w:r>
      <w:r w:rsidR="00876277" w:rsidRPr="00876277">
        <w:t xml:space="preserve"> measures to improve </w:t>
      </w:r>
      <w:r w:rsidR="00393782">
        <w:t>M&amp;E were agreed</w:t>
      </w:r>
      <w:r>
        <w:t xml:space="preserve"> at the high level aid talks in December</w:t>
      </w:r>
      <w:r w:rsidR="00393782">
        <w:t xml:space="preserve">. The first measure was to appoint a </w:t>
      </w:r>
      <w:r w:rsidR="00876277" w:rsidRPr="00876277">
        <w:t>lon</w:t>
      </w:r>
      <w:r w:rsidR="00393782">
        <w:t>g-</w:t>
      </w:r>
      <w:r w:rsidR="00876277" w:rsidRPr="00876277">
        <w:t xml:space="preserve">term technical adviser to work in the planning division of Ministry </w:t>
      </w:r>
      <w:r w:rsidR="00393782">
        <w:t xml:space="preserve">of Finance </w:t>
      </w:r>
      <w:r w:rsidR="00876277" w:rsidRPr="00876277">
        <w:t xml:space="preserve">to strengthen </w:t>
      </w:r>
      <w:r w:rsidR="00393782">
        <w:t>capabil</w:t>
      </w:r>
      <w:r w:rsidR="00876277" w:rsidRPr="00876277">
        <w:t>ity across</w:t>
      </w:r>
      <w:r w:rsidR="00393782">
        <w:t xml:space="preserve"> </w:t>
      </w:r>
      <w:r w:rsidR="00876277" w:rsidRPr="00876277">
        <w:t>government.</w:t>
      </w:r>
      <w:r w:rsidR="00393782">
        <w:t xml:space="preserve"> </w:t>
      </w:r>
    </w:p>
    <w:p w14:paraId="73F40C2C" w14:textId="77777777" w:rsidR="00393782" w:rsidRDefault="00393782" w:rsidP="00876277">
      <w:pPr>
        <w:pStyle w:val="BodyText"/>
      </w:pPr>
      <w:r>
        <w:t xml:space="preserve">The second measure was to work with individual programs to improve M&amp;E through the use of independent program management specialists. </w:t>
      </w:r>
      <w:r w:rsidR="00E67FA4">
        <w:t xml:space="preserve"> </w:t>
      </w:r>
      <w:r>
        <w:t xml:space="preserve">Additionally, we committed to improve the M&amp;E skills of our own staff over the course of 2014 and 2015. </w:t>
      </w:r>
      <w:r w:rsidR="003151B0">
        <w:t xml:space="preserve"> This </w:t>
      </w:r>
      <w:r w:rsidR="00CD0A95">
        <w:t>is</w:t>
      </w:r>
      <w:r w:rsidR="003151B0">
        <w:t xml:space="preserve"> to be pursued through the Evaluation Capacity Building Program. </w:t>
      </w:r>
      <w:r w:rsidR="00F97AF6">
        <w:t>Imple</w:t>
      </w:r>
      <w:r w:rsidR="00DE4B1F">
        <w:t>m</w:t>
      </w:r>
      <w:r w:rsidR="00F97AF6">
        <w:t xml:space="preserve">entation has been delayed to ensure support is designed to take into account </w:t>
      </w:r>
      <w:r w:rsidR="003151B0">
        <w:t>broader changes in aid programming architecture.</w:t>
      </w:r>
      <w:r w:rsidR="00F97AF6">
        <w:t xml:space="preserve"> </w:t>
      </w:r>
      <w:r w:rsidR="0049577B">
        <w:t xml:space="preserve">While an ACC Deployee </w:t>
      </w:r>
      <w:r w:rsidR="00F04C97">
        <w:t>has provided monitoring and evaluation services over the past year specifically</w:t>
      </w:r>
      <w:r w:rsidR="0049577B">
        <w:t xml:space="preserve"> to the Cyclone Recovery Program which covers all sectors, dedicated </w:t>
      </w:r>
      <w:r w:rsidR="00F97AF6">
        <w:t xml:space="preserve">technical advisers are expected to be engaged later in </w:t>
      </w:r>
      <w:r w:rsidR="00AF463F">
        <w:t>2014.</w:t>
      </w:r>
    </w:p>
    <w:p w14:paraId="73F40C2D" w14:textId="77777777" w:rsidR="00CC1993" w:rsidRDefault="00CC1993" w:rsidP="00876277">
      <w:pPr>
        <w:pStyle w:val="BodyText"/>
      </w:pPr>
      <w:r>
        <w:t xml:space="preserve">The Inclusive Education Demonstration Program received unsatisfactory ratings for four criteria – efficiency, M&amp;E, sustainability and gender equality. </w:t>
      </w:r>
      <w:r w:rsidR="00046AE1">
        <w:t xml:space="preserve"> While services appear to have made good progress in providing access to education for children with disabilities in a challenging context in which children with disability have faced long-term disadvantage, reporting needs to be improved and greater Government ownership is required to improve these ratings. These issues will be addressed </w:t>
      </w:r>
      <w:r w:rsidR="00E60FB1">
        <w:t xml:space="preserve">in the </w:t>
      </w:r>
      <w:r>
        <w:t>re-design of this program in 2013-14 and 2014-15</w:t>
      </w:r>
    </w:p>
    <w:p w14:paraId="73F40C2E" w14:textId="77777777" w:rsidR="000D733F" w:rsidRDefault="000D733F" w:rsidP="000D733F">
      <w:pPr>
        <w:pStyle w:val="Heading3"/>
      </w:pPr>
      <w:r>
        <w:t xml:space="preserve">Performance </w:t>
      </w:r>
      <w:r w:rsidR="004F4630">
        <w:t>of key delivery partners</w:t>
      </w:r>
    </w:p>
    <w:p w14:paraId="73F40C2F" w14:textId="77777777" w:rsidR="00B318B1" w:rsidRDefault="00B318B1" w:rsidP="00D3274D">
      <w:pPr>
        <w:pStyle w:val="ListBullet"/>
        <w:numPr>
          <w:ilvl w:val="0"/>
          <w:numId w:val="0"/>
        </w:numPr>
      </w:pPr>
      <w:r>
        <w:t xml:space="preserve">The </w:t>
      </w:r>
      <w:r w:rsidR="00E30F06">
        <w:t>GoS</w:t>
      </w:r>
      <w:r w:rsidR="00D3274D">
        <w:t xml:space="preserve"> </w:t>
      </w:r>
      <w:r w:rsidRPr="005C4CAF">
        <w:t>has demonstrated a commitment to sensible reforms and sound economic management over a number of years</w:t>
      </w:r>
      <w:r>
        <w:t xml:space="preserve">. </w:t>
      </w:r>
      <w:r w:rsidR="00D3274D">
        <w:t xml:space="preserve">Samoa has </w:t>
      </w:r>
      <w:r w:rsidRPr="005C4CAF">
        <w:t>demonstrated the ability to manage and account for Australian aid funds effectively</w:t>
      </w:r>
      <w:r>
        <w:t xml:space="preserve"> – i</w:t>
      </w:r>
      <w:r w:rsidRPr="005C4CAF">
        <w:t>t has the highest levels of delivery through government systems across the Australian aid program.</w:t>
      </w:r>
      <w:r w:rsidR="006C43BB">
        <w:t xml:space="preserve"> </w:t>
      </w:r>
      <w:r>
        <w:t>An</w:t>
      </w:r>
      <w:r w:rsidR="00BD6BF1">
        <w:t xml:space="preserve"> </w:t>
      </w:r>
      <w:r>
        <w:t>Assessment of National Systems (ANS) was prepared in 2011 for Samoa and updated in July 2014.</w:t>
      </w:r>
      <w:r w:rsidR="006C43BB">
        <w:t xml:space="preserve"> </w:t>
      </w:r>
      <w:r>
        <w:t>Th</w:t>
      </w:r>
      <w:r w:rsidR="005A497F">
        <w:t>e update</w:t>
      </w:r>
      <w:r w:rsidR="00F04C97">
        <w:t xml:space="preserve"> concluded</w:t>
      </w:r>
      <w:r>
        <w:t xml:space="preserve"> that </w:t>
      </w:r>
      <w:r w:rsidR="00F04C97">
        <w:t>there was</w:t>
      </w:r>
      <w:r>
        <w:t xml:space="preserve"> a low level of fiduciary and corruption risk associated with using partner government systems apart from in the area of procurement where there </w:t>
      </w:r>
      <w:r w:rsidR="00F04C97">
        <w:t>was</w:t>
      </w:r>
      <w:r>
        <w:t xml:space="preserve"> a moderate level of risk based on the need for continued capacity building and institution building.</w:t>
      </w:r>
      <w:r w:rsidR="006C43BB">
        <w:t xml:space="preserve"> </w:t>
      </w:r>
      <w:r>
        <w:t xml:space="preserve">Working through government systems is in line with aid effectiveness principles </w:t>
      </w:r>
      <w:r w:rsidR="00BD6BF1">
        <w:t xml:space="preserve">and reduces </w:t>
      </w:r>
      <w:r w:rsidR="00F04C97">
        <w:t xml:space="preserve">the </w:t>
      </w:r>
      <w:r w:rsidR="00BD6BF1">
        <w:t>risk of fragmentation and duplication of donor assistance.</w:t>
      </w:r>
      <w:r w:rsidR="006C43BB">
        <w:t xml:space="preserve"> </w:t>
      </w:r>
      <w:r w:rsidR="00BD6BF1">
        <w:t xml:space="preserve">It does, however, require Australian aid officials to build close and robust relationships with counterparts in Government and to work with the Ministry of Finance to ensure adequate reporting from relevant </w:t>
      </w:r>
      <w:r w:rsidR="00AF463F">
        <w:t xml:space="preserve">Samoan </w:t>
      </w:r>
      <w:r w:rsidR="00BD6BF1">
        <w:t>agencies.</w:t>
      </w:r>
      <w:r w:rsidR="006C43BB">
        <w:t xml:space="preserve"> </w:t>
      </w:r>
      <w:r w:rsidR="00BD6BF1">
        <w:t xml:space="preserve">Monitoring and evaluating </w:t>
      </w:r>
      <w:r w:rsidR="00703E07">
        <w:t>GoS</w:t>
      </w:r>
      <w:r w:rsidR="00BD6BF1">
        <w:t xml:space="preserve"> programs remains an area for further </w:t>
      </w:r>
      <w:r w:rsidR="00AF463F">
        <w:t>development.</w:t>
      </w:r>
    </w:p>
    <w:p w14:paraId="73F40C30" w14:textId="77777777" w:rsidR="0092377D" w:rsidRDefault="00095272" w:rsidP="00D3274D">
      <w:pPr>
        <w:pStyle w:val="BodyText"/>
        <w:rPr>
          <w:lang w:eastAsia="zh-CN"/>
        </w:rPr>
      </w:pPr>
      <w:r>
        <w:rPr>
          <w:lang w:eastAsia="zh-CN"/>
        </w:rPr>
        <w:t xml:space="preserve">Multilateral organisations, in particular the multilateral development banks, have an important role to play in supporting Samoa by bringing together a range of donors to support the </w:t>
      </w:r>
      <w:r w:rsidR="00E30F06">
        <w:rPr>
          <w:lang w:eastAsia="zh-CN"/>
        </w:rPr>
        <w:t>GoS</w:t>
      </w:r>
      <w:r>
        <w:rPr>
          <w:lang w:eastAsia="zh-CN"/>
        </w:rPr>
        <w:t xml:space="preserve"> as well as by bringing in relevant expertise.  Experience with the World Bank and the Asian Development Ban</w:t>
      </w:r>
      <w:r w:rsidR="00005F58">
        <w:rPr>
          <w:lang w:eastAsia="zh-CN"/>
        </w:rPr>
        <w:t xml:space="preserve">k has generally been positive. The UN is a key partner in the Parliamentary Strengthening Program and demonstrated improved effectiveness during 2013-14. </w:t>
      </w:r>
      <w:r w:rsidR="0004258B">
        <w:rPr>
          <w:lang w:eastAsia="zh-CN"/>
        </w:rPr>
        <w:t xml:space="preserve">The </w:t>
      </w:r>
      <w:r w:rsidR="00703E07">
        <w:rPr>
          <w:lang w:eastAsia="zh-CN"/>
        </w:rPr>
        <w:t>GoS</w:t>
      </w:r>
      <w:r w:rsidR="0004258B">
        <w:rPr>
          <w:lang w:eastAsia="zh-CN"/>
        </w:rPr>
        <w:t xml:space="preserve"> has asked the UN to focus particularly on youth and women in their assistance to Samoa</w:t>
      </w:r>
      <w:r w:rsidR="008659F1">
        <w:rPr>
          <w:lang w:eastAsia="zh-CN"/>
        </w:rPr>
        <w:t xml:space="preserve"> And to deliver as a one UN to reduce fragmentation.</w:t>
      </w:r>
    </w:p>
    <w:p w14:paraId="73F40C31" w14:textId="77777777" w:rsidR="00095272" w:rsidRDefault="00095272" w:rsidP="00D3274D">
      <w:pPr>
        <w:pStyle w:val="BodyText"/>
        <w:rPr>
          <w:lang w:eastAsia="zh-CN"/>
        </w:rPr>
      </w:pPr>
      <w:r>
        <w:rPr>
          <w:lang w:eastAsia="zh-CN"/>
        </w:rPr>
        <w:t xml:space="preserve">Australian NGOs are not </w:t>
      </w:r>
      <w:r w:rsidR="00005F58">
        <w:rPr>
          <w:lang w:eastAsia="zh-CN"/>
        </w:rPr>
        <w:t>highly</w:t>
      </w:r>
      <w:r>
        <w:rPr>
          <w:lang w:eastAsia="zh-CN"/>
        </w:rPr>
        <w:t xml:space="preserve"> visible in Samoa however locally based NGOs play a critical role in service delivery, such as in areas of inclusive education, disability and support for women.  </w:t>
      </w:r>
      <w:r>
        <w:rPr>
          <w:lang w:eastAsia="zh-CN"/>
        </w:rPr>
        <w:lastRenderedPageBreak/>
        <w:t>There remains a large need for capacity building of NGOs particularly in areas of financial management and governance arrangements.</w:t>
      </w:r>
      <w:r w:rsidR="001E40A2">
        <w:rPr>
          <w:lang w:eastAsia="zh-CN"/>
        </w:rPr>
        <w:t xml:space="preserve"> Initial discussions are under way with the Pacific Leadership Program and local business associations to provide innovative ways of supporting NGOs to </w:t>
      </w:r>
      <w:r w:rsidR="00816ADC">
        <w:rPr>
          <w:lang w:eastAsia="zh-CN"/>
        </w:rPr>
        <w:t>increase their capacity in these areas</w:t>
      </w:r>
      <w:r w:rsidR="001E40A2">
        <w:rPr>
          <w:lang w:eastAsia="zh-CN"/>
        </w:rPr>
        <w:t>.</w:t>
      </w:r>
    </w:p>
    <w:p w14:paraId="73F40C32" w14:textId="77777777" w:rsidR="00095272" w:rsidRPr="00D3274D" w:rsidRDefault="00012AB8" w:rsidP="00D3274D">
      <w:pPr>
        <w:pStyle w:val="BodyText"/>
        <w:rPr>
          <w:lang w:eastAsia="zh-CN"/>
        </w:rPr>
      </w:pPr>
      <w:r>
        <w:rPr>
          <w:lang w:eastAsia="zh-CN"/>
        </w:rPr>
        <w:t xml:space="preserve">There are currently </w:t>
      </w:r>
      <w:r w:rsidR="00095272">
        <w:rPr>
          <w:lang w:eastAsia="zh-CN"/>
        </w:rPr>
        <w:t>no Australian managing contractors engaged in the delivery of aid in Samoa</w:t>
      </w:r>
      <w:r w:rsidR="008659F1">
        <w:rPr>
          <w:lang w:eastAsia="zh-CN"/>
        </w:rPr>
        <w:t xml:space="preserve"> as was the agreement in the past with the GoS when managing contractors were phased out</w:t>
      </w:r>
      <w:r w:rsidR="00095272">
        <w:rPr>
          <w:lang w:eastAsia="zh-CN"/>
        </w:rPr>
        <w:t>.</w:t>
      </w:r>
    </w:p>
    <w:p w14:paraId="73F40C33" w14:textId="77777777" w:rsidR="000D733F" w:rsidRDefault="000D733F" w:rsidP="000D733F">
      <w:pPr>
        <w:pStyle w:val="Heading3"/>
      </w:pPr>
      <w:r>
        <w:t>Risks</w:t>
      </w:r>
    </w:p>
    <w:p w14:paraId="73F40C34" w14:textId="77777777" w:rsidR="000D733F" w:rsidRDefault="000D733F" w:rsidP="005F3A5F">
      <w:pPr>
        <w:pStyle w:val="Caption"/>
      </w:pPr>
      <w:r>
        <w:t>Table 3 Management of key risks to achieving objectives</w:t>
      </w:r>
    </w:p>
    <w:tbl>
      <w:tblPr>
        <w:tblStyle w:val="APPR"/>
        <w:tblW w:w="5000" w:type="pct"/>
        <w:tblLook w:val="0600" w:firstRow="0" w:lastRow="0" w:firstColumn="0" w:lastColumn="0" w:noHBand="1" w:noVBand="1"/>
      </w:tblPr>
      <w:tblGrid>
        <w:gridCol w:w="2529"/>
        <w:gridCol w:w="3082"/>
        <w:gridCol w:w="3166"/>
      </w:tblGrid>
      <w:tr w:rsidR="000D733F" w:rsidRPr="00180B19" w14:paraId="73F40C38" w14:textId="77777777" w:rsidTr="00A812FC">
        <w:tc>
          <w:tcPr>
            <w:tcW w:w="2487" w:type="dxa"/>
            <w:hideMark/>
          </w:tcPr>
          <w:p w14:paraId="73F40C35" w14:textId="77777777" w:rsidR="000D733F" w:rsidRPr="005023D9" w:rsidRDefault="000D733F" w:rsidP="000D733F">
            <w:pPr>
              <w:pStyle w:val="TableTextColumnHeading"/>
            </w:pPr>
            <w:r w:rsidRPr="005023D9">
              <w:t>Key risks</w:t>
            </w:r>
          </w:p>
        </w:tc>
        <w:tc>
          <w:tcPr>
            <w:tcW w:w="3054" w:type="dxa"/>
          </w:tcPr>
          <w:p w14:paraId="73F40C36" w14:textId="77777777" w:rsidR="000D733F" w:rsidRPr="005023D9" w:rsidRDefault="000D733F" w:rsidP="000D733F">
            <w:pPr>
              <w:pStyle w:val="TableTextColumnHeading"/>
            </w:pPr>
            <w:r w:rsidRPr="005023D9">
              <w:t>What actions were taken to manage the risks over the past year</w:t>
            </w:r>
            <w:r w:rsidR="001D7E98">
              <w:t>?</w:t>
            </w:r>
          </w:p>
        </w:tc>
        <w:tc>
          <w:tcPr>
            <w:tcW w:w="3124" w:type="dxa"/>
          </w:tcPr>
          <w:p w14:paraId="73F40C37" w14:textId="77777777" w:rsidR="000D733F" w:rsidRPr="005023D9" w:rsidRDefault="000D733F" w:rsidP="000D733F">
            <w:pPr>
              <w:pStyle w:val="TableTextColumnHeading"/>
            </w:pPr>
            <w:r w:rsidRPr="005023D9">
              <w:t>What further actions will be taken to manage the risks in the coming year</w:t>
            </w:r>
            <w:r w:rsidR="001D7E98">
              <w:t>?</w:t>
            </w:r>
          </w:p>
        </w:tc>
      </w:tr>
      <w:tr w:rsidR="00A812FC" w:rsidRPr="00180B19" w14:paraId="73F40C3C" w14:textId="77777777" w:rsidTr="00A812FC">
        <w:tc>
          <w:tcPr>
            <w:tcW w:w="2487" w:type="dxa"/>
            <w:hideMark/>
          </w:tcPr>
          <w:p w14:paraId="73F40C39" w14:textId="77777777" w:rsidR="00A812FC" w:rsidRPr="004C4A3E" w:rsidRDefault="00A812FC" w:rsidP="000D733F">
            <w:pPr>
              <w:pStyle w:val="TableTextEntries"/>
            </w:pPr>
            <w:r>
              <w:rPr>
                <w:rFonts w:cs="Franklin Gothic Book"/>
                <w:sz w:val="16"/>
                <w:szCs w:val="16"/>
              </w:rPr>
              <w:t xml:space="preserve">Australian aid funds channelled through partner government systems are misused or misappropriated </w:t>
            </w:r>
          </w:p>
        </w:tc>
        <w:tc>
          <w:tcPr>
            <w:tcW w:w="3054" w:type="dxa"/>
          </w:tcPr>
          <w:p w14:paraId="73F40C3A" w14:textId="77777777" w:rsidR="00A812FC" w:rsidRPr="004C4A3E" w:rsidRDefault="00A812FC" w:rsidP="00F04C97">
            <w:pPr>
              <w:pStyle w:val="Default"/>
              <w:rPr>
                <w:color w:val="000000" w:themeColor="text1" w:themeShade="BF"/>
              </w:rPr>
            </w:pPr>
            <w:r>
              <w:rPr>
                <w:rFonts w:ascii="Franklin Gothic Book" w:hAnsi="Franklin Gothic Book" w:cs="Franklin Gothic Book"/>
                <w:sz w:val="16"/>
                <w:szCs w:val="16"/>
              </w:rPr>
              <w:t xml:space="preserve">The 2011 Assessment of National Systems (ANS) in partner countries and sector assessments concluded that overall there </w:t>
            </w:r>
            <w:r w:rsidR="00F04C97">
              <w:rPr>
                <w:rFonts w:ascii="Franklin Gothic Book" w:hAnsi="Franklin Gothic Book" w:cs="Franklin Gothic Book"/>
                <w:sz w:val="16"/>
                <w:szCs w:val="16"/>
              </w:rPr>
              <w:t xml:space="preserve">was </w:t>
            </w:r>
            <w:r>
              <w:rPr>
                <w:rFonts w:ascii="Franklin Gothic Book" w:hAnsi="Franklin Gothic Book" w:cs="Franklin Gothic Book"/>
                <w:sz w:val="16"/>
                <w:szCs w:val="16"/>
              </w:rPr>
              <w:t xml:space="preserve">low to moderate risk associated with using government systems in Samoa. </w:t>
            </w:r>
          </w:p>
        </w:tc>
        <w:tc>
          <w:tcPr>
            <w:tcW w:w="3124" w:type="dxa"/>
          </w:tcPr>
          <w:p w14:paraId="73F40C3B" w14:textId="77777777" w:rsidR="00A812FC" w:rsidRPr="004C4A3E" w:rsidRDefault="00A812FC" w:rsidP="00F04C97">
            <w:pPr>
              <w:pStyle w:val="Default"/>
              <w:rPr>
                <w:color w:val="000000" w:themeColor="text1" w:themeShade="BF"/>
              </w:rPr>
            </w:pPr>
            <w:r w:rsidRPr="00824ECA">
              <w:rPr>
                <w:rFonts w:ascii="Franklin Gothic Book" w:hAnsi="Franklin Gothic Book" w:cs="Franklin Gothic Book"/>
                <w:sz w:val="16"/>
                <w:szCs w:val="16"/>
              </w:rPr>
              <w:t>Samoa</w:t>
            </w:r>
            <w:r>
              <w:rPr>
                <w:rFonts w:ascii="Franklin Gothic Book" w:hAnsi="Franklin Gothic Book" w:cs="Franklin Gothic Book"/>
                <w:sz w:val="16"/>
                <w:szCs w:val="16"/>
              </w:rPr>
              <w:t xml:space="preserve"> </w:t>
            </w:r>
            <w:r w:rsidR="00AF463F">
              <w:rPr>
                <w:rFonts w:ascii="Franklin Gothic Book" w:hAnsi="Franklin Gothic Book" w:cs="Franklin Gothic Book"/>
                <w:sz w:val="16"/>
                <w:szCs w:val="16"/>
              </w:rPr>
              <w:t>has recently undergone an update to its</w:t>
            </w:r>
            <w:r>
              <w:rPr>
                <w:rFonts w:ascii="Franklin Gothic Book" w:hAnsi="Franklin Gothic Book" w:cs="Franklin Gothic Book"/>
                <w:sz w:val="16"/>
                <w:szCs w:val="16"/>
              </w:rPr>
              <w:t xml:space="preserve"> 2011 ANS</w:t>
            </w:r>
            <w:r w:rsidR="00F04C97">
              <w:rPr>
                <w:rFonts w:ascii="Franklin Gothic Book" w:hAnsi="Franklin Gothic Book" w:cs="Franklin Gothic Book"/>
                <w:sz w:val="16"/>
                <w:szCs w:val="16"/>
              </w:rPr>
              <w:t xml:space="preserve"> in mid 2014</w:t>
            </w:r>
            <w:r>
              <w:rPr>
                <w:rFonts w:ascii="Franklin Gothic Book" w:hAnsi="Franklin Gothic Book" w:cs="Franklin Gothic Book"/>
                <w:sz w:val="16"/>
                <w:szCs w:val="16"/>
              </w:rPr>
              <w:t xml:space="preserve">. </w:t>
            </w:r>
            <w:r w:rsidR="00A25CA0">
              <w:rPr>
                <w:rFonts w:ascii="Franklin Gothic Book" w:hAnsi="Franklin Gothic Book" w:cs="Franklin Gothic Book"/>
                <w:sz w:val="16"/>
                <w:szCs w:val="16"/>
              </w:rPr>
              <w:t xml:space="preserve">A </w:t>
            </w:r>
            <w:r w:rsidR="00F04C97">
              <w:rPr>
                <w:rFonts w:ascii="Franklin Gothic Book" w:hAnsi="Franklin Gothic Book" w:cs="Franklin Gothic Book"/>
                <w:sz w:val="16"/>
                <w:szCs w:val="16"/>
              </w:rPr>
              <w:t xml:space="preserve">draft </w:t>
            </w:r>
            <w:r>
              <w:rPr>
                <w:rFonts w:ascii="Franklin Gothic Book" w:hAnsi="Franklin Gothic Book" w:cs="Franklin Gothic Book"/>
                <w:sz w:val="16"/>
                <w:szCs w:val="16"/>
              </w:rPr>
              <w:t>indicate</w:t>
            </w:r>
            <w:r w:rsidR="00A25CA0">
              <w:rPr>
                <w:rFonts w:ascii="Franklin Gothic Book" w:hAnsi="Franklin Gothic Book" w:cs="Franklin Gothic Book"/>
                <w:sz w:val="16"/>
                <w:szCs w:val="16"/>
              </w:rPr>
              <w:t>s</w:t>
            </w:r>
            <w:r>
              <w:rPr>
                <w:rFonts w:ascii="Franklin Gothic Book" w:hAnsi="Franklin Gothic Book" w:cs="Franklin Gothic Book"/>
                <w:sz w:val="16"/>
                <w:szCs w:val="16"/>
              </w:rPr>
              <w:t xml:space="preserve"> that the risk level has not changed. </w:t>
            </w:r>
            <w:r w:rsidR="00AF463F">
              <w:rPr>
                <w:rFonts w:ascii="Franklin Gothic Book" w:hAnsi="Franklin Gothic Book" w:cs="Franklin Gothic Book"/>
                <w:sz w:val="16"/>
                <w:szCs w:val="16"/>
              </w:rPr>
              <w:t>This report will be finalised shortly with</w:t>
            </w:r>
            <w:r>
              <w:rPr>
                <w:rFonts w:ascii="Franklin Gothic Book" w:hAnsi="Franklin Gothic Book" w:cs="Franklin Gothic Book"/>
                <w:sz w:val="16"/>
                <w:szCs w:val="16"/>
              </w:rPr>
              <w:t xml:space="preserve"> recommendations implemented.</w:t>
            </w:r>
            <w:r w:rsidRPr="00824ECA">
              <w:rPr>
                <w:rFonts w:ascii="Franklin Gothic Book" w:hAnsi="Franklin Gothic Book" w:cs="Franklin Gothic Book"/>
                <w:sz w:val="16"/>
                <w:szCs w:val="16"/>
              </w:rPr>
              <w:t xml:space="preserve"> </w:t>
            </w:r>
          </w:p>
        </w:tc>
      </w:tr>
      <w:tr w:rsidR="00A812FC" w:rsidRPr="00180B19" w14:paraId="73F40C40" w14:textId="77777777" w:rsidTr="00A812FC">
        <w:tc>
          <w:tcPr>
            <w:tcW w:w="2487" w:type="dxa"/>
          </w:tcPr>
          <w:p w14:paraId="73F40C3D" w14:textId="77777777" w:rsidR="00A812FC" w:rsidRPr="004C4A3E" w:rsidRDefault="00A812FC" w:rsidP="000D733F">
            <w:pPr>
              <w:pStyle w:val="TableTextEntries"/>
            </w:pPr>
            <w:r>
              <w:rPr>
                <w:rFonts w:cs="Franklin Gothic Book"/>
                <w:sz w:val="16"/>
                <w:szCs w:val="16"/>
              </w:rPr>
              <w:t xml:space="preserve">Cyclone Evan recovery programs are delayed </w:t>
            </w:r>
          </w:p>
        </w:tc>
        <w:tc>
          <w:tcPr>
            <w:tcW w:w="3054" w:type="dxa"/>
          </w:tcPr>
          <w:p w14:paraId="73F40C3E" w14:textId="77777777" w:rsidR="00A812FC" w:rsidRPr="004C4A3E" w:rsidRDefault="00A812FC" w:rsidP="00F04C97">
            <w:pPr>
              <w:pStyle w:val="TableTextEntries"/>
            </w:pPr>
            <w:r>
              <w:rPr>
                <w:rFonts w:cs="Franklin Gothic Book"/>
                <w:sz w:val="16"/>
                <w:szCs w:val="16"/>
              </w:rPr>
              <w:t xml:space="preserve">DFAT is providing funding and technical assistance to </w:t>
            </w:r>
            <w:r w:rsidR="00E30F06">
              <w:rPr>
                <w:rFonts w:cs="Franklin Gothic Book"/>
                <w:sz w:val="16"/>
                <w:szCs w:val="16"/>
              </w:rPr>
              <w:t>GoS</w:t>
            </w:r>
            <w:r>
              <w:rPr>
                <w:rFonts w:cs="Franklin Gothic Book"/>
                <w:sz w:val="16"/>
                <w:szCs w:val="16"/>
              </w:rPr>
              <w:t xml:space="preserve"> recovery programs. Recovery progress </w:t>
            </w:r>
            <w:r w:rsidR="00F04C97">
              <w:rPr>
                <w:rFonts w:cs="Franklin Gothic Book"/>
                <w:sz w:val="16"/>
                <w:szCs w:val="16"/>
              </w:rPr>
              <w:t>is being</w:t>
            </w:r>
            <w:r>
              <w:rPr>
                <w:rFonts w:cs="Franklin Gothic Book"/>
                <w:sz w:val="16"/>
                <w:szCs w:val="16"/>
              </w:rPr>
              <w:t xml:space="preserve"> monitored through the government’s Recovery Plan Committee, of which DFAT is a member. Tranche payments of support are contingent on progress and integration of vulnerability and disaster risk recovery principles. </w:t>
            </w:r>
          </w:p>
        </w:tc>
        <w:tc>
          <w:tcPr>
            <w:tcW w:w="3124" w:type="dxa"/>
          </w:tcPr>
          <w:p w14:paraId="73F40C3F" w14:textId="77777777" w:rsidR="00A812FC" w:rsidRPr="004C4A3E" w:rsidRDefault="003151B0" w:rsidP="000D733F">
            <w:pPr>
              <w:pStyle w:val="TableTextEntries"/>
            </w:pPr>
            <w:r>
              <w:rPr>
                <w:sz w:val="16"/>
                <w:szCs w:val="16"/>
              </w:rPr>
              <w:t xml:space="preserve">Current actions considered adequate. Ongoing technical support to </w:t>
            </w:r>
            <w:r w:rsidR="00F97AF6">
              <w:rPr>
                <w:sz w:val="16"/>
                <w:szCs w:val="16"/>
              </w:rPr>
              <w:t xml:space="preserve">improve the pace of implementation for health and education infrastructure recovery efforts will continue to be a focus. DFAT maintains active involvement in recovery reporting processes and is satisfied overall progress is on track. </w:t>
            </w:r>
          </w:p>
        </w:tc>
      </w:tr>
      <w:tr w:rsidR="00A812FC" w:rsidRPr="00180B19" w14:paraId="73F40C44" w14:textId="77777777" w:rsidTr="00A812FC">
        <w:tc>
          <w:tcPr>
            <w:tcW w:w="2487" w:type="dxa"/>
          </w:tcPr>
          <w:p w14:paraId="73F40C41" w14:textId="77777777" w:rsidR="00A812FC" w:rsidRPr="004C4A3E" w:rsidRDefault="00A812FC" w:rsidP="000D733F">
            <w:pPr>
              <w:pStyle w:val="TableTextEntries"/>
            </w:pPr>
            <w:r>
              <w:rPr>
                <w:rFonts w:cs="Franklin Gothic Book"/>
                <w:sz w:val="16"/>
                <w:szCs w:val="16"/>
              </w:rPr>
              <w:t xml:space="preserve">External shocks affecting Samoa’s debt levels have an impact on the program’s objectives </w:t>
            </w:r>
          </w:p>
        </w:tc>
        <w:tc>
          <w:tcPr>
            <w:tcW w:w="3054" w:type="dxa"/>
          </w:tcPr>
          <w:p w14:paraId="73F40C42" w14:textId="77777777" w:rsidR="00A812FC" w:rsidRPr="004C4A3E" w:rsidRDefault="00A812FC" w:rsidP="000D733F">
            <w:pPr>
              <w:pStyle w:val="TableTextEntries"/>
            </w:pPr>
            <w:r>
              <w:rPr>
                <w:rFonts w:cs="Franklin Gothic Book"/>
                <w:sz w:val="16"/>
                <w:szCs w:val="16"/>
              </w:rPr>
              <w:t xml:space="preserve">DFAT staff work with </w:t>
            </w:r>
            <w:r w:rsidR="00E30F06">
              <w:rPr>
                <w:rFonts w:cs="Franklin Gothic Book"/>
                <w:sz w:val="16"/>
                <w:szCs w:val="16"/>
              </w:rPr>
              <w:t>GoS</w:t>
            </w:r>
            <w:r>
              <w:rPr>
                <w:rFonts w:cs="Franklin Gothic Book"/>
                <w:sz w:val="16"/>
                <w:szCs w:val="16"/>
              </w:rPr>
              <w:t xml:space="preserve"> officials and other development partners to closely monitor the impact of economic shocks and disasters to Samoa’s economy. Where required programs will be reorientated to address critical needs in the event of future shocks. </w:t>
            </w:r>
          </w:p>
        </w:tc>
        <w:tc>
          <w:tcPr>
            <w:tcW w:w="3124" w:type="dxa"/>
          </w:tcPr>
          <w:p w14:paraId="73F40C43" w14:textId="77777777" w:rsidR="00A812FC" w:rsidRPr="004C4A3E" w:rsidRDefault="008F365F" w:rsidP="00AF463F">
            <w:pPr>
              <w:pStyle w:val="TableTextEntries"/>
            </w:pPr>
            <w:r w:rsidRPr="00824ECA">
              <w:rPr>
                <w:rFonts w:cs="Franklin Gothic Book"/>
                <w:sz w:val="16"/>
                <w:szCs w:val="16"/>
              </w:rPr>
              <w:t xml:space="preserve">We will continue to work closely with the </w:t>
            </w:r>
            <w:r w:rsidR="00E30F06">
              <w:rPr>
                <w:rFonts w:cs="Franklin Gothic Book"/>
                <w:sz w:val="16"/>
                <w:szCs w:val="16"/>
              </w:rPr>
              <w:t>GoS</w:t>
            </w:r>
            <w:r w:rsidRPr="00824ECA">
              <w:rPr>
                <w:rFonts w:cs="Franklin Gothic Book"/>
                <w:sz w:val="16"/>
                <w:szCs w:val="16"/>
              </w:rPr>
              <w:t xml:space="preserve"> officials, especially by building their capacity to </w:t>
            </w:r>
            <w:r w:rsidR="00AF463F">
              <w:rPr>
                <w:rFonts w:cs="Franklin Gothic Book"/>
                <w:sz w:val="16"/>
                <w:szCs w:val="16"/>
              </w:rPr>
              <w:t>track</w:t>
            </w:r>
            <w:r>
              <w:rPr>
                <w:rFonts w:cs="Franklin Gothic Book"/>
                <w:sz w:val="16"/>
                <w:szCs w:val="16"/>
              </w:rPr>
              <w:t xml:space="preserve"> debt. </w:t>
            </w:r>
          </w:p>
        </w:tc>
      </w:tr>
      <w:tr w:rsidR="00A812FC" w:rsidRPr="00180B19" w14:paraId="73F40C48" w14:textId="77777777" w:rsidTr="00A812FC">
        <w:tc>
          <w:tcPr>
            <w:tcW w:w="2487" w:type="dxa"/>
          </w:tcPr>
          <w:p w14:paraId="73F40C45" w14:textId="77777777" w:rsidR="00A812FC" w:rsidRDefault="00A812FC" w:rsidP="000D733F">
            <w:pPr>
              <w:pStyle w:val="TableTextEntries"/>
              <w:rPr>
                <w:rFonts w:cs="Franklin Gothic Book"/>
                <w:sz w:val="16"/>
                <w:szCs w:val="16"/>
              </w:rPr>
            </w:pPr>
            <w:r>
              <w:rPr>
                <w:sz w:val="16"/>
                <w:szCs w:val="16"/>
              </w:rPr>
              <w:t>DFAT‘s Child Protection Policy is breached</w:t>
            </w:r>
          </w:p>
        </w:tc>
        <w:tc>
          <w:tcPr>
            <w:tcW w:w="3054" w:type="dxa"/>
          </w:tcPr>
          <w:p w14:paraId="73F40C46" w14:textId="77777777" w:rsidR="00A812FC" w:rsidRDefault="009F7F2E" w:rsidP="00F04C97">
            <w:pPr>
              <w:pStyle w:val="TableTextEntries"/>
              <w:rPr>
                <w:rFonts w:cs="Franklin Gothic Book"/>
                <w:sz w:val="16"/>
                <w:szCs w:val="16"/>
              </w:rPr>
            </w:pPr>
            <w:r>
              <w:rPr>
                <w:sz w:val="16"/>
                <w:szCs w:val="16"/>
              </w:rPr>
              <w:t xml:space="preserve">In 2013, DFAT contracted two child protection specialists from the Child Protection Compliance Section to undertake a review of SENESE’s internal investigation of the allegation of child abuse </w:t>
            </w:r>
            <w:r w:rsidR="00F04C97">
              <w:rPr>
                <w:sz w:val="16"/>
                <w:szCs w:val="16"/>
              </w:rPr>
              <w:t>and also conduct an</w:t>
            </w:r>
            <w:r>
              <w:rPr>
                <w:sz w:val="16"/>
                <w:szCs w:val="16"/>
              </w:rPr>
              <w:t xml:space="preserve"> assessment of compliance by the organisation with operational standards of the DFAT Child Protection 2009 and 2013.</w:t>
            </w:r>
            <w:r w:rsidR="006C43BB">
              <w:rPr>
                <w:sz w:val="16"/>
                <w:szCs w:val="16"/>
              </w:rPr>
              <w:t xml:space="preserve"> </w:t>
            </w:r>
            <w:r>
              <w:rPr>
                <w:sz w:val="16"/>
                <w:szCs w:val="16"/>
              </w:rPr>
              <w:t>An audit was successfully completed including an audit of SENESE by DFAT.</w:t>
            </w:r>
            <w:r w:rsidR="006C43BB">
              <w:rPr>
                <w:sz w:val="16"/>
                <w:szCs w:val="16"/>
              </w:rPr>
              <w:t xml:space="preserve"> </w:t>
            </w:r>
            <w:r>
              <w:rPr>
                <w:sz w:val="16"/>
                <w:szCs w:val="16"/>
              </w:rPr>
              <w:t>The Child Protection Compliance Section also completed an audit of Loto Taumafai.</w:t>
            </w:r>
          </w:p>
        </w:tc>
        <w:tc>
          <w:tcPr>
            <w:tcW w:w="3124" w:type="dxa"/>
          </w:tcPr>
          <w:p w14:paraId="73F40C47" w14:textId="77777777" w:rsidR="00A812FC" w:rsidRPr="004C4A3E" w:rsidRDefault="00012AB8" w:rsidP="00012AB8">
            <w:pPr>
              <w:pStyle w:val="TableTextEntries"/>
            </w:pPr>
            <w:r>
              <w:rPr>
                <w:rFonts w:cs="Franklin Gothic Book"/>
                <w:sz w:val="16"/>
                <w:szCs w:val="16"/>
              </w:rPr>
              <w:t>The</w:t>
            </w:r>
            <w:r w:rsidR="009F7F2E" w:rsidRPr="005A497F">
              <w:rPr>
                <w:rFonts w:cs="Franklin Gothic Book"/>
                <w:sz w:val="16"/>
                <w:szCs w:val="16"/>
              </w:rPr>
              <w:t xml:space="preserve"> Child Protection Compliance Section continues to provide child protection training for SENESE, other SIEDP grant recipients and DFAT post staff as a measure to address future risks.</w:t>
            </w:r>
            <w:r w:rsidR="006C43BB" w:rsidRPr="005A497F">
              <w:rPr>
                <w:rFonts w:cs="Franklin Gothic Book"/>
                <w:sz w:val="16"/>
                <w:szCs w:val="16"/>
              </w:rPr>
              <w:t xml:space="preserve"> </w:t>
            </w:r>
            <w:r w:rsidR="009F7F2E" w:rsidRPr="005A497F">
              <w:rPr>
                <w:rFonts w:cs="Franklin Gothic Book"/>
                <w:sz w:val="16"/>
                <w:szCs w:val="16"/>
              </w:rPr>
              <w:t>DFAT also continues to provide technical assistance</w:t>
            </w:r>
            <w:r w:rsidR="006C43BB" w:rsidRPr="005A497F">
              <w:rPr>
                <w:rFonts w:cs="Franklin Gothic Book"/>
                <w:sz w:val="16"/>
                <w:szCs w:val="16"/>
              </w:rPr>
              <w:t xml:space="preserve"> </w:t>
            </w:r>
            <w:r w:rsidR="009F7F2E" w:rsidRPr="005A497F">
              <w:rPr>
                <w:rFonts w:cs="Franklin Gothic Book"/>
                <w:sz w:val="16"/>
                <w:szCs w:val="16"/>
              </w:rPr>
              <w:t>to grant recipients including Government Ministries (such as MESC/MWCSD) by contracting a child protection specialist to assist in policy development and to identify strategic, sustainable and cost-effective opportunities to enhance the Child Protection policy implementation in the Samoa aid program.</w:t>
            </w:r>
            <w:r w:rsidR="009F7F2E">
              <w:rPr>
                <w:sz w:val="16"/>
                <w:szCs w:val="16"/>
              </w:rPr>
              <w:t xml:space="preserve"> </w:t>
            </w:r>
          </w:p>
        </w:tc>
      </w:tr>
    </w:tbl>
    <w:p w14:paraId="73F40C49" w14:textId="77777777" w:rsidR="008E29AB" w:rsidRDefault="008E29AB" w:rsidP="000D733F">
      <w:pPr>
        <w:pStyle w:val="Note"/>
        <w:rPr>
          <w:color w:val="92D050"/>
        </w:rPr>
      </w:pPr>
    </w:p>
    <w:p w14:paraId="73F40C4A" w14:textId="77777777" w:rsidR="000D733F" w:rsidRPr="003275D0" w:rsidRDefault="000D733F" w:rsidP="000D733F">
      <w:pPr>
        <w:pStyle w:val="Heading3"/>
        <w:rPr>
          <w:rStyle w:val="BodyTextChar"/>
          <w:b w:val="0"/>
          <w:color w:val="auto"/>
        </w:rPr>
      </w:pPr>
      <w:r w:rsidRPr="009E38C1">
        <w:rPr>
          <w:b w:val="0"/>
          <w:color w:val="007FAD"/>
          <w:sz w:val="32"/>
          <w:szCs w:val="32"/>
          <w:lang w:eastAsia="en-AU"/>
        </w:rPr>
        <w:t xml:space="preserve">Management </w:t>
      </w:r>
      <w:r w:rsidR="00805ADD" w:rsidRPr="009E38C1">
        <w:rPr>
          <w:b w:val="0"/>
          <w:color w:val="007FAD"/>
          <w:sz w:val="32"/>
          <w:szCs w:val="32"/>
          <w:lang w:eastAsia="en-AU"/>
        </w:rPr>
        <w:t>Responses</w:t>
      </w:r>
      <w:r w:rsidRPr="009E38C1">
        <w:rPr>
          <w:b w:val="0"/>
          <w:color w:val="007FAD"/>
          <w:sz w:val="32"/>
          <w:szCs w:val="32"/>
          <w:lang w:eastAsia="en-AU"/>
        </w:rPr>
        <w:tab/>
      </w:r>
      <w:r>
        <w:rPr>
          <w:sz w:val="32"/>
          <w:szCs w:val="32"/>
        </w:rPr>
        <w:tab/>
      </w:r>
    </w:p>
    <w:p w14:paraId="73F40C4B" w14:textId="77777777" w:rsidR="005A497F" w:rsidRDefault="005A497F" w:rsidP="00D3274D">
      <w:pPr>
        <w:pStyle w:val="ListBullet"/>
        <w:numPr>
          <w:ilvl w:val="0"/>
          <w:numId w:val="0"/>
        </w:numPr>
        <w:tabs>
          <w:tab w:val="clear" w:pos="284"/>
        </w:tabs>
      </w:pPr>
      <w:r>
        <w:t xml:space="preserve">We will need to maintain a strong focus on supporting Samoa to </w:t>
      </w:r>
      <w:r w:rsidRPr="00D3274D">
        <w:rPr>
          <w:b/>
        </w:rPr>
        <w:t>manage their debt</w:t>
      </w:r>
      <w:r w:rsidR="008659F1">
        <w:rPr>
          <w:b/>
        </w:rPr>
        <w:t xml:space="preserve"> in collaboration with the multilateral financial institutions</w:t>
      </w:r>
      <w:r>
        <w:t xml:space="preserve">. </w:t>
      </w:r>
      <w:r w:rsidR="00302C41">
        <w:t xml:space="preserve">Debt levels will continue to be </w:t>
      </w:r>
      <w:r w:rsidR="00D3274D">
        <w:t>an issue</w:t>
      </w:r>
      <w:r w:rsidR="00302C41">
        <w:t xml:space="preserve"> for the short to medium term and any increase in the current levels could have </w:t>
      </w:r>
      <w:r w:rsidR="006A23F1">
        <w:t>widespread</w:t>
      </w:r>
      <w:r w:rsidR="00302C41">
        <w:t xml:space="preserve"> </w:t>
      </w:r>
      <w:r w:rsidR="00302C41">
        <w:lastRenderedPageBreak/>
        <w:t xml:space="preserve">impacts. The Joint Policy Action Matrix </w:t>
      </w:r>
      <w:r w:rsidR="006A23F1">
        <w:t xml:space="preserve">continues to provide a good </w:t>
      </w:r>
      <w:r w:rsidR="00302C41">
        <w:t>incentive and will be monitored closely.</w:t>
      </w:r>
    </w:p>
    <w:p w14:paraId="73F40C4C" w14:textId="77777777" w:rsidR="006A23F1" w:rsidRDefault="00302C41" w:rsidP="00D3274D">
      <w:pPr>
        <w:pStyle w:val="ListBullet"/>
        <w:numPr>
          <w:ilvl w:val="0"/>
          <w:numId w:val="0"/>
        </w:numPr>
        <w:tabs>
          <w:tab w:val="clear" w:pos="284"/>
        </w:tabs>
      </w:pPr>
      <w:r w:rsidRPr="00D3274D">
        <w:rPr>
          <w:b/>
        </w:rPr>
        <w:t>Monitoring and evaluation</w:t>
      </w:r>
      <w:r>
        <w:t xml:space="preserve"> </w:t>
      </w:r>
      <w:r w:rsidR="00F04C97">
        <w:t xml:space="preserve">(M&amp;E) </w:t>
      </w:r>
      <w:r>
        <w:t xml:space="preserve">continues to be a key target </w:t>
      </w:r>
      <w:r w:rsidR="006A23F1">
        <w:t xml:space="preserve">area </w:t>
      </w:r>
      <w:r>
        <w:t>for improvement</w:t>
      </w:r>
      <w:r w:rsidR="006A23F1">
        <w:t xml:space="preserve"> across the program</w:t>
      </w:r>
      <w:r>
        <w:t>. Some long-awaited ap</w:t>
      </w:r>
      <w:r w:rsidR="006A23F1">
        <w:t>pointments</w:t>
      </w:r>
      <w:r w:rsidR="00CB3834">
        <w:t xml:space="preserve"> in monitoring and evaluation</w:t>
      </w:r>
      <w:r w:rsidR="006A23F1">
        <w:t xml:space="preserve"> are about </w:t>
      </w:r>
      <w:r w:rsidR="00040DE6">
        <w:t xml:space="preserve">to </w:t>
      </w:r>
      <w:r w:rsidR="006A23F1">
        <w:t xml:space="preserve">take place. The recent experience of an </w:t>
      </w:r>
      <w:r w:rsidR="00095272">
        <w:t>Australian Civilian Corp</w:t>
      </w:r>
      <w:r w:rsidR="006A23F1">
        <w:t xml:space="preserve"> M&amp;E adviser in the disaster management area suggests there is </w:t>
      </w:r>
      <w:r w:rsidR="00AF463F">
        <w:t xml:space="preserve">an appetite for </w:t>
      </w:r>
      <w:r w:rsidR="006A23F1">
        <w:t>cross-sector support for improved M&amp;E systems</w:t>
      </w:r>
      <w:r w:rsidR="00D3274D">
        <w:t>.</w:t>
      </w:r>
      <w:r w:rsidR="00CB3834">
        <w:t xml:space="preserve">  Where possible </w:t>
      </w:r>
      <w:r w:rsidR="00A25CA0">
        <w:t xml:space="preserve">DFAT’s own </w:t>
      </w:r>
      <w:r w:rsidR="00CB3834">
        <w:t>monitoring and evaluation processes will involve our partners, in the spirit of mutual accountability and capacity building.</w:t>
      </w:r>
    </w:p>
    <w:p w14:paraId="73F40C4D" w14:textId="77777777" w:rsidR="00095272" w:rsidRDefault="00095272" w:rsidP="00D3274D">
      <w:pPr>
        <w:pStyle w:val="ListBullet"/>
        <w:numPr>
          <w:ilvl w:val="0"/>
          <w:numId w:val="0"/>
        </w:numPr>
        <w:tabs>
          <w:tab w:val="clear" w:pos="284"/>
        </w:tabs>
      </w:pPr>
      <w:r>
        <w:t xml:space="preserve">More analysis and design work is required to establish how can Australia can best contribute to </w:t>
      </w:r>
      <w:r w:rsidR="006A23F1">
        <w:t xml:space="preserve"> </w:t>
      </w:r>
      <w:r w:rsidR="006A23F1" w:rsidRPr="00D3274D">
        <w:rPr>
          <w:b/>
        </w:rPr>
        <w:t>improved gender outcomes</w:t>
      </w:r>
      <w:r>
        <w:t xml:space="preserve">, both through </w:t>
      </w:r>
      <w:r w:rsidR="00196433">
        <w:t xml:space="preserve">the Pacific Women Shaping Pacific Development initiative </w:t>
      </w:r>
      <w:r>
        <w:t>as well as through the broader aid program.</w:t>
      </w:r>
    </w:p>
    <w:p w14:paraId="73F40C4E" w14:textId="77777777" w:rsidR="00095272" w:rsidRDefault="00095272" w:rsidP="00D3274D">
      <w:pPr>
        <w:pStyle w:val="ListBullet"/>
        <w:numPr>
          <w:ilvl w:val="0"/>
          <w:numId w:val="0"/>
        </w:numPr>
        <w:tabs>
          <w:tab w:val="clear" w:pos="284"/>
        </w:tabs>
      </w:pPr>
      <w:r>
        <w:t xml:space="preserve">Similarly other </w:t>
      </w:r>
      <w:r w:rsidRPr="00AE0E0D">
        <w:rPr>
          <w:b/>
        </w:rPr>
        <w:t>cross-cutting issues</w:t>
      </w:r>
      <w:r>
        <w:t xml:space="preserve"> such as disability, child protection and environment, in particular building back better to minimise the impacts of climate change</w:t>
      </w:r>
      <w:r w:rsidR="00A25CA0">
        <w:t xml:space="preserve"> (through ensuring damaged structures are replaced with buildings more likely to wit</w:t>
      </w:r>
      <w:r w:rsidR="00B83389">
        <w:t xml:space="preserve">hstand future natural disasters) </w:t>
      </w:r>
      <w:r w:rsidR="00E67FA4">
        <w:t>will require continued attention and focus of staff.</w:t>
      </w:r>
      <w:r>
        <w:t xml:space="preserve"> </w:t>
      </w:r>
    </w:p>
    <w:p w14:paraId="73F40C4F" w14:textId="77777777" w:rsidR="00196433" w:rsidRDefault="00040DE6" w:rsidP="00F04C97">
      <w:pPr>
        <w:pStyle w:val="ListBullet"/>
        <w:numPr>
          <w:ilvl w:val="0"/>
          <w:numId w:val="0"/>
        </w:numPr>
        <w:tabs>
          <w:tab w:val="clear" w:pos="284"/>
        </w:tabs>
      </w:pPr>
      <w:r>
        <w:t xml:space="preserve">The first </w:t>
      </w:r>
      <w:r w:rsidRPr="00D3274D">
        <w:rPr>
          <w:b/>
        </w:rPr>
        <w:t>Aid Investment Plan</w:t>
      </w:r>
      <w:r>
        <w:t xml:space="preserve"> for Samoa, scheduled for </w:t>
      </w:r>
      <w:r w:rsidR="009504F4">
        <w:t xml:space="preserve">discussion with the Government of Samoa </w:t>
      </w:r>
      <w:r>
        <w:t>in late 2014, will need to carefully consider the major new policy approaches and ensure it re</w:t>
      </w:r>
      <w:r w:rsidRPr="00D3274D">
        <w:t>flects Australia’s national interests in foreign policy, trade, security and developmen</w:t>
      </w:r>
      <w:r w:rsidR="00196433">
        <w:t>t. T</w:t>
      </w:r>
      <w:r w:rsidR="00196433" w:rsidRPr="00D3274D">
        <w:t>he goal of contributing to sustainable economi</w:t>
      </w:r>
      <w:r w:rsidR="00196433" w:rsidRPr="00196433">
        <w:t>c growth and poverty reduction</w:t>
      </w:r>
      <w:r w:rsidR="00196433">
        <w:t xml:space="preserve"> will be paramount. The formulation of ambitious but achievable benchmarks will help to frame our work</w:t>
      </w:r>
      <w:r w:rsidR="00046AE1">
        <w:t>.  More analysis is required on how</w:t>
      </w:r>
      <w:r w:rsidR="00196433">
        <w:t xml:space="preserve"> </w:t>
      </w:r>
      <w:r w:rsidR="00046AE1">
        <w:t xml:space="preserve">to </w:t>
      </w:r>
      <w:r w:rsidR="00B95CE9">
        <w:t>expand engagement with</w:t>
      </w:r>
      <w:r w:rsidR="00046AE1">
        <w:t xml:space="preserve"> </w:t>
      </w:r>
      <w:r w:rsidR="00196433">
        <w:t>the private sector</w:t>
      </w:r>
      <w:r w:rsidR="00F04C97">
        <w:t>.  We will also undertake sound assessments of current programs to inform the way forward.</w:t>
      </w:r>
    </w:p>
    <w:p w14:paraId="73F40C50" w14:textId="77777777" w:rsidR="00E67FA4" w:rsidRPr="00D3274D" w:rsidRDefault="00B83389" w:rsidP="00D3274D">
      <w:pPr>
        <w:pStyle w:val="ListBullet"/>
        <w:numPr>
          <w:ilvl w:val="0"/>
          <w:numId w:val="0"/>
        </w:numPr>
        <w:tabs>
          <w:tab w:val="clear" w:pos="284"/>
        </w:tabs>
      </w:pPr>
      <w:r>
        <w:t xml:space="preserve">The update to the </w:t>
      </w:r>
      <w:r w:rsidRPr="00B83389">
        <w:rPr>
          <w:b/>
        </w:rPr>
        <w:t>Assessment of National Systems</w:t>
      </w:r>
      <w:r>
        <w:t xml:space="preserve"> for Samoa will be finalised and inform our ongoing programming.  Post will build on this analysis by conducting its own lessons learned exercise on the opportunities and considerations required to effectively work through government systems.</w:t>
      </w:r>
    </w:p>
    <w:p w14:paraId="73F40C51" w14:textId="77777777" w:rsidR="00040DE6" w:rsidRDefault="00121571" w:rsidP="00D3274D">
      <w:pPr>
        <w:pStyle w:val="ListBullet"/>
        <w:numPr>
          <w:ilvl w:val="0"/>
          <w:numId w:val="0"/>
        </w:numPr>
        <w:tabs>
          <w:tab w:val="clear" w:pos="284"/>
        </w:tabs>
      </w:pPr>
      <w:r>
        <w:rPr>
          <w:rFonts w:eastAsia="Calibri"/>
        </w:rPr>
        <w:t>Given the lack of progress on the health infrastructure</w:t>
      </w:r>
      <w:r w:rsidR="009504F4">
        <w:rPr>
          <w:rFonts w:eastAsia="Calibri"/>
        </w:rPr>
        <w:t xml:space="preserve"> program</w:t>
      </w:r>
      <w:r>
        <w:rPr>
          <w:rFonts w:eastAsia="Calibri"/>
        </w:rPr>
        <w:t>, despite the a</w:t>
      </w:r>
      <w:r w:rsidR="00E67FA4">
        <w:rPr>
          <w:rFonts w:eastAsia="Calibri"/>
        </w:rPr>
        <w:t xml:space="preserve">ctive oversight </w:t>
      </w:r>
      <w:r>
        <w:rPr>
          <w:rFonts w:eastAsia="Calibri"/>
        </w:rPr>
        <w:t>which has been given in the last 2 years,</w:t>
      </w:r>
      <w:r w:rsidR="00E67FA4">
        <w:rPr>
          <w:rFonts w:eastAsia="Calibri"/>
        </w:rPr>
        <w:t xml:space="preserve"> </w:t>
      </w:r>
      <w:r w:rsidRPr="00D3274D">
        <w:rPr>
          <w:rFonts w:eastAsia="Calibri"/>
          <w:b/>
        </w:rPr>
        <w:t>remaining funds in the He</w:t>
      </w:r>
      <w:r w:rsidR="0004258B">
        <w:rPr>
          <w:rFonts w:eastAsia="Calibri"/>
          <w:b/>
        </w:rPr>
        <w:t xml:space="preserve">alth SWAp will be recovered if </w:t>
      </w:r>
      <w:r w:rsidRPr="00D3274D">
        <w:rPr>
          <w:rFonts w:eastAsia="Calibri"/>
          <w:b/>
        </w:rPr>
        <w:t xml:space="preserve">there </w:t>
      </w:r>
      <w:r w:rsidR="009504F4">
        <w:rPr>
          <w:rFonts w:eastAsia="Calibri"/>
          <w:b/>
        </w:rPr>
        <w:t>is insufficient</w:t>
      </w:r>
      <w:r w:rsidRPr="00D3274D">
        <w:rPr>
          <w:rFonts w:eastAsia="Calibri"/>
          <w:b/>
        </w:rPr>
        <w:t xml:space="preserve"> progress by December 2014</w:t>
      </w:r>
      <w:r>
        <w:rPr>
          <w:rFonts w:eastAsia="Calibri"/>
        </w:rPr>
        <w:t>.</w:t>
      </w:r>
    </w:p>
    <w:p w14:paraId="73F40C52" w14:textId="77777777" w:rsidR="000D733F" w:rsidRPr="00D3274D" w:rsidRDefault="000D733F" w:rsidP="00D3274D">
      <w:pPr>
        <w:pStyle w:val="ListBullet"/>
        <w:numPr>
          <w:ilvl w:val="0"/>
          <w:numId w:val="0"/>
        </w:numPr>
        <w:tabs>
          <w:tab w:val="clear" w:pos="284"/>
        </w:tabs>
      </w:pPr>
    </w:p>
    <w:p w14:paraId="73F40C53" w14:textId="77777777" w:rsidR="005A497F" w:rsidRPr="00D3274D" w:rsidRDefault="005A497F" w:rsidP="00D3274D">
      <w:pPr>
        <w:pStyle w:val="ListBullet"/>
        <w:numPr>
          <w:ilvl w:val="0"/>
          <w:numId w:val="0"/>
        </w:numPr>
        <w:tabs>
          <w:tab w:val="clear" w:pos="284"/>
        </w:tabs>
      </w:pPr>
    </w:p>
    <w:p w14:paraId="73F40C54" w14:textId="77777777" w:rsidR="005A497F" w:rsidRDefault="005A497F" w:rsidP="000D733F">
      <w:pPr>
        <w:pStyle w:val="ListBullet"/>
        <w:numPr>
          <w:ilvl w:val="0"/>
          <w:numId w:val="0"/>
        </w:numPr>
        <w:ind w:left="360" w:hanging="360"/>
        <w:rPr>
          <w:rFonts w:ascii="Helvetica" w:hAnsi="Helvetica" w:cs="Arial"/>
          <w:color w:val="124486"/>
          <w:spacing w:val="-10"/>
          <w:kern w:val="28"/>
          <w:sz w:val="32"/>
          <w:szCs w:val="32"/>
        </w:rPr>
        <w:sectPr w:rsidR="005A497F" w:rsidSect="00CD061B">
          <w:headerReference w:type="default" r:id="rId20"/>
          <w:type w:val="continuous"/>
          <w:pgSz w:w="11907" w:h="16840" w:code="9"/>
          <w:pgMar w:top="2381" w:right="1701" w:bottom="907" w:left="1701" w:header="850" w:footer="567" w:gutter="0"/>
          <w:pgNumType w:start="1"/>
          <w:cols w:space="720"/>
          <w:docGrid w:linePitch="326"/>
        </w:sectPr>
      </w:pPr>
    </w:p>
    <w:p w14:paraId="73F40C55" w14:textId="77777777" w:rsidR="000D733F" w:rsidRPr="009E38C1" w:rsidRDefault="000D733F" w:rsidP="000D733F">
      <w:pPr>
        <w:pStyle w:val="Heading2"/>
        <w:rPr>
          <w:sz w:val="28"/>
        </w:rPr>
      </w:pPr>
      <w:r w:rsidRPr="009E38C1">
        <w:rPr>
          <w:sz w:val="28"/>
        </w:rPr>
        <w:lastRenderedPageBreak/>
        <w:t xml:space="preserve">Annex A </w:t>
      </w:r>
    </w:p>
    <w:p w14:paraId="73F40C56" w14:textId="77777777" w:rsidR="000D733F" w:rsidRPr="009E38C1" w:rsidRDefault="000D733F" w:rsidP="000D733F">
      <w:pPr>
        <w:pStyle w:val="Heading2"/>
        <w:rPr>
          <w:sz w:val="28"/>
        </w:rPr>
      </w:pPr>
      <w:r w:rsidRPr="009E38C1">
        <w:rPr>
          <w:sz w:val="28"/>
        </w:rPr>
        <w:t xml:space="preserve">Progress in addressing 2012-13 management </w:t>
      </w:r>
      <w:r w:rsidR="00805ADD" w:rsidRPr="009E38C1">
        <w:rPr>
          <w:sz w:val="28"/>
        </w:rPr>
        <w:t>responses</w:t>
      </w:r>
    </w:p>
    <w:tbl>
      <w:tblPr>
        <w:tblStyle w:val="APPR"/>
        <w:tblpPr w:leftFromText="180" w:rightFromText="180" w:vertAnchor="text" w:tblpY="1"/>
        <w:tblW w:w="5000" w:type="pct"/>
        <w:tblLayout w:type="fixed"/>
        <w:tblLook w:val="0000" w:firstRow="0" w:lastRow="0" w:firstColumn="0" w:lastColumn="0" w:noHBand="0" w:noVBand="0"/>
      </w:tblPr>
      <w:tblGrid>
        <w:gridCol w:w="6515"/>
        <w:gridCol w:w="992"/>
        <w:gridCol w:w="6938"/>
      </w:tblGrid>
      <w:tr w:rsidR="000D733F" w:rsidRPr="00180B19" w14:paraId="73F40C5A" w14:textId="77777777" w:rsidTr="000D733F">
        <w:trPr>
          <w:cnfStyle w:val="000000010000" w:firstRow="0" w:lastRow="0" w:firstColumn="0" w:lastColumn="0" w:oddVBand="0" w:evenVBand="0" w:oddHBand="0" w:evenHBand="1" w:firstRowFirstColumn="0" w:firstRowLastColumn="0" w:lastRowFirstColumn="0" w:lastRowLastColumn="0"/>
        </w:trPr>
        <w:tc>
          <w:tcPr>
            <w:tcW w:w="6473" w:type="dxa"/>
          </w:tcPr>
          <w:p w14:paraId="73F40C57" w14:textId="77777777" w:rsidR="000D733F" w:rsidRPr="00180B19" w:rsidRDefault="000D733F" w:rsidP="000D733F">
            <w:pPr>
              <w:pStyle w:val="TableTextColumnHeading"/>
              <w:tabs>
                <w:tab w:val="left" w:pos="1185"/>
              </w:tabs>
            </w:pPr>
            <w:r w:rsidRPr="00FE4491">
              <w:t>Management consequences identified in 201</w:t>
            </w:r>
            <w:r>
              <w:t>2-13</w:t>
            </w:r>
            <w:r w:rsidRPr="00FE4491">
              <w:t xml:space="preserve"> </w:t>
            </w:r>
            <w:r>
              <w:t>APPR</w:t>
            </w:r>
            <w:r>
              <w:tab/>
            </w:r>
          </w:p>
        </w:tc>
        <w:tc>
          <w:tcPr>
            <w:tcW w:w="964" w:type="dxa"/>
          </w:tcPr>
          <w:p w14:paraId="73F40C58" w14:textId="77777777" w:rsidR="000D733F" w:rsidRPr="00180B19" w:rsidRDefault="000D733F" w:rsidP="000D733F">
            <w:pPr>
              <w:pStyle w:val="TableTextColumnHeading"/>
            </w:pPr>
            <w:r w:rsidRPr="00FE4491">
              <w:t>Rating</w:t>
            </w:r>
          </w:p>
        </w:tc>
        <w:tc>
          <w:tcPr>
            <w:tcW w:w="6896" w:type="dxa"/>
          </w:tcPr>
          <w:p w14:paraId="73F40C59" w14:textId="77777777" w:rsidR="000D733F" w:rsidRPr="00180B19" w:rsidRDefault="000D733F" w:rsidP="000D733F">
            <w:pPr>
              <w:pStyle w:val="TableTextColumnHeading"/>
            </w:pPr>
            <w:r w:rsidRPr="00FE4491">
              <w:t xml:space="preserve">Progress made in </w:t>
            </w:r>
            <w:r>
              <w:t>2013-14</w:t>
            </w:r>
          </w:p>
        </w:tc>
      </w:tr>
      <w:tr w:rsidR="000D733F" w:rsidRPr="00180B19" w14:paraId="73F40C5F" w14:textId="77777777" w:rsidTr="00824ECA">
        <w:trPr>
          <w:cnfStyle w:val="000000010000" w:firstRow="0" w:lastRow="0" w:firstColumn="0" w:lastColumn="0" w:oddVBand="0" w:evenVBand="0" w:oddHBand="0" w:evenHBand="1" w:firstRowFirstColumn="0" w:firstRowLastColumn="0" w:lastRowFirstColumn="0" w:lastRowLastColumn="0"/>
        </w:trPr>
        <w:tc>
          <w:tcPr>
            <w:tcW w:w="6473" w:type="dxa"/>
          </w:tcPr>
          <w:p w14:paraId="73F40C5B" w14:textId="77777777" w:rsidR="000D733F" w:rsidRPr="00100AA2" w:rsidRDefault="008E5E6D" w:rsidP="008E5E6D">
            <w:pPr>
              <w:pStyle w:val="TableTextEntries"/>
            </w:pPr>
            <w:r w:rsidRPr="008E5E6D">
              <w:t xml:space="preserve">DFAT and Ministry of Finance counterparts will discuss how to strengthen links between the budget support payments made through the Joint Policy Action Matrix and targeted poverty and service delivery outcomes. </w:t>
            </w:r>
          </w:p>
        </w:tc>
        <w:tc>
          <w:tcPr>
            <w:tcW w:w="964" w:type="dxa"/>
            <w:shd w:val="clear" w:color="auto" w:fill="FFC000"/>
          </w:tcPr>
          <w:p w14:paraId="73F40C5C" w14:textId="77777777" w:rsidR="000D733F" w:rsidRPr="00443639" w:rsidRDefault="00E37BFF" w:rsidP="00824ECA">
            <w:pPr>
              <w:pStyle w:val="TableTextEntries"/>
              <w:jc w:val="center"/>
              <w:rPr>
                <w:color w:val="FFFFFF" w:themeColor="background1"/>
              </w:rPr>
            </w:pPr>
            <w:r>
              <w:rPr>
                <w:color w:val="FFFFFF" w:themeColor="background1"/>
              </w:rPr>
              <w:t>Partly a</w:t>
            </w:r>
            <w:r w:rsidR="00E027C6">
              <w:rPr>
                <w:color w:val="FFFFFF" w:themeColor="background1"/>
              </w:rPr>
              <w:t>chieved</w:t>
            </w:r>
          </w:p>
        </w:tc>
        <w:tc>
          <w:tcPr>
            <w:tcW w:w="6896" w:type="dxa"/>
          </w:tcPr>
          <w:p w14:paraId="73F40C5D" w14:textId="77777777" w:rsidR="00E027C6" w:rsidRDefault="00E027C6" w:rsidP="00824ECA">
            <w:pPr>
              <w:pStyle w:val="TableTextEntries"/>
              <w:rPr>
                <w:color w:val="000000" w:themeColor="text1" w:themeShade="BF"/>
              </w:rPr>
            </w:pPr>
            <w:r>
              <w:t>Joint Policy Action Matrix designed in conjunction with World Bank and New Zealand. Draft matrix with GoS for comment.</w:t>
            </w:r>
          </w:p>
          <w:p w14:paraId="73F40C5E" w14:textId="77777777" w:rsidR="000D733F" w:rsidRPr="00B30E77" w:rsidRDefault="000D733F" w:rsidP="000D733F">
            <w:pPr>
              <w:pStyle w:val="TableTextEntries"/>
              <w:rPr>
                <w:color w:val="92D050"/>
              </w:rPr>
            </w:pPr>
          </w:p>
        </w:tc>
      </w:tr>
      <w:tr w:rsidR="000D733F" w:rsidRPr="00180B19" w14:paraId="73F40C63" w14:textId="77777777" w:rsidTr="00D3274D">
        <w:trPr>
          <w:cnfStyle w:val="000000010000" w:firstRow="0" w:lastRow="0" w:firstColumn="0" w:lastColumn="0" w:oddVBand="0" w:evenVBand="0" w:oddHBand="0" w:evenHBand="1" w:firstRowFirstColumn="0" w:firstRowLastColumn="0" w:lastRowFirstColumn="0" w:lastRowLastColumn="0"/>
        </w:trPr>
        <w:tc>
          <w:tcPr>
            <w:tcW w:w="6473" w:type="dxa"/>
          </w:tcPr>
          <w:p w14:paraId="73F40C60" w14:textId="77777777" w:rsidR="000D733F" w:rsidRPr="00100AA2" w:rsidRDefault="008E5E6D" w:rsidP="000D733F">
            <w:pPr>
              <w:pStyle w:val="TableTextEntries"/>
            </w:pPr>
            <w:r w:rsidRPr="008E5E6D">
              <w:t>DFAT will fund work to increase the availability of data on poverty to policy makers.</w:t>
            </w:r>
          </w:p>
        </w:tc>
        <w:tc>
          <w:tcPr>
            <w:tcW w:w="964" w:type="dxa"/>
            <w:shd w:val="clear" w:color="auto" w:fill="FFC000"/>
          </w:tcPr>
          <w:p w14:paraId="73F40C61" w14:textId="77777777" w:rsidR="000D733F" w:rsidRPr="007123AD" w:rsidRDefault="00F97AF6" w:rsidP="000D733F">
            <w:pPr>
              <w:pStyle w:val="TableTextEntries"/>
              <w:jc w:val="center"/>
              <w:rPr>
                <w:color w:val="FFFFFF" w:themeColor="background1"/>
              </w:rPr>
            </w:pPr>
            <w:r>
              <w:rPr>
                <w:color w:val="FFFFFF" w:themeColor="background1"/>
              </w:rPr>
              <w:t>Partly achieved</w:t>
            </w:r>
          </w:p>
        </w:tc>
        <w:tc>
          <w:tcPr>
            <w:tcW w:w="6896" w:type="dxa"/>
          </w:tcPr>
          <w:p w14:paraId="73F40C62" w14:textId="77777777" w:rsidR="000D733F" w:rsidRPr="005A497F" w:rsidRDefault="00F97AF6" w:rsidP="000D733F">
            <w:pPr>
              <w:pStyle w:val="TableTextEntries"/>
              <w:rPr>
                <w:color w:val="92D050"/>
              </w:rPr>
            </w:pPr>
            <w:r w:rsidRPr="00D3274D">
              <w:t>Australia worked with the World Bank to define the terms of a poverty mapping</w:t>
            </w:r>
            <w:r w:rsidR="006C43BB" w:rsidRPr="00D3274D">
              <w:t xml:space="preserve"> </w:t>
            </w:r>
            <w:r w:rsidRPr="00D3274D">
              <w:t>exercise which will provide key data on the nature of poverty in Samoa. Data collection has been completed and data analysis is underway. The report is due later in 2014 and dissemination of results will be key</w:t>
            </w:r>
            <w:r w:rsidR="007123AD" w:rsidRPr="00D3274D">
              <w:t>.</w:t>
            </w:r>
          </w:p>
        </w:tc>
      </w:tr>
      <w:tr w:rsidR="000D733F" w:rsidRPr="00180B19" w14:paraId="73F40C67" w14:textId="77777777" w:rsidTr="00824ECA">
        <w:trPr>
          <w:cnfStyle w:val="000000010000" w:firstRow="0" w:lastRow="0" w:firstColumn="0" w:lastColumn="0" w:oddVBand="0" w:evenVBand="0" w:oddHBand="0" w:evenHBand="1" w:firstRowFirstColumn="0" w:firstRowLastColumn="0" w:lastRowFirstColumn="0" w:lastRowLastColumn="0"/>
        </w:trPr>
        <w:tc>
          <w:tcPr>
            <w:tcW w:w="6473" w:type="dxa"/>
          </w:tcPr>
          <w:p w14:paraId="73F40C64" w14:textId="77777777" w:rsidR="000D733F" w:rsidRPr="00100AA2" w:rsidRDefault="008E5E6D" w:rsidP="000D733F">
            <w:pPr>
              <w:pStyle w:val="TableTextEntries"/>
            </w:pPr>
            <w:r w:rsidRPr="008E5E6D">
              <w:t>Recommendations from the CSSP mid-term review will be implemented and a program targeting people with disability will begin.</w:t>
            </w:r>
          </w:p>
        </w:tc>
        <w:tc>
          <w:tcPr>
            <w:tcW w:w="964" w:type="dxa"/>
            <w:shd w:val="clear" w:color="auto" w:fill="92D050"/>
          </w:tcPr>
          <w:p w14:paraId="73F40C65" w14:textId="77777777" w:rsidR="000D733F" w:rsidRPr="00443639" w:rsidRDefault="00E37BFF" w:rsidP="000D733F">
            <w:pPr>
              <w:pStyle w:val="TableTextEntries"/>
              <w:jc w:val="center"/>
              <w:rPr>
                <w:color w:val="FFFFFF" w:themeColor="background1"/>
              </w:rPr>
            </w:pPr>
            <w:r>
              <w:rPr>
                <w:color w:val="FFFFFF" w:themeColor="background1"/>
              </w:rPr>
              <w:t>Achieved</w:t>
            </w:r>
          </w:p>
        </w:tc>
        <w:tc>
          <w:tcPr>
            <w:tcW w:w="6896" w:type="dxa"/>
          </w:tcPr>
          <w:p w14:paraId="73F40C66" w14:textId="77777777" w:rsidR="000D733F" w:rsidRPr="00B30E77" w:rsidRDefault="00E027C6" w:rsidP="000E2068">
            <w:pPr>
              <w:pStyle w:val="TableTextEntries"/>
              <w:rPr>
                <w:color w:val="92D050"/>
              </w:rPr>
            </w:pPr>
            <w:r>
              <w:t xml:space="preserve">CSSP recommendations in process of being implemented. Disabilities program </w:t>
            </w:r>
            <w:r w:rsidR="000E2068">
              <w:t>donor funding agreement signed</w:t>
            </w:r>
            <w:r>
              <w:t xml:space="preserve"> and in implementation phase.</w:t>
            </w:r>
          </w:p>
        </w:tc>
      </w:tr>
      <w:tr w:rsidR="000D733F" w:rsidRPr="00180B19" w14:paraId="73F40C6B" w14:textId="77777777" w:rsidTr="00824ECA">
        <w:trPr>
          <w:cnfStyle w:val="000000010000" w:firstRow="0" w:lastRow="0" w:firstColumn="0" w:lastColumn="0" w:oddVBand="0" w:evenVBand="0" w:oddHBand="0" w:evenHBand="1" w:firstRowFirstColumn="0" w:firstRowLastColumn="0" w:lastRowFirstColumn="0" w:lastRowLastColumn="0"/>
        </w:trPr>
        <w:tc>
          <w:tcPr>
            <w:tcW w:w="6473" w:type="dxa"/>
          </w:tcPr>
          <w:p w14:paraId="73F40C68" w14:textId="77777777" w:rsidR="000D733F" w:rsidRPr="00100AA2" w:rsidRDefault="008E5E6D" w:rsidP="008E5E6D">
            <w:pPr>
              <w:pStyle w:val="TableTextEntries"/>
            </w:pPr>
            <w:r w:rsidRPr="008E5E6D">
              <w:t xml:space="preserve">Australia will continue to support Samoa’s sound debt management by including this issue in the 2013–14 Joint Policy Action Matrix targets. </w:t>
            </w:r>
          </w:p>
        </w:tc>
        <w:tc>
          <w:tcPr>
            <w:tcW w:w="964" w:type="dxa"/>
            <w:shd w:val="clear" w:color="auto" w:fill="92D050"/>
          </w:tcPr>
          <w:p w14:paraId="73F40C69" w14:textId="77777777" w:rsidR="000D733F" w:rsidRPr="00443639" w:rsidRDefault="00E37BFF" w:rsidP="000D733F">
            <w:pPr>
              <w:pStyle w:val="TableTextEntries"/>
              <w:jc w:val="center"/>
              <w:rPr>
                <w:color w:val="FFFFFF" w:themeColor="background1"/>
              </w:rPr>
            </w:pPr>
            <w:r>
              <w:rPr>
                <w:color w:val="FFFFFF" w:themeColor="background1"/>
              </w:rPr>
              <w:t>Achieved</w:t>
            </w:r>
          </w:p>
        </w:tc>
        <w:tc>
          <w:tcPr>
            <w:tcW w:w="6896" w:type="dxa"/>
          </w:tcPr>
          <w:p w14:paraId="73F40C6A" w14:textId="77777777" w:rsidR="000D733F" w:rsidRPr="00B30E77" w:rsidRDefault="00B56936" w:rsidP="000D733F">
            <w:pPr>
              <w:pStyle w:val="TableTextEntries"/>
              <w:rPr>
                <w:color w:val="F79646" w:themeColor="accent6"/>
              </w:rPr>
            </w:pPr>
            <w:r>
              <w:t>Joint Policy matrix has strengthened debt policy and management as a key macroeconomic indicator.</w:t>
            </w:r>
          </w:p>
        </w:tc>
      </w:tr>
      <w:tr w:rsidR="000D733F" w:rsidRPr="00180B19" w14:paraId="73F40C6F" w14:textId="77777777" w:rsidTr="00824ECA">
        <w:trPr>
          <w:cnfStyle w:val="000000010000" w:firstRow="0" w:lastRow="0" w:firstColumn="0" w:lastColumn="0" w:oddVBand="0" w:evenVBand="0" w:oddHBand="0" w:evenHBand="1" w:firstRowFirstColumn="0" w:firstRowLastColumn="0" w:lastRowFirstColumn="0" w:lastRowLastColumn="0"/>
        </w:trPr>
        <w:tc>
          <w:tcPr>
            <w:tcW w:w="6473" w:type="dxa"/>
          </w:tcPr>
          <w:p w14:paraId="73F40C6C" w14:textId="77777777" w:rsidR="000D733F" w:rsidRPr="00100AA2" w:rsidRDefault="008E5E6D" w:rsidP="000D733F">
            <w:pPr>
              <w:pStyle w:val="TableTextEntries"/>
            </w:pPr>
            <w:r w:rsidRPr="008E5E6D">
              <w:t>Debt levels and debt management will be a central issue discussed at the 2013 Partnership Talks.</w:t>
            </w:r>
          </w:p>
        </w:tc>
        <w:tc>
          <w:tcPr>
            <w:tcW w:w="964" w:type="dxa"/>
            <w:shd w:val="clear" w:color="auto" w:fill="92D050"/>
          </w:tcPr>
          <w:p w14:paraId="73F40C6D" w14:textId="77777777" w:rsidR="000D733F" w:rsidRPr="00443639" w:rsidRDefault="00E37BFF" w:rsidP="000D733F">
            <w:pPr>
              <w:pStyle w:val="TableTextEntries"/>
              <w:jc w:val="center"/>
              <w:rPr>
                <w:color w:val="FFFFFF" w:themeColor="background1"/>
              </w:rPr>
            </w:pPr>
            <w:r>
              <w:rPr>
                <w:color w:val="FFFFFF" w:themeColor="background1"/>
              </w:rPr>
              <w:t>Achieved</w:t>
            </w:r>
          </w:p>
        </w:tc>
        <w:tc>
          <w:tcPr>
            <w:tcW w:w="6896" w:type="dxa"/>
          </w:tcPr>
          <w:p w14:paraId="73F40C6E" w14:textId="77777777" w:rsidR="000D733F" w:rsidRPr="00824ECA" w:rsidRDefault="00B56936" w:rsidP="00824ECA">
            <w:pPr>
              <w:pStyle w:val="TableTextEntries"/>
            </w:pPr>
            <w:r>
              <w:t xml:space="preserve">High Level aid talks agreed debt management would continue to be a key priority under the partnership. </w:t>
            </w:r>
          </w:p>
        </w:tc>
      </w:tr>
      <w:tr w:rsidR="008E5E6D" w:rsidRPr="00180B19" w14:paraId="73F40C73" w14:textId="77777777" w:rsidTr="00824ECA">
        <w:trPr>
          <w:cnfStyle w:val="000000010000" w:firstRow="0" w:lastRow="0" w:firstColumn="0" w:lastColumn="0" w:oddVBand="0" w:evenVBand="0" w:oddHBand="0" w:evenHBand="1" w:firstRowFirstColumn="0" w:firstRowLastColumn="0" w:lastRowFirstColumn="0" w:lastRowLastColumn="0"/>
        </w:trPr>
        <w:tc>
          <w:tcPr>
            <w:tcW w:w="6473" w:type="dxa"/>
          </w:tcPr>
          <w:p w14:paraId="73F40C70" w14:textId="77777777" w:rsidR="008E5E6D" w:rsidRPr="008E5E6D" w:rsidRDefault="008E5E6D" w:rsidP="008E5E6D">
            <w:pPr>
              <w:pStyle w:val="TableTextEntries"/>
            </w:pPr>
            <w:r w:rsidRPr="008E5E6D">
              <w:t xml:space="preserve">DFAT will develop a stand-alone </w:t>
            </w:r>
            <w:r>
              <w:t xml:space="preserve">gender </w:t>
            </w:r>
            <w:r w:rsidRPr="008E5E6D">
              <w:t>program as well as broader strategies for integrating gender and monitoring its performance across the bilateral program, including through collecting basic sex disaggregated data on poverty.</w:t>
            </w:r>
          </w:p>
        </w:tc>
        <w:tc>
          <w:tcPr>
            <w:tcW w:w="964" w:type="dxa"/>
            <w:shd w:val="clear" w:color="auto" w:fill="FFC000"/>
          </w:tcPr>
          <w:p w14:paraId="73F40C71" w14:textId="77777777" w:rsidR="008E5E6D" w:rsidRDefault="00E37BFF" w:rsidP="000D733F">
            <w:pPr>
              <w:pStyle w:val="TableTextEntries"/>
              <w:jc w:val="center"/>
              <w:rPr>
                <w:color w:val="FFFFFF" w:themeColor="background1"/>
              </w:rPr>
            </w:pPr>
            <w:r>
              <w:rPr>
                <w:color w:val="FFFFFF" w:themeColor="background1"/>
              </w:rPr>
              <w:t>Partly achieved</w:t>
            </w:r>
          </w:p>
        </w:tc>
        <w:tc>
          <w:tcPr>
            <w:tcW w:w="6896" w:type="dxa"/>
          </w:tcPr>
          <w:p w14:paraId="73F40C72" w14:textId="77777777" w:rsidR="008E5E6D" w:rsidRPr="00B30E77" w:rsidRDefault="00E027C6" w:rsidP="006A477D">
            <w:pPr>
              <w:pStyle w:val="TableTextEntries"/>
              <w:rPr>
                <w:color w:val="F79646" w:themeColor="accent6"/>
              </w:rPr>
            </w:pPr>
            <w:r>
              <w:t>Design undertaken. Peer review planned.</w:t>
            </w:r>
            <w:r w:rsidR="006C43BB">
              <w:t xml:space="preserve"> </w:t>
            </w:r>
            <w:r>
              <w:t xml:space="preserve">Finalisation and financial approval </w:t>
            </w:r>
            <w:r w:rsidR="006A477D">
              <w:t>to be finalised by 30 June 2014</w:t>
            </w:r>
            <w:r>
              <w:t>.</w:t>
            </w:r>
            <w:r w:rsidR="006C43BB">
              <w:t xml:space="preserve"> </w:t>
            </w:r>
            <w:r>
              <w:t>Planned implementation to commence August – September 2014.</w:t>
            </w:r>
          </w:p>
        </w:tc>
      </w:tr>
      <w:tr w:rsidR="008E5E6D" w:rsidRPr="00180B19" w14:paraId="73F40C77" w14:textId="77777777" w:rsidTr="00824ECA">
        <w:trPr>
          <w:cnfStyle w:val="000000010000" w:firstRow="0" w:lastRow="0" w:firstColumn="0" w:lastColumn="0" w:oddVBand="0" w:evenVBand="0" w:oddHBand="0" w:evenHBand="1" w:firstRowFirstColumn="0" w:firstRowLastColumn="0" w:lastRowFirstColumn="0" w:lastRowLastColumn="0"/>
        </w:trPr>
        <w:tc>
          <w:tcPr>
            <w:tcW w:w="6473" w:type="dxa"/>
          </w:tcPr>
          <w:p w14:paraId="73F40C74" w14:textId="77777777" w:rsidR="008E5E6D" w:rsidRPr="008E5E6D" w:rsidRDefault="008E5E6D" w:rsidP="000D733F">
            <w:pPr>
              <w:pStyle w:val="TableTextEntries"/>
            </w:pPr>
            <w:r w:rsidRPr="008E5E6D">
              <w:t xml:space="preserve">At the 2013 Partnership Talks, the two governments will discuss and agree on a </w:t>
            </w:r>
            <w:r w:rsidRPr="008E5E6D">
              <w:rPr>
                <w:bCs/>
              </w:rPr>
              <w:t xml:space="preserve">joint approach to managing the risks </w:t>
            </w:r>
            <w:r w:rsidRPr="008E5E6D">
              <w:t>identified through official reporting.</w:t>
            </w:r>
          </w:p>
        </w:tc>
        <w:tc>
          <w:tcPr>
            <w:tcW w:w="964" w:type="dxa"/>
            <w:shd w:val="clear" w:color="auto" w:fill="92D050"/>
          </w:tcPr>
          <w:p w14:paraId="73F40C75" w14:textId="77777777" w:rsidR="008E5E6D" w:rsidRDefault="00E37BFF" w:rsidP="000D733F">
            <w:pPr>
              <w:pStyle w:val="TableTextEntries"/>
              <w:jc w:val="center"/>
              <w:rPr>
                <w:color w:val="FFFFFF" w:themeColor="background1"/>
              </w:rPr>
            </w:pPr>
            <w:r>
              <w:rPr>
                <w:color w:val="FFFFFF" w:themeColor="background1"/>
              </w:rPr>
              <w:t>Achieved</w:t>
            </w:r>
          </w:p>
        </w:tc>
        <w:tc>
          <w:tcPr>
            <w:tcW w:w="6896" w:type="dxa"/>
          </w:tcPr>
          <w:p w14:paraId="73F40C76" w14:textId="77777777" w:rsidR="008E5E6D" w:rsidRPr="00B30E77" w:rsidRDefault="00E027C6" w:rsidP="000D733F">
            <w:pPr>
              <w:pStyle w:val="TableTextEntries"/>
              <w:rPr>
                <w:color w:val="F79646" w:themeColor="accent6"/>
              </w:rPr>
            </w:pPr>
            <w:r>
              <w:t xml:space="preserve">Joint statement on Risk and Fraud was signed at high level aid talks in December 2013 and has been incorporated into </w:t>
            </w:r>
            <w:r w:rsidRPr="000225B6">
              <w:rPr>
                <w:lang w:val="en-GB"/>
              </w:rPr>
              <w:t>Risk and Fraud Management Plan</w:t>
            </w:r>
            <w:r>
              <w:rPr>
                <w:lang w:val="en-GB"/>
              </w:rPr>
              <w:t>.</w:t>
            </w:r>
          </w:p>
        </w:tc>
      </w:tr>
      <w:tr w:rsidR="008E5E6D" w:rsidRPr="00180B19" w14:paraId="73F40C7B" w14:textId="77777777" w:rsidTr="00824ECA">
        <w:trPr>
          <w:cnfStyle w:val="000000010000" w:firstRow="0" w:lastRow="0" w:firstColumn="0" w:lastColumn="0" w:oddVBand="0" w:evenVBand="0" w:oddHBand="0" w:evenHBand="1" w:firstRowFirstColumn="0" w:firstRowLastColumn="0" w:lastRowFirstColumn="0" w:lastRowLastColumn="0"/>
        </w:trPr>
        <w:tc>
          <w:tcPr>
            <w:tcW w:w="6473" w:type="dxa"/>
          </w:tcPr>
          <w:p w14:paraId="73F40C78" w14:textId="77777777" w:rsidR="008E5E6D" w:rsidRPr="008E5E6D" w:rsidRDefault="008E5E6D" w:rsidP="008E5E6D">
            <w:pPr>
              <w:pStyle w:val="TableTextEntries"/>
            </w:pPr>
            <w:r>
              <w:t>L</w:t>
            </w:r>
            <w:r w:rsidRPr="008E5E6D">
              <w:t xml:space="preserve">aw and justice activities will be integrated within the governance and economic stability priority outcome. </w:t>
            </w:r>
          </w:p>
        </w:tc>
        <w:tc>
          <w:tcPr>
            <w:tcW w:w="964" w:type="dxa"/>
            <w:shd w:val="clear" w:color="auto" w:fill="92D050"/>
          </w:tcPr>
          <w:p w14:paraId="73F40C79" w14:textId="77777777" w:rsidR="008E5E6D" w:rsidRDefault="00E37BFF" w:rsidP="000D733F">
            <w:pPr>
              <w:pStyle w:val="TableTextEntries"/>
              <w:jc w:val="center"/>
              <w:rPr>
                <w:color w:val="FFFFFF" w:themeColor="background1"/>
              </w:rPr>
            </w:pPr>
            <w:r>
              <w:rPr>
                <w:color w:val="FFFFFF" w:themeColor="background1"/>
              </w:rPr>
              <w:t>Achieved</w:t>
            </w:r>
          </w:p>
        </w:tc>
        <w:tc>
          <w:tcPr>
            <w:tcW w:w="6896" w:type="dxa"/>
          </w:tcPr>
          <w:p w14:paraId="73F40C7A" w14:textId="77777777" w:rsidR="008E5E6D" w:rsidRPr="00824ECA" w:rsidRDefault="00B56936" w:rsidP="00824ECA">
            <w:pPr>
              <w:pStyle w:val="TableTextEntries"/>
            </w:pPr>
            <w:r>
              <w:t>High level aid talks in December 2013 agreed that further law and justice activities will be considered in the context of a new partnership.</w:t>
            </w:r>
          </w:p>
        </w:tc>
      </w:tr>
      <w:tr w:rsidR="008E5E6D" w:rsidRPr="00180B19" w14:paraId="73F40C7F" w14:textId="77777777" w:rsidTr="00824ECA">
        <w:trPr>
          <w:cnfStyle w:val="000000010000" w:firstRow="0" w:lastRow="0" w:firstColumn="0" w:lastColumn="0" w:oddVBand="0" w:evenVBand="0" w:oddHBand="0" w:evenHBand="1" w:firstRowFirstColumn="0" w:firstRowLastColumn="0" w:lastRowFirstColumn="0" w:lastRowLastColumn="0"/>
        </w:trPr>
        <w:tc>
          <w:tcPr>
            <w:tcW w:w="6473" w:type="dxa"/>
          </w:tcPr>
          <w:p w14:paraId="73F40C7C" w14:textId="77777777" w:rsidR="008E5E6D" w:rsidRPr="008E5E6D" w:rsidRDefault="008E5E6D" w:rsidP="008E5E6D">
            <w:pPr>
              <w:pStyle w:val="TableTextEntries"/>
            </w:pPr>
            <w:r w:rsidRPr="008E5E6D">
              <w:t xml:space="preserve">At the 2013 Partnership Talks, officials will discuss establishing a new priority outcome for economic infrastructure and improved climate change targets. </w:t>
            </w:r>
          </w:p>
        </w:tc>
        <w:tc>
          <w:tcPr>
            <w:tcW w:w="964" w:type="dxa"/>
            <w:shd w:val="clear" w:color="auto" w:fill="92D050"/>
          </w:tcPr>
          <w:p w14:paraId="73F40C7D" w14:textId="77777777" w:rsidR="008E5E6D" w:rsidRDefault="00E37BFF" w:rsidP="000D733F">
            <w:pPr>
              <w:pStyle w:val="TableTextEntries"/>
              <w:jc w:val="center"/>
              <w:rPr>
                <w:color w:val="FFFFFF" w:themeColor="background1"/>
              </w:rPr>
            </w:pPr>
            <w:r>
              <w:rPr>
                <w:color w:val="FFFFFF" w:themeColor="background1"/>
              </w:rPr>
              <w:t>Achieved</w:t>
            </w:r>
          </w:p>
        </w:tc>
        <w:tc>
          <w:tcPr>
            <w:tcW w:w="6896" w:type="dxa"/>
          </w:tcPr>
          <w:p w14:paraId="73F40C7E" w14:textId="77777777" w:rsidR="008E5E6D" w:rsidRPr="00B30E77" w:rsidRDefault="00B56936" w:rsidP="00F97AF6">
            <w:pPr>
              <w:pStyle w:val="TableTextEntries"/>
              <w:rPr>
                <w:color w:val="F79646" w:themeColor="accent6"/>
              </w:rPr>
            </w:pPr>
            <w:r>
              <w:t xml:space="preserve">High level aid talks in December 2013 agreed to the </w:t>
            </w:r>
            <w:r w:rsidRPr="000225B6">
              <w:rPr>
                <w:lang w:val="en-GB"/>
              </w:rPr>
              <w:t>establishment of a new priority outcome for Economic Infrastructure</w:t>
            </w:r>
            <w:r>
              <w:rPr>
                <w:lang w:val="en-GB"/>
              </w:rPr>
              <w:t>.</w:t>
            </w:r>
            <w:r w:rsidRPr="000225B6">
              <w:rPr>
                <w:lang w:val="en-GB"/>
              </w:rPr>
              <w:t xml:space="preserve"> </w:t>
            </w:r>
            <w:r>
              <w:t>New sector designs will integrate cross cutting issues.</w:t>
            </w:r>
          </w:p>
        </w:tc>
      </w:tr>
      <w:tr w:rsidR="008E5E6D" w:rsidRPr="00180B19" w14:paraId="73F40C83" w14:textId="77777777" w:rsidTr="00824ECA">
        <w:trPr>
          <w:cnfStyle w:val="000000010000" w:firstRow="0" w:lastRow="0" w:firstColumn="0" w:lastColumn="0" w:oddVBand="0" w:evenVBand="0" w:oddHBand="0" w:evenHBand="1" w:firstRowFirstColumn="0" w:firstRowLastColumn="0" w:lastRowFirstColumn="0" w:lastRowLastColumn="0"/>
        </w:trPr>
        <w:tc>
          <w:tcPr>
            <w:tcW w:w="6473" w:type="dxa"/>
          </w:tcPr>
          <w:p w14:paraId="73F40C80" w14:textId="77777777" w:rsidR="008E5E6D" w:rsidRPr="008E5E6D" w:rsidRDefault="008E5E6D" w:rsidP="002C176E">
            <w:pPr>
              <w:pStyle w:val="TableTextEntries"/>
            </w:pPr>
            <w:r>
              <w:t xml:space="preserve">A new </w:t>
            </w:r>
            <w:r w:rsidRPr="008E5E6D">
              <w:t>Partnership for Development will be negotiated in 2014 including the development of a performance assessment framework. Progress will be covered in the 2014–15 APPR.</w:t>
            </w:r>
          </w:p>
        </w:tc>
        <w:tc>
          <w:tcPr>
            <w:tcW w:w="964" w:type="dxa"/>
            <w:shd w:val="clear" w:color="auto" w:fill="FF0000"/>
          </w:tcPr>
          <w:p w14:paraId="73F40C81" w14:textId="77777777" w:rsidR="008E5E6D" w:rsidRDefault="00E37BFF" w:rsidP="000D733F">
            <w:pPr>
              <w:pStyle w:val="TableTextEntries"/>
              <w:jc w:val="center"/>
              <w:rPr>
                <w:color w:val="FFFFFF" w:themeColor="background1"/>
              </w:rPr>
            </w:pPr>
            <w:r>
              <w:rPr>
                <w:color w:val="FFFFFF" w:themeColor="background1"/>
              </w:rPr>
              <w:t>Not achieved</w:t>
            </w:r>
          </w:p>
        </w:tc>
        <w:tc>
          <w:tcPr>
            <w:tcW w:w="6896" w:type="dxa"/>
          </w:tcPr>
          <w:p w14:paraId="73F40C82" w14:textId="77777777" w:rsidR="008E5E6D" w:rsidRPr="00B30E77" w:rsidRDefault="00046AE1" w:rsidP="00B95CE9">
            <w:pPr>
              <w:pStyle w:val="TableTextEntries"/>
              <w:rPr>
                <w:color w:val="F79646" w:themeColor="accent6"/>
              </w:rPr>
            </w:pPr>
            <w:r>
              <w:t>No longer relevant.  An</w:t>
            </w:r>
            <w:r w:rsidR="001C75A2">
              <w:t xml:space="preserve"> Aid Investment Plan</w:t>
            </w:r>
            <w:r>
              <w:t xml:space="preserve"> </w:t>
            </w:r>
            <w:r w:rsidR="00B95CE9">
              <w:t>will be</w:t>
            </w:r>
            <w:r>
              <w:t xml:space="preserve"> finalised prior to mid 2015 will replace the Partnership for Development</w:t>
            </w:r>
            <w:r w:rsidR="00E37BFF">
              <w:t>.</w:t>
            </w:r>
          </w:p>
        </w:tc>
      </w:tr>
      <w:tr w:rsidR="008E5E6D" w:rsidRPr="00180B19" w14:paraId="73F40C87" w14:textId="77777777" w:rsidTr="00824ECA">
        <w:trPr>
          <w:cnfStyle w:val="000000010000" w:firstRow="0" w:lastRow="0" w:firstColumn="0" w:lastColumn="0" w:oddVBand="0" w:evenVBand="0" w:oddHBand="0" w:evenHBand="1" w:firstRowFirstColumn="0" w:firstRowLastColumn="0" w:lastRowFirstColumn="0" w:lastRowLastColumn="0"/>
        </w:trPr>
        <w:tc>
          <w:tcPr>
            <w:tcW w:w="6473" w:type="dxa"/>
          </w:tcPr>
          <w:p w14:paraId="73F40C84" w14:textId="77777777" w:rsidR="008E5E6D" w:rsidRPr="002C176E" w:rsidRDefault="002C176E" w:rsidP="002C176E">
            <w:pPr>
              <w:pStyle w:val="TableTextEntries"/>
            </w:pPr>
            <w:r w:rsidRPr="005A497F">
              <w:t xml:space="preserve">Improving monitoring and evaluation </w:t>
            </w:r>
            <w:r w:rsidRPr="002C176E">
              <w:t>will be a key priority for the Samoa program in 2013–14. DFAT will contract independent monitoring and evaluation support to assist department staff and their counterparts to manage and improve monitoring and evaluation practices, including through collecting gender-disaggregated data and related outcomes.</w:t>
            </w:r>
          </w:p>
        </w:tc>
        <w:tc>
          <w:tcPr>
            <w:tcW w:w="964" w:type="dxa"/>
            <w:shd w:val="clear" w:color="auto" w:fill="FFC000"/>
          </w:tcPr>
          <w:p w14:paraId="73F40C85" w14:textId="77777777" w:rsidR="008E5E6D" w:rsidRDefault="00E37BFF" w:rsidP="00824ECA">
            <w:pPr>
              <w:pStyle w:val="TableTextEntries"/>
              <w:jc w:val="center"/>
              <w:rPr>
                <w:color w:val="FFFFFF" w:themeColor="background1"/>
              </w:rPr>
            </w:pPr>
            <w:r>
              <w:rPr>
                <w:color w:val="FFFFFF" w:themeColor="background1"/>
              </w:rPr>
              <w:t>Partly achieved</w:t>
            </w:r>
          </w:p>
        </w:tc>
        <w:tc>
          <w:tcPr>
            <w:tcW w:w="6896" w:type="dxa"/>
          </w:tcPr>
          <w:p w14:paraId="73F40C86" w14:textId="77777777" w:rsidR="008E5E6D" w:rsidRPr="00824ECA" w:rsidRDefault="00B56936" w:rsidP="001C75A2">
            <w:pPr>
              <w:pStyle w:val="TableTextEntries"/>
              <w:rPr>
                <w:bCs/>
              </w:rPr>
            </w:pPr>
            <w:r w:rsidRPr="00824ECA">
              <w:rPr>
                <w:bCs/>
              </w:rPr>
              <w:t>Samoa Program part of Evaluation Capacity Building program</w:t>
            </w:r>
            <w:r w:rsidR="00F97AF6">
              <w:rPr>
                <w:bCs/>
              </w:rPr>
              <w:t xml:space="preserve"> with in-country support expected to commence later in 2014.</w:t>
            </w:r>
          </w:p>
        </w:tc>
      </w:tr>
      <w:tr w:rsidR="002C176E" w:rsidRPr="00180B19" w14:paraId="73F40C8B" w14:textId="77777777" w:rsidTr="00824ECA">
        <w:trPr>
          <w:cnfStyle w:val="000000010000" w:firstRow="0" w:lastRow="0" w:firstColumn="0" w:lastColumn="0" w:oddVBand="0" w:evenVBand="0" w:oddHBand="0" w:evenHBand="1" w:firstRowFirstColumn="0" w:firstRowLastColumn="0" w:lastRowFirstColumn="0" w:lastRowLastColumn="0"/>
        </w:trPr>
        <w:tc>
          <w:tcPr>
            <w:tcW w:w="6473" w:type="dxa"/>
          </w:tcPr>
          <w:p w14:paraId="73F40C88" w14:textId="77777777" w:rsidR="002C176E" w:rsidRPr="002C176E" w:rsidRDefault="002C176E" w:rsidP="002C176E">
            <w:pPr>
              <w:pStyle w:val="TableTextEntries"/>
            </w:pPr>
            <w:r w:rsidRPr="002C176E">
              <w:lastRenderedPageBreak/>
              <w:t xml:space="preserve">Substantial </w:t>
            </w:r>
            <w:r w:rsidRPr="002C176E">
              <w:rPr>
                <w:bCs/>
              </w:rPr>
              <w:t xml:space="preserve">design work </w:t>
            </w:r>
            <w:r w:rsidRPr="002C176E">
              <w:t>will be undertaken in 2013–14 to meet policy commitments and future funding commitments. DFAT and Samoa counterparts will aim to develop programs and contracts for at least 70 per cent of funds allocated in 2014–15 and 50 per cent in 2015–16 by the end of June 2014.</w:t>
            </w:r>
          </w:p>
        </w:tc>
        <w:tc>
          <w:tcPr>
            <w:tcW w:w="964" w:type="dxa"/>
            <w:tcBorders>
              <w:bottom w:val="single" w:sz="12" w:space="0" w:color="000000" w:themeColor="text1"/>
            </w:tcBorders>
            <w:shd w:val="clear" w:color="auto" w:fill="92D050"/>
          </w:tcPr>
          <w:p w14:paraId="73F40C89" w14:textId="77777777" w:rsidR="002C176E" w:rsidRDefault="00E37BFF" w:rsidP="000D733F">
            <w:pPr>
              <w:pStyle w:val="TableTextEntries"/>
              <w:jc w:val="center"/>
              <w:rPr>
                <w:color w:val="FFFFFF" w:themeColor="background1"/>
              </w:rPr>
            </w:pPr>
            <w:r>
              <w:rPr>
                <w:color w:val="FFFFFF" w:themeColor="background1"/>
              </w:rPr>
              <w:t xml:space="preserve">Achieved </w:t>
            </w:r>
          </w:p>
        </w:tc>
        <w:tc>
          <w:tcPr>
            <w:tcW w:w="6896" w:type="dxa"/>
          </w:tcPr>
          <w:p w14:paraId="73F40C8A" w14:textId="77777777" w:rsidR="002C176E" w:rsidRPr="00B30E77" w:rsidRDefault="00E37BFF" w:rsidP="000D733F">
            <w:pPr>
              <w:pStyle w:val="TableTextEntries"/>
              <w:rPr>
                <w:color w:val="F79646" w:themeColor="accent6"/>
              </w:rPr>
            </w:pPr>
            <w:r>
              <w:t>As of 15 May 2014: over 77% of 2014-15 funds are committed and 49%</w:t>
            </w:r>
            <w:r w:rsidR="006C43BB">
              <w:t xml:space="preserve"> </w:t>
            </w:r>
            <w:r>
              <w:t>of 2015-16 funds are committed (assuming 2015-16 allo</w:t>
            </w:r>
            <w:r w:rsidR="005A497F">
              <w:t>c</w:t>
            </w:r>
            <w:r>
              <w:t>ation capped at $23.6m).</w:t>
            </w:r>
            <w:r w:rsidR="006C43BB">
              <w:t xml:space="preserve"> </w:t>
            </w:r>
          </w:p>
        </w:tc>
      </w:tr>
    </w:tbl>
    <w:p w14:paraId="73F40C8C" w14:textId="77777777" w:rsidR="000D733F" w:rsidRPr="00FE4491" w:rsidRDefault="000D733F" w:rsidP="000D733F">
      <w:pPr>
        <w:pStyle w:val="Note"/>
      </w:pPr>
      <w:r w:rsidRPr="00FE4491">
        <w:t xml:space="preserve">Note: </w:t>
      </w:r>
    </w:p>
    <w:p w14:paraId="73F40C8D" w14:textId="77777777" w:rsidR="000D733F" w:rsidRPr="00671434" w:rsidRDefault="000D733F" w:rsidP="000D733F">
      <w:pPr>
        <w:pStyle w:val="Note"/>
      </w:pPr>
      <w:r w:rsidRPr="0075352D">
        <w:rPr>
          <w:color w:val="72AF2F"/>
        </w:rPr>
        <w:sym w:font="Webdings" w:char="F067"/>
      </w:r>
      <w:r w:rsidRPr="00FE4491">
        <w:t> </w:t>
      </w:r>
      <w:r w:rsidRPr="00FE4491">
        <w:t xml:space="preserve"> </w:t>
      </w:r>
      <w:r w:rsidRPr="00EA3BAD">
        <w:t>Achieved.</w:t>
      </w:r>
      <w:r w:rsidR="006C43BB">
        <w:t xml:space="preserve"> </w:t>
      </w:r>
      <w:r w:rsidRPr="00706D30">
        <w:t xml:space="preserve">Significant progress has been made in addressing </w:t>
      </w:r>
      <w:r>
        <w:t xml:space="preserve">the issue </w:t>
      </w:r>
    </w:p>
    <w:p w14:paraId="73F40C8E" w14:textId="77777777" w:rsidR="000D733F" w:rsidRPr="00EA3BAD" w:rsidRDefault="000D733F" w:rsidP="000D733F">
      <w:pPr>
        <w:pStyle w:val="Note"/>
      </w:pPr>
      <w:r w:rsidRPr="00EA3BAD">
        <w:rPr>
          <w:color w:val="E36C0A"/>
        </w:rPr>
        <w:sym w:font="Webdings" w:char="F067"/>
      </w:r>
      <w:r w:rsidRPr="00EA3BAD">
        <w:t> </w:t>
      </w:r>
      <w:r w:rsidRPr="00EA3BAD">
        <w:t xml:space="preserve"> Partly achieved.</w:t>
      </w:r>
      <w:r w:rsidR="006C43BB">
        <w:t xml:space="preserve"> </w:t>
      </w:r>
      <w:r>
        <w:t>Some pr</w:t>
      </w:r>
      <w:r w:rsidRPr="00EA3BAD">
        <w:t xml:space="preserve">ogress </w:t>
      </w:r>
      <w:r>
        <w:t xml:space="preserve">has been made in addressing the issue, but the issue has not been resolved </w:t>
      </w:r>
    </w:p>
    <w:p w14:paraId="73F40C8F" w14:textId="77777777" w:rsidR="000D733F" w:rsidRDefault="000D733F" w:rsidP="000D733F">
      <w:pPr>
        <w:pStyle w:val="Note"/>
      </w:pPr>
      <w:r w:rsidRPr="00EA3BAD">
        <w:rPr>
          <w:color w:val="FF0000"/>
        </w:rPr>
        <w:sym w:font="Webdings" w:char="F067"/>
      </w:r>
      <w:r w:rsidRPr="00EA3BAD">
        <w:t> </w:t>
      </w:r>
      <w:r w:rsidRPr="00EA3BAD">
        <w:t xml:space="preserve"> Not achieved. Progress </w:t>
      </w:r>
      <w:r>
        <w:t xml:space="preserve">in addressing the issue </w:t>
      </w:r>
      <w:r w:rsidRPr="00EA3BAD">
        <w:t>has been significantly below expectations</w:t>
      </w:r>
    </w:p>
    <w:p w14:paraId="73F40C90" w14:textId="77777777" w:rsidR="000D733F" w:rsidRDefault="000D733F" w:rsidP="000D733F">
      <w:pPr>
        <w:pStyle w:val="BodyText"/>
      </w:pPr>
    </w:p>
    <w:p w14:paraId="73F40C91" w14:textId="77777777" w:rsidR="000D733F" w:rsidRDefault="000D733F" w:rsidP="000D733F">
      <w:pPr>
        <w:spacing w:after="200" w:line="276" w:lineRule="auto"/>
        <w:rPr>
          <w:rFonts w:ascii="Franklin Gothic Book" w:hAnsi="Franklin Gothic Book"/>
          <w:sz w:val="21"/>
        </w:rPr>
      </w:pPr>
      <w:r>
        <w:br w:type="page"/>
      </w:r>
    </w:p>
    <w:p w14:paraId="73F40C92" w14:textId="77777777" w:rsidR="000D733F" w:rsidRPr="009E38C1" w:rsidRDefault="000D733F" w:rsidP="000D733F">
      <w:pPr>
        <w:pStyle w:val="Heading2"/>
        <w:tabs>
          <w:tab w:val="left" w:pos="1560"/>
        </w:tabs>
        <w:rPr>
          <w:sz w:val="28"/>
        </w:rPr>
      </w:pPr>
      <w:r w:rsidRPr="009E38C1">
        <w:rPr>
          <w:sz w:val="28"/>
        </w:rPr>
        <w:lastRenderedPageBreak/>
        <w:t xml:space="preserve">Annex B </w:t>
      </w:r>
      <w:r w:rsidRPr="009E38C1">
        <w:rPr>
          <w:sz w:val="28"/>
        </w:rPr>
        <w:tab/>
      </w:r>
    </w:p>
    <w:p w14:paraId="73F40C93" w14:textId="77777777" w:rsidR="000D733F" w:rsidRPr="009E38C1" w:rsidRDefault="000D733F" w:rsidP="000D733F">
      <w:pPr>
        <w:pStyle w:val="Heading2"/>
        <w:rPr>
          <w:sz w:val="28"/>
        </w:rPr>
      </w:pPr>
      <w:r w:rsidRPr="009E38C1">
        <w:rPr>
          <w:sz w:val="28"/>
        </w:rPr>
        <w:t>Quality at Implementation ratings</w:t>
      </w:r>
    </w:p>
    <w:p w14:paraId="73F40C94" w14:textId="77777777" w:rsidR="00A5348F" w:rsidRDefault="00A5348F" w:rsidP="000D733F">
      <w:pPr>
        <w:pStyle w:val="Note"/>
      </w:pPr>
    </w:p>
    <w:tbl>
      <w:tblPr>
        <w:tblW w:w="12219" w:type="dxa"/>
        <w:tblCellSpacing w:w="14" w:type="dxa"/>
        <w:tblInd w:w="108" w:type="dxa"/>
        <w:tblBorders>
          <w:top w:val="single" w:sz="12" w:space="0" w:color="000000"/>
          <w:bottom w:val="single" w:sz="12" w:space="0" w:color="000000"/>
        </w:tblBorders>
        <w:tblLayout w:type="fixed"/>
        <w:tblCellMar>
          <w:top w:w="28" w:type="dxa"/>
        </w:tblCellMar>
        <w:tblLook w:val="04A0" w:firstRow="1" w:lastRow="0" w:firstColumn="1" w:lastColumn="0" w:noHBand="0" w:noVBand="1"/>
      </w:tblPr>
      <w:tblGrid>
        <w:gridCol w:w="2296"/>
        <w:gridCol w:w="1701"/>
        <w:gridCol w:w="993"/>
        <w:gridCol w:w="1204"/>
        <w:gridCol w:w="1205"/>
        <w:gridCol w:w="1205"/>
        <w:gridCol w:w="1205"/>
        <w:gridCol w:w="1205"/>
        <w:gridCol w:w="1205"/>
      </w:tblGrid>
      <w:tr w:rsidR="008165FE" w:rsidRPr="008165FE" w14:paraId="73F40C9E" w14:textId="77777777" w:rsidTr="008165FE">
        <w:trPr>
          <w:trHeight w:val="1263"/>
          <w:tblCellSpacing w:w="14" w:type="dxa"/>
        </w:trPr>
        <w:tc>
          <w:tcPr>
            <w:tcW w:w="2254" w:type="dxa"/>
            <w:shd w:val="clear" w:color="auto" w:fill="auto"/>
            <w:hideMark/>
          </w:tcPr>
          <w:p w14:paraId="73F40C95" w14:textId="77777777" w:rsidR="008165FE" w:rsidRPr="008165FE" w:rsidRDefault="008165FE">
            <w:pPr>
              <w:rPr>
                <w:rFonts w:ascii="Franklin Gothic Medium" w:eastAsia="Times New Roman" w:hAnsi="Franklin Gothic Medium" w:cs="Calibri"/>
                <w:b/>
                <w:bCs/>
                <w:color w:val="000000"/>
                <w:sz w:val="17"/>
                <w:szCs w:val="17"/>
              </w:rPr>
            </w:pPr>
            <w:r w:rsidRPr="00824ECA">
              <w:rPr>
                <w:rFonts w:ascii="Franklin Gothic Medium" w:eastAsia="Times New Roman" w:hAnsi="Franklin Gothic Medium" w:cs="Calibri"/>
                <w:b/>
                <w:bCs/>
                <w:noProof/>
                <w:color w:val="000000"/>
                <w:sz w:val="17"/>
                <w:szCs w:val="17"/>
              </w:rPr>
              <w:drawing>
                <wp:anchor distT="0" distB="0" distL="114300" distR="114300" simplePos="0" relativeHeight="251683840" behindDoc="0" locked="0" layoutInCell="1" allowOverlap="1" wp14:anchorId="73F40E93" wp14:editId="73F40E94">
                  <wp:simplePos x="0" y="0"/>
                  <wp:positionH relativeFrom="column">
                    <wp:posOffset>0</wp:posOffset>
                  </wp:positionH>
                  <wp:positionV relativeFrom="paragraph">
                    <wp:posOffset>0</wp:posOffset>
                  </wp:positionV>
                  <wp:extent cx="4924425" cy="228600"/>
                  <wp:effectExtent l="0" t="0" r="0" b="0"/>
                  <wp:wrapNone/>
                  <wp:docPr id="5" name="Picture 5" hidden="1"/>
                  <wp:cNvGraphicFramePr/>
                  <a:graphic xmlns:a="http://schemas.openxmlformats.org/drawingml/2006/main">
                    <a:graphicData uri="http://schemas.openxmlformats.org/drawingml/2006/picture">
                      <pic:pic xmlns:pic="http://schemas.openxmlformats.org/drawingml/2006/picture">
                        <pic:nvPicPr>
                          <pic:cNvPr id="2" name="Picture 14" hidden="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8165FE">
              <w:rPr>
                <w:rFonts w:ascii="Franklin Gothic Medium" w:eastAsia="Times New Roman" w:hAnsi="Franklin Gothic Medium" w:cs="Calibri"/>
                <w:b/>
                <w:bCs/>
                <w:color w:val="000000"/>
                <w:sz w:val="17"/>
                <w:szCs w:val="17"/>
              </w:rPr>
              <w:t>Investment name</w:t>
            </w:r>
          </w:p>
        </w:tc>
        <w:tc>
          <w:tcPr>
            <w:tcW w:w="1673" w:type="dxa"/>
            <w:shd w:val="clear" w:color="auto" w:fill="auto"/>
            <w:textDirection w:val="btLr"/>
            <w:hideMark/>
          </w:tcPr>
          <w:p w14:paraId="73F40C96" w14:textId="77777777" w:rsidR="008165FE" w:rsidRPr="008165FE" w:rsidRDefault="008165FE">
            <w:pPr>
              <w:rPr>
                <w:rFonts w:ascii="Franklin Gothic Medium" w:eastAsia="Times New Roman" w:hAnsi="Franklin Gothic Medium" w:cs="Calibri"/>
                <w:b/>
                <w:bCs/>
                <w:color w:val="000000"/>
                <w:sz w:val="17"/>
                <w:szCs w:val="17"/>
              </w:rPr>
            </w:pPr>
            <w:r w:rsidRPr="008165FE">
              <w:rPr>
                <w:rFonts w:ascii="Franklin Gothic Medium" w:eastAsia="Times New Roman" w:hAnsi="Franklin Gothic Medium" w:cs="Calibri"/>
                <w:b/>
                <w:bCs/>
                <w:color w:val="000000"/>
                <w:sz w:val="17"/>
                <w:szCs w:val="17"/>
              </w:rPr>
              <w:t xml:space="preserve">Approved budget </w:t>
            </w:r>
            <w:r>
              <w:rPr>
                <w:rFonts w:ascii="Franklin Gothic Medium" w:eastAsia="Times New Roman" w:hAnsi="Franklin Gothic Medium" w:cs="Calibri"/>
                <w:b/>
                <w:bCs/>
                <w:color w:val="000000"/>
                <w:sz w:val="17"/>
                <w:szCs w:val="17"/>
              </w:rPr>
              <w:br/>
            </w:r>
            <w:r w:rsidRPr="008165FE">
              <w:rPr>
                <w:rFonts w:ascii="Franklin Gothic Medium" w:eastAsia="Times New Roman" w:hAnsi="Franklin Gothic Medium" w:cs="Calibri"/>
                <w:b/>
                <w:bCs/>
                <w:color w:val="000000"/>
                <w:sz w:val="17"/>
                <w:szCs w:val="17"/>
              </w:rPr>
              <w:t>and duration</w:t>
            </w:r>
          </w:p>
        </w:tc>
        <w:tc>
          <w:tcPr>
            <w:tcW w:w="965" w:type="dxa"/>
            <w:shd w:val="clear" w:color="auto" w:fill="auto"/>
            <w:textDirection w:val="btLr"/>
            <w:hideMark/>
          </w:tcPr>
          <w:p w14:paraId="73F40C97" w14:textId="77777777" w:rsidR="008165FE" w:rsidRPr="008165FE" w:rsidRDefault="008165FE">
            <w:pPr>
              <w:rPr>
                <w:rFonts w:ascii="Franklin Gothic Medium" w:eastAsia="Times New Roman" w:hAnsi="Franklin Gothic Medium" w:cs="Calibri"/>
                <w:b/>
                <w:bCs/>
                <w:color w:val="000000"/>
                <w:sz w:val="17"/>
                <w:szCs w:val="17"/>
              </w:rPr>
            </w:pPr>
            <w:r w:rsidRPr="008165FE">
              <w:rPr>
                <w:rFonts w:ascii="Franklin Gothic Medium" w:eastAsia="Times New Roman" w:hAnsi="Franklin Gothic Medium" w:cs="Calibri"/>
                <w:b/>
                <w:bCs/>
                <w:color w:val="000000"/>
                <w:sz w:val="17"/>
                <w:szCs w:val="17"/>
              </w:rPr>
              <w:t>QaI year</w:t>
            </w:r>
          </w:p>
        </w:tc>
        <w:tc>
          <w:tcPr>
            <w:tcW w:w="1176" w:type="dxa"/>
            <w:shd w:val="clear" w:color="auto" w:fill="auto"/>
            <w:textDirection w:val="btLr"/>
            <w:hideMark/>
          </w:tcPr>
          <w:p w14:paraId="73F40C98" w14:textId="77777777" w:rsidR="008165FE" w:rsidRPr="008165FE" w:rsidRDefault="008165FE">
            <w:pPr>
              <w:rPr>
                <w:rFonts w:ascii="Franklin Gothic Medium" w:eastAsia="Times New Roman" w:hAnsi="Franklin Gothic Medium" w:cs="Calibri"/>
                <w:b/>
                <w:bCs/>
                <w:color w:val="000000"/>
                <w:sz w:val="17"/>
                <w:szCs w:val="17"/>
              </w:rPr>
            </w:pPr>
            <w:r w:rsidRPr="008165FE">
              <w:rPr>
                <w:rFonts w:ascii="Franklin Gothic Medium" w:eastAsia="Times New Roman" w:hAnsi="Franklin Gothic Medium" w:cs="Calibri"/>
                <w:b/>
                <w:bCs/>
                <w:color w:val="000000"/>
                <w:sz w:val="17"/>
                <w:szCs w:val="17"/>
              </w:rPr>
              <w:t>Relevance</w:t>
            </w:r>
          </w:p>
        </w:tc>
        <w:tc>
          <w:tcPr>
            <w:tcW w:w="1177" w:type="dxa"/>
            <w:shd w:val="clear" w:color="auto" w:fill="auto"/>
            <w:textDirection w:val="btLr"/>
            <w:hideMark/>
          </w:tcPr>
          <w:p w14:paraId="73F40C99" w14:textId="77777777" w:rsidR="008165FE" w:rsidRPr="008165FE" w:rsidRDefault="008165FE">
            <w:pPr>
              <w:rPr>
                <w:rFonts w:ascii="Franklin Gothic Medium" w:eastAsia="Times New Roman" w:hAnsi="Franklin Gothic Medium" w:cs="Calibri"/>
                <w:b/>
                <w:bCs/>
                <w:color w:val="000000"/>
                <w:sz w:val="17"/>
                <w:szCs w:val="17"/>
              </w:rPr>
            </w:pPr>
            <w:r w:rsidRPr="008165FE">
              <w:rPr>
                <w:rFonts w:ascii="Franklin Gothic Medium" w:eastAsia="Times New Roman" w:hAnsi="Franklin Gothic Medium" w:cs="Calibri"/>
                <w:b/>
                <w:bCs/>
                <w:color w:val="000000"/>
                <w:sz w:val="17"/>
                <w:szCs w:val="17"/>
              </w:rPr>
              <w:t>Effectiveness</w:t>
            </w:r>
          </w:p>
        </w:tc>
        <w:tc>
          <w:tcPr>
            <w:tcW w:w="1177" w:type="dxa"/>
            <w:shd w:val="clear" w:color="auto" w:fill="auto"/>
            <w:textDirection w:val="btLr"/>
            <w:hideMark/>
          </w:tcPr>
          <w:p w14:paraId="73F40C9A" w14:textId="77777777" w:rsidR="008165FE" w:rsidRPr="008165FE" w:rsidRDefault="008165FE">
            <w:pPr>
              <w:rPr>
                <w:rFonts w:ascii="Franklin Gothic Medium" w:eastAsia="Times New Roman" w:hAnsi="Franklin Gothic Medium" w:cs="Calibri"/>
                <w:b/>
                <w:bCs/>
                <w:color w:val="000000"/>
                <w:sz w:val="17"/>
                <w:szCs w:val="17"/>
              </w:rPr>
            </w:pPr>
            <w:r w:rsidRPr="008165FE">
              <w:rPr>
                <w:rFonts w:ascii="Franklin Gothic Medium" w:eastAsia="Times New Roman" w:hAnsi="Franklin Gothic Medium" w:cs="Calibri"/>
                <w:b/>
                <w:bCs/>
                <w:color w:val="000000"/>
                <w:sz w:val="17"/>
                <w:szCs w:val="17"/>
              </w:rPr>
              <w:t>Efficiency</w:t>
            </w:r>
          </w:p>
        </w:tc>
        <w:tc>
          <w:tcPr>
            <w:tcW w:w="1177" w:type="dxa"/>
            <w:shd w:val="clear" w:color="auto" w:fill="auto"/>
            <w:textDirection w:val="btLr"/>
            <w:hideMark/>
          </w:tcPr>
          <w:p w14:paraId="73F40C9B" w14:textId="77777777" w:rsidR="008165FE" w:rsidRPr="008165FE" w:rsidRDefault="008165FE">
            <w:pPr>
              <w:rPr>
                <w:rFonts w:ascii="Franklin Gothic Medium" w:eastAsia="Times New Roman" w:hAnsi="Franklin Gothic Medium" w:cs="Calibri"/>
                <w:b/>
                <w:bCs/>
                <w:color w:val="000000"/>
                <w:sz w:val="17"/>
                <w:szCs w:val="17"/>
              </w:rPr>
            </w:pPr>
            <w:r w:rsidRPr="008165FE">
              <w:rPr>
                <w:rFonts w:ascii="Franklin Gothic Medium" w:eastAsia="Times New Roman" w:hAnsi="Franklin Gothic Medium" w:cs="Calibri"/>
                <w:b/>
                <w:bCs/>
                <w:color w:val="000000"/>
                <w:sz w:val="17"/>
                <w:szCs w:val="17"/>
              </w:rPr>
              <w:t>Monitoring and Evaluation</w:t>
            </w:r>
          </w:p>
        </w:tc>
        <w:tc>
          <w:tcPr>
            <w:tcW w:w="1177" w:type="dxa"/>
            <w:shd w:val="clear" w:color="auto" w:fill="auto"/>
            <w:textDirection w:val="btLr"/>
            <w:hideMark/>
          </w:tcPr>
          <w:p w14:paraId="73F40C9C" w14:textId="77777777" w:rsidR="008165FE" w:rsidRPr="008165FE" w:rsidRDefault="008165FE">
            <w:pPr>
              <w:rPr>
                <w:rFonts w:ascii="Franklin Gothic Medium" w:eastAsia="Times New Roman" w:hAnsi="Franklin Gothic Medium" w:cs="Calibri"/>
                <w:b/>
                <w:bCs/>
                <w:color w:val="000000"/>
                <w:sz w:val="17"/>
                <w:szCs w:val="17"/>
              </w:rPr>
            </w:pPr>
            <w:r w:rsidRPr="008165FE">
              <w:rPr>
                <w:rFonts w:ascii="Franklin Gothic Medium" w:eastAsia="Times New Roman" w:hAnsi="Franklin Gothic Medium" w:cs="Calibri"/>
                <w:b/>
                <w:bCs/>
                <w:color w:val="000000"/>
                <w:sz w:val="17"/>
                <w:szCs w:val="17"/>
              </w:rPr>
              <w:t>Sustainability</w:t>
            </w:r>
          </w:p>
        </w:tc>
        <w:tc>
          <w:tcPr>
            <w:tcW w:w="1163" w:type="dxa"/>
            <w:shd w:val="clear" w:color="auto" w:fill="auto"/>
            <w:textDirection w:val="btLr"/>
            <w:hideMark/>
          </w:tcPr>
          <w:p w14:paraId="73F40C9D" w14:textId="77777777" w:rsidR="008165FE" w:rsidRPr="008165FE" w:rsidRDefault="008165FE">
            <w:pPr>
              <w:rPr>
                <w:rFonts w:ascii="Franklin Gothic Medium" w:eastAsia="Times New Roman" w:hAnsi="Franklin Gothic Medium" w:cs="Calibri"/>
                <w:b/>
                <w:bCs/>
                <w:color w:val="000000"/>
                <w:sz w:val="17"/>
                <w:szCs w:val="17"/>
              </w:rPr>
            </w:pPr>
            <w:r w:rsidRPr="008165FE">
              <w:rPr>
                <w:rFonts w:ascii="Franklin Gothic Medium" w:eastAsia="Times New Roman" w:hAnsi="Franklin Gothic Medium" w:cs="Calibri"/>
                <w:b/>
                <w:bCs/>
                <w:color w:val="000000"/>
                <w:sz w:val="17"/>
                <w:szCs w:val="17"/>
              </w:rPr>
              <w:t>Gender equality</w:t>
            </w:r>
          </w:p>
        </w:tc>
      </w:tr>
      <w:tr w:rsidR="008165FE" w:rsidRPr="008165FE" w14:paraId="73F40CA8" w14:textId="77777777" w:rsidTr="008165FE">
        <w:trPr>
          <w:trHeight w:val="315"/>
          <w:tblCellSpacing w:w="14" w:type="dxa"/>
        </w:trPr>
        <w:tc>
          <w:tcPr>
            <w:tcW w:w="2254" w:type="dxa"/>
            <w:vMerge w:val="restart"/>
            <w:shd w:val="clear" w:color="auto" w:fill="auto"/>
            <w:hideMark/>
          </w:tcPr>
          <w:p w14:paraId="73F40C9F" w14:textId="77777777" w:rsidR="008165FE" w:rsidRPr="00824ECA" w:rsidRDefault="008165FE" w:rsidP="00824ECA">
            <w:pPr>
              <w:pStyle w:val="TableTextEntries"/>
            </w:pPr>
            <w:r w:rsidRPr="00824ECA">
              <w:t>Samoa Health Sector Initiative</w:t>
            </w:r>
          </w:p>
        </w:tc>
        <w:tc>
          <w:tcPr>
            <w:tcW w:w="1673" w:type="dxa"/>
            <w:shd w:val="clear" w:color="auto" w:fill="auto"/>
            <w:hideMark/>
          </w:tcPr>
          <w:p w14:paraId="73F40CA0" w14:textId="77777777" w:rsidR="008165FE" w:rsidRPr="00824ECA" w:rsidRDefault="008165FE" w:rsidP="00824ECA">
            <w:pPr>
              <w:pStyle w:val="TableTextEntries"/>
            </w:pPr>
            <w:r w:rsidRPr="00824ECA">
              <w:t>$19,280,415</w:t>
            </w:r>
          </w:p>
        </w:tc>
        <w:tc>
          <w:tcPr>
            <w:tcW w:w="965" w:type="dxa"/>
            <w:shd w:val="clear" w:color="auto" w:fill="auto"/>
            <w:noWrap/>
            <w:hideMark/>
          </w:tcPr>
          <w:p w14:paraId="73F40CA1" w14:textId="77777777" w:rsidR="008165FE" w:rsidRPr="00824ECA" w:rsidRDefault="008165FE" w:rsidP="00824ECA">
            <w:pPr>
              <w:pStyle w:val="TableTextEntries"/>
            </w:pPr>
            <w:r w:rsidRPr="00824ECA">
              <w:t>2013</w:t>
            </w:r>
          </w:p>
        </w:tc>
        <w:tc>
          <w:tcPr>
            <w:tcW w:w="1176" w:type="dxa"/>
            <w:shd w:val="clear" w:color="000000" w:fill="339966"/>
            <w:noWrap/>
            <w:vAlign w:val="center"/>
            <w:hideMark/>
          </w:tcPr>
          <w:p w14:paraId="73F40CA2"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FF9900"/>
            <w:noWrap/>
            <w:vAlign w:val="center"/>
            <w:hideMark/>
          </w:tcPr>
          <w:p w14:paraId="73F40CA3"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3</w:t>
            </w:r>
          </w:p>
        </w:tc>
        <w:tc>
          <w:tcPr>
            <w:tcW w:w="1177" w:type="dxa"/>
            <w:shd w:val="clear" w:color="000000" w:fill="FF9900"/>
            <w:noWrap/>
            <w:vAlign w:val="center"/>
            <w:hideMark/>
          </w:tcPr>
          <w:p w14:paraId="73F40CA4"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3</w:t>
            </w:r>
          </w:p>
        </w:tc>
        <w:tc>
          <w:tcPr>
            <w:tcW w:w="1177" w:type="dxa"/>
            <w:shd w:val="clear" w:color="000000" w:fill="FFFF00"/>
            <w:noWrap/>
            <w:vAlign w:val="center"/>
            <w:hideMark/>
          </w:tcPr>
          <w:p w14:paraId="73F40CA5"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77" w:type="dxa"/>
            <w:shd w:val="clear" w:color="000000" w:fill="339966"/>
            <w:noWrap/>
            <w:vAlign w:val="center"/>
            <w:hideMark/>
          </w:tcPr>
          <w:p w14:paraId="73F40CA6"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63" w:type="dxa"/>
            <w:shd w:val="clear" w:color="000000" w:fill="FF9900"/>
            <w:noWrap/>
            <w:vAlign w:val="center"/>
            <w:hideMark/>
          </w:tcPr>
          <w:p w14:paraId="73F40CA7"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3</w:t>
            </w:r>
          </w:p>
        </w:tc>
      </w:tr>
      <w:tr w:rsidR="008165FE" w:rsidRPr="008165FE" w14:paraId="73F40CB2" w14:textId="77777777" w:rsidTr="008165FE">
        <w:trPr>
          <w:trHeight w:val="315"/>
          <w:tblCellSpacing w:w="14" w:type="dxa"/>
        </w:trPr>
        <w:tc>
          <w:tcPr>
            <w:tcW w:w="2254" w:type="dxa"/>
            <w:vMerge/>
            <w:hideMark/>
          </w:tcPr>
          <w:p w14:paraId="73F40CA9" w14:textId="77777777" w:rsidR="008165FE" w:rsidRPr="00824ECA" w:rsidRDefault="008165FE" w:rsidP="00824ECA">
            <w:pPr>
              <w:pStyle w:val="TableTextEntries"/>
            </w:pPr>
          </w:p>
        </w:tc>
        <w:tc>
          <w:tcPr>
            <w:tcW w:w="1673" w:type="dxa"/>
            <w:shd w:val="clear" w:color="auto" w:fill="auto"/>
            <w:hideMark/>
          </w:tcPr>
          <w:p w14:paraId="73F40CAA" w14:textId="77777777" w:rsidR="008165FE" w:rsidRPr="00824ECA" w:rsidRDefault="008165FE" w:rsidP="00824ECA">
            <w:pPr>
              <w:pStyle w:val="TableTextEntries"/>
            </w:pPr>
            <w:r w:rsidRPr="00824ECA">
              <w:t>(2007-17)</w:t>
            </w:r>
          </w:p>
        </w:tc>
        <w:tc>
          <w:tcPr>
            <w:tcW w:w="965" w:type="dxa"/>
            <w:shd w:val="clear" w:color="auto" w:fill="auto"/>
            <w:noWrap/>
            <w:hideMark/>
          </w:tcPr>
          <w:p w14:paraId="73F40CAB" w14:textId="77777777" w:rsidR="008165FE" w:rsidRPr="00824ECA" w:rsidRDefault="008165FE" w:rsidP="00824ECA">
            <w:pPr>
              <w:pStyle w:val="TableTextEntries"/>
            </w:pPr>
            <w:r w:rsidRPr="00824ECA">
              <w:t>2012</w:t>
            </w:r>
          </w:p>
        </w:tc>
        <w:tc>
          <w:tcPr>
            <w:tcW w:w="1176" w:type="dxa"/>
            <w:shd w:val="clear" w:color="000000" w:fill="FFFF00"/>
            <w:noWrap/>
            <w:vAlign w:val="center"/>
            <w:hideMark/>
          </w:tcPr>
          <w:p w14:paraId="73F40CAC"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77" w:type="dxa"/>
            <w:shd w:val="clear" w:color="000000" w:fill="FFFF00"/>
            <w:noWrap/>
            <w:vAlign w:val="center"/>
            <w:hideMark/>
          </w:tcPr>
          <w:p w14:paraId="73F40CAD"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77" w:type="dxa"/>
            <w:shd w:val="clear" w:color="000000" w:fill="FFFF00"/>
            <w:noWrap/>
            <w:vAlign w:val="center"/>
            <w:hideMark/>
          </w:tcPr>
          <w:p w14:paraId="73F40CAE"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77" w:type="dxa"/>
            <w:shd w:val="clear" w:color="000000" w:fill="FFFF00"/>
            <w:noWrap/>
            <w:vAlign w:val="center"/>
            <w:hideMark/>
          </w:tcPr>
          <w:p w14:paraId="73F40CAF"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77" w:type="dxa"/>
            <w:shd w:val="clear" w:color="000000" w:fill="FFFF00"/>
            <w:noWrap/>
            <w:vAlign w:val="center"/>
            <w:hideMark/>
          </w:tcPr>
          <w:p w14:paraId="73F40CB0"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63" w:type="dxa"/>
            <w:shd w:val="clear" w:color="000000" w:fill="FFFF00"/>
            <w:noWrap/>
            <w:vAlign w:val="center"/>
            <w:hideMark/>
          </w:tcPr>
          <w:p w14:paraId="73F40CB1"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r>
      <w:tr w:rsidR="008165FE" w:rsidRPr="008165FE" w14:paraId="73F40CBC" w14:textId="77777777" w:rsidTr="008165FE">
        <w:trPr>
          <w:trHeight w:val="315"/>
          <w:tblCellSpacing w:w="14" w:type="dxa"/>
        </w:trPr>
        <w:tc>
          <w:tcPr>
            <w:tcW w:w="2254" w:type="dxa"/>
            <w:vMerge w:val="restart"/>
            <w:shd w:val="clear" w:color="auto" w:fill="auto"/>
            <w:hideMark/>
          </w:tcPr>
          <w:p w14:paraId="73F40CB3" w14:textId="77777777" w:rsidR="008165FE" w:rsidRPr="00824ECA" w:rsidRDefault="008165FE" w:rsidP="00824ECA">
            <w:pPr>
              <w:pStyle w:val="TableTextEntries"/>
            </w:pPr>
            <w:r w:rsidRPr="00824ECA">
              <w:t>Samoa Disability Program</w:t>
            </w:r>
          </w:p>
        </w:tc>
        <w:tc>
          <w:tcPr>
            <w:tcW w:w="1673" w:type="dxa"/>
            <w:shd w:val="clear" w:color="auto" w:fill="auto"/>
            <w:hideMark/>
          </w:tcPr>
          <w:p w14:paraId="73F40CB4" w14:textId="77777777" w:rsidR="008165FE" w:rsidRPr="00824ECA" w:rsidRDefault="008165FE" w:rsidP="00824ECA">
            <w:pPr>
              <w:pStyle w:val="TableTextEntries"/>
            </w:pPr>
            <w:r w:rsidRPr="00824ECA">
              <w:t>$4,720,300</w:t>
            </w:r>
          </w:p>
        </w:tc>
        <w:tc>
          <w:tcPr>
            <w:tcW w:w="965" w:type="dxa"/>
            <w:shd w:val="clear" w:color="auto" w:fill="auto"/>
            <w:noWrap/>
            <w:hideMark/>
          </w:tcPr>
          <w:p w14:paraId="73F40CB5" w14:textId="77777777" w:rsidR="008165FE" w:rsidRPr="00824ECA" w:rsidRDefault="008165FE" w:rsidP="00824ECA">
            <w:pPr>
              <w:pStyle w:val="TableTextEntries"/>
            </w:pPr>
            <w:r w:rsidRPr="00824ECA">
              <w:t>2013</w:t>
            </w:r>
          </w:p>
        </w:tc>
        <w:tc>
          <w:tcPr>
            <w:tcW w:w="1176" w:type="dxa"/>
            <w:shd w:val="clear" w:color="auto" w:fill="auto"/>
            <w:noWrap/>
            <w:vAlign w:val="bottom"/>
            <w:hideMark/>
          </w:tcPr>
          <w:p w14:paraId="73F40CB6"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CB7"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CB8"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CB9"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CBA" w14:textId="77777777" w:rsidR="008165FE" w:rsidRPr="008165FE" w:rsidRDefault="008165FE" w:rsidP="008165FE">
            <w:pPr>
              <w:rPr>
                <w:rFonts w:ascii="Calibri" w:eastAsia="Times New Roman" w:hAnsi="Calibri" w:cs="Calibri"/>
                <w:color w:val="000000"/>
                <w:sz w:val="22"/>
                <w:szCs w:val="22"/>
              </w:rPr>
            </w:pPr>
          </w:p>
        </w:tc>
        <w:tc>
          <w:tcPr>
            <w:tcW w:w="1163" w:type="dxa"/>
            <w:shd w:val="clear" w:color="auto" w:fill="auto"/>
            <w:noWrap/>
            <w:vAlign w:val="bottom"/>
            <w:hideMark/>
          </w:tcPr>
          <w:p w14:paraId="73F40CBB" w14:textId="77777777" w:rsidR="008165FE" w:rsidRPr="008165FE" w:rsidRDefault="008165FE" w:rsidP="008165FE">
            <w:pPr>
              <w:rPr>
                <w:rFonts w:ascii="Calibri" w:eastAsia="Times New Roman" w:hAnsi="Calibri" w:cs="Calibri"/>
                <w:color w:val="000000"/>
                <w:sz w:val="22"/>
                <w:szCs w:val="22"/>
              </w:rPr>
            </w:pPr>
          </w:p>
        </w:tc>
      </w:tr>
      <w:tr w:rsidR="008165FE" w:rsidRPr="008165FE" w14:paraId="73F40CC6" w14:textId="77777777" w:rsidTr="008165FE">
        <w:trPr>
          <w:trHeight w:val="315"/>
          <w:tblCellSpacing w:w="14" w:type="dxa"/>
        </w:trPr>
        <w:tc>
          <w:tcPr>
            <w:tcW w:w="2254" w:type="dxa"/>
            <w:vMerge/>
            <w:hideMark/>
          </w:tcPr>
          <w:p w14:paraId="73F40CBD" w14:textId="77777777" w:rsidR="008165FE" w:rsidRPr="00824ECA" w:rsidRDefault="008165FE" w:rsidP="00824ECA">
            <w:pPr>
              <w:pStyle w:val="TableTextEntries"/>
            </w:pPr>
          </w:p>
        </w:tc>
        <w:tc>
          <w:tcPr>
            <w:tcW w:w="1673" w:type="dxa"/>
            <w:shd w:val="clear" w:color="auto" w:fill="auto"/>
            <w:hideMark/>
          </w:tcPr>
          <w:p w14:paraId="73F40CBE" w14:textId="77777777" w:rsidR="008165FE" w:rsidRPr="00824ECA" w:rsidRDefault="008165FE" w:rsidP="00824ECA">
            <w:pPr>
              <w:pStyle w:val="TableTextEntries"/>
            </w:pPr>
            <w:r w:rsidRPr="00824ECA">
              <w:t>(2012-17)</w:t>
            </w:r>
          </w:p>
        </w:tc>
        <w:tc>
          <w:tcPr>
            <w:tcW w:w="965" w:type="dxa"/>
            <w:shd w:val="clear" w:color="auto" w:fill="auto"/>
            <w:noWrap/>
            <w:hideMark/>
          </w:tcPr>
          <w:p w14:paraId="73F40CBF" w14:textId="77777777" w:rsidR="008165FE" w:rsidRPr="00824ECA" w:rsidRDefault="008165FE" w:rsidP="00824ECA">
            <w:pPr>
              <w:pStyle w:val="TableTextEntries"/>
            </w:pPr>
            <w:r w:rsidRPr="00824ECA">
              <w:t>2012</w:t>
            </w:r>
          </w:p>
        </w:tc>
        <w:tc>
          <w:tcPr>
            <w:tcW w:w="1176" w:type="dxa"/>
            <w:shd w:val="clear" w:color="auto" w:fill="auto"/>
            <w:noWrap/>
            <w:vAlign w:val="bottom"/>
            <w:hideMark/>
          </w:tcPr>
          <w:p w14:paraId="73F40CC0"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CC1"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CC2"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CC3"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CC4" w14:textId="77777777" w:rsidR="008165FE" w:rsidRPr="008165FE" w:rsidRDefault="008165FE" w:rsidP="008165FE">
            <w:pPr>
              <w:rPr>
                <w:rFonts w:ascii="Calibri" w:eastAsia="Times New Roman" w:hAnsi="Calibri" w:cs="Calibri"/>
                <w:color w:val="000000"/>
                <w:sz w:val="22"/>
                <w:szCs w:val="22"/>
              </w:rPr>
            </w:pPr>
          </w:p>
        </w:tc>
        <w:tc>
          <w:tcPr>
            <w:tcW w:w="1163" w:type="dxa"/>
            <w:shd w:val="clear" w:color="auto" w:fill="auto"/>
            <w:noWrap/>
            <w:vAlign w:val="bottom"/>
            <w:hideMark/>
          </w:tcPr>
          <w:p w14:paraId="73F40CC5" w14:textId="77777777" w:rsidR="008165FE" w:rsidRPr="008165FE" w:rsidRDefault="008165FE" w:rsidP="008165FE">
            <w:pPr>
              <w:rPr>
                <w:rFonts w:ascii="Calibri" w:eastAsia="Times New Roman" w:hAnsi="Calibri" w:cs="Calibri"/>
                <w:color w:val="000000"/>
                <w:sz w:val="22"/>
                <w:szCs w:val="22"/>
              </w:rPr>
            </w:pPr>
          </w:p>
        </w:tc>
      </w:tr>
      <w:tr w:rsidR="008165FE" w:rsidRPr="008165FE" w14:paraId="73F40CD0" w14:textId="77777777" w:rsidTr="008165FE">
        <w:trPr>
          <w:trHeight w:val="315"/>
          <w:tblCellSpacing w:w="14" w:type="dxa"/>
        </w:trPr>
        <w:tc>
          <w:tcPr>
            <w:tcW w:w="2254" w:type="dxa"/>
            <w:vMerge w:val="restart"/>
            <w:shd w:val="clear" w:color="auto" w:fill="auto"/>
            <w:hideMark/>
          </w:tcPr>
          <w:p w14:paraId="73F40CC7" w14:textId="77777777" w:rsidR="008165FE" w:rsidRPr="00824ECA" w:rsidRDefault="008165FE" w:rsidP="00824ECA">
            <w:pPr>
              <w:pStyle w:val="TableTextEntries"/>
            </w:pPr>
            <w:r w:rsidRPr="00824ECA">
              <w:t>Samoa Civil Society Support Program</w:t>
            </w:r>
          </w:p>
        </w:tc>
        <w:tc>
          <w:tcPr>
            <w:tcW w:w="1673" w:type="dxa"/>
            <w:shd w:val="clear" w:color="auto" w:fill="auto"/>
            <w:hideMark/>
          </w:tcPr>
          <w:p w14:paraId="73F40CC8" w14:textId="77777777" w:rsidR="008165FE" w:rsidRPr="00824ECA" w:rsidRDefault="008165FE" w:rsidP="00824ECA">
            <w:pPr>
              <w:pStyle w:val="TableTextEntries"/>
            </w:pPr>
            <w:r w:rsidRPr="00824ECA">
              <w:t>$7,949,999</w:t>
            </w:r>
          </w:p>
        </w:tc>
        <w:tc>
          <w:tcPr>
            <w:tcW w:w="965" w:type="dxa"/>
            <w:shd w:val="clear" w:color="auto" w:fill="auto"/>
            <w:noWrap/>
            <w:hideMark/>
          </w:tcPr>
          <w:p w14:paraId="73F40CC9" w14:textId="77777777" w:rsidR="008165FE" w:rsidRPr="00824ECA" w:rsidRDefault="008165FE" w:rsidP="00824ECA">
            <w:pPr>
              <w:pStyle w:val="TableTextEntries"/>
            </w:pPr>
            <w:r w:rsidRPr="00824ECA">
              <w:t>2013</w:t>
            </w:r>
          </w:p>
        </w:tc>
        <w:tc>
          <w:tcPr>
            <w:tcW w:w="1176" w:type="dxa"/>
            <w:shd w:val="clear" w:color="000000" w:fill="339966"/>
            <w:noWrap/>
            <w:vAlign w:val="center"/>
            <w:hideMark/>
          </w:tcPr>
          <w:p w14:paraId="73F40CCA"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FFFF00"/>
            <w:noWrap/>
            <w:vAlign w:val="center"/>
            <w:hideMark/>
          </w:tcPr>
          <w:p w14:paraId="73F40CCB"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77" w:type="dxa"/>
            <w:shd w:val="clear" w:color="000000" w:fill="339966"/>
            <w:noWrap/>
            <w:vAlign w:val="center"/>
            <w:hideMark/>
          </w:tcPr>
          <w:p w14:paraId="73F40CCC"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6</w:t>
            </w:r>
          </w:p>
        </w:tc>
        <w:tc>
          <w:tcPr>
            <w:tcW w:w="1177" w:type="dxa"/>
            <w:shd w:val="clear" w:color="000000" w:fill="FFFF00"/>
            <w:noWrap/>
            <w:vAlign w:val="center"/>
            <w:hideMark/>
          </w:tcPr>
          <w:p w14:paraId="73F40CCD"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77" w:type="dxa"/>
            <w:shd w:val="clear" w:color="000000" w:fill="339966"/>
            <w:noWrap/>
            <w:vAlign w:val="center"/>
            <w:hideMark/>
          </w:tcPr>
          <w:p w14:paraId="73F40CCE"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63" w:type="dxa"/>
            <w:shd w:val="clear" w:color="000000" w:fill="FF9900"/>
            <w:noWrap/>
            <w:vAlign w:val="center"/>
            <w:hideMark/>
          </w:tcPr>
          <w:p w14:paraId="73F40CCF"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3</w:t>
            </w:r>
          </w:p>
        </w:tc>
      </w:tr>
      <w:tr w:rsidR="008165FE" w:rsidRPr="008165FE" w14:paraId="73F40CDA" w14:textId="77777777" w:rsidTr="008165FE">
        <w:trPr>
          <w:trHeight w:val="315"/>
          <w:tblCellSpacing w:w="14" w:type="dxa"/>
        </w:trPr>
        <w:tc>
          <w:tcPr>
            <w:tcW w:w="2254" w:type="dxa"/>
            <w:vMerge/>
            <w:hideMark/>
          </w:tcPr>
          <w:p w14:paraId="73F40CD1" w14:textId="77777777" w:rsidR="008165FE" w:rsidRPr="00824ECA" w:rsidRDefault="008165FE" w:rsidP="00824ECA">
            <w:pPr>
              <w:pStyle w:val="TableTextEntries"/>
            </w:pPr>
          </w:p>
        </w:tc>
        <w:tc>
          <w:tcPr>
            <w:tcW w:w="1673" w:type="dxa"/>
            <w:shd w:val="clear" w:color="auto" w:fill="auto"/>
            <w:hideMark/>
          </w:tcPr>
          <w:p w14:paraId="73F40CD2" w14:textId="77777777" w:rsidR="008165FE" w:rsidRPr="00824ECA" w:rsidRDefault="008165FE" w:rsidP="00824ECA">
            <w:pPr>
              <w:pStyle w:val="TableTextEntries"/>
            </w:pPr>
            <w:r w:rsidRPr="00824ECA">
              <w:t>(2010-17)</w:t>
            </w:r>
          </w:p>
        </w:tc>
        <w:tc>
          <w:tcPr>
            <w:tcW w:w="965" w:type="dxa"/>
            <w:shd w:val="clear" w:color="auto" w:fill="auto"/>
            <w:noWrap/>
            <w:hideMark/>
          </w:tcPr>
          <w:p w14:paraId="73F40CD3" w14:textId="77777777" w:rsidR="008165FE" w:rsidRPr="00824ECA" w:rsidRDefault="008165FE" w:rsidP="00824ECA">
            <w:pPr>
              <w:pStyle w:val="TableTextEntries"/>
            </w:pPr>
            <w:r w:rsidRPr="00824ECA">
              <w:t>2012</w:t>
            </w:r>
          </w:p>
        </w:tc>
        <w:tc>
          <w:tcPr>
            <w:tcW w:w="1176" w:type="dxa"/>
            <w:shd w:val="clear" w:color="000000" w:fill="339966"/>
            <w:noWrap/>
            <w:vAlign w:val="center"/>
            <w:hideMark/>
          </w:tcPr>
          <w:p w14:paraId="73F40CD4"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6</w:t>
            </w:r>
          </w:p>
        </w:tc>
        <w:tc>
          <w:tcPr>
            <w:tcW w:w="1177" w:type="dxa"/>
            <w:shd w:val="clear" w:color="000000" w:fill="339966"/>
            <w:noWrap/>
            <w:vAlign w:val="center"/>
            <w:hideMark/>
          </w:tcPr>
          <w:p w14:paraId="73F40CD5"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339966"/>
            <w:noWrap/>
            <w:vAlign w:val="center"/>
            <w:hideMark/>
          </w:tcPr>
          <w:p w14:paraId="73F40CD6"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6</w:t>
            </w:r>
          </w:p>
        </w:tc>
        <w:tc>
          <w:tcPr>
            <w:tcW w:w="1177" w:type="dxa"/>
            <w:shd w:val="clear" w:color="000000" w:fill="FF9900"/>
            <w:noWrap/>
            <w:vAlign w:val="center"/>
            <w:hideMark/>
          </w:tcPr>
          <w:p w14:paraId="73F40CD7"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3</w:t>
            </w:r>
          </w:p>
        </w:tc>
        <w:tc>
          <w:tcPr>
            <w:tcW w:w="1177" w:type="dxa"/>
            <w:shd w:val="clear" w:color="000000" w:fill="339966"/>
            <w:noWrap/>
            <w:vAlign w:val="center"/>
            <w:hideMark/>
          </w:tcPr>
          <w:p w14:paraId="73F40CD8"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6</w:t>
            </w:r>
          </w:p>
        </w:tc>
        <w:tc>
          <w:tcPr>
            <w:tcW w:w="1163" w:type="dxa"/>
            <w:shd w:val="clear" w:color="000000" w:fill="339966"/>
            <w:noWrap/>
            <w:vAlign w:val="center"/>
            <w:hideMark/>
          </w:tcPr>
          <w:p w14:paraId="73F40CD9"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6</w:t>
            </w:r>
          </w:p>
        </w:tc>
      </w:tr>
      <w:tr w:rsidR="008165FE" w:rsidRPr="008165FE" w14:paraId="73F40CE4" w14:textId="77777777" w:rsidTr="008165FE">
        <w:trPr>
          <w:trHeight w:val="315"/>
          <w:tblCellSpacing w:w="14" w:type="dxa"/>
        </w:trPr>
        <w:tc>
          <w:tcPr>
            <w:tcW w:w="2254" w:type="dxa"/>
            <w:vMerge w:val="restart"/>
            <w:shd w:val="clear" w:color="auto" w:fill="auto"/>
            <w:hideMark/>
          </w:tcPr>
          <w:p w14:paraId="73F40CDB" w14:textId="77777777" w:rsidR="008165FE" w:rsidRPr="00824ECA" w:rsidRDefault="008165FE" w:rsidP="00824ECA">
            <w:pPr>
              <w:pStyle w:val="TableTextEntries"/>
            </w:pPr>
            <w:r w:rsidRPr="00824ECA">
              <w:t>Samoa Governance and Economic Stability</w:t>
            </w:r>
          </w:p>
        </w:tc>
        <w:tc>
          <w:tcPr>
            <w:tcW w:w="1673" w:type="dxa"/>
            <w:shd w:val="clear" w:color="auto" w:fill="auto"/>
            <w:hideMark/>
          </w:tcPr>
          <w:p w14:paraId="73F40CDC" w14:textId="77777777" w:rsidR="008165FE" w:rsidRPr="00824ECA" w:rsidRDefault="008165FE" w:rsidP="00824ECA">
            <w:pPr>
              <w:pStyle w:val="TableTextEntries"/>
            </w:pPr>
            <w:r w:rsidRPr="00824ECA">
              <w:t>$22,895,057</w:t>
            </w:r>
          </w:p>
        </w:tc>
        <w:tc>
          <w:tcPr>
            <w:tcW w:w="965" w:type="dxa"/>
            <w:shd w:val="clear" w:color="auto" w:fill="auto"/>
            <w:noWrap/>
            <w:hideMark/>
          </w:tcPr>
          <w:p w14:paraId="73F40CDD" w14:textId="77777777" w:rsidR="008165FE" w:rsidRPr="00824ECA" w:rsidRDefault="008165FE" w:rsidP="00824ECA">
            <w:pPr>
              <w:pStyle w:val="TableTextEntries"/>
            </w:pPr>
            <w:r w:rsidRPr="00824ECA">
              <w:t>2013</w:t>
            </w:r>
          </w:p>
        </w:tc>
        <w:tc>
          <w:tcPr>
            <w:tcW w:w="1176" w:type="dxa"/>
            <w:shd w:val="clear" w:color="000000" w:fill="339966"/>
            <w:noWrap/>
            <w:vAlign w:val="center"/>
            <w:hideMark/>
          </w:tcPr>
          <w:p w14:paraId="73F40CDE"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6</w:t>
            </w:r>
          </w:p>
        </w:tc>
        <w:tc>
          <w:tcPr>
            <w:tcW w:w="1177" w:type="dxa"/>
            <w:shd w:val="clear" w:color="000000" w:fill="339966"/>
            <w:noWrap/>
            <w:vAlign w:val="center"/>
            <w:hideMark/>
          </w:tcPr>
          <w:p w14:paraId="73F40CDF"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339966"/>
            <w:noWrap/>
            <w:vAlign w:val="center"/>
            <w:hideMark/>
          </w:tcPr>
          <w:p w14:paraId="73F40CE0"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FFFF00"/>
            <w:noWrap/>
            <w:vAlign w:val="center"/>
            <w:hideMark/>
          </w:tcPr>
          <w:p w14:paraId="73F40CE1"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77" w:type="dxa"/>
            <w:shd w:val="clear" w:color="000000" w:fill="339966"/>
            <w:noWrap/>
            <w:vAlign w:val="center"/>
            <w:hideMark/>
          </w:tcPr>
          <w:p w14:paraId="73F40CE2"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63" w:type="dxa"/>
            <w:shd w:val="clear" w:color="000000" w:fill="339966"/>
            <w:noWrap/>
            <w:vAlign w:val="center"/>
            <w:hideMark/>
          </w:tcPr>
          <w:p w14:paraId="73F40CE3"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r>
      <w:tr w:rsidR="008165FE" w:rsidRPr="008165FE" w14:paraId="73F40CEE" w14:textId="77777777" w:rsidTr="008165FE">
        <w:trPr>
          <w:trHeight w:val="315"/>
          <w:tblCellSpacing w:w="14" w:type="dxa"/>
        </w:trPr>
        <w:tc>
          <w:tcPr>
            <w:tcW w:w="2254" w:type="dxa"/>
            <w:vMerge/>
            <w:hideMark/>
          </w:tcPr>
          <w:p w14:paraId="73F40CE5" w14:textId="77777777" w:rsidR="008165FE" w:rsidRPr="00824ECA" w:rsidRDefault="008165FE" w:rsidP="00824ECA">
            <w:pPr>
              <w:pStyle w:val="TableTextEntries"/>
            </w:pPr>
          </w:p>
        </w:tc>
        <w:tc>
          <w:tcPr>
            <w:tcW w:w="1673" w:type="dxa"/>
            <w:shd w:val="clear" w:color="auto" w:fill="auto"/>
            <w:hideMark/>
          </w:tcPr>
          <w:p w14:paraId="73F40CE6" w14:textId="77777777" w:rsidR="008165FE" w:rsidRPr="00824ECA" w:rsidRDefault="008165FE" w:rsidP="00824ECA">
            <w:pPr>
              <w:pStyle w:val="TableTextEntries"/>
            </w:pPr>
            <w:r w:rsidRPr="00824ECA">
              <w:t>(2010-16)</w:t>
            </w:r>
          </w:p>
        </w:tc>
        <w:tc>
          <w:tcPr>
            <w:tcW w:w="965" w:type="dxa"/>
            <w:shd w:val="clear" w:color="auto" w:fill="auto"/>
            <w:noWrap/>
            <w:hideMark/>
          </w:tcPr>
          <w:p w14:paraId="73F40CE7" w14:textId="77777777" w:rsidR="008165FE" w:rsidRPr="00824ECA" w:rsidRDefault="008165FE" w:rsidP="00824ECA">
            <w:pPr>
              <w:pStyle w:val="TableTextEntries"/>
            </w:pPr>
            <w:r w:rsidRPr="00824ECA">
              <w:t>2012</w:t>
            </w:r>
          </w:p>
        </w:tc>
        <w:tc>
          <w:tcPr>
            <w:tcW w:w="1176" w:type="dxa"/>
            <w:shd w:val="clear" w:color="000000" w:fill="339966"/>
            <w:noWrap/>
            <w:vAlign w:val="center"/>
            <w:hideMark/>
          </w:tcPr>
          <w:p w14:paraId="73F40CE8"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6</w:t>
            </w:r>
          </w:p>
        </w:tc>
        <w:tc>
          <w:tcPr>
            <w:tcW w:w="1177" w:type="dxa"/>
            <w:shd w:val="clear" w:color="000000" w:fill="339966"/>
            <w:noWrap/>
            <w:vAlign w:val="center"/>
            <w:hideMark/>
          </w:tcPr>
          <w:p w14:paraId="73F40CE9"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339966"/>
            <w:noWrap/>
            <w:vAlign w:val="center"/>
            <w:hideMark/>
          </w:tcPr>
          <w:p w14:paraId="73F40CEA"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339966"/>
            <w:noWrap/>
            <w:vAlign w:val="center"/>
            <w:hideMark/>
          </w:tcPr>
          <w:p w14:paraId="73F40CEB"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339966"/>
            <w:noWrap/>
            <w:vAlign w:val="center"/>
            <w:hideMark/>
          </w:tcPr>
          <w:p w14:paraId="73F40CEC"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63" w:type="dxa"/>
            <w:shd w:val="clear" w:color="000000" w:fill="339966"/>
            <w:noWrap/>
            <w:vAlign w:val="center"/>
            <w:hideMark/>
          </w:tcPr>
          <w:p w14:paraId="73F40CED"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r>
      <w:tr w:rsidR="008165FE" w:rsidRPr="008165FE" w14:paraId="73F40CF8" w14:textId="77777777" w:rsidTr="008165FE">
        <w:trPr>
          <w:trHeight w:val="300"/>
          <w:tblCellSpacing w:w="14" w:type="dxa"/>
        </w:trPr>
        <w:tc>
          <w:tcPr>
            <w:tcW w:w="2254" w:type="dxa"/>
            <w:vMerge w:val="restart"/>
            <w:shd w:val="clear" w:color="auto" w:fill="auto"/>
            <w:hideMark/>
          </w:tcPr>
          <w:p w14:paraId="73F40CEF" w14:textId="77777777" w:rsidR="008165FE" w:rsidRPr="00824ECA" w:rsidRDefault="008165FE" w:rsidP="00824ECA">
            <w:pPr>
              <w:pStyle w:val="TableTextEntries"/>
            </w:pPr>
            <w:r w:rsidRPr="00824ECA">
              <w:t>Samoa Climate Change Adaptation Initiative</w:t>
            </w:r>
          </w:p>
        </w:tc>
        <w:tc>
          <w:tcPr>
            <w:tcW w:w="1673" w:type="dxa"/>
            <w:shd w:val="clear" w:color="auto" w:fill="auto"/>
            <w:hideMark/>
          </w:tcPr>
          <w:p w14:paraId="73F40CF0" w14:textId="77777777" w:rsidR="008165FE" w:rsidRPr="00824ECA" w:rsidRDefault="008165FE" w:rsidP="00824ECA">
            <w:pPr>
              <w:pStyle w:val="TableTextEntries"/>
            </w:pPr>
            <w:r w:rsidRPr="00824ECA">
              <w:t>$3,494,000</w:t>
            </w:r>
          </w:p>
        </w:tc>
        <w:tc>
          <w:tcPr>
            <w:tcW w:w="965" w:type="dxa"/>
            <w:shd w:val="clear" w:color="auto" w:fill="auto"/>
            <w:noWrap/>
            <w:hideMark/>
          </w:tcPr>
          <w:p w14:paraId="73F40CF1" w14:textId="77777777" w:rsidR="008165FE" w:rsidRPr="00824ECA" w:rsidRDefault="008165FE" w:rsidP="00824ECA">
            <w:pPr>
              <w:pStyle w:val="TableTextEntries"/>
            </w:pPr>
            <w:r w:rsidRPr="00824ECA">
              <w:t>2013</w:t>
            </w:r>
          </w:p>
        </w:tc>
        <w:tc>
          <w:tcPr>
            <w:tcW w:w="1176" w:type="dxa"/>
            <w:shd w:val="clear" w:color="000000" w:fill="339966"/>
            <w:noWrap/>
            <w:vAlign w:val="center"/>
            <w:hideMark/>
          </w:tcPr>
          <w:p w14:paraId="73F40CF2"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6</w:t>
            </w:r>
          </w:p>
        </w:tc>
        <w:tc>
          <w:tcPr>
            <w:tcW w:w="1177" w:type="dxa"/>
            <w:shd w:val="clear" w:color="000000" w:fill="FFFF00"/>
            <w:noWrap/>
            <w:vAlign w:val="center"/>
            <w:hideMark/>
          </w:tcPr>
          <w:p w14:paraId="73F40CF3"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77" w:type="dxa"/>
            <w:shd w:val="clear" w:color="000000" w:fill="FFFF00"/>
            <w:noWrap/>
            <w:vAlign w:val="center"/>
            <w:hideMark/>
          </w:tcPr>
          <w:p w14:paraId="73F40CF4"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77" w:type="dxa"/>
            <w:shd w:val="clear" w:color="000000" w:fill="FFFF00"/>
            <w:noWrap/>
            <w:vAlign w:val="center"/>
            <w:hideMark/>
          </w:tcPr>
          <w:p w14:paraId="73F40CF5"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77" w:type="dxa"/>
            <w:shd w:val="clear" w:color="000000" w:fill="FFFF00"/>
            <w:noWrap/>
            <w:vAlign w:val="center"/>
            <w:hideMark/>
          </w:tcPr>
          <w:p w14:paraId="73F40CF6"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63" w:type="dxa"/>
            <w:shd w:val="clear" w:color="000000" w:fill="339966"/>
            <w:noWrap/>
            <w:vAlign w:val="center"/>
            <w:hideMark/>
          </w:tcPr>
          <w:p w14:paraId="73F40CF7"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r>
      <w:tr w:rsidR="008165FE" w:rsidRPr="008165FE" w14:paraId="73F40D02" w14:textId="77777777" w:rsidTr="008165FE">
        <w:trPr>
          <w:trHeight w:val="315"/>
          <w:tblCellSpacing w:w="14" w:type="dxa"/>
        </w:trPr>
        <w:tc>
          <w:tcPr>
            <w:tcW w:w="2254" w:type="dxa"/>
            <w:vMerge/>
            <w:hideMark/>
          </w:tcPr>
          <w:p w14:paraId="73F40CF9" w14:textId="77777777" w:rsidR="008165FE" w:rsidRPr="00824ECA" w:rsidRDefault="008165FE" w:rsidP="00824ECA">
            <w:pPr>
              <w:pStyle w:val="TableTextEntries"/>
            </w:pPr>
          </w:p>
        </w:tc>
        <w:tc>
          <w:tcPr>
            <w:tcW w:w="1673" w:type="dxa"/>
            <w:shd w:val="clear" w:color="auto" w:fill="auto"/>
            <w:hideMark/>
          </w:tcPr>
          <w:p w14:paraId="73F40CFA" w14:textId="77777777" w:rsidR="008165FE" w:rsidRPr="00824ECA" w:rsidRDefault="008165FE" w:rsidP="00824ECA">
            <w:pPr>
              <w:pStyle w:val="TableTextEntries"/>
            </w:pPr>
            <w:r w:rsidRPr="00824ECA">
              <w:t>(2011-16)</w:t>
            </w:r>
          </w:p>
        </w:tc>
        <w:tc>
          <w:tcPr>
            <w:tcW w:w="965" w:type="dxa"/>
            <w:shd w:val="clear" w:color="auto" w:fill="auto"/>
            <w:noWrap/>
            <w:hideMark/>
          </w:tcPr>
          <w:p w14:paraId="73F40CFB" w14:textId="77777777" w:rsidR="008165FE" w:rsidRPr="00824ECA" w:rsidRDefault="008165FE" w:rsidP="00824ECA">
            <w:pPr>
              <w:pStyle w:val="TableTextEntries"/>
            </w:pPr>
            <w:r w:rsidRPr="00824ECA">
              <w:t>2012</w:t>
            </w:r>
          </w:p>
        </w:tc>
        <w:tc>
          <w:tcPr>
            <w:tcW w:w="1176" w:type="dxa"/>
            <w:shd w:val="clear" w:color="000000" w:fill="339966"/>
            <w:noWrap/>
            <w:vAlign w:val="center"/>
            <w:hideMark/>
          </w:tcPr>
          <w:p w14:paraId="73F40CFC"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6</w:t>
            </w:r>
          </w:p>
        </w:tc>
        <w:tc>
          <w:tcPr>
            <w:tcW w:w="1177" w:type="dxa"/>
            <w:shd w:val="clear" w:color="000000" w:fill="339966"/>
            <w:noWrap/>
            <w:vAlign w:val="center"/>
            <w:hideMark/>
          </w:tcPr>
          <w:p w14:paraId="73F40CFD"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339966"/>
            <w:noWrap/>
            <w:vAlign w:val="center"/>
            <w:hideMark/>
          </w:tcPr>
          <w:p w14:paraId="73F40CFE"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FFFF00"/>
            <w:noWrap/>
            <w:vAlign w:val="center"/>
            <w:hideMark/>
          </w:tcPr>
          <w:p w14:paraId="73F40CFF"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77" w:type="dxa"/>
            <w:shd w:val="clear" w:color="000000" w:fill="FFFF00"/>
            <w:noWrap/>
            <w:vAlign w:val="center"/>
            <w:hideMark/>
          </w:tcPr>
          <w:p w14:paraId="73F40D00"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63" w:type="dxa"/>
            <w:shd w:val="clear" w:color="000000" w:fill="339966"/>
            <w:noWrap/>
            <w:vAlign w:val="center"/>
            <w:hideMark/>
          </w:tcPr>
          <w:p w14:paraId="73F40D01"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r>
      <w:tr w:rsidR="008165FE" w:rsidRPr="008165FE" w14:paraId="73F40D0C" w14:textId="77777777" w:rsidTr="008165FE">
        <w:trPr>
          <w:trHeight w:val="300"/>
          <w:tblCellSpacing w:w="14" w:type="dxa"/>
        </w:trPr>
        <w:tc>
          <w:tcPr>
            <w:tcW w:w="2254" w:type="dxa"/>
            <w:vMerge w:val="restart"/>
            <w:shd w:val="clear" w:color="auto" w:fill="auto"/>
            <w:hideMark/>
          </w:tcPr>
          <w:p w14:paraId="73F40D03" w14:textId="77777777" w:rsidR="008165FE" w:rsidRPr="00824ECA" w:rsidRDefault="008165FE" w:rsidP="00824ECA">
            <w:pPr>
              <w:pStyle w:val="TableTextEntries"/>
            </w:pPr>
            <w:r w:rsidRPr="00824ECA">
              <w:t>Samoa Parliament Complex Redevelopment</w:t>
            </w:r>
          </w:p>
        </w:tc>
        <w:tc>
          <w:tcPr>
            <w:tcW w:w="1673" w:type="dxa"/>
            <w:shd w:val="clear" w:color="auto" w:fill="auto"/>
            <w:hideMark/>
          </w:tcPr>
          <w:p w14:paraId="73F40D04" w14:textId="77777777" w:rsidR="008165FE" w:rsidRPr="00824ECA" w:rsidRDefault="008165FE" w:rsidP="00824ECA">
            <w:pPr>
              <w:pStyle w:val="TableTextEntries"/>
            </w:pPr>
            <w:r w:rsidRPr="00824ECA">
              <w:t>$10,735,259</w:t>
            </w:r>
          </w:p>
        </w:tc>
        <w:tc>
          <w:tcPr>
            <w:tcW w:w="965" w:type="dxa"/>
            <w:shd w:val="clear" w:color="auto" w:fill="auto"/>
            <w:noWrap/>
            <w:hideMark/>
          </w:tcPr>
          <w:p w14:paraId="73F40D05" w14:textId="77777777" w:rsidR="008165FE" w:rsidRPr="00824ECA" w:rsidRDefault="008165FE" w:rsidP="00824ECA">
            <w:pPr>
              <w:pStyle w:val="TableTextEntries"/>
            </w:pPr>
            <w:r w:rsidRPr="00824ECA">
              <w:t>2013</w:t>
            </w:r>
          </w:p>
        </w:tc>
        <w:tc>
          <w:tcPr>
            <w:tcW w:w="1176" w:type="dxa"/>
            <w:shd w:val="clear" w:color="auto" w:fill="auto"/>
            <w:noWrap/>
            <w:vAlign w:val="bottom"/>
            <w:hideMark/>
          </w:tcPr>
          <w:p w14:paraId="73F40D06"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07"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08"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09"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0A" w14:textId="77777777" w:rsidR="008165FE" w:rsidRPr="008165FE" w:rsidRDefault="008165FE" w:rsidP="008165FE">
            <w:pPr>
              <w:rPr>
                <w:rFonts w:ascii="Calibri" w:eastAsia="Times New Roman" w:hAnsi="Calibri" w:cs="Calibri"/>
                <w:color w:val="000000"/>
                <w:sz w:val="22"/>
                <w:szCs w:val="22"/>
              </w:rPr>
            </w:pPr>
          </w:p>
        </w:tc>
        <w:tc>
          <w:tcPr>
            <w:tcW w:w="1163" w:type="dxa"/>
            <w:shd w:val="clear" w:color="auto" w:fill="auto"/>
            <w:noWrap/>
            <w:vAlign w:val="bottom"/>
            <w:hideMark/>
          </w:tcPr>
          <w:p w14:paraId="73F40D0B" w14:textId="77777777" w:rsidR="008165FE" w:rsidRPr="008165FE" w:rsidRDefault="008165FE" w:rsidP="008165FE">
            <w:pPr>
              <w:rPr>
                <w:rFonts w:ascii="Calibri" w:eastAsia="Times New Roman" w:hAnsi="Calibri" w:cs="Calibri"/>
                <w:color w:val="000000"/>
                <w:sz w:val="22"/>
                <w:szCs w:val="22"/>
              </w:rPr>
            </w:pPr>
          </w:p>
        </w:tc>
      </w:tr>
      <w:tr w:rsidR="008165FE" w:rsidRPr="008165FE" w14:paraId="73F40D16" w14:textId="77777777" w:rsidTr="008165FE">
        <w:trPr>
          <w:trHeight w:val="315"/>
          <w:tblCellSpacing w:w="14" w:type="dxa"/>
        </w:trPr>
        <w:tc>
          <w:tcPr>
            <w:tcW w:w="2254" w:type="dxa"/>
            <w:vMerge/>
            <w:hideMark/>
          </w:tcPr>
          <w:p w14:paraId="73F40D0D" w14:textId="77777777" w:rsidR="008165FE" w:rsidRPr="00824ECA" w:rsidRDefault="008165FE" w:rsidP="00824ECA">
            <w:pPr>
              <w:pStyle w:val="TableTextEntries"/>
            </w:pPr>
          </w:p>
        </w:tc>
        <w:tc>
          <w:tcPr>
            <w:tcW w:w="1673" w:type="dxa"/>
            <w:shd w:val="clear" w:color="auto" w:fill="auto"/>
            <w:hideMark/>
          </w:tcPr>
          <w:p w14:paraId="73F40D0E" w14:textId="77777777" w:rsidR="008165FE" w:rsidRPr="00824ECA" w:rsidRDefault="008165FE" w:rsidP="00824ECA">
            <w:pPr>
              <w:pStyle w:val="TableTextEntries"/>
            </w:pPr>
            <w:r w:rsidRPr="00824ECA">
              <w:t>(2012-17)</w:t>
            </w:r>
          </w:p>
        </w:tc>
        <w:tc>
          <w:tcPr>
            <w:tcW w:w="965" w:type="dxa"/>
            <w:shd w:val="clear" w:color="auto" w:fill="auto"/>
            <w:noWrap/>
            <w:hideMark/>
          </w:tcPr>
          <w:p w14:paraId="73F40D0F" w14:textId="77777777" w:rsidR="008165FE" w:rsidRPr="00824ECA" w:rsidRDefault="008165FE" w:rsidP="00824ECA">
            <w:pPr>
              <w:pStyle w:val="TableTextEntries"/>
            </w:pPr>
            <w:r w:rsidRPr="00824ECA">
              <w:t>2012</w:t>
            </w:r>
          </w:p>
        </w:tc>
        <w:tc>
          <w:tcPr>
            <w:tcW w:w="1176" w:type="dxa"/>
            <w:shd w:val="clear" w:color="auto" w:fill="auto"/>
            <w:noWrap/>
            <w:vAlign w:val="bottom"/>
            <w:hideMark/>
          </w:tcPr>
          <w:p w14:paraId="73F40D10"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11"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12"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13"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14" w14:textId="77777777" w:rsidR="008165FE" w:rsidRPr="008165FE" w:rsidRDefault="008165FE" w:rsidP="008165FE">
            <w:pPr>
              <w:rPr>
                <w:rFonts w:ascii="Calibri" w:eastAsia="Times New Roman" w:hAnsi="Calibri" w:cs="Calibri"/>
                <w:color w:val="000000"/>
                <w:sz w:val="22"/>
                <w:szCs w:val="22"/>
              </w:rPr>
            </w:pPr>
          </w:p>
        </w:tc>
        <w:tc>
          <w:tcPr>
            <w:tcW w:w="1163" w:type="dxa"/>
            <w:shd w:val="clear" w:color="auto" w:fill="auto"/>
            <w:noWrap/>
            <w:vAlign w:val="bottom"/>
            <w:hideMark/>
          </w:tcPr>
          <w:p w14:paraId="73F40D15" w14:textId="77777777" w:rsidR="008165FE" w:rsidRPr="008165FE" w:rsidRDefault="008165FE" w:rsidP="008165FE">
            <w:pPr>
              <w:rPr>
                <w:rFonts w:ascii="Calibri" w:eastAsia="Times New Roman" w:hAnsi="Calibri" w:cs="Calibri"/>
                <w:color w:val="000000"/>
                <w:sz w:val="22"/>
                <w:szCs w:val="22"/>
              </w:rPr>
            </w:pPr>
          </w:p>
        </w:tc>
      </w:tr>
      <w:tr w:rsidR="008165FE" w:rsidRPr="008165FE" w14:paraId="73F40D20" w14:textId="77777777" w:rsidTr="008165FE">
        <w:trPr>
          <w:trHeight w:val="300"/>
          <w:tblCellSpacing w:w="14" w:type="dxa"/>
        </w:trPr>
        <w:tc>
          <w:tcPr>
            <w:tcW w:w="2254" w:type="dxa"/>
            <w:vMerge w:val="restart"/>
            <w:shd w:val="clear" w:color="auto" w:fill="auto"/>
            <w:hideMark/>
          </w:tcPr>
          <w:p w14:paraId="73F40D17" w14:textId="77777777" w:rsidR="008165FE" w:rsidRPr="00824ECA" w:rsidRDefault="008165FE" w:rsidP="00824ECA">
            <w:pPr>
              <w:pStyle w:val="TableTextEntries"/>
            </w:pPr>
            <w:r w:rsidRPr="00824ECA">
              <w:t>Samoa Women Shaping Development</w:t>
            </w:r>
          </w:p>
        </w:tc>
        <w:tc>
          <w:tcPr>
            <w:tcW w:w="1673" w:type="dxa"/>
            <w:shd w:val="clear" w:color="auto" w:fill="auto"/>
            <w:hideMark/>
          </w:tcPr>
          <w:p w14:paraId="73F40D18" w14:textId="77777777" w:rsidR="008165FE" w:rsidRPr="00824ECA" w:rsidRDefault="008165FE" w:rsidP="00824ECA">
            <w:pPr>
              <w:pStyle w:val="TableTextEntries"/>
            </w:pPr>
            <w:r w:rsidRPr="00824ECA">
              <w:t>$9,300,00.00</w:t>
            </w:r>
          </w:p>
        </w:tc>
        <w:tc>
          <w:tcPr>
            <w:tcW w:w="965" w:type="dxa"/>
            <w:shd w:val="clear" w:color="auto" w:fill="auto"/>
            <w:noWrap/>
            <w:hideMark/>
          </w:tcPr>
          <w:p w14:paraId="73F40D19" w14:textId="77777777" w:rsidR="008165FE" w:rsidRPr="00824ECA" w:rsidRDefault="008165FE" w:rsidP="00824ECA">
            <w:pPr>
              <w:pStyle w:val="TableTextEntries"/>
            </w:pPr>
            <w:r w:rsidRPr="00824ECA">
              <w:t>2013</w:t>
            </w:r>
          </w:p>
        </w:tc>
        <w:tc>
          <w:tcPr>
            <w:tcW w:w="1176" w:type="dxa"/>
            <w:shd w:val="clear" w:color="000000" w:fill="339966"/>
            <w:noWrap/>
            <w:vAlign w:val="center"/>
            <w:hideMark/>
          </w:tcPr>
          <w:p w14:paraId="73F40D1A"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6</w:t>
            </w:r>
          </w:p>
        </w:tc>
        <w:tc>
          <w:tcPr>
            <w:tcW w:w="1177" w:type="dxa"/>
            <w:shd w:val="clear" w:color="000000" w:fill="FFFF00"/>
            <w:noWrap/>
            <w:vAlign w:val="center"/>
            <w:hideMark/>
          </w:tcPr>
          <w:p w14:paraId="73F40D1B"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77" w:type="dxa"/>
            <w:shd w:val="clear" w:color="000000" w:fill="339966"/>
            <w:noWrap/>
            <w:vAlign w:val="center"/>
            <w:hideMark/>
          </w:tcPr>
          <w:p w14:paraId="73F40D1C"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FFFF00"/>
            <w:noWrap/>
            <w:vAlign w:val="center"/>
            <w:hideMark/>
          </w:tcPr>
          <w:p w14:paraId="73F40D1D"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77" w:type="dxa"/>
            <w:shd w:val="clear" w:color="000000" w:fill="FFFF00"/>
            <w:noWrap/>
            <w:vAlign w:val="center"/>
            <w:hideMark/>
          </w:tcPr>
          <w:p w14:paraId="73F40D1E"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63" w:type="dxa"/>
            <w:shd w:val="clear" w:color="000000" w:fill="339966"/>
            <w:noWrap/>
            <w:vAlign w:val="center"/>
            <w:hideMark/>
          </w:tcPr>
          <w:p w14:paraId="73F40D1F"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6</w:t>
            </w:r>
          </w:p>
        </w:tc>
      </w:tr>
      <w:tr w:rsidR="008165FE" w:rsidRPr="008165FE" w14:paraId="73F40D2A" w14:textId="77777777" w:rsidTr="008165FE">
        <w:trPr>
          <w:trHeight w:val="315"/>
          <w:tblCellSpacing w:w="14" w:type="dxa"/>
        </w:trPr>
        <w:tc>
          <w:tcPr>
            <w:tcW w:w="2254" w:type="dxa"/>
            <w:vMerge/>
            <w:hideMark/>
          </w:tcPr>
          <w:p w14:paraId="73F40D21" w14:textId="77777777" w:rsidR="008165FE" w:rsidRPr="00824ECA" w:rsidRDefault="008165FE" w:rsidP="00824ECA">
            <w:pPr>
              <w:pStyle w:val="TableTextEntries"/>
            </w:pPr>
          </w:p>
        </w:tc>
        <w:tc>
          <w:tcPr>
            <w:tcW w:w="1673" w:type="dxa"/>
            <w:shd w:val="clear" w:color="auto" w:fill="auto"/>
            <w:hideMark/>
          </w:tcPr>
          <w:p w14:paraId="73F40D22" w14:textId="77777777" w:rsidR="008165FE" w:rsidRPr="00824ECA" w:rsidRDefault="008165FE" w:rsidP="00824ECA">
            <w:pPr>
              <w:pStyle w:val="TableTextEntries"/>
            </w:pPr>
            <w:r w:rsidRPr="00824ECA">
              <w:t>(2013-23)</w:t>
            </w:r>
          </w:p>
        </w:tc>
        <w:tc>
          <w:tcPr>
            <w:tcW w:w="965" w:type="dxa"/>
            <w:shd w:val="clear" w:color="auto" w:fill="auto"/>
            <w:noWrap/>
            <w:hideMark/>
          </w:tcPr>
          <w:p w14:paraId="73F40D23" w14:textId="77777777" w:rsidR="008165FE" w:rsidRPr="00824ECA" w:rsidRDefault="008165FE" w:rsidP="00824ECA">
            <w:pPr>
              <w:pStyle w:val="TableTextEntries"/>
            </w:pPr>
            <w:r w:rsidRPr="00824ECA">
              <w:t>2012</w:t>
            </w:r>
          </w:p>
        </w:tc>
        <w:tc>
          <w:tcPr>
            <w:tcW w:w="1176" w:type="dxa"/>
            <w:shd w:val="clear" w:color="auto" w:fill="auto"/>
            <w:noWrap/>
            <w:vAlign w:val="bottom"/>
            <w:hideMark/>
          </w:tcPr>
          <w:p w14:paraId="73F40D24"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25"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26"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27"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28" w14:textId="77777777" w:rsidR="008165FE" w:rsidRPr="008165FE" w:rsidRDefault="008165FE" w:rsidP="008165FE">
            <w:pPr>
              <w:rPr>
                <w:rFonts w:ascii="Calibri" w:eastAsia="Times New Roman" w:hAnsi="Calibri" w:cs="Calibri"/>
                <w:color w:val="000000"/>
                <w:sz w:val="22"/>
                <w:szCs w:val="22"/>
              </w:rPr>
            </w:pPr>
          </w:p>
        </w:tc>
        <w:tc>
          <w:tcPr>
            <w:tcW w:w="1163" w:type="dxa"/>
            <w:shd w:val="clear" w:color="auto" w:fill="auto"/>
            <w:noWrap/>
            <w:vAlign w:val="bottom"/>
            <w:hideMark/>
          </w:tcPr>
          <w:p w14:paraId="73F40D29" w14:textId="77777777" w:rsidR="008165FE" w:rsidRPr="008165FE" w:rsidRDefault="008165FE" w:rsidP="008165FE">
            <w:pPr>
              <w:rPr>
                <w:rFonts w:ascii="Calibri" w:eastAsia="Times New Roman" w:hAnsi="Calibri" w:cs="Calibri"/>
                <w:color w:val="000000"/>
                <w:sz w:val="22"/>
                <w:szCs w:val="22"/>
              </w:rPr>
            </w:pPr>
          </w:p>
        </w:tc>
      </w:tr>
      <w:tr w:rsidR="008165FE" w:rsidRPr="008165FE" w14:paraId="73F40D34" w14:textId="77777777" w:rsidTr="008165FE">
        <w:trPr>
          <w:trHeight w:val="300"/>
          <w:tblCellSpacing w:w="14" w:type="dxa"/>
        </w:trPr>
        <w:tc>
          <w:tcPr>
            <w:tcW w:w="2254" w:type="dxa"/>
            <w:vMerge w:val="restart"/>
            <w:shd w:val="clear" w:color="auto" w:fill="auto"/>
            <w:hideMark/>
          </w:tcPr>
          <w:p w14:paraId="73F40D2B" w14:textId="77777777" w:rsidR="008165FE" w:rsidRPr="00824ECA" w:rsidRDefault="008165FE" w:rsidP="00824ECA">
            <w:pPr>
              <w:pStyle w:val="TableTextEntries"/>
            </w:pPr>
            <w:r w:rsidRPr="00824ECA">
              <w:t>Samoa Law and Justice Sector Program</w:t>
            </w:r>
          </w:p>
        </w:tc>
        <w:tc>
          <w:tcPr>
            <w:tcW w:w="1673" w:type="dxa"/>
            <w:shd w:val="clear" w:color="auto" w:fill="auto"/>
            <w:hideMark/>
          </w:tcPr>
          <w:p w14:paraId="73F40D2C" w14:textId="77777777" w:rsidR="008165FE" w:rsidRPr="00824ECA" w:rsidRDefault="008165FE" w:rsidP="00824ECA">
            <w:pPr>
              <w:pStyle w:val="TableTextEntries"/>
            </w:pPr>
            <w:r w:rsidRPr="00824ECA">
              <w:t>$5,055,475</w:t>
            </w:r>
          </w:p>
        </w:tc>
        <w:tc>
          <w:tcPr>
            <w:tcW w:w="965" w:type="dxa"/>
            <w:shd w:val="clear" w:color="auto" w:fill="auto"/>
            <w:noWrap/>
            <w:hideMark/>
          </w:tcPr>
          <w:p w14:paraId="73F40D2D" w14:textId="77777777" w:rsidR="008165FE" w:rsidRPr="00824ECA" w:rsidRDefault="008165FE" w:rsidP="00824ECA">
            <w:pPr>
              <w:pStyle w:val="TableTextEntries"/>
            </w:pPr>
            <w:r w:rsidRPr="00824ECA">
              <w:t>2013</w:t>
            </w:r>
          </w:p>
        </w:tc>
        <w:tc>
          <w:tcPr>
            <w:tcW w:w="1176" w:type="dxa"/>
            <w:shd w:val="clear" w:color="000000" w:fill="FF9900"/>
            <w:noWrap/>
            <w:vAlign w:val="center"/>
            <w:hideMark/>
          </w:tcPr>
          <w:p w14:paraId="73F40D2E"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3</w:t>
            </w:r>
          </w:p>
        </w:tc>
        <w:tc>
          <w:tcPr>
            <w:tcW w:w="1177" w:type="dxa"/>
            <w:shd w:val="clear" w:color="000000" w:fill="FF9900"/>
            <w:noWrap/>
            <w:vAlign w:val="center"/>
            <w:hideMark/>
          </w:tcPr>
          <w:p w14:paraId="73F40D2F"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3</w:t>
            </w:r>
          </w:p>
        </w:tc>
        <w:tc>
          <w:tcPr>
            <w:tcW w:w="1177" w:type="dxa"/>
            <w:shd w:val="clear" w:color="000000" w:fill="FFFF00"/>
            <w:noWrap/>
            <w:vAlign w:val="center"/>
            <w:hideMark/>
          </w:tcPr>
          <w:p w14:paraId="73F40D30"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77" w:type="dxa"/>
            <w:shd w:val="clear" w:color="000000" w:fill="FF0000"/>
            <w:noWrap/>
            <w:vAlign w:val="center"/>
            <w:hideMark/>
          </w:tcPr>
          <w:p w14:paraId="73F40D31"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2</w:t>
            </w:r>
          </w:p>
        </w:tc>
        <w:tc>
          <w:tcPr>
            <w:tcW w:w="1177" w:type="dxa"/>
            <w:shd w:val="clear" w:color="000000" w:fill="FFFF00"/>
            <w:noWrap/>
            <w:vAlign w:val="center"/>
            <w:hideMark/>
          </w:tcPr>
          <w:p w14:paraId="73F40D32"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63" w:type="dxa"/>
            <w:shd w:val="clear" w:color="000000" w:fill="FF9900"/>
            <w:noWrap/>
            <w:vAlign w:val="center"/>
            <w:hideMark/>
          </w:tcPr>
          <w:p w14:paraId="73F40D33" w14:textId="77777777" w:rsidR="008165FE" w:rsidRPr="008165FE" w:rsidRDefault="00E068FB" w:rsidP="008165FE">
            <w:pPr>
              <w:jc w:val="center"/>
              <w:rPr>
                <w:rFonts w:ascii="Arial" w:eastAsia="Times New Roman" w:hAnsi="Arial" w:cs="Arial"/>
                <w:sz w:val="16"/>
                <w:szCs w:val="16"/>
              </w:rPr>
            </w:pPr>
            <w:r>
              <w:rPr>
                <w:rFonts w:ascii="Arial" w:eastAsia="Times New Roman" w:hAnsi="Arial" w:cs="Arial"/>
                <w:sz w:val="16"/>
                <w:szCs w:val="16"/>
              </w:rPr>
              <w:t>3</w:t>
            </w:r>
          </w:p>
        </w:tc>
      </w:tr>
      <w:tr w:rsidR="008165FE" w:rsidRPr="008165FE" w14:paraId="73F40D3E" w14:textId="77777777" w:rsidTr="008165FE">
        <w:trPr>
          <w:trHeight w:val="315"/>
          <w:tblCellSpacing w:w="14" w:type="dxa"/>
        </w:trPr>
        <w:tc>
          <w:tcPr>
            <w:tcW w:w="2254" w:type="dxa"/>
            <w:vMerge/>
            <w:hideMark/>
          </w:tcPr>
          <w:p w14:paraId="73F40D35" w14:textId="77777777" w:rsidR="008165FE" w:rsidRPr="00824ECA" w:rsidRDefault="008165FE" w:rsidP="00824ECA">
            <w:pPr>
              <w:pStyle w:val="TableTextEntries"/>
            </w:pPr>
          </w:p>
        </w:tc>
        <w:tc>
          <w:tcPr>
            <w:tcW w:w="1673" w:type="dxa"/>
            <w:shd w:val="clear" w:color="auto" w:fill="auto"/>
            <w:hideMark/>
          </w:tcPr>
          <w:p w14:paraId="73F40D36" w14:textId="77777777" w:rsidR="008165FE" w:rsidRPr="00824ECA" w:rsidRDefault="008165FE" w:rsidP="00824ECA">
            <w:pPr>
              <w:pStyle w:val="TableTextEntries"/>
            </w:pPr>
            <w:r w:rsidRPr="00824ECA">
              <w:t>(2007-17)</w:t>
            </w:r>
          </w:p>
        </w:tc>
        <w:tc>
          <w:tcPr>
            <w:tcW w:w="965" w:type="dxa"/>
            <w:shd w:val="clear" w:color="auto" w:fill="auto"/>
            <w:noWrap/>
            <w:hideMark/>
          </w:tcPr>
          <w:p w14:paraId="73F40D37" w14:textId="77777777" w:rsidR="008165FE" w:rsidRPr="00824ECA" w:rsidRDefault="008165FE" w:rsidP="00824ECA">
            <w:pPr>
              <w:pStyle w:val="TableTextEntries"/>
            </w:pPr>
            <w:r w:rsidRPr="00824ECA">
              <w:t>2012</w:t>
            </w:r>
          </w:p>
        </w:tc>
        <w:tc>
          <w:tcPr>
            <w:tcW w:w="1176" w:type="dxa"/>
            <w:shd w:val="clear" w:color="000000" w:fill="339966"/>
            <w:noWrap/>
            <w:vAlign w:val="center"/>
            <w:hideMark/>
          </w:tcPr>
          <w:p w14:paraId="73F40D38"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6</w:t>
            </w:r>
          </w:p>
        </w:tc>
        <w:tc>
          <w:tcPr>
            <w:tcW w:w="1177" w:type="dxa"/>
            <w:shd w:val="clear" w:color="000000" w:fill="FFFF00"/>
            <w:noWrap/>
            <w:vAlign w:val="center"/>
            <w:hideMark/>
          </w:tcPr>
          <w:p w14:paraId="73F40D39"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77" w:type="dxa"/>
            <w:shd w:val="clear" w:color="000000" w:fill="FF9900"/>
            <w:noWrap/>
            <w:vAlign w:val="center"/>
            <w:hideMark/>
          </w:tcPr>
          <w:p w14:paraId="73F40D3A"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3</w:t>
            </w:r>
          </w:p>
        </w:tc>
        <w:tc>
          <w:tcPr>
            <w:tcW w:w="1177" w:type="dxa"/>
            <w:shd w:val="clear" w:color="000000" w:fill="FF0000"/>
            <w:noWrap/>
            <w:vAlign w:val="center"/>
            <w:hideMark/>
          </w:tcPr>
          <w:p w14:paraId="73F40D3B"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2</w:t>
            </w:r>
          </w:p>
        </w:tc>
        <w:tc>
          <w:tcPr>
            <w:tcW w:w="1177" w:type="dxa"/>
            <w:shd w:val="clear" w:color="000000" w:fill="FFFF00"/>
            <w:noWrap/>
            <w:vAlign w:val="center"/>
            <w:hideMark/>
          </w:tcPr>
          <w:p w14:paraId="73F40D3C"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63" w:type="dxa"/>
            <w:shd w:val="clear" w:color="000000" w:fill="FFFF00"/>
            <w:noWrap/>
            <w:vAlign w:val="center"/>
            <w:hideMark/>
          </w:tcPr>
          <w:p w14:paraId="73F40D3D"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r>
      <w:tr w:rsidR="008165FE" w:rsidRPr="008165FE" w14:paraId="73F40D48" w14:textId="77777777" w:rsidTr="008165FE">
        <w:trPr>
          <w:trHeight w:val="300"/>
          <w:tblCellSpacing w:w="14" w:type="dxa"/>
        </w:trPr>
        <w:tc>
          <w:tcPr>
            <w:tcW w:w="2254" w:type="dxa"/>
            <w:vMerge w:val="restart"/>
            <w:shd w:val="clear" w:color="auto" w:fill="auto"/>
            <w:hideMark/>
          </w:tcPr>
          <w:p w14:paraId="73F40D3F" w14:textId="77777777" w:rsidR="008165FE" w:rsidRPr="00824ECA" w:rsidRDefault="008165FE" w:rsidP="00824ECA">
            <w:pPr>
              <w:pStyle w:val="TableTextEntries"/>
            </w:pPr>
            <w:r w:rsidRPr="00824ECA">
              <w:t xml:space="preserve">Samoa Post-Tsunami </w:t>
            </w:r>
            <w:r w:rsidRPr="00824ECA">
              <w:lastRenderedPageBreak/>
              <w:t>Recovery &amp; Reconstruction</w:t>
            </w:r>
          </w:p>
        </w:tc>
        <w:tc>
          <w:tcPr>
            <w:tcW w:w="1673" w:type="dxa"/>
            <w:shd w:val="clear" w:color="auto" w:fill="auto"/>
            <w:hideMark/>
          </w:tcPr>
          <w:p w14:paraId="73F40D40" w14:textId="77777777" w:rsidR="008165FE" w:rsidRPr="00824ECA" w:rsidRDefault="008165FE" w:rsidP="00824ECA">
            <w:pPr>
              <w:pStyle w:val="TableTextEntries"/>
            </w:pPr>
            <w:r w:rsidRPr="00824ECA">
              <w:lastRenderedPageBreak/>
              <w:t>$6,100,000</w:t>
            </w:r>
          </w:p>
        </w:tc>
        <w:tc>
          <w:tcPr>
            <w:tcW w:w="965" w:type="dxa"/>
            <w:shd w:val="clear" w:color="auto" w:fill="auto"/>
            <w:noWrap/>
            <w:hideMark/>
          </w:tcPr>
          <w:p w14:paraId="73F40D41" w14:textId="77777777" w:rsidR="008165FE" w:rsidRPr="00824ECA" w:rsidRDefault="008165FE" w:rsidP="00824ECA">
            <w:pPr>
              <w:pStyle w:val="TableTextEntries"/>
            </w:pPr>
            <w:r w:rsidRPr="00824ECA">
              <w:t>2013</w:t>
            </w:r>
          </w:p>
        </w:tc>
        <w:tc>
          <w:tcPr>
            <w:tcW w:w="1176" w:type="dxa"/>
            <w:shd w:val="clear" w:color="auto" w:fill="auto"/>
            <w:noWrap/>
            <w:vAlign w:val="bottom"/>
            <w:hideMark/>
          </w:tcPr>
          <w:p w14:paraId="73F40D42"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43"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44"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45"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46" w14:textId="77777777" w:rsidR="008165FE" w:rsidRPr="008165FE" w:rsidRDefault="008165FE" w:rsidP="008165FE">
            <w:pPr>
              <w:rPr>
                <w:rFonts w:ascii="Calibri" w:eastAsia="Times New Roman" w:hAnsi="Calibri" w:cs="Calibri"/>
                <w:color w:val="000000"/>
                <w:sz w:val="22"/>
                <w:szCs w:val="22"/>
              </w:rPr>
            </w:pPr>
          </w:p>
        </w:tc>
        <w:tc>
          <w:tcPr>
            <w:tcW w:w="1163" w:type="dxa"/>
            <w:shd w:val="clear" w:color="auto" w:fill="auto"/>
            <w:noWrap/>
            <w:vAlign w:val="bottom"/>
            <w:hideMark/>
          </w:tcPr>
          <w:p w14:paraId="73F40D47" w14:textId="77777777" w:rsidR="008165FE" w:rsidRPr="008165FE" w:rsidRDefault="008165FE" w:rsidP="008165FE">
            <w:pPr>
              <w:rPr>
                <w:rFonts w:ascii="Calibri" w:eastAsia="Times New Roman" w:hAnsi="Calibri" w:cs="Calibri"/>
                <w:color w:val="000000"/>
                <w:sz w:val="22"/>
                <w:szCs w:val="22"/>
              </w:rPr>
            </w:pPr>
          </w:p>
        </w:tc>
      </w:tr>
      <w:tr w:rsidR="008165FE" w:rsidRPr="008165FE" w14:paraId="73F40D52" w14:textId="77777777" w:rsidTr="008165FE">
        <w:trPr>
          <w:trHeight w:val="315"/>
          <w:tblCellSpacing w:w="14" w:type="dxa"/>
        </w:trPr>
        <w:tc>
          <w:tcPr>
            <w:tcW w:w="2254" w:type="dxa"/>
            <w:vMerge/>
            <w:hideMark/>
          </w:tcPr>
          <w:p w14:paraId="73F40D49" w14:textId="77777777" w:rsidR="008165FE" w:rsidRPr="00824ECA" w:rsidRDefault="008165FE" w:rsidP="00824ECA">
            <w:pPr>
              <w:pStyle w:val="TableTextEntries"/>
            </w:pPr>
          </w:p>
        </w:tc>
        <w:tc>
          <w:tcPr>
            <w:tcW w:w="1673" w:type="dxa"/>
            <w:shd w:val="clear" w:color="auto" w:fill="auto"/>
            <w:hideMark/>
          </w:tcPr>
          <w:p w14:paraId="73F40D4A" w14:textId="77777777" w:rsidR="008165FE" w:rsidRPr="00824ECA" w:rsidRDefault="008165FE" w:rsidP="00824ECA">
            <w:pPr>
              <w:pStyle w:val="TableTextEntries"/>
            </w:pPr>
            <w:r w:rsidRPr="00824ECA">
              <w:t>(2009-14)</w:t>
            </w:r>
          </w:p>
        </w:tc>
        <w:tc>
          <w:tcPr>
            <w:tcW w:w="965" w:type="dxa"/>
            <w:shd w:val="clear" w:color="auto" w:fill="auto"/>
            <w:noWrap/>
            <w:hideMark/>
          </w:tcPr>
          <w:p w14:paraId="73F40D4B" w14:textId="77777777" w:rsidR="008165FE" w:rsidRPr="00824ECA" w:rsidRDefault="008165FE" w:rsidP="00824ECA">
            <w:pPr>
              <w:pStyle w:val="TableTextEntries"/>
            </w:pPr>
            <w:r w:rsidRPr="00824ECA">
              <w:t>2012</w:t>
            </w:r>
          </w:p>
        </w:tc>
        <w:tc>
          <w:tcPr>
            <w:tcW w:w="1176" w:type="dxa"/>
            <w:shd w:val="clear" w:color="auto" w:fill="auto"/>
            <w:noWrap/>
            <w:vAlign w:val="bottom"/>
            <w:hideMark/>
          </w:tcPr>
          <w:p w14:paraId="73F40D4C"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4D"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4E"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4F"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50" w14:textId="77777777" w:rsidR="008165FE" w:rsidRPr="008165FE" w:rsidRDefault="008165FE" w:rsidP="008165FE">
            <w:pPr>
              <w:rPr>
                <w:rFonts w:ascii="Calibri" w:eastAsia="Times New Roman" w:hAnsi="Calibri" w:cs="Calibri"/>
                <w:color w:val="000000"/>
                <w:sz w:val="22"/>
                <w:szCs w:val="22"/>
              </w:rPr>
            </w:pPr>
          </w:p>
        </w:tc>
        <w:tc>
          <w:tcPr>
            <w:tcW w:w="1163" w:type="dxa"/>
            <w:shd w:val="clear" w:color="auto" w:fill="auto"/>
            <w:noWrap/>
            <w:vAlign w:val="bottom"/>
            <w:hideMark/>
          </w:tcPr>
          <w:p w14:paraId="73F40D51" w14:textId="77777777" w:rsidR="008165FE" w:rsidRPr="008165FE" w:rsidRDefault="008165FE" w:rsidP="008165FE">
            <w:pPr>
              <w:rPr>
                <w:rFonts w:ascii="Calibri" w:eastAsia="Times New Roman" w:hAnsi="Calibri" w:cs="Calibri"/>
                <w:color w:val="000000"/>
                <w:sz w:val="22"/>
                <w:szCs w:val="22"/>
              </w:rPr>
            </w:pPr>
          </w:p>
        </w:tc>
      </w:tr>
      <w:tr w:rsidR="008165FE" w:rsidRPr="008165FE" w14:paraId="73F40D5C" w14:textId="77777777" w:rsidTr="008165FE">
        <w:trPr>
          <w:trHeight w:val="450"/>
          <w:tblCellSpacing w:w="14" w:type="dxa"/>
        </w:trPr>
        <w:tc>
          <w:tcPr>
            <w:tcW w:w="2254" w:type="dxa"/>
            <w:vMerge w:val="restart"/>
            <w:shd w:val="clear" w:color="auto" w:fill="auto"/>
            <w:hideMark/>
          </w:tcPr>
          <w:p w14:paraId="73F40D53" w14:textId="77777777" w:rsidR="008165FE" w:rsidRPr="00824ECA" w:rsidRDefault="008165FE" w:rsidP="00824ECA">
            <w:pPr>
              <w:pStyle w:val="TableTextEntries"/>
            </w:pPr>
            <w:r w:rsidRPr="00824ECA">
              <w:lastRenderedPageBreak/>
              <w:t>Samoa Cyclone Evan Response &amp; Recovey Program</w:t>
            </w:r>
          </w:p>
        </w:tc>
        <w:tc>
          <w:tcPr>
            <w:tcW w:w="1673" w:type="dxa"/>
            <w:shd w:val="clear" w:color="auto" w:fill="auto"/>
            <w:hideMark/>
          </w:tcPr>
          <w:p w14:paraId="73F40D54" w14:textId="77777777" w:rsidR="008165FE" w:rsidRPr="00824ECA" w:rsidRDefault="008165FE" w:rsidP="00824ECA">
            <w:pPr>
              <w:pStyle w:val="TableTextEntries"/>
            </w:pPr>
            <w:r w:rsidRPr="00824ECA">
              <w:t>$8,601,632</w:t>
            </w:r>
          </w:p>
        </w:tc>
        <w:tc>
          <w:tcPr>
            <w:tcW w:w="965" w:type="dxa"/>
            <w:shd w:val="clear" w:color="auto" w:fill="auto"/>
            <w:noWrap/>
            <w:hideMark/>
          </w:tcPr>
          <w:p w14:paraId="73F40D55" w14:textId="77777777" w:rsidR="008165FE" w:rsidRPr="00824ECA" w:rsidRDefault="008165FE" w:rsidP="00824ECA">
            <w:pPr>
              <w:pStyle w:val="TableTextEntries"/>
            </w:pPr>
            <w:r w:rsidRPr="00824ECA">
              <w:t>2013</w:t>
            </w:r>
          </w:p>
        </w:tc>
        <w:tc>
          <w:tcPr>
            <w:tcW w:w="1176" w:type="dxa"/>
            <w:shd w:val="clear" w:color="000000" w:fill="339966"/>
            <w:noWrap/>
            <w:vAlign w:val="center"/>
            <w:hideMark/>
          </w:tcPr>
          <w:p w14:paraId="73F40D56"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6</w:t>
            </w:r>
          </w:p>
        </w:tc>
        <w:tc>
          <w:tcPr>
            <w:tcW w:w="1177" w:type="dxa"/>
            <w:shd w:val="clear" w:color="000000" w:fill="339966"/>
            <w:noWrap/>
            <w:vAlign w:val="center"/>
            <w:hideMark/>
          </w:tcPr>
          <w:p w14:paraId="73F40D57"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FFFF00"/>
            <w:noWrap/>
            <w:vAlign w:val="center"/>
            <w:hideMark/>
          </w:tcPr>
          <w:p w14:paraId="73F40D58"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77" w:type="dxa"/>
            <w:shd w:val="clear" w:color="000000" w:fill="FFFF00"/>
            <w:noWrap/>
            <w:vAlign w:val="center"/>
            <w:hideMark/>
          </w:tcPr>
          <w:p w14:paraId="73F40D59"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77" w:type="dxa"/>
            <w:shd w:val="clear" w:color="000000" w:fill="339966"/>
            <w:noWrap/>
            <w:vAlign w:val="center"/>
            <w:hideMark/>
          </w:tcPr>
          <w:p w14:paraId="73F40D5A"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63" w:type="dxa"/>
            <w:shd w:val="clear" w:color="000000" w:fill="FF0000"/>
            <w:noWrap/>
            <w:vAlign w:val="center"/>
            <w:hideMark/>
          </w:tcPr>
          <w:p w14:paraId="73F40D5B"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2</w:t>
            </w:r>
          </w:p>
        </w:tc>
      </w:tr>
      <w:tr w:rsidR="008165FE" w:rsidRPr="008165FE" w14:paraId="73F40D66" w14:textId="77777777" w:rsidTr="008165FE">
        <w:trPr>
          <w:trHeight w:val="315"/>
          <w:tblCellSpacing w:w="14" w:type="dxa"/>
        </w:trPr>
        <w:tc>
          <w:tcPr>
            <w:tcW w:w="2254" w:type="dxa"/>
            <w:vMerge/>
            <w:hideMark/>
          </w:tcPr>
          <w:p w14:paraId="73F40D5D" w14:textId="77777777" w:rsidR="008165FE" w:rsidRPr="00824ECA" w:rsidRDefault="008165FE" w:rsidP="00824ECA">
            <w:pPr>
              <w:pStyle w:val="TableTextEntries"/>
            </w:pPr>
          </w:p>
        </w:tc>
        <w:tc>
          <w:tcPr>
            <w:tcW w:w="1673" w:type="dxa"/>
            <w:shd w:val="clear" w:color="auto" w:fill="auto"/>
            <w:hideMark/>
          </w:tcPr>
          <w:p w14:paraId="73F40D5E" w14:textId="77777777" w:rsidR="008165FE" w:rsidRPr="00824ECA" w:rsidRDefault="008165FE" w:rsidP="00824ECA">
            <w:pPr>
              <w:pStyle w:val="TableTextEntries"/>
            </w:pPr>
            <w:r w:rsidRPr="00824ECA">
              <w:t>(2012-15)</w:t>
            </w:r>
          </w:p>
        </w:tc>
        <w:tc>
          <w:tcPr>
            <w:tcW w:w="965" w:type="dxa"/>
            <w:shd w:val="clear" w:color="auto" w:fill="auto"/>
            <w:noWrap/>
            <w:hideMark/>
          </w:tcPr>
          <w:p w14:paraId="73F40D5F" w14:textId="77777777" w:rsidR="008165FE" w:rsidRPr="00824ECA" w:rsidRDefault="008165FE" w:rsidP="00824ECA">
            <w:pPr>
              <w:pStyle w:val="TableTextEntries"/>
            </w:pPr>
            <w:r w:rsidRPr="00824ECA">
              <w:t>2012</w:t>
            </w:r>
          </w:p>
        </w:tc>
        <w:tc>
          <w:tcPr>
            <w:tcW w:w="1176" w:type="dxa"/>
            <w:shd w:val="clear" w:color="auto" w:fill="auto"/>
            <w:noWrap/>
            <w:vAlign w:val="bottom"/>
            <w:hideMark/>
          </w:tcPr>
          <w:p w14:paraId="73F40D60"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61"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62"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63"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64" w14:textId="77777777" w:rsidR="008165FE" w:rsidRPr="008165FE" w:rsidRDefault="008165FE" w:rsidP="008165FE">
            <w:pPr>
              <w:rPr>
                <w:rFonts w:ascii="Calibri" w:eastAsia="Times New Roman" w:hAnsi="Calibri" w:cs="Calibri"/>
                <w:color w:val="000000"/>
                <w:sz w:val="22"/>
                <w:szCs w:val="22"/>
              </w:rPr>
            </w:pPr>
          </w:p>
        </w:tc>
        <w:tc>
          <w:tcPr>
            <w:tcW w:w="1163" w:type="dxa"/>
            <w:shd w:val="clear" w:color="auto" w:fill="auto"/>
            <w:noWrap/>
            <w:vAlign w:val="bottom"/>
            <w:hideMark/>
          </w:tcPr>
          <w:p w14:paraId="73F40D65" w14:textId="77777777" w:rsidR="008165FE" w:rsidRPr="008165FE" w:rsidRDefault="008165FE" w:rsidP="008165FE">
            <w:pPr>
              <w:rPr>
                <w:rFonts w:ascii="Calibri" w:eastAsia="Times New Roman" w:hAnsi="Calibri" w:cs="Calibri"/>
                <w:color w:val="000000"/>
                <w:sz w:val="22"/>
                <w:szCs w:val="22"/>
              </w:rPr>
            </w:pPr>
          </w:p>
        </w:tc>
      </w:tr>
      <w:tr w:rsidR="008165FE" w:rsidRPr="008165FE" w14:paraId="73F40D70" w14:textId="77777777" w:rsidTr="008165FE">
        <w:trPr>
          <w:trHeight w:val="300"/>
          <w:tblCellSpacing w:w="14" w:type="dxa"/>
        </w:trPr>
        <w:tc>
          <w:tcPr>
            <w:tcW w:w="2254" w:type="dxa"/>
            <w:vMerge w:val="restart"/>
            <w:shd w:val="clear" w:color="auto" w:fill="auto"/>
            <w:hideMark/>
          </w:tcPr>
          <w:p w14:paraId="73F40D67" w14:textId="77777777" w:rsidR="008165FE" w:rsidRPr="00824ECA" w:rsidRDefault="008165FE" w:rsidP="00824ECA">
            <w:pPr>
              <w:pStyle w:val="TableTextEntries"/>
            </w:pPr>
            <w:r w:rsidRPr="00824ECA">
              <w:t>ADB Samoa Power Sector Expansion Program</w:t>
            </w:r>
          </w:p>
        </w:tc>
        <w:tc>
          <w:tcPr>
            <w:tcW w:w="1673" w:type="dxa"/>
            <w:shd w:val="clear" w:color="auto" w:fill="auto"/>
            <w:hideMark/>
          </w:tcPr>
          <w:p w14:paraId="73F40D68" w14:textId="77777777" w:rsidR="008165FE" w:rsidRPr="00824ECA" w:rsidRDefault="008165FE" w:rsidP="00824ECA">
            <w:pPr>
              <w:pStyle w:val="TableTextEntries"/>
            </w:pPr>
            <w:r w:rsidRPr="00824ECA">
              <w:t>$15,124,810</w:t>
            </w:r>
          </w:p>
        </w:tc>
        <w:tc>
          <w:tcPr>
            <w:tcW w:w="965" w:type="dxa"/>
            <w:shd w:val="clear" w:color="auto" w:fill="auto"/>
            <w:noWrap/>
            <w:hideMark/>
          </w:tcPr>
          <w:p w14:paraId="73F40D69" w14:textId="77777777" w:rsidR="008165FE" w:rsidRPr="00824ECA" w:rsidRDefault="008165FE" w:rsidP="00824ECA">
            <w:pPr>
              <w:pStyle w:val="TableTextEntries"/>
            </w:pPr>
            <w:r w:rsidRPr="00824ECA">
              <w:t>2013</w:t>
            </w:r>
          </w:p>
        </w:tc>
        <w:tc>
          <w:tcPr>
            <w:tcW w:w="1176" w:type="dxa"/>
            <w:shd w:val="clear" w:color="000000" w:fill="339966"/>
            <w:noWrap/>
            <w:vAlign w:val="center"/>
            <w:hideMark/>
          </w:tcPr>
          <w:p w14:paraId="73F40D6A"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6</w:t>
            </w:r>
          </w:p>
        </w:tc>
        <w:tc>
          <w:tcPr>
            <w:tcW w:w="1177" w:type="dxa"/>
            <w:shd w:val="clear" w:color="000000" w:fill="339966"/>
            <w:noWrap/>
            <w:vAlign w:val="center"/>
            <w:hideMark/>
          </w:tcPr>
          <w:p w14:paraId="73F40D6B"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6</w:t>
            </w:r>
          </w:p>
        </w:tc>
        <w:tc>
          <w:tcPr>
            <w:tcW w:w="1177" w:type="dxa"/>
            <w:shd w:val="clear" w:color="000000" w:fill="339966"/>
            <w:noWrap/>
            <w:vAlign w:val="center"/>
            <w:hideMark/>
          </w:tcPr>
          <w:p w14:paraId="73F40D6C"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6</w:t>
            </w:r>
          </w:p>
        </w:tc>
        <w:tc>
          <w:tcPr>
            <w:tcW w:w="1177" w:type="dxa"/>
            <w:shd w:val="clear" w:color="000000" w:fill="339966"/>
            <w:noWrap/>
            <w:vAlign w:val="center"/>
            <w:hideMark/>
          </w:tcPr>
          <w:p w14:paraId="73F40D6D"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339966"/>
            <w:noWrap/>
            <w:vAlign w:val="center"/>
            <w:hideMark/>
          </w:tcPr>
          <w:p w14:paraId="73F40D6E"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63" w:type="dxa"/>
            <w:shd w:val="clear" w:color="000000" w:fill="339966"/>
            <w:noWrap/>
            <w:vAlign w:val="center"/>
            <w:hideMark/>
          </w:tcPr>
          <w:p w14:paraId="73F40D6F"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r>
      <w:tr w:rsidR="008165FE" w:rsidRPr="008165FE" w14:paraId="73F40D7A" w14:textId="77777777" w:rsidTr="008165FE">
        <w:trPr>
          <w:trHeight w:val="315"/>
          <w:tblCellSpacing w:w="14" w:type="dxa"/>
        </w:trPr>
        <w:tc>
          <w:tcPr>
            <w:tcW w:w="2254" w:type="dxa"/>
            <w:vMerge/>
            <w:hideMark/>
          </w:tcPr>
          <w:p w14:paraId="73F40D71" w14:textId="77777777" w:rsidR="008165FE" w:rsidRPr="00824ECA" w:rsidRDefault="008165FE" w:rsidP="00824ECA">
            <w:pPr>
              <w:pStyle w:val="TableTextEntries"/>
            </w:pPr>
          </w:p>
        </w:tc>
        <w:tc>
          <w:tcPr>
            <w:tcW w:w="1673" w:type="dxa"/>
            <w:shd w:val="clear" w:color="auto" w:fill="auto"/>
            <w:hideMark/>
          </w:tcPr>
          <w:p w14:paraId="73F40D72" w14:textId="77777777" w:rsidR="008165FE" w:rsidRPr="00824ECA" w:rsidRDefault="008165FE" w:rsidP="00824ECA">
            <w:pPr>
              <w:pStyle w:val="TableTextEntries"/>
            </w:pPr>
            <w:r w:rsidRPr="00824ECA">
              <w:t>(2007-16)</w:t>
            </w:r>
          </w:p>
        </w:tc>
        <w:tc>
          <w:tcPr>
            <w:tcW w:w="965" w:type="dxa"/>
            <w:shd w:val="clear" w:color="auto" w:fill="auto"/>
            <w:noWrap/>
            <w:hideMark/>
          </w:tcPr>
          <w:p w14:paraId="73F40D73" w14:textId="77777777" w:rsidR="008165FE" w:rsidRPr="00824ECA" w:rsidRDefault="008165FE" w:rsidP="00824ECA">
            <w:pPr>
              <w:pStyle w:val="TableTextEntries"/>
            </w:pPr>
            <w:r w:rsidRPr="00824ECA">
              <w:t>2012</w:t>
            </w:r>
          </w:p>
        </w:tc>
        <w:tc>
          <w:tcPr>
            <w:tcW w:w="1176" w:type="dxa"/>
            <w:shd w:val="clear" w:color="000000" w:fill="339966"/>
            <w:noWrap/>
            <w:vAlign w:val="center"/>
            <w:hideMark/>
          </w:tcPr>
          <w:p w14:paraId="73F40D74"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6</w:t>
            </w:r>
          </w:p>
        </w:tc>
        <w:tc>
          <w:tcPr>
            <w:tcW w:w="1177" w:type="dxa"/>
            <w:shd w:val="clear" w:color="000000" w:fill="339966"/>
            <w:noWrap/>
            <w:vAlign w:val="center"/>
            <w:hideMark/>
          </w:tcPr>
          <w:p w14:paraId="73F40D75"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339966"/>
            <w:noWrap/>
            <w:vAlign w:val="center"/>
            <w:hideMark/>
          </w:tcPr>
          <w:p w14:paraId="73F40D76"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FFFF00"/>
            <w:noWrap/>
            <w:vAlign w:val="center"/>
            <w:hideMark/>
          </w:tcPr>
          <w:p w14:paraId="73F40D77"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77" w:type="dxa"/>
            <w:shd w:val="clear" w:color="000000" w:fill="339966"/>
            <w:noWrap/>
            <w:vAlign w:val="center"/>
            <w:hideMark/>
          </w:tcPr>
          <w:p w14:paraId="73F40D78"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63" w:type="dxa"/>
            <w:shd w:val="clear" w:color="000000" w:fill="339966"/>
            <w:noWrap/>
            <w:vAlign w:val="center"/>
            <w:hideMark/>
          </w:tcPr>
          <w:p w14:paraId="73F40D79"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r>
      <w:tr w:rsidR="008165FE" w:rsidRPr="008165FE" w14:paraId="73F40D84" w14:textId="77777777" w:rsidTr="008165FE">
        <w:trPr>
          <w:trHeight w:val="300"/>
          <w:tblCellSpacing w:w="14" w:type="dxa"/>
        </w:trPr>
        <w:tc>
          <w:tcPr>
            <w:tcW w:w="2254" w:type="dxa"/>
            <w:vMerge w:val="restart"/>
            <w:shd w:val="clear" w:color="auto" w:fill="auto"/>
            <w:hideMark/>
          </w:tcPr>
          <w:p w14:paraId="73F40D7B" w14:textId="77777777" w:rsidR="008165FE" w:rsidRPr="00824ECA" w:rsidRDefault="008165FE" w:rsidP="00824ECA">
            <w:pPr>
              <w:pStyle w:val="TableTextEntries"/>
            </w:pPr>
            <w:r w:rsidRPr="00824ECA">
              <w:t>Samoa Economic Infrastructure</w:t>
            </w:r>
          </w:p>
        </w:tc>
        <w:tc>
          <w:tcPr>
            <w:tcW w:w="1673" w:type="dxa"/>
            <w:shd w:val="clear" w:color="auto" w:fill="auto"/>
            <w:hideMark/>
          </w:tcPr>
          <w:p w14:paraId="73F40D7C" w14:textId="77777777" w:rsidR="008165FE" w:rsidRPr="00824ECA" w:rsidRDefault="008165FE" w:rsidP="00824ECA">
            <w:pPr>
              <w:pStyle w:val="TableTextEntries"/>
            </w:pPr>
            <w:r w:rsidRPr="00824ECA">
              <w:t>$20,000,000</w:t>
            </w:r>
          </w:p>
        </w:tc>
        <w:tc>
          <w:tcPr>
            <w:tcW w:w="965" w:type="dxa"/>
            <w:shd w:val="clear" w:color="auto" w:fill="auto"/>
            <w:noWrap/>
            <w:hideMark/>
          </w:tcPr>
          <w:p w14:paraId="73F40D7D" w14:textId="77777777" w:rsidR="008165FE" w:rsidRPr="00824ECA" w:rsidRDefault="008165FE" w:rsidP="00824ECA">
            <w:pPr>
              <w:pStyle w:val="TableTextEntries"/>
            </w:pPr>
            <w:r w:rsidRPr="00824ECA">
              <w:t>2013</w:t>
            </w:r>
          </w:p>
        </w:tc>
        <w:tc>
          <w:tcPr>
            <w:tcW w:w="1176" w:type="dxa"/>
            <w:shd w:val="clear" w:color="auto" w:fill="auto"/>
            <w:noWrap/>
            <w:vAlign w:val="bottom"/>
            <w:hideMark/>
          </w:tcPr>
          <w:p w14:paraId="73F40D7E"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7F"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80"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81"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82" w14:textId="77777777" w:rsidR="008165FE" w:rsidRPr="008165FE" w:rsidRDefault="008165FE" w:rsidP="008165FE">
            <w:pPr>
              <w:rPr>
                <w:rFonts w:ascii="Calibri" w:eastAsia="Times New Roman" w:hAnsi="Calibri" w:cs="Calibri"/>
                <w:color w:val="000000"/>
                <w:sz w:val="22"/>
                <w:szCs w:val="22"/>
              </w:rPr>
            </w:pPr>
          </w:p>
        </w:tc>
        <w:tc>
          <w:tcPr>
            <w:tcW w:w="1163" w:type="dxa"/>
            <w:shd w:val="clear" w:color="auto" w:fill="auto"/>
            <w:noWrap/>
            <w:vAlign w:val="bottom"/>
            <w:hideMark/>
          </w:tcPr>
          <w:p w14:paraId="73F40D83" w14:textId="77777777" w:rsidR="008165FE" w:rsidRPr="008165FE" w:rsidRDefault="008165FE" w:rsidP="008165FE">
            <w:pPr>
              <w:rPr>
                <w:rFonts w:ascii="Calibri" w:eastAsia="Times New Roman" w:hAnsi="Calibri" w:cs="Calibri"/>
                <w:color w:val="000000"/>
                <w:sz w:val="22"/>
                <w:szCs w:val="22"/>
              </w:rPr>
            </w:pPr>
          </w:p>
        </w:tc>
      </w:tr>
      <w:tr w:rsidR="008165FE" w:rsidRPr="008165FE" w14:paraId="73F40D8E" w14:textId="77777777" w:rsidTr="008165FE">
        <w:trPr>
          <w:trHeight w:val="315"/>
          <w:tblCellSpacing w:w="14" w:type="dxa"/>
        </w:trPr>
        <w:tc>
          <w:tcPr>
            <w:tcW w:w="2254" w:type="dxa"/>
            <w:vMerge/>
            <w:hideMark/>
          </w:tcPr>
          <w:p w14:paraId="73F40D85" w14:textId="77777777" w:rsidR="008165FE" w:rsidRPr="00824ECA" w:rsidRDefault="008165FE" w:rsidP="00824ECA">
            <w:pPr>
              <w:pStyle w:val="TableTextEntries"/>
            </w:pPr>
          </w:p>
        </w:tc>
        <w:tc>
          <w:tcPr>
            <w:tcW w:w="1673" w:type="dxa"/>
            <w:shd w:val="clear" w:color="auto" w:fill="auto"/>
            <w:hideMark/>
          </w:tcPr>
          <w:p w14:paraId="73F40D86" w14:textId="77777777" w:rsidR="008165FE" w:rsidRPr="00824ECA" w:rsidRDefault="008165FE" w:rsidP="00824ECA">
            <w:pPr>
              <w:pStyle w:val="TableTextEntries"/>
            </w:pPr>
            <w:r w:rsidRPr="00824ECA">
              <w:t>(2012-17)</w:t>
            </w:r>
          </w:p>
        </w:tc>
        <w:tc>
          <w:tcPr>
            <w:tcW w:w="965" w:type="dxa"/>
            <w:shd w:val="clear" w:color="auto" w:fill="auto"/>
            <w:noWrap/>
            <w:hideMark/>
          </w:tcPr>
          <w:p w14:paraId="73F40D87" w14:textId="77777777" w:rsidR="008165FE" w:rsidRPr="00824ECA" w:rsidRDefault="008165FE" w:rsidP="00824ECA">
            <w:pPr>
              <w:pStyle w:val="TableTextEntries"/>
            </w:pPr>
            <w:r w:rsidRPr="00824ECA">
              <w:t>2012</w:t>
            </w:r>
          </w:p>
        </w:tc>
        <w:tc>
          <w:tcPr>
            <w:tcW w:w="1176" w:type="dxa"/>
            <w:shd w:val="clear" w:color="auto" w:fill="auto"/>
            <w:noWrap/>
            <w:vAlign w:val="bottom"/>
            <w:hideMark/>
          </w:tcPr>
          <w:p w14:paraId="73F40D88"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89"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8A"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8B" w14:textId="77777777" w:rsidR="008165FE" w:rsidRPr="008165FE" w:rsidRDefault="008165FE" w:rsidP="008165FE">
            <w:pPr>
              <w:rPr>
                <w:rFonts w:ascii="Calibri" w:eastAsia="Times New Roman" w:hAnsi="Calibri" w:cs="Calibri"/>
                <w:color w:val="000000"/>
                <w:sz w:val="22"/>
                <w:szCs w:val="22"/>
              </w:rPr>
            </w:pPr>
          </w:p>
        </w:tc>
        <w:tc>
          <w:tcPr>
            <w:tcW w:w="1177" w:type="dxa"/>
            <w:shd w:val="clear" w:color="auto" w:fill="auto"/>
            <w:noWrap/>
            <w:vAlign w:val="bottom"/>
            <w:hideMark/>
          </w:tcPr>
          <w:p w14:paraId="73F40D8C" w14:textId="77777777" w:rsidR="008165FE" w:rsidRPr="008165FE" w:rsidRDefault="008165FE" w:rsidP="008165FE">
            <w:pPr>
              <w:rPr>
                <w:rFonts w:ascii="Calibri" w:eastAsia="Times New Roman" w:hAnsi="Calibri" w:cs="Calibri"/>
                <w:color w:val="000000"/>
                <w:sz w:val="22"/>
                <w:szCs w:val="22"/>
              </w:rPr>
            </w:pPr>
          </w:p>
        </w:tc>
        <w:tc>
          <w:tcPr>
            <w:tcW w:w="1163" w:type="dxa"/>
            <w:shd w:val="clear" w:color="auto" w:fill="auto"/>
            <w:noWrap/>
            <w:vAlign w:val="bottom"/>
            <w:hideMark/>
          </w:tcPr>
          <w:p w14:paraId="73F40D8D" w14:textId="77777777" w:rsidR="008165FE" w:rsidRPr="008165FE" w:rsidRDefault="008165FE" w:rsidP="008165FE">
            <w:pPr>
              <w:rPr>
                <w:rFonts w:ascii="Calibri" w:eastAsia="Times New Roman" w:hAnsi="Calibri" w:cs="Calibri"/>
                <w:color w:val="000000"/>
                <w:sz w:val="22"/>
                <w:szCs w:val="22"/>
              </w:rPr>
            </w:pPr>
          </w:p>
        </w:tc>
      </w:tr>
      <w:tr w:rsidR="008165FE" w:rsidRPr="008165FE" w14:paraId="73F40D98" w14:textId="77777777" w:rsidTr="008165FE">
        <w:trPr>
          <w:trHeight w:val="300"/>
          <w:tblCellSpacing w:w="14" w:type="dxa"/>
        </w:trPr>
        <w:tc>
          <w:tcPr>
            <w:tcW w:w="2254" w:type="dxa"/>
            <w:vMerge w:val="restart"/>
            <w:shd w:val="clear" w:color="auto" w:fill="auto"/>
            <w:hideMark/>
          </w:tcPr>
          <w:p w14:paraId="73F40D8F" w14:textId="77777777" w:rsidR="008165FE" w:rsidRPr="00824ECA" w:rsidRDefault="008165FE" w:rsidP="00824ECA">
            <w:pPr>
              <w:pStyle w:val="TableTextEntries"/>
            </w:pPr>
            <w:r w:rsidRPr="00824ECA">
              <w:t>Samoa ESPII Implementation</w:t>
            </w:r>
          </w:p>
        </w:tc>
        <w:tc>
          <w:tcPr>
            <w:tcW w:w="1673" w:type="dxa"/>
            <w:shd w:val="clear" w:color="auto" w:fill="auto"/>
            <w:hideMark/>
          </w:tcPr>
          <w:p w14:paraId="73F40D90" w14:textId="77777777" w:rsidR="008165FE" w:rsidRPr="00824ECA" w:rsidRDefault="008165FE" w:rsidP="00824ECA">
            <w:pPr>
              <w:pStyle w:val="TableTextEntries"/>
            </w:pPr>
            <w:r w:rsidRPr="00824ECA">
              <w:t>$10,415,469</w:t>
            </w:r>
          </w:p>
        </w:tc>
        <w:tc>
          <w:tcPr>
            <w:tcW w:w="965" w:type="dxa"/>
            <w:shd w:val="clear" w:color="auto" w:fill="auto"/>
            <w:noWrap/>
            <w:hideMark/>
          </w:tcPr>
          <w:p w14:paraId="73F40D91" w14:textId="77777777" w:rsidR="008165FE" w:rsidRPr="00824ECA" w:rsidRDefault="008165FE" w:rsidP="00824ECA">
            <w:pPr>
              <w:pStyle w:val="TableTextEntries"/>
            </w:pPr>
            <w:r w:rsidRPr="00824ECA">
              <w:t>2013</w:t>
            </w:r>
          </w:p>
        </w:tc>
        <w:tc>
          <w:tcPr>
            <w:tcW w:w="1176" w:type="dxa"/>
            <w:shd w:val="clear" w:color="000000" w:fill="339966"/>
            <w:noWrap/>
            <w:vAlign w:val="center"/>
            <w:hideMark/>
          </w:tcPr>
          <w:p w14:paraId="73F40D92"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FFFF00"/>
            <w:noWrap/>
            <w:vAlign w:val="center"/>
            <w:hideMark/>
          </w:tcPr>
          <w:p w14:paraId="73F40D93"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77" w:type="dxa"/>
            <w:shd w:val="clear" w:color="000000" w:fill="FFFF00"/>
            <w:noWrap/>
            <w:vAlign w:val="center"/>
            <w:hideMark/>
          </w:tcPr>
          <w:p w14:paraId="73F40D94"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77" w:type="dxa"/>
            <w:shd w:val="clear" w:color="000000" w:fill="FF0000"/>
            <w:noWrap/>
            <w:vAlign w:val="center"/>
            <w:hideMark/>
          </w:tcPr>
          <w:p w14:paraId="73F40D95"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2</w:t>
            </w:r>
          </w:p>
        </w:tc>
        <w:tc>
          <w:tcPr>
            <w:tcW w:w="1177" w:type="dxa"/>
            <w:shd w:val="clear" w:color="000000" w:fill="FFFF00"/>
            <w:noWrap/>
            <w:vAlign w:val="center"/>
            <w:hideMark/>
          </w:tcPr>
          <w:p w14:paraId="73F40D96"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63" w:type="dxa"/>
            <w:shd w:val="clear" w:color="000000" w:fill="FF0000"/>
            <w:noWrap/>
            <w:vAlign w:val="center"/>
            <w:hideMark/>
          </w:tcPr>
          <w:p w14:paraId="73F40D97"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2</w:t>
            </w:r>
          </w:p>
        </w:tc>
      </w:tr>
      <w:tr w:rsidR="008165FE" w:rsidRPr="008165FE" w14:paraId="73F40DA2" w14:textId="77777777" w:rsidTr="008165FE">
        <w:trPr>
          <w:trHeight w:val="315"/>
          <w:tblCellSpacing w:w="14" w:type="dxa"/>
        </w:trPr>
        <w:tc>
          <w:tcPr>
            <w:tcW w:w="2254" w:type="dxa"/>
            <w:vMerge/>
            <w:hideMark/>
          </w:tcPr>
          <w:p w14:paraId="73F40D99" w14:textId="77777777" w:rsidR="008165FE" w:rsidRPr="00824ECA" w:rsidRDefault="008165FE" w:rsidP="00824ECA">
            <w:pPr>
              <w:pStyle w:val="TableTextEntries"/>
            </w:pPr>
          </w:p>
        </w:tc>
        <w:tc>
          <w:tcPr>
            <w:tcW w:w="1673" w:type="dxa"/>
            <w:shd w:val="clear" w:color="auto" w:fill="auto"/>
            <w:hideMark/>
          </w:tcPr>
          <w:p w14:paraId="73F40D9A" w14:textId="77777777" w:rsidR="008165FE" w:rsidRPr="00824ECA" w:rsidRDefault="008165FE" w:rsidP="00824ECA">
            <w:pPr>
              <w:pStyle w:val="TableTextEntries"/>
            </w:pPr>
            <w:r w:rsidRPr="00824ECA">
              <w:t>(2006-15)</w:t>
            </w:r>
          </w:p>
        </w:tc>
        <w:tc>
          <w:tcPr>
            <w:tcW w:w="965" w:type="dxa"/>
            <w:shd w:val="clear" w:color="auto" w:fill="auto"/>
            <w:noWrap/>
            <w:hideMark/>
          </w:tcPr>
          <w:p w14:paraId="73F40D9B" w14:textId="77777777" w:rsidR="008165FE" w:rsidRPr="00824ECA" w:rsidRDefault="008165FE" w:rsidP="00824ECA">
            <w:pPr>
              <w:pStyle w:val="TableTextEntries"/>
            </w:pPr>
            <w:r w:rsidRPr="00824ECA">
              <w:t>2012</w:t>
            </w:r>
          </w:p>
        </w:tc>
        <w:tc>
          <w:tcPr>
            <w:tcW w:w="1176" w:type="dxa"/>
            <w:shd w:val="clear" w:color="000000" w:fill="339966"/>
            <w:noWrap/>
            <w:vAlign w:val="center"/>
            <w:hideMark/>
          </w:tcPr>
          <w:p w14:paraId="73F40D9C"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6</w:t>
            </w:r>
          </w:p>
        </w:tc>
        <w:tc>
          <w:tcPr>
            <w:tcW w:w="1177" w:type="dxa"/>
            <w:shd w:val="clear" w:color="000000" w:fill="339966"/>
            <w:noWrap/>
            <w:vAlign w:val="center"/>
            <w:hideMark/>
          </w:tcPr>
          <w:p w14:paraId="73F40D9D"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339966"/>
            <w:noWrap/>
            <w:vAlign w:val="center"/>
            <w:hideMark/>
          </w:tcPr>
          <w:p w14:paraId="73F40D9E"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FFFF00"/>
            <w:noWrap/>
            <w:vAlign w:val="center"/>
            <w:hideMark/>
          </w:tcPr>
          <w:p w14:paraId="73F40D9F"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77" w:type="dxa"/>
            <w:shd w:val="clear" w:color="000000" w:fill="339966"/>
            <w:noWrap/>
            <w:vAlign w:val="center"/>
            <w:hideMark/>
          </w:tcPr>
          <w:p w14:paraId="73F40DA0"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6</w:t>
            </w:r>
          </w:p>
        </w:tc>
        <w:tc>
          <w:tcPr>
            <w:tcW w:w="1163" w:type="dxa"/>
            <w:shd w:val="clear" w:color="000000" w:fill="339966"/>
            <w:noWrap/>
            <w:vAlign w:val="center"/>
            <w:hideMark/>
          </w:tcPr>
          <w:p w14:paraId="73F40DA1"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r>
      <w:tr w:rsidR="008165FE" w:rsidRPr="008165FE" w14:paraId="73F40DAC" w14:textId="77777777" w:rsidTr="008165FE">
        <w:trPr>
          <w:trHeight w:val="300"/>
          <w:tblCellSpacing w:w="14" w:type="dxa"/>
        </w:trPr>
        <w:tc>
          <w:tcPr>
            <w:tcW w:w="2254" w:type="dxa"/>
            <w:vMerge w:val="restart"/>
            <w:shd w:val="clear" w:color="auto" w:fill="auto"/>
            <w:hideMark/>
          </w:tcPr>
          <w:p w14:paraId="73F40DA3" w14:textId="77777777" w:rsidR="008165FE" w:rsidRPr="00824ECA" w:rsidRDefault="008165FE" w:rsidP="00824ECA">
            <w:pPr>
              <w:pStyle w:val="TableTextEntries"/>
            </w:pPr>
            <w:r w:rsidRPr="00824ECA">
              <w:t>Samoa Inclusive Education Demonstration Program</w:t>
            </w:r>
          </w:p>
        </w:tc>
        <w:tc>
          <w:tcPr>
            <w:tcW w:w="1673" w:type="dxa"/>
            <w:shd w:val="clear" w:color="auto" w:fill="auto"/>
            <w:hideMark/>
          </w:tcPr>
          <w:p w14:paraId="73F40DA4" w14:textId="77777777" w:rsidR="008165FE" w:rsidRPr="00824ECA" w:rsidRDefault="008165FE" w:rsidP="00824ECA">
            <w:pPr>
              <w:pStyle w:val="TableTextEntries"/>
            </w:pPr>
            <w:r w:rsidRPr="00824ECA">
              <w:t>$5,053,981</w:t>
            </w:r>
          </w:p>
        </w:tc>
        <w:tc>
          <w:tcPr>
            <w:tcW w:w="965" w:type="dxa"/>
            <w:shd w:val="clear" w:color="auto" w:fill="auto"/>
            <w:noWrap/>
            <w:hideMark/>
          </w:tcPr>
          <w:p w14:paraId="73F40DA5" w14:textId="77777777" w:rsidR="008165FE" w:rsidRPr="00824ECA" w:rsidRDefault="008165FE" w:rsidP="00824ECA">
            <w:pPr>
              <w:pStyle w:val="TableTextEntries"/>
            </w:pPr>
            <w:r w:rsidRPr="00824ECA">
              <w:t>2013</w:t>
            </w:r>
          </w:p>
        </w:tc>
        <w:tc>
          <w:tcPr>
            <w:tcW w:w="1176" w:type="dxa"/>
            <w:shd w:val="clear" w:color="000000" w:fill="FFFF00"/>
            <w:noWrap/>
            <w:vAlign w:val="center"/>
            <w:hideMark/>
          </w:tcPr>
          <w:p w14:paraId="73F40DA6"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77" w:type="dxa"/>
            <w:shd w:val="clear" w:color="000000" w:fill="FFFF00"/>
            <w:noWrap/>
            <w:vAlign w:val="center"/>
            <w:hideMark/>
          </w:tcPr>
          <w:p w14:paraId="73F40DA7"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77" w:type="dxa"/>
            <w:shd w:val="clear" w:color="000000" w:fill="FF9900"/>
            <w:noWrap/>
            <w:vAlign w:val="center"/>
            <w:hideMark/>
          </w:tcPr>
          <w:p w14:paraId="73F40DA8"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3</w:t>
            </w:r>
          </w:p>
        </w:tc>
        <w:tc>
          <w:tcPr>
            <w:tcW w:w="1177" w:type="dxa"/>
            <w:shd w:val="clear" w:color="000000" w:fill="FF0000"/>
            <w:noWrap/>
            <w:vAlign w:val="center"/>
            <w:hideMark/>
          </w:tcPr>
          <w:p w14:paraId="73F40DA9"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2</w:t>
            </w:r>
          </w:p>
        </w:tc>
        <w:tc>
          <w:tcPr>
            <w:tcW w:w="1177" w:type="dxa"/>
            <w:shd w:val="clear" w:color="000000" w:fill="FF0000"/>
            <w:noWrap/>
            <w:vAlign w:val="center"/>
            <w:hideMark/>
          </w:tcPr>
          <w:p w14:paraId="73F40DAA"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2</w:t>
            </w:r>
          </w:p>
        </w:tc>
        <w:tc>
          <w:tcPr>
            <w:tcW w:w="1163" w:type="dxa"/>
            <w:shd w:val="clear" w:color="000000" w:fill="FF0000"/>
            <w:noWrap/>
            <w:vAlign w:val="center"/>
            <w:hideMark/>
          </w:tcPr>
          <w:p w14:paraId="73F40DAB"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2</w:t>
            </w:r>
          </w:p>
        </w:tc>
      </w:tr>
      <w:tr w:rsidR="008165FE" w:rsidRPr="008165FE" w14:paraId="73F40DB6" w14:textId="77777777" w:rsidTr="008165FE">
        <w:trPr>
          <w:trHeight w:val="315"/>
          <w:tblCellSpacing w:w="14" w:type="dxa"/>
        </w:trPr>
        <w:tc>
          <w:tcPr>
            <w:tcW w:w="2254" w:type="dxa"/>
            <w:vMerge/>
            <w:hideMark/>
          </w:tcPr>
          <w:p w14:paraId="73F40DAD" w14:textId="77777777" w:rsidR="008165FE" w:rsidRPr="00824ECA" w:rsidRDefault="008165FE" w:rsidP="00824ECA">
            <w:pPr>
              <w:pStyle w:val="TableTextEntries"/>
            </w:pPr>
          </w:p>
        </w:tc>
        <w:tc>
          <w:tcPr>
            <w:tcW w:w="1673" w:type="dxa"/>
            <w:shd w:val="clear" w:color="auto" w:fill="auto"/>
            <w:hideMark/>
          </w:tcPr>
          <w:p w14:paraId="73F40DAE" w14:textId="77777777" w:rsidR="008165FE" w:rsidRPr="00824ECA" w:rsidRDefault="008165FE" w:rsidP="00824ECA">
            <w:pPr>
              <w:pStyle w:val="TableTextEntries"/>
            </w:pPr>
            <w:r w:rsidRPr="00824ECA">
              <w:t>(2009-17)</w:t>
            </w:r>
          </w:p>
        </w:tc>
        <w:tc>
          <w:tcPr>
            <w:tcW w:w="965" w:type="dxa"/>
            <w:shd w:val="clear" w:color="auto" w:fill="auto"/>
            <w:noWrap/>
            <w:hideMark/>
          </w:tcPr>
          <w:p w14:paraId="73F40DAF" w14:textId="77777777" w:rsidR="008165FE" w:rsidRPr="00824ECA" w:rsidRDefault="008165FE" w:rsidP="00824ECA">
            <w:pPr>
              <w:pStyle w:val="TableTextEntries"/>
            </w:pPr>
            <w:r w:rsidRPr="00824ECA">
              <w:t>2012</w:t>
            </w:r>
          </w:p>
        </w:tc>
        <w:tc>
          <w:tcPr>
            <w:tcW w:w="1176" w:type="dxa"/>
            <w:shd w:val="clear" w:color="000000" w:fill="339966"/>
            <w:noWrap/>
            <w:vAlign w:val="center"/>
            <w:hideMark/>
          </w:tcPr>
          <w:p w14:paraId="73F40DB0"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339966"/>
            <w:noWrap/>
            <w:vAlign w:val="center"/>
            <w:hideMark/>
          </w:tcPr>
          <w:p w14:paraId="73F40DB1"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339966"/>
            <w:noWrap/>
            <w:vAlign w:val="center"/>
            <w:hideMark/>
          </w:tcPr>
          <w:p w14:paraId="73F40DB2"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FF9900"/>
            <w:noWrap/>
            <w:vAlign w:val="center"/>
            <w:hideMark/>
          </w:tcPr>
          <w:p w14:paraId="73F40DB3"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3</w:t>
            </w:r>
          </w:p>
        </w:tc>
        <w:tc>
          <w:tcPr>
            <w:tcW w:w="1177" w:type="dxa"/>
            <w:shd w:val="clear" w:color="000000" w:fill="FFFF00"/>
            <w:noWrap/>
            <w:vAlign w:val="center"/>
            <w:hideMark/>
          </w:tcPr>
          <w:p w14:paraId="73F40DB4"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63" w:type="dxa"/>
            <w:shd w:val="clear" w:color="000000" w:fill="339966"/>
            <w:noWrap/>
            <w:vAlign w:val="center"/>
            <w:hideMark/>
          </w:tcPr>
          <w:p w14:paraId="73F40DB5"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r>
      <w:tr w:rsidR="008165FE" w:rsidRPr="008165FE" w14:paraId="73F40DC0" w14:textId="77777777" w:rsidTr="008165FE">
        <w:trPr>
          <w:trHeight w:val="300"/>
          <w:tblCellSpacing w:w="14" w:type="dxa"/>
        </w:trPr>
        <w:tc>
          <w:tcPr>
            <w:tcW w:w="2254" w:type="dxa"/>
            <w:vMerge w:val="restart"/>
            <w:shd w:val="clear" w:color="auto" w:fill="auto"/>
            <w:hideMark/>
          </w:tcPr>
          <w:p w14:paraId="73F40DB7" w14:textId="77777777" w:rsidR="008165FE" w:rsidRPr="00824ECA" w:rsidRDefault="008165FE" w:rsidP="00824ECA">
            <w:pPr>
              <w:pStyle w:val="TableTextEntries"/>
            </w:pPr>
            <w:r w:rsidRPr="00824ECA">
              <w:t>Australian Development Scholarships - Apia</w:t>
            </w:r>
          </w:p>
        </w:tc>
        <w:tc>
          <w:tcPr>
            <w:tcW w:w="1673" w:type="dxa"/>
            <w:shd w:val="clear" w:color="auto" w:fill="auto"/>
            <w:hideMark/>
          </w:tcPr>
          <w:p w14:paraId="73F40DB8" w14:textId="77777777" w:rsidR="008165FE" w:rsidRPr="00824ECA" w:rsidRDefault="008165FE" w:rsidP="00824ECA">
            <w:pPr>
              <w:pStyle w:val="TableTextEntries"/>
            </w:pPr>
            <w:r w:rsidRPr="00824ECA">
              <w:t>$4,374,899</w:t>
            </w:r>
          </w:p>
        </w:tc>
        <w:tc>
          <w:tcPr>
            <w:tcW w:w="965" w:type="dxa"/>
            <w:shd w:val="clear" w:color="auto" w:fill="auto"/>
            <w:noWrap/>
            <w:hideMark/>
          </w:tcPr>
          <w:p w14:paraId="73F40DB9" w14:textId="77777777" w:rsidR="008165FE" w:rsidRPr="00824ECA" w:rsidRDefault="008165FE" w:rsidP="00824ECA">
            <w:pPr>
              <w:pStyle w:val="TableTextEntries"/>
            </w:pPr>
            <w:r w:rsidRPr="00824ECA">
              <w:t>2013</w:t>
            </w:r>
          </w:p>
        </w:tc>
        <w:tc>
          <w:tcPr>
            <w:tcW w:w="1176" w:type="dxa"/>
            <w:shd w:val="clear" w:color="000000" w:fill="339966"/>
            <w:noWrap/>
            <w:vAlign w:val="center"/>
            <w:hideMark/>
          </w:tcPr>
          <w:p w14:paraId="73F40DBA"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FFFF00"/>
            <w:noWrap/>
            <w:vAlign w:val="center"/>
            <w:hideMark/>
          </w:tcPr>
          <w:p w14:paraId="73F40DBB"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77" w:type="dxa"/>
            <w:shd w:val="clear" w:color="000000" w:fill="339966"/>
            <w:noWrap/>
            <w:vAlign w:val="center"/>
            <w:hideMark/>
          </w:tcPr>
          <w:p w14:paraId="73F40DBC"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FF0000"/>
            <w:noWrap/>
            <w:vAlign w:val="center"/>
            <w:hideMark/>
          </w:tcPr>
          <w:p w14:paraId="73F40DBD"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2</w:t>
            </w:r>
          </w:p>
        </w:tc>
        <w:tc>
          <w:tcPr>
            <w:tcW w:w="1177" w:type="dxa"/>
            <w:shd w:val="clear" w:color="000000" w:fill="339966"/>
            <w:noWrap/>
            <w:vAlign w:val="center"/>
            <w:hideMark/>
          </w:tcPr>
          <w:p w14:paraId="73F40DBE"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63" w:type="dxa"/>
            <w:shd w:val="clear" w:color="000000" w:fill="FFFF00"/>
            <w:noWrap/>
            <w:vAlign w:val="center"/>
            <w:hideMark/>
          </w:tcPr>
          <w:p w14:paraId="73F40DBF"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r>
      <w:tr w:rsidR="008165FE" w:rsidRPr="008165FE" w14:paraId="73F40DCA" w14:textId="77777777" w:rsidTr="008165FE">
        <w:trPr>
          <w:trHeight w:val="315"/>
          <w:tblCellSpacing w:w="14" w:type="dxa"/>
        </w:trPr>
        <w:tc>
          <w:tcPr>
            <w:tcW w:w="2254" w:type="dxa"/>
            <w:vMerge/>
            <w:hideMark/>
          </w:tcPr>
          <w:p w14:paraId="73F40DC1" w14:textId="77777777" w:rsidR="008165FE" w:rsidRPr="00824ECA" w:rsidRDefault="008165FE" w:rsidP="00824ECA">
            <w:pPr>
              <w:pStyle w:val="TableTextEntries"/>
            </w:pPr>
          </w:p>
        </w:tc>
        <w:tc>
          <w:tcPr>
            <w:tcW w:w="1673" w:type="dxa"/>
            <w:shd w:val="clear" w:color="auto" w:fill="auto"/>
            <w:hideMark/>
          </w:tcPr>
          <w:p w14:paraId="73F40DC2" w14:textId="77777777" w:rsidR="008165FE" w:rsidRPr="00824ECA" w:rsidRDefault="008165FE" w:rsidP="00824ECA">
            <w:pPr>
              <w:pStyle w:val="TableTextEntries"/>
            </w:pPr>
            <w:r w:rsidRPr="00824ECA">
              <w:t>(2010-16)</w:t>
            </w:r>
          </w:p>
        </w:tc>
        <w:tc>
          <w:tcPr>
            <w:tcW w:w="965" w:type="dxa"/>
            <w:shd w:val="clear" w:color="auto" w:fill="auto"/>
            <w:noWrap/>
            <w:hideMark/>
          </w:tcPr>
          <w:p w14:paraId="73F40DC3" w14:textId="77777777" w:rsidR="008165FE" w:rsidRPr="00824ECA" w:rsidRDefault="008165FE" w:rsidP="00824ECA">
            <w:pPr>
              <w:pStyle w:val="TableTextEntries"/>
            </w:pPr>
            <w:r w:rsidRPr="00824ECA">
              <w:t>2012</w:t>
            </w:r>
          </w:p>
        </w:tc>
        <w:tc>
          <w:tcPr>
            <w:tcW w:w="1176" w:type="dxa"/>
            <w:shd w:val="clear" w:color="000000" w:fill="339966"/>
            <w:noWrap/>
            <w:vAlign w:val="center"/>
            <w:hideMark/>
          </w:tcPr>
          <w:p w14:paraId="73F40DC4"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339966"/>
            <w:noWrap/>
            <w:vAlign w:val="center"/>
            <w:hideMark/>
          </w:tcPr>
          <w:p w14:paraId="73F40DC5"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339966"/>
            <w:noWrap/>
            <w:vAlign w:val="center"/>
            <w:hideMark/>
          </w:tcPr>
          <w:p w14:paraId="73F40DC6"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FFFF00"/>
            <w:noWrap/>
            <w:vAlign w:val="center"/>
            <w:hideMark/>
          </w:tcPr>
          <w:p w14:paraId="73F40DC7"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77" w:type="dxa"/>
            <w:shd w:val="clear" w:color="000000" w:fill="339966"/>
            <w:noWrap/>
            <w:vAlign w:val="center"/>
            <w:hideMark/>
          </w:tcPr>
          <w:p w14:paraId="73F40DC8"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6</w:t>
            </w:r>
          </w:p>
        </w:tc>
        <w:tc>
          <w:tcPr>
            <w:tcW w:w="1163" w:type="dxa"/>
            <w:shd w:val="clear" w:color="000000" w:fill="339966"/>
            <w:noWrap/>
            <w:vAlign w:val="center"/>
            <w:hideMark/>
          </w:tcPr>
          <w:p w14:paraId="73F40DC9"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6</w:t>
            </w:r>
          </w:p>
        </w:tc>
      </w:tr>
      <w:tr w:rsidR="008165FE" w:rsidRPr="008165FE" w14:paraId="73F40DD4" w14:textId="77777777" w:rsidTr="008165FE">
        <w:trPr>
          <w:trHeight w:val="300"/>
          <w:tblCellSpacing w:w="14" w:type="dxa"/>
        </w:trPr>
        <w:tc>
          <w:tcPr>
            <w:tcW w:w="2254" w:type="dxa"/>
            <w:vMerge w:val="restart"/>
            <w:shd w:val="clear" w:color="auto" w:fill="auto"/>
            <w:hideMark/>
          </w:tcPr>
          <w:p w14:paraId="73F40DCB" w14:textId="77777777" w:rsidR="008165FE" w:rsidRPr="00824ECA" w:rsidRDefault="008165FE" w:rsidP="00824ECA">
            <w:pPr>
              <w:pStyle w:val="TableTextEntries"/>
            </w:pPr>
            <w:r w:rsidRPr="00824ECA">
              <w:t>Samoa School Fees Grant Scheme</w:t>
            </w:r>
          </w:p>
        </w:tc>
        <w:tc>
          <w:tcPr>
            <w:tcW w:w="1673" w:type="dxa"/>
            <w:shd w:val="clear" w:color="auto" w:fill="auto"/>
            <w:hideMark/>
          </w:tcPr>
          <w:p w14:paraId="73F40DCC" w14:textId="77777777" w:rsidR="008165FE" w:rsidRPr="00824ECA" w:rsidRDefault="008165FE" w:rsidP="00824ECA">
            <w:pPr>
              <w:pStyle w:val="TableTextEntries"/>
            </w:pPr>
            <w:r w:rsidRPr="00824ECA">
              <w:t>$3,540,000</w:t>
            </w:r>
          </w:p>
        </w:tc>
        <w:tc>
          <w:tcPr>
            <w:tcW w:w="965" w:type="dxa"/>
            <w:shd w:val="clear" w:color="auto" w:fill="auto"/>
            <w:noWrap/>
            <w:hideMark/>
          </w:tcPr>
          <w:p w14:paraId="73F40DCD" w14:textId="77777777" w:rsidR="008165FE" w:rsidRPr="00824ECA" w:rsidRDefault="008165FE" w:rsidP="00824ECA">
            <w:pPr>
              <w:pStyle w:val="TableTextEntries"/>
            </w:pPr>
            <w:r w:rsidRPr="00824ECA">
              <w:t>2013</w:t>
            </w:r>
          </w:p>
        </w:tc>
        <w:tc>
          <w:tcPr>
            <w:tcW w:w="1176" w:type="dxa"/>
            <w:shd w:val="clear" w:color="000000" w:fill="339966"/>
            <w:noWrap/>
            <w:vAlign w:val="center"/>
            <w:hideMark/>
          </w:tcPr>
          <w:p w14:paraId="73F40DCE"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FFFF00"/>
            <w:noWrap/>
            <w:vAlign w:val="center"/>
            <w:hideMark/>
          </w:tcPr>
          <w:p w14:paraId="73F40DCF"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77" w:type="dxa"/>
            <w:shd w:val="clear" w:color="000000" w:fill="FFFF00"/>
            <w:noWrap/>
            <w:vAlign w:val="center"/>
            <w:hideMark/>
          </w:tcPr>
          <w:p w14:paraId="73F40DD0"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77" w:type="dxa"/>
            <w:shd w:val="clear" w:color="000000" w:fill="FFFF00"/>
            <w:noWrap/>
            <w:vAlign w:val="center"/>
            <w:hideMark/>
          </w:tcPr>
          <w:p w14:paraId="73F40DD1"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77" w:type="dxa"/>
            <w:shd w:val="clear" w:color="000000" w:fill="FFFF00"/>
            <w:noWrap/>
            <w:vAlign w:val="center"/>
            <w:hideMark/>
          </w:tcPr>
          <w:p w14:paraId="73F40DD2"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63" w:type="dxa"/>
            <w:shd w:val="clear" w:color="000000" w:fill="FF9900"/>
            <w:noWrap/>
            <w:vAlign w:val="center"/>
            <w:hideMark/>
          </w:tcPr>
          <w:p w14:paraId="73F40DD3"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3</w:t>
            </w:r>
          </w:p>
        </w:tc>
      </w:tr>
      <w:tr w:rsidR="008165FE" w:rsidRPr="008165FE" w14:paraId="73F40DDE" w14:textId="77777777" w:rsidTr="008165FE">
        <w:trPr>
          <w:trHeight w:val="315"/>
          <w:tblCellSpacing w:w="14" w:type="dxa"/>
        </w:trPr>
        <w:tc>
          <w:tcPr>
            <w:tcW w:w="2254" w:type="dxa"/>
            <w:vMerge/>
            <w:vAlign w:val="center"/>
            <w:hideMark/>
          </w:tcPr>
          <w:p w14:paraId="73F40DD5" w14:textId="77777777" w:rsidR="008165FE" w:rsidRPr="008165FE" w:rsidRDefault="008165FE" w:rsidP="008165FE">
            <w:pPr>
              <w:rPr>
                <w:rFonts w:ascii="Franklin Gothic Book" w:eastAsia="Times New Roman" w:hAnsi="Franklin Gothic Book" w:cs="Calibri"/>
                <w:color w:val="000000"/>
                <w:sz w:val="17"/>
                <w:szCs w:val="17"/>
              </w:rPr>
            </w:pPr>
          </w:p>
        </w:tc>
        <w:tc>
          <w:tcPr>
            <w:tcW w:w="1673" w:type="dxa"/>
            <w:shd w:val="clear" w:color="auto" w:fill="auto"/>
            <w:hideMark/>
          </w:tcPr>
          <w:p w14:paraId="73F40DD6" w14:textId="77777777" w:rsidR="008165FE" w:rsidRPr="008165FE" w:rsidRDefault="008165FE" w:rsidP="008165FE">
            <w:pPr>
              <w:rPr>
                <w:rFonts w:ascii="Franklin Gothic Book" w:eastAsia="Times New Roman" w:hAnsi="Franklin Gothic Book" w:cs="Calibri"/>
                <w:color w:val="000000"/>
                <w:sz w:val="17"/>
                <w:szCs w:val="17"/>
              </w:rPr>
            </w:pPr>
            <w:r w:rsidRPr="008165FE">
              <w:rPr>
                <w:rFonts w:ascii="Franklin Gothic Book" w:eastAsia="Times New Roman" w:hAnsi="Franklin Gothic Book" w:cs="Calibri"/>
                <w:color w:val="000000"/>
                <w:sz w:val="17"/>
                <w:szCs w:val="17"/>
              </w:rPr>
              <w:t>(2001-15)</w:t>
            </w:r>
          </w:p>
        </w:tc>
        <w:tc>
          <w:tcPr>
            <w:tcW w:w="965" w:type="dxa"/>
            <w:shd w:val="clear" w:color="auto" w:fill="auto"/>
            <w:noWrap/>
            <w:vAlign w:val="bottom"/>
            <w:hideMark/>
          </w:tcPr>
          <w:p w14:paraId="73F40DD7" w14:textId="77777777" w:rsidR="008165FE" w:rsidRPr="008165FE" w:rsidRDefault="008165FE" w:rsidP="008165FE">
            <w:pPr>
              <w:jc w:val="right"/>
              <w:rPr>
                <w:rFonts w:ascii="Calibri" w:eastAsia="Times New Roman" w:hAnsi="Calibri" w:cs="Calibri"/>
                <w:color w:val="000000"/>
                <w:sz w:val="22"/>
                <w:szCs w:val="22"/>
              </w:rPr>
            </w:pPr>
            <w:r w:rsidRPr="008165FE">
              <w:rPr>
                <w:rFonts w:ascii="Calibri" w:eastAsia="Times New Roman" w:hAnsi="Calibri" w:cs="Calibri"/>
                <w:color w:val="000000"/>
                <w:sz w:val="22"/>
                <w:szCs w:val="22"/>
              </w:rPr>
              <w:t>2012</w:t>
            </w:r>
          </w:p>
        </w:tc>
        <w:tc>
          <w:tcPr>
            <w:tcW w:w="1176" w:type="dxa"/>
            <w:shd w:val="clear" w:color="000000" w:fill="339966"/>
            <w:noWrap/>
            <w:vAlign w:val="center"/>
            <w:hideMark/>
          </w:tcPr>
          <w:p w14:paraId="73F40DD8"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6</w:t>
            </w:r>
          </w:p>
        </w:tc>
        <w:tc>
          <w:tcPr>
            <w:tcW w:w="1177" w:type="dxa"/>
            <w:shd w:val="clear" w:color="000000" w:fill="339966"/>
            <w:noWrap/>
            <w:vAlign w:val="center"/>
            <w:hideMark/>
          </w:tcPr>
          <w:p w14:paraId="73F40DD9"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339966"/>
            <w:noWrap/>
            <w:vAlign w:val="center"/>
            <w:hideMark/>
          </w:tcPr>
          <w:p w14:paraId="73F40DDA"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339966"/>
            <w:noWrap/>
            <w:vAlign w:val="center"/>
            <w:hideMark/>
          </w:tcPr>
          <w:p w14:paraId="73F40DDB"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6</w:t>
            </w:r>
          </w:p>
        </w:tc>
        <w:tc>
          <w:tcPr>
            <w:tcW w:w="1177" w:type="dxa"/>
            <w:shd w:val="clear" w:color="000000" w:fill="339966"/>
            <w:noWrap/>
            <w:vAlign w:val="center"/>
            <w:hideMark/>
          </w:tcPr>
          <w:p w14:paraId="73F40DDC"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63" w:type="dxa"/>
            <w:shd w:val="clear" w:color="000000" w:fill="339966"/>
            <w:noWrap/>
            <w:vAlign w:val="center"/>
            <w:hideMark/>
          </w:tcPr>
          <w:p w14:paraId="73F40DDD"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r>
      <w:tr w:rsidR="008165FE" w:rsidRPr="008165FE" w14:paraId="73F40DE8" w14:textId="77777777" w:rsidTr="008165FE">
        <w:trPr>
          <w:trHeight w:val="300"/>
          <w:tblCellSpacing w:w="14" w:type="dxa"/>
        </w:trPr>
        <w:tc>
          <w:tcPr>
            <w:tcW w:w="2254" w:type="dxa"/>
            <w:vMerge w:val="restart"/>
            <w:shd w:val="clear" w:color="auto" w:fill="auto"/>
            <w:vAlign w:val="center"/>
            <w:hideMark/>
          </w:tcPr>
          <w:p w14:paraId="73F40DDF" w14:textId="77777777" w:rsidR="008165FE" w:rsidRPr="008165FE" w:rsidRDefault="008165FE" w:rsidP="008165FE">
            <w:pPr>
              <w:rPr>
                <w:rFonts w:ascii="Franklin Gothic Book" w:eastAsia="Times New Roman" w:hAnsi="Franklin Gothic Book" w:cs="Calibri"/>
                <w:color w:val="000000"/>
                <w:sz w:val="17"/>
                <w:szCs w:val="17"/>
              </w:rPr>
            </w:pPr>
            <w:r w:rsidRPr="008165FE">
              <w:rPr>
                <w:rFonts w:ascii="Franklin Gothic Book" w:eastAsia="Times New Roman" w:hAnsi="Franklin Gothic Book" w:cs="Calibri"/>
                <w:color w:val="000000"/>
                <w:sz w:val="17"/>
                <w:szCs w:val="17"/>
              </w:rPr>
              <w:t>Samoa ADS Intake 2011</w:t>
            </w:r>
          </w:p>
        </w:tc>
        <w:tc>
          <w:tcPr>
            <w:tcW w:w="1673" w:type="dxa"/>
            <w:shd w:val="clear" w:color="auto" w:fill="auto"/>
            <w:hideMark/>
          </w:tcPr>
          <w:p w14:paraId="73F40DE0" w14:textId="77777777" w:rsidR="008165FE" w:rsidRPr="008165FE" w:rsidRDefault="008165FE" w:rsidP="008165FE">
            <w:pPr>
              <w:rPr>
                <w:rFonts w:ascii="Franklin Gothic Book" w:eastAsia="Times New Roman" w:hAnsi="Franklin Gothic Book" w:cs="Calibri"/>
                <w:color w:val="000000"/>
                <w:sz w:val="17"/>
                <w:szCs w:val="17"/>
              </w:rPr>
            </w:pPr>
            <w:r w:rsidRPr="008165FE">
              <w:rPr>
                <w:rFonts w:ascii="Franklin Gothic Book" w:eastAsia="Times New Roman" w:hAnsi="Franklin Gothic Book" w:cs="Calibri"/>
                <w:color w:val="000000"/>
                <w:sz w:val="17"/>
                <w:szCs w:val="17"/>
              </w:rPr>
              <w:t>$2,500,000</w:t>
            </w:r>
          </w:p>
        </w:tc>
        <w:tc>
          <w:tcPr>
            <w:tcW w:w="965" w:type="dxa"/>
            <w:shd w:val="clear" w:color="auto" w:fill="auto"/>
            <w:noWrap/>
            <w:vAlign w:val="bottom"/>
            <w:hideMark/>
          </w:tcPr>
          <w:p w14:paraId="73F40DE1" w14:textId="77777777" w:rsidR="008165FE" w:rsidRPr="008165FE" w:rsidRDefault="008165FE" w:rsidP="008165FE">
            <w:pPr>
              <w:jc w:val="right"/>
              <w:rPr>
                <w:rFonts w:ascii="Calibri" w:eastAsia="Times New Roman" w:hAnsi="Calibri" w:cs="Calibri"/>
                <w:color w:val="000000"/>
                <w:sz w:val="22"/>
                <w:szCs w:val="22"/>
              </w:rPr>
            </w:pPr>
            <w:r w:rsidRPr="008165FE">
              <w:rPr>
                <w:rFonts w:ascii="Calibri" w:eastAsia="Times New Roman" w:hAnsi="Calibri" w:cs="Calibri"/>
                <w:color w:val="000000"/>
                <w:sz w:val="22"/>
                <w:szCs w:val="22"/>
              </w:rPr>
              <w:t>2013</w:t>
            </w:r>
          </w:p>
        </w:tc>
        <w:tc>
          <w:tcPr>
            <w:tcW w:w="1176" w:type="dxa"/>
            <w:shd w:val="clear" w:color="000000" w:fill="339966"/>
            <w:noWrap/>
            <w:vAlign w:val="center"/>
            <w:hideMark/>
          </w:tcPr>
          <w:p w14:paraId="73F40DE2"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FFFF00"/>
            <w:noWrap/>
            <w:vAlign w:val="center"/>
            <w:hideMark/>
          </w:tcPr>
          <w:p w14:paraId="73F40DE3"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77" w:type="dxa"/>
            <w:shd w:val="clear" w:color="000000" w:fill="339966"/>
            <w:noWrap/>
            <w:vAlign w:val="center"/>
            <w:hideMark/>
          </w:tcPr>
          <w:p w14:paraId="73F40DE4"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FF0000"/>
            <w:noWrap/>
            <w:vAlign w:val="center"/>
            <w:hideMark/>
          </w:tcPr>
          <w:p w14:paraId="73F40DE5"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2</w:t>
            </w:r>
          </w:p>
        </w:tc>
        <w:tc>
          <w:tcPr>
            <w:tcW w:w="1177" w:type="dxa"/>
            <w:shd w:val="clear" w:color="000000" w:fill="339966"/>
            <w:noWrap/>
            <w:vAlign w:val="center"/>
            <w:hideMark/>
          </w:tcPr>
          <w:p w14:paraId="73F40DE6"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63" w:type="dxa"/>
            <w:shd w:val="clear" w:color="000000" w:fill="FFFF00"/>
            <w:noWrap/>
            <w:vAlign w:val="center"/>
            <w:hideMark/>
          </w:tcPr>
          <w:p w14:paraId="73F40DE7"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r>
      <w:tr w:rsidR="008165FE" w:rsidRPr="008165FE" w14:paraId="73F40DF2" w14:textId="77777777" w:rsidTr="008165FE">
        <w:trPr>
          <w:trHeight w:val="315"/>
          <w:tblCellSpacing w:w="14" w:type="dxa"/>
        </w:trPr>
        <w:tc>
          <w:tcPr>
            <w:tcW w:w="2254" w:type="dxa"/>
            <w:vMerge/>
            <w:vAlign w:val="center"/>
            <w:hideMark/>
          </w:tcPr>
          <w:p w14:paraId="73F40DE9" w14:textId="77777777" w:rsidR="008165FE" w:rsidRPr="008165FE" w:rsidRDefault="008165FE" w:rsidP="008165FE">
            <w:pPr>
              <w:rPr>
                <w:rFonts w:ascii="Franklin Gothic Book" w:eastAsia="Times New Roman" w:hAnsi="Franklin Gothic Book" w:cs="Calibri"/>
                <w:color w:val="000000"/>
                <w:sz w:val="17"/>
                <w:szCs w:val="17"/>
              </w:rPr>
            </w:pPr>
          </w:p>
        </w:tc>
        <w:tc>
          <w:tcPr>
            <w:tcW w:w="1673" w:type="dxa"/>
            <w:shd w:val="clear" w:color="auto" w:fill="auto"/>
            <w:hideMark/>
          </w:tcPr>
          <w:p w14:paraId="73F40DEA" w14:textId="77777777" w:rsidR="008165FE" w:rsidRPr="008165FE" w:rsidRDefault="008165FE" w:rsidP="008165FE">
            <w:pPr>
              <w:rPr>
                <w:rFonts w:ascii="Franklin Gothic Book" w:eastAsia="Times New Roman" w:hAnsi="Franklin Gothic Book" w:cs="Calibri"/>
                <w:color w:val="000000"/>
                <w:sz w:val="17"/>
                <w:szCs w:val="17"/>
              </w:rPr>
            </w:pPr>
            <w:r w:rsidRPr="008165FE">
              <w:rPr>
                <w:rFonts w:ascii="Franklin Gothic Book" w:eastAsia="Times New Roman" w:hAnsi="Franklin Gothic Book" w:cs="Calibri"/>
                <w:color w:val="000000"/>
                <w:sz w:val="17"/>
                <w:szCs w:val="17"/>
              </w:rPr>
              <w:t>(2010-17)</w:t>
            </w:r>
          </w:p>
        </w:tc>
        <w:tc>
          <w:tcPr>
            <w:tcW w:w="965" w:type="dxa"/>
            <w:shd w:val="clear" w:color="auto" w:fill="auto"/>
            <w:noWrap/>
            <w:vAlign w:val="bottom"/>
            <w:hideMark/>
          </w:tcPr>
          <w:p w14:paraId="73F40DEB" w14:textId="77777777" w:rsidR="008165FE" w:rsidRPr="008165FE" w:rsidRDefault="008165FE" w:rsidP="008165FE">
            <w:pPr>
              <w:jc w:val="right"/>
              <w:rPr>
                <w:rFonts w:ascii="Calibri" w:eastAsia="Times New Roman" w:hAnsi="Calibri" w:cs="Calibri"/>
                <w:color w:val="000000"/>
                <w:sz w:val="22"/>
                <w:szCs w:val="22"/>
              </w:rPr>
            </w:pPr>
            <w:r w:rsidRPr="008165FE">
              <w:rPr>
                <w:rFonts w:ascii="Calibri" w:eastAsia="Times New Roman" w:hAnsi="Calibri" w:cs="Calibri"/>
                <w:color w:val="000000"/>
                <w:sz w:val="22"/>
                <w:szCs w:val="22"/>
              </w:rPr>
              <w:t>2012</w:t>
            </w:r>
          </w:p>
        </w:tc>
        <w:tc>
          <w:tcPr>
            <w:tcW w:w="1176" w:type="dxa"/>
            <w:shd w:val="clear" w:color="000000" w:fill="339966"/>
            <w:noWrap/>
            <w:vAlign w:val="center"/>
            <w:hideMark/>
          </w:tcPr>
          <w:p w14:paraId="73F40DEC"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339966"/>
            <w:noWrap/>
            <w:vAlign w:val="center"/>
            <w:hideMark/>
          </w:tcPr>
          <w:p w14:paraId="73F40DED"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6</w:t>
            </w:r>
          </w:p>
        </w:tc>
        <w:tc>
          <w:tcPr>
            <w:tcW w:w="1177" w:type="dxa"/>
            <w:shd w:val="clear" w:color="000000" w:fill="339966"/>
            <w:noWrap/>
            <w:vAlign w:val="center"/>
            <w:hideMark/>
          </w:tcPr>
          <w:p w14:paraId="73F40DEE"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77" w:type="dxa"/>
            <w:shd w:val="clear" w:color="000000" w:fill="FFFF00"/>
            <w:noWrap/>
            <w:vAlign w:val="center"/>
            <w:hideMark/>
          </w:tcPr>
          <w:p w14:paraId="73F40DEF"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4</w:t>
            </w:r>
          </w:p>
        </w:tc>
        <w:tc>
          <w:tcPr>
            <w:tcW w:w="1177" w:type="dxa"/>
            <w:shd w:val="clear" w:color="000000" w:fill="339966"/>
            <w:noWrap/>
            <w:vAlign w:val="center"/>
            <w:hideMark/>
          </w:tcPr>
          <w:p w14:paraId="73F40DF0"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c>
          <w:tcPr>
            <w:tcW w:w="1163" w:type="dxa"/>
            <w:shd w:val="clear" w:color="000000" w:fill="339966"/>
            <w:noWrap/>
            <w:vAlign w:val="center"/>
            <w:hideMark/>
          </w:tcPr>
          <w:p w14:paraId="73F40DF1" w14:textId="77777777" w:rsidR="008165FE" w:rsidRPr="008165FE" w:rsidRDefault="008165FE" w:rsidP="008165FE">
            <w:pPr>
              <w:jc w:val="center"/>
              <w:rPr>
                <w:rFonts w:ascii="Arial" w:eastAsia="Times New Roman" w:hAnsi="Arial" w:cs="Arial"/>
                <w:sz w:val="16"/>
                <w:szCs w:val="16"/>
              </w:rPr>
            </w:pPr>
            <w:r w:rsidRPr="008165FE">
              <w:rPr>
                <w:rFonts w:ascii="Arial" w:eastAsia="Times New Roman" w:hAnsi="Arial" w:cs="Arial"/>
                <w:sz w:val="16"/>
                <w:szCs w:val="16"/>
              </w:rPr>
              <w:t>5</w:t>
            </w:r>
          </w:p>
        </w:tc>
      </w:tr>
    </w:tbl>
    <w:p w14:paraId="73F40DF3" w14:textId="77777777" w:rsidR="00A5348F" w:rsidRDefault="00A5348F" w:rsidP="000D733F">
      <w:pPr>
        <w:pStyle w:val="Note"/>
      </w:pPr>
    </w:p>
    <w:p w14:paraId="73F40DF4" w14:textId="77777777" w:rsidR="000D733F" w:rsidRDefault="000D733F" w:rsidP="000D733F">
      <w:pPr>
        <w:pStyle w:val="Note"/>
      </w:pPr>
      <w:r>
        <w:t>Definitions of rating scale:</w:t>
      </w:r>
      <w:r>
        <w:tab/>
      </w:r>
    </w:p>
    <w:p w14:paraId="73F40DF5" w14:textId="77777777" w:rsidR="000D733F" w:rsidRDefault="000D733F" w:rsidP="000D733F">
      <w:pPr>
        <w:pStyle w:val="Note"/>
      </w:pPr>
      <w:r>
        <w:t>Satisfactory (4, 5 and 6)</w:t>
      </w:r>
    </w:p>
    <w:p w14:paraId="73F40DF6" w14:textId="77777777" w:rsidR="000D733F" w:rsidRDefault="000D733F" w:rsidP="000D733F">
      <w:pPr>
        <w:pStyle w:val="Note"/>
      </w:pPr>
      <w:r w:rsidRPr="00593946">
        <w:rPr>
          <w:color w:val="72AF2F"/>
        </w:rPr>
        <w:sym w:font="Webdings" w:char="F067"/>
      </w:r>
      <w:r>
        <w:t xml:space="preserve"> = 6 = Very high quality</w:t>
      </w:r>
    </w:p>
    <w:p w14:paraId="73F40DF7" w14:textId="77777777" w:rsidR="000D733F" w:rsidRDefault="000D733F" w:rsidP="000D733F">
      <w:pPr>
        <w:pStyle w:val="Note"/>
      </w:pPr>
      <w:r w:rsidRPr="00593946">
        <w:rPr>
          <w:color w:val="72AF2F"/>
        </w:rPr>
        <w:sym w:font="Webdings" w:char="F067"/>
      </w:r>
      <w:r>
        <w:t xml:space="preserve"> = 5 = Good quality</w:t>
      </w:r>
    </w:p>
    <w:p w14:paraId="73F40DF8" w14:textId="77777777" w:rsidR="000D733F" w:rsidRDefault="000D733F" w:rsidP="000D733F">
      <w:pPr>
        <w:pStyle w:val="Note"/>
      </w:pPr>
      <w:r w:rsidRPr="000774FD">
        <w:rPr>
          <w:color w:val="FFFF00"/>
        </w:rPr>
        <w:sym w:font="Webdings" w:char="F067"/>
      </w:r>
      <w:r>
        <w:t xml:space="preserve"> = 4 = Adequate quality, needs some work</w:t>
      </w:r>
    </w:p>
    <w:p w14:paraId="73F40DF9" w14:textId="77777777" w:rsidR="000D733F" w:rsidRDefault="000D733F" w:rsidP="000D733F">
      <w:pPr>
        <w:pStyle w:val="Note"/>
      </w:pPr>
      <w:r>
        <w:t>Less than satisfactory (1, 2 and 3)</w:t>
      </w:r>
    </w:p>
    <w:p w14:paraId="73F40DFA" w14:textId="77777777" w:rsidR="000D733F" w:rsidRDefault="000D733F" w:rsidP="000D733F">
      <w:pPr>
        <w:pStyle w:val="Note"/>
      </w:pPr>
      <w:r w:rsidRPr="00593946">
        <w:rPr>
          <w:color w:val="E36C0A"/>
        </w:rPr>
        <w:sym w:font="Webdings" w:char="F067"/>
      </w:r>
      <w:r w:rsidRPr="00593946">
        <w:rPr>
          <w:color w:val="E36C0A"/>
        </w:rPr>
        <w:t xml:space="preserve"> </w:t>
      </w:r>
      <w:r>
        <w:t>= 3 = Less than adequate quality; needs significant work</w:t>
      </w:r>
    </w:p>
    <w:p w14:paraId="73F40DFB" w14:textId="77777777" w:rsidR="000D733F" w:rsidRDefault="000D733F" w:rsidP="000D733F">
      <w:pPr>
        <w:pStyle w:val="Note"/>
      </w:pPr>
      <w:r w:rsidRPr="000774FD">
        <w:rPr>
          <w:color w:val="FF0000"/>
        </w:rPr>
        <w:sym w:font="Webdings" w:char="F067"/>
      </w:r>
      <w:r>
        <w:t xml:space="preserve"> = 2 = Poor quality; needs major work to improve</w:t>
      </w:r>
    </w:p>
    <w:p w14:paraId="73F40DFC" w14:textId="77777777" w:rsidR="000D733F" w:rsidRDefault="000D733F" w:rsidP="000D733F">
      <w:pPr>
        <w:pStyle w:val="Note"/>
      </w:pPr>
      <w:r w:rsidRPr="000774FD">
        <w:rPr>
          <w:color w:val="FF0000"/>
        </w:rPr>
        <w:sym w:font="Webdings" w:char="F067"/>
      </w:r>
      <w:r>
        <w:t xml:space="preserve"> = 1 = Very poor quality; needs major overhaul</w:t>
      </w:r>
    </w:p>
    <w:p w14:paraId="73F40DFD" w14:textId="77777777" w:rsidR="000D733F" w:rsidRDefault="000D733F" w:rsidP="000D733F">
      <w:pPr>
        <w:pStyle w:val="Note"/>
      </w:pPr>
    </w:p>
    <w:p w14:paraId="73F40DFE" w14:textId="77777777" w:rsidR="000D733F" w:rsidRDefault="000D733F" w:rsidP="000D733F">
      <w:pPr>
        <w:spacing w:after="200" w:line="276" w:lineRule="auto"/>
        <w:rPr>
          <w:rFonts w:ascii="Franklin Gothic Demi" w:hAnsi="Franklin Gothic Demi" w:cs="Arial"/>
          <w:color w:val="AD495D"/>
          <w:kern w:val="28"/>
          <w:sz w:val="28"/>
          <w:szCs w:val="28"/>
        </w:rPr>
      </w:pPr>
      <w:r>
        <w:br w:type="page"/>
      </w:r>
    </w:p>
    <w:p w14:paraId="73F40DFF" w14:textId="77777777" w:rsidR="000D733F" w:rsidRPr="009E38C1" w:rsidRDefault="000D733F" w:rsidP="000D733F">
      <w:pPr>
        <w:pStyle w:val="Heading2"/>
        <w:rPr>
          <w:sz w:val="28"/>
        </w:rPr>
      </w:pPr>
      <w:r w:rsidRPr="009E38C1">
        <w:rPr>
          <w:sz w:val="28"/>
        </w:rPr>
        <w:lastRenderedPageBreak/>
        <w:t>Annex C</w:t>
      </w:r>
    </w:p>
    <w:p w14:paraId="73F40E00" w14:textId="77777777" w:rsidR="000D733F" w:rsidRPr="009E38C1" w:rsidRDefault="000D733F" w:rsidP="000D733F">
      <w:pPr>
        <w:pStyle w:val="Heading2"/>
        <w:rPr>
          <w:sz w:val="28"/>
        </w:rPr>
      </w:pPr>
      <w:r w:rsidRPr="009E38C1">
        <w:rPr>
          <w:sz w:val="28"/>
        </w:rPr>
        <w:t>Evaluation and Review Pipeline Planning</w:t>
      </w:r>
    </w:p>
    <w:p w14:paraId="73F40E01" w14:textId="77777777" w:rsidR="000D733F" w:rsidRPr="00500954" w:rsidRDefault="000D733F" w:rsidP="000D733F">
      <w:pPr>
        <w:pStyle w:val="ListBullet"/>
        <w:tabs>
          <w:tab w:val="clear" w:pos="284"/>
        </w:tabs>
      </w:pPr>
      <w:r w:rsidRPr="00500954">
        <w:t xml:space="preserve">List all evaluations </w:t>
      </w:r>
      <w:r w:rsidR="001D7E98">
        <w:t xml:space="preserve">and reviews </w:t>
      </w:r>
      <w:r w:rsidRPr="00500954">
        <w:t>completed in the reporting period.</w:t>
      </w:r>
      <w:r w:rsidR="006C43BB">
        <w:t xml:space="preserve"> </w:t>
      </w:r>
    </w:p>
    <w:p w14:paraId="73F40E02" w14:textId="77777777" w:rsidR="000D733F" w:rsidRPr="00071B95" w:rsidRDefault="000D733F" w:rsidP="005F3A5F">
      <w:pPr>
        <w:pStyle w:val="Caption"/>
      </w:pPr>
      <w:r w:rsidRPr="00071B95">
        <w:t xml:space="preserve">List of </w:t>
      </w:r>
      <w:r w:rsidR="00805ADD">
        <w:t>e</w:t>
      </w:r>
      <w:r w:rsidRPr="00071B95">
        <w:t>valuations completed</w:t>
      </w:r>
      <w:r>
        <w:t xml:space="preserve"> </w:t>
      </w:r>
      <w:r w:rsidRPr="00071B95">
        <w:t xml:space="preserve">in the reporting period </w:t>
      </w:r>
    </w:p>
    <w:tbl>
      <w:tblPr>
        <w:tblStyle w:val="APPR"/>
        <w:tblW w:w="0" w:type="auto"/>
        <w:tblLook w:val="04A0" w:firstRow="1" w:lastRow="0" w:firstColumn="1" w:lastColumn="0" w:noHBand="0" w:noVBand="1"/>
      </w:tblPr>
      <w:tblGrid>
        <w:gridCol w:w="1944"/>
        <w:gridCol w:w="1961"/>
        <w:gridCol w:w="2059"/>
        <w:gridCol w:w="1967"/>
        <w:gridCol w:w="1949"/>
        <w:gridCol w:w="1771"/>
        <w:gridCol w:w="1545"/>
      </w:tblGrid>
      <w:tr w:rsidR="000D733F" w:rsidRPr="00071B95" w14:paraId="73F40E0A" w14:textId="77777777" w:rsidTr="000D733F">
        <w:trPr>
          <w:cnfStyle w:val="100000000000" w:firstRow="1" w:lastRow="0" w:firstColumn="0" w:lastColumn="0" w:oddVBand="0" w:evenVBand="0" w:oddHBand="0" w:evenHBand="0" w:firstRowFirstColumn="0" w:firstRowLastColumn="0" w:lastRowFirstColumn="0" w:lastRowLastColumn="0"/>
        </w:trPr>
        <w:tc>
          <w:tcPr>
            <w:tcW w:w="1902" w:type="dxa"/>
          </w:tcPr>
          <w:p w14:paraId="73F40E03" w14:textId="77777777" w:rsidR="000D733F" w:rsidRPr="00071B95" w:rsidRDefault="000D733F" w:rsidP="000D733F">
            <w:pPr>
              <w:pStyle w:val="TableTextColumnHeading"/>
              <w:rPr>
                <w:b/>
              </w:rPr>
            </w:pPr>
            <w:r w:rsidRPr="00071B95">
              <w:rPr>
                <w:b/>
              </w:rPr>
              <w:t xml:space="preserve">Name of </w:t>
            </w:r>
            <w:r w:rsidR="00501CD2">
              <w:rPr>
                <w:b/>
              </w:rPr>
              <w:t>Investment</w:t>
            </w:r>
          </w:p>
        </w:tc>
        <w:tc>
          <w:tcPr>
            <w:tcW w:w="1933" w:type="dxa"/>
          </w:tcPr>
          <w:p w14:paraId="73F40E04" w14:textId="77777777" w:rsidR="000D733F" w:rsidRPr="00071B95" w:rsidRDefault="000D733F" w:rsidP="000D733F">
            <w:pPr>
              <w:pStyle w:val="TableTextColumnHeading"/>
              <w:rPr>
                <w:b/>
              </w:rPr>
            </w:pPr>
            <w:r w:rsidRPr="00071B95">
              <w:rPr>
                <w:b/>
              </w:rPr>
              <w:t>Aidworks number</w:t>
            </w:r>
          </w:p>
        </w:tc>
        <w:tc>
          <w:tcPr>
            <w:tcW w:w="2031" w:type="dxa"/>
          </w:tcPr>
          <w:p w14:paraId="73F40E05" w14:textId="77777777" w:rsidR="000D733F" w:rsidRPr="00071B95" w:rsidRDefault="000D733F" w:rsidP="000D733F">
            <w:pPr>
              <w:pStyle w:val="TableTextColumnHeading"/>
              <w:rPr>
                <w:b/>
              </w:rPr>
            </w:pPr>
            <w:r>
              <w:rPr>
                <w:b/>
              </w:rPr>
              <w:t>Name of evaluation</w:t>
            </w:r>
          </w:p>
        </w:tc>
        <w:tc>
          <w:tcPr>
            <w:tcW w:w="1939" w:type="dxa"/>
          </w:tcPr>
          <w:p w14:paraId="73F40E06" w14:textId="77777777" w:rsidR="000D733F" w:rsidRPr="00071B95" w:rsidRDefault="000D733F" w:rsidP="000D733F">
            <w:pPr>
              <w:pStyle w:val="TableTextColumnHeading"/>
              <w:rPr>
                <w:b/>
              </w:rPr>
            </w:pPr>
            <w:r w:rsidRPr="00071B95">
              <w:rPr>
                <w:b/>
              </w:rPr>
              <w:t xml:space="preserve">Date </w:t>
            </w:r>
            <w:r>
              <w:rPr>
                <w:b/>
              </w:rPr>
              <w:t>finalised</w:t>
            </w:r>
          </w:p>
        </w:tc>
        <w:tc>
          <w:tcPr>
            <w:tcW w:w="1921" w:type="dxa"/>
          </w:tcPr>
          <w:p w14:paraId="73F40E07" w14:textId="77777777" w:rsidR="000D733F" w:rsidRPr="00071B95" w:rsidRDefault="000D733F" w:rsidP="000D733F">
            <w:pPr>
              <w:pStyle w:val="TableTextColumnHeading"/>
              <w:rPr>
                <w:b/>
              </w:rPr>
            </w:pPr>
            <w:r w:rsidRPr="00071B95">
              <w:rPr>
                <w:b/>
              </w:rPr>
              <w:t>Date Evaluation report Uploaded into Aid</w:t>
            </w:r>
            <w:r w:rsidR="006962EF">
              <w:rPr>
                <w:b/>
              </w:rPr>
              <w:t>-</w:t>
            </w:r>
            <w:r w:rsidRPr="00071B95">
              <w:rPr>
                <w:b/>
              </w:rPr>
              <w:t>works</w:t>
            </w:r>
          </w:p>
        </w:tc>
        <w:tc>
          <w:tcPr>
            <w:tcW w:w="1743" w:type="dxa"/>
          </w:tcPr>
          <w:p w14:paraId="73F40E08" w14:textId="77777777" w:rsidR="000D733F" w:rsidRPr="00071B95" w:rsidRDefault="000D733F" w:rsidP="000D733F">
            <w:pPr>
              <w:pStyle w:val="TableTextColumnHeading"/>
              <w:rPr>
                <w:b/>
              </w:rPr>
            </w:pPr>
            <w:r w:rsidRPr="00071B95">
              <w:rPr>
                <w:b/>
              </w:rPr>
              <w:t>Date Management response uploaded into Aid</w:t>
            </w:r>
            <w:r w:rsidR="006962EF">
              <w:rPr>
                <w:b/>
              </w:rPr>
              <w:t>-</w:t>
            </w:r>
            <w:r w:rsidRPr="00071B95">
              <w:rPr>
                <w:b/>
              </w:rPr>
              <w:t>works</w:t>
            </w:r>
          </w:p>
        </w:tc>
        <w:tc>
          <w:tcPr>
            <w:tcW w:w="1503" w:type="dxa"/>
          </w:tcPr>
          <w:p w14:paraId="73F40E09" w14:textId="77777777" w:rsidR="000D733F" w:rsidRPr="00071B95" w:rsidRDefault="000D733F" w:rsidP="000D733F">
            <w:pPr>
              <w:pStyle w:val="TableTextColumnHeading"/>
              <w:rPr>
                <w:b/>
              </w:rPr>
            </w:pPr>
            <w:r w:rsidRPr="00071B95">
              <w:rPr>
                <w:b/>
              </w:rPr>
              <w:t>Published on website</w:t>
            </w:r>
          </w:p>
        </w:tc>
      </w:tr>
      <w:tr w:rsidR="000D733F" w:rsidRPr="00071B95" w14:paraId="73F40E12" w14:textId="77777777" w:rsidTr="000D733F">
        <w:trPr>
          <w:cnfStyle w:val="100000000000" w:firstRow="1" w:lastRow="0" w:firstColumn="0" w:lastColumn="0" w:oddVBand="0" w:evenVBand="0" w:oddHBand="0" w:evenHBand="0" w:firstRowFirstColumn="0" w:firstRowLastColumn="0" w:lastRowFirstColumn="0" w:lastRowLastColumn="0"/>
        </w:trPr>
        <w:tc>
          <w:tcPr>
            <w:tcW w:w="1902" w:type="dxa"/>
          </w:tcPr>
          <w:p w14:paraId="73F40E0B" w14:textId="77777777" w:rsidR="000D733F" w:rsidRPr="006962EF" w:rsidRDefault="006962EF" w:rsidP="000D733F">
            <w:pPr>
              <w:pStyle w:val="TableTextEntries"/>
              <w:rPr>
                <w:b w:val="0"/>
              </w:rPr>
            </w:pPr>
            <w:r w:rsidRPr="006962EF">
              <w:rPr>
                <w:b w:val="0"/>
              </w:rPr>
              <w:t>Education Sector Program II</w:t>
            </w:r>
          </w:p>
        </w:tc>
        <w:tc>
          <w:tcPr>
            <w:tcW w:w="1933" w:type="dxa"/>
          </w:tcPr>
          <w:p w14:paraId="73F40E0C" w14:textId="77777777" w:rsidR="000D733F" w:rsidRPr="006962EF" w:rsidRDefault="006962EF" w:rsidP="000D733F">
            <w:pPr>
              <w:pStyle w:val="TableTextEntries"/>
              <w:rPr>
                <w:b w:val="0"/>
              </w:rPr>
            </w:pPr>
            <w:r w:rsidRPr="006962EF">
              <w:rPr>
                <w:b w:val="0"/>
              </w:rPr>
              <w:t>ING971</w:t>
            </w:r>
          </w:p>
        </w:tc>
        <w:tc>
          <w:tcPr>
            <w:tcW w:w="2031" w:type="dxa"/>
          </w:tcPr>
          <w:p w14:paraId="73F40E0D" w14:textId="77777777" w:rsidR="000D733F" w:rsidRPr="006962EF" w:rsidRDefault="006962EF" w:rsidP="000D733F">
            <w:pPr>
              <w:pStyle w:val="TableTextEntries"/>
              <w:rPr>
                <w:b w:val="0"/>
              </w:rPr>
            </w:pPr>
            <w:r w:rsidRPr="006962EF">
              <w:rPr>
                <w:b w:val="0"/>
              </w:rPr>
              <w:t>Joint Review Mission</w:t>
            </w:r>
          </w:p>
        </w:tc>
        <w:tc>
          <w:tcPr>
            <w:tcW w:w="1939" w:type="dxa"/>
          </w:tcPr>
          <w:p w14:paraId="73F40E0E" w14:textId="77777777" w:rsidR="000D733F" w:rsidRPr="006962EF" w:rsidRDefault="006962EF" w:rsidP="000D733F">
            <w:pPr>
              <w:pStyle w:val="TableTextEntries"/>
              <w:rPr>
                <w:b w:val="0"/>
              </w:rPr>
            </w:pPr>
            <w:r w:rsidRPr="006962EF">
              <w:rPr>
                <w:b w:val="0"/>
              </w:rPr>
              <w:t>March 2013</w:t>
            </w:r>
          </w:p>
        </w:tc>
        <w:tc>
          <w:tcPr>
            <w:tcW w:w="1921" w:type="dxa"/>
          </w:tcPr>
          <w:p w14:paraId="73F40E0F" w14:textId="77777777" w:rsidR="000D733F" w:rsidRPr="006962EF" w:rsidRDefault="000D733F" w:rsidP="000D733F">
            <w:pPr>
              <w:pStyle w:val="TableTextEntries"/>
              <w:rPr>
                <w:b w:val="0"/>
              </w:rPr>
            </w:pPr>
          </w:p>
        </w:tc>
        <w:tc>
          <w:tcPr>
            <w:tcW w:w="1743" w:type="dxa"/>
          </w:tcPr>
          <w:p w14:paraId="73F40E10" w14:textId="77777777" w:rsidR="000D733F" w:rsidRPr="006962EF" w:rsidRDefault="000D733F" w:rsidP="000D733F">
            <w:pPr>
              <w:pStyle w:val="TableTextEntries"/>
              <w:rPr>
                <w:b w:val="0"/>
              </w:rPr>
            </w:pPr>
          </w:p>
        </w:tc>
        <w:tc>
          <w:tcPr>
            <w:tcW w:w="1503" w:type="dxa"/>
          </w:tcPr>
          <w:p w14:paraId="73F40E11" w14:textId="77777777" w:rsidR="000D733F" w:rsidRPr="006962EF" w:rsidRDefault="00850A87" w:rsidP="00850A87">
            <w:pPr>
              <w:pStyle w:val="TableTextEntries"/>
              <w:rPr>
                <w:b w:val="0"/>
              </w:rPr>
            </w:pPr>
            <w:r w:rsidRPr="006962EF">
              <w:rPr>
                <w:b w:val="0"/>
              </w:rPr>
              <w:t xml:space="preserve">Provide actual or estimated date </w:t>
            </w:r>
          </w:p>
        </w:tc>
      </w:tr>
      <w:tr w:rsidR="000D733F" w:rsidRPr="00071B95" w14:paraId="73F40E1A" w14:textId="77777777" w:rsidTr="000D733F">
        <w:trPr>
          <w:cnfStyle w:val="100000000000" w:firstRow="1" w:lastRow="0" w:firstColumn="0" w:lastColumn="0" w:oddVBand="0" w:evenVBand="0" w:oddHBand="0" w:evenHBand="0" w:firstRowFirstColumn="0" w:firstRowLastColumn="0" w:lastRowFirstColumn="0" w:lastRowLastColumn="0"/>
        </w:trPr>
        <w:tc>
          <w:tcPr>
            <w:tcW w:w="1902" w:type="dxa"/>
          </w:tcPr>
          <w:p w14:paraId="73F40E13" w14:textId="77777777" w:rsidR="000D733F" w:rsidRPr="006962EF" w:rsidRDefault="000D733F" w:rsidP="000D733F">
            <w:pPr>
              <w:pStyle w:val="TableTextEntries"/>
              <w:rPr>
                <w:b w:val="0"/>
              </w:rPr>
            </w:pPr>
          </w:p>
        </w:tc>
        <w:tc>
          <w:tcPr>
            <w:tcW w:w="1933" w:type="dxa"/>
          </w:tcPr>
          <w:p w14:paraId="73F40E14" w14:textId="77777777" w:rsidR="000D733F" w:rsidRPr="006962EF" w:rsidRDefault="000D733F" w:rsidP="000D733F">
            <w:pPr>
              <w:pStyle w:val="TableTextEntries"/>
              <w:rPr>
                <w:b w:val="0"/>
              </w:rPr>
            </w:pPr>
          </w:p>
        </w:tc>
        <w:tc>
          <w:tcPr>
            <w:tcW w:w="2031" w:type="dxa"/>
          </w:tcPr>
          <w:p w14:paraId="73F40E15" w14:textId="77777777" w:rsidR="000D733F" w:rsidRPr="006962EF" w:rsidRDefault="000D733F" w:rsidP="000D733F">
            <w:pPr>
              <w:pStyle w:val="TableTextEntries"/>
              <w:rPr>
                <w:b w:val="0"/>
              </w:rPr>
            </w:pPr>
          </w:p>
        </w:tc>
        <w:tc>
          <w:tcPr>
            <w:tcW w:w="1939" w:type="dxa"/>
          </w:tcPr>
          <w:p w14:paraId="73F40E16" w14:textId="77777777" w:rsidR="000D733F" w:rsidRPr="006962EF" w:rsidRDefault="000D733F" w:rsidP="000D733F">
            <w:pPr>
              <w:pStyle w:val="TableTextEntries"/>
              <w:rPr>
                <w:b w:val="0"/>
              </w:rPr>
            </w:pPr>
          </w:p>
        </w:tc>
        <w:tc>
          <w:tcPr>
            <w:tcW w:w="1921" w:type="dxa"/>
          </w:tcPr>
          <w:p w14:paraId="73F40E17" w14:textId="77777777" w:rsidR="000D733F" w:rsidRPr="006962EF" w:rsidRDefault="000D733F" w:rsidP="000D733F">
            <w:pPr>
              <w:pStyle w:val="TableTextEntries"/>
              <w:rPr>
                <w:b w:val="0"/>
              </w:rPr>
            </w:pPr>
          </w:p>
        </w:tc>
        <w:tc>
          <w:tcPr>
            <w:tcW w:w="1743" w:type="dxa"/>
          </w:tcPr>
          <w:p w14:paraId="73F40E18" w14:textId="77777777" w:rsidR="000D733F" w:rsidRPr="006962EF" w:rsidRDefault="000D733F" w:rsidP="000D733F">
            <w:pPr>
              <w:pStyle w:val="TableTextEntries"/>
              <w:rPr>
                <w:b w:val="0"/>
              </w:rPr>
            </w:pPr>
          </w:p>
        </w:tc>
        <w:tc>
          <w:tcPr>
            <w:tcW w:w="1503" w:type="dxa"/>
          </w:tcPr>
          <w:p w14:paraId="73F40E19" w14:textId="77777777" w:rsidR="000D733F" w:rsidRPr="006962EF" w:rsidRDefault="000D733F" w:rsidP="000D733F">
            <w:pPr>
              <w:pStyle w:val="TableTextEntries"/>
              <w:rPr>
                <w:b w:val="0"/>
              </w:rPr>
            </w:pPr>
          </w:p>
        </w:tc>
      </w:tr>
      <w:tr w:rsidR="000D733F" w:rsidRPr="00071B95" w14:paraId="73F40E22" w14:textId="77777777" w:rsidTr="000D733F">
        <w:trPr>
          <w:cnfStyle w:val="100000000000" w:firstRow="1" w:lastRow="0" w:firstColumn="0" w:lastColumn="0" w:oddVBand="0" w:evenVBand="0" w:oddHBand="0" w:evenHBand="0" w:firstRowFirstColumn="0" w:firstRowLastColumn="0" w:lastRowFirstColumn="0" w:lastRowLastColumn="0"/>
        </w:trPr>
        <w:tc>
          <w:tcPr>
            <w:tcW w:w="1902" w:type="dxa"/>
          </w:tcPr>
          <w:p w14:paraId="73F40E1B" w14:textId="77777777" w:rsidR="000D733F" w:rsidRPr="00071B95" w:rsidRDefault="000D733F" w:rsidP="000D733F">
            <w:pPr>
              <w:pStyle w:val="TableTextEntries"/>
            </w:pPr>
          </w:p>
        </w:tc>
        <w:tc>
          <w:tcPr>
            <w:tcW w:w="1933" w:type="dxa"/>
          </w:tcPr>
          <w:p w14:paraId="73F40E1C" w14:textId="77777777" w:rsidR="000D733F" w:rsidRPr="00071B95" w:rsidRDefault="000D733F" w:rsidP="000D733F">
            <w:pPr>
              <w:pStyle w:val="TableTextEntries"/>
            </w:pPr>
          </w:p>
        </w:tc>
        <w:tc>
          <w:tcPr>
            <w:tcW w:w="2031" w:type="dxa"/>
          </w:tcPr>
          <w:p w14:paraId="73F40E1D" w14:textId="77777777" w:rsidR="000D733F" w:rsidRPr="00071B95" w:rsidRDefault="000D733F" w:rsidP="000D733F">
            <w:pPr>
              <w:pStyle w:val="TableTextEntries"/>
            </w:pPr>
          </w:p>
        </w:tc>
        <w:tc>
          <w:tcPr>
            <w:tcW w:w="1939" w:type="dxa"/>
          </w:tcPr>
          <w:p w14:paraId="73F40E1E" w14:textId="77777777" w:rsidR="000D733F" w:rsidRPr="00071B95" w:rsidRDefault="000D733F" w:rsidP="000D733F">
            <w:pPr>
              <w:pStyle w:val="TableTextEntries"/>
            </w:pPr>
          </w:p>
        </w:tc>
        <w:tc>
          <w:tcPr>
            <w:tcW w:w="1921" w:type="dxa"/>
          </w:tcPr>
          <w:p w14:paraId="73F40E1F" w14:textId="77777777" w:rsidR="000D733F" w:rsidRPr="00071B95" w:rsidRDefault="000D733F" w:rsidP="000D733F">
            <w:pPr>
              <w:pStyle w:val="TableTextEntries"/>
            </w:pPr>
          </w:p>
        </w:tc>
        <w:tc>
          <w:tcPr>
            <w:tcW w:w="1743" w:type="dxa"/>
          </w:tcPr>
          <w:p w14:paraId="73F40E20" w14:textId="77777777" w:rsidR="000D733F" w:rsidRPr="00071B95" w:rsidRDefault="000D733F" w:rsidP="000D733F">
            <w:pPr>
              <w:pStyle w:val="TableTextEntries"/>
            </w:pPr>
          </w:p>
        </w:tc>
        <w:tc>
          <w:tcPr>
            <w:tcW w:w="1503" w:type="dxa"/>
          </w:tcPr>
          <w:p w14:paraId="73F40E21" w14:textId="77777777" w:rsidR="000D733F" w:rsidRPr="00071B95" w:rsidRDefault="000D733F" w:rsidP="000D733F">
            <w:pPr>
              <w:pStyle w:val="TableTextEntries"/>
            </w:pPr>
          </w:p>
        </w:tc>
      </w:tr>
    </w:tbl>
    <w:p w14:paraId="73F40E23" w14:textId="77777777" w:rsidR="000D733F" w:rsidRPr="00071B95" w:rsidRDefault="000D733F" w:rsidP="000D733F">
      <w:pPr>
        <w:rPr>
          <w:b/>
        </w:rPr>
      </w:pPr>
    </w:p>
    <w:p w14:paraId="73F40E24" w14:textId="77777777" w:rsidR="000D733F" w:rsidRPr="00071B95" w:rsidRDefault="000D733F" w:rsidP="005F3A5F">
      <w:pPr>
        <w:pStyle w:val="Caption"/>
      </w:pPr>
      <w:r w:rsidRPr="00071B95">
        <w:t xml:space="preserve">List of evaluations planned in the next 12 months </w:t>
      </w:r>
    </w:p>
    <w:p w14:paraId="73F40E25" w14:textId="77777777" w:rsidR="000D733F" w:rsidRDefault="000D733F" w:rsidP="000D733F">
      <w:pPr>
        <w:pStyle w:val="TableTextColumnHeading"/>
        <w:sectPr w:rsidR="000D733F" w:rsidSect="00CD061B">
          <w:headerReference w:type="even" r:id="rId21"/>
          <w:footerReference w:type="first" r:id="rId22"/>
          <w:pgSz w:w="16838" w:h="11906" w:orient="landscape" w:code="9"/>
          <w:pgMar w:top="1814" w:right="1814" w:bottom="851" w:left="851" w:header="709" w:footer="425" w:gutter="0"/>
          <w:cols w:space="708"/>
          <w:docGrid w:linePitch="360"/>
        </w:sectPr>
      </w:pPr>
    </w:p>
    <w:tbl>
      <w:tblPr>
        <w:tblStyle w:val="APPR"/>
        <w:tblW w:w="0" w:type="auto"/>
        <w:tblLook w:val="0600" w:firstRow="0" w:lastRow="0" w:firstColumn="0" w:lastColumn="0" w:noHBand="1" w:noVBand="1"/>
      </w:tblPr>
      <w:tblGrid>
        <w:gridCol w:w="2643"/>
        <w:gridCol w:w="2558"/>
        <w:gridCol w:w="2640"/>
        <w:gridCol w:w="2640"/>
        <w:gridCol w:w="2659"/>
      </w:tblGrid>
      <w:tr w:rsidR="000D733F" w:rsidRPr="00071B95" w14:paraId="73F40E2B" w14:textId="77777777" w:rsidTr="000D733F">
        <w:tc>
          <w:tcPr>
            <w:tcW w:w="2601" w:type="dxa"/>
          </w:tcPr>
          <w:p w14:paraId="73F40E26" w14:textId="77777777" w:rsidR="000D733F" w:rsidRPr="00071B95" w:rsidRDefault="000D733F" w:rsidP="000D733F">
            <w:pPr>
              <w:pStyle w:val="TableTextColumnHeading"/>
            </w:pPr>
            <w:r w:rsidRPr="00071B95">
              <w:lastRenderedPageBreak/>
              <w:t xml:space="preserve">Name of </w:t>
            </w:r>
            <w:r w:rsidR="00501CD2">
              <w:t>Investment</w:t>
            </w:r>
          </w:p>
        </w:tc>
        <w:tc>
          <w:tcPr>
            <w:tcW w:w="2530" w:type="dxa"/>
          </w:tcPr>
          <w:p w14:paraId="73F40E27" w14:textId="77777777" w:rsidR="000D733F" w:rsidRPr="00071B95" w:rsidRDefault="000D733F" w:rsidP="000D733F">
            <w:pPr>
              <w:pStyle w:val="TableTextColumnHeading"/>
            </w:pPr>
            <w:r w:rsidRPr="00071B95">
              <w:t>Aidworks number</w:t>
            </w:r>
          </w:p>
        </w:tc>
        <w:tc>
          <w:tcPr>
            <w:tcW w:w="2612" w:type="dxa"/>
          </w:tcPr>
          <w:p w14:paraId="73F40E28" w14:textId="77777777" w:rsidR="000D733F" w:rsidRPr="00071B95" w:rsidRDefault="000D733F" w:rsidP="000D733F">
            <w:pPr>
              <w:pStyle w:val="TableTextColumnHeading"/>
            </w:pPr>
            <w:r w:rsidRPr="00071B95">
              <w:t>Type of evaluation</w:t>
            </w:r>
          </w:p>
        </w:tc>
        <w:tc>
          <w:tcPr>
            <w:tcW w:w="2612" w:type="dxa"/>
          </w:tcPr>
          <w:p w14:paraId="73F40E29" w14:textId="77777777" w:rsidR="000D733F" w:rsidRPr="00071B95" w:rsidRDefault="000D733F" w:rsidP="000D733F">
            <w:pPr>
              <w:pStyle w:val="TableTextColumnHeading"/>
            </w:pPr>
            <w:r w:rsidRPr="00071B95">
              <w:t>Purpose of evaluation</w:t>
            </w:r>
          </w:p>
        </w:tc>
        <w:tc>
          <w:tcPr>
            <w:tcW w:w="2617" w:type="dxa"/>
          </w:tcPr>
          <w:p w14:paraId="73F40E2A" w14:textId="77777777" w:rsidR="000D733F" w:rsidRPr="00071B95" w:rsidRDefault="000D733F" w:rsidP="000D733F">
            <w:pPr>
              <w:pStyle w:val="TableTextColumnHeading"/>
            </w:pPr>
            <w:r w:rsidRPr="00071B95">
              <w:t>Expected completion date</w:t>
            </w:r>
          </w:p>
        </w:tc>
      </w:tr>
      <w:tr w:rsidR="000D733F" w:rsidRPr="00071B95" w14:paraId="73F40E44" w14:textId="77777777" w:rsidTr="000D733F">
        <w:tc>
          <w:tcPr>
            <w:tcW w:w="2601" w:type="dxa"/>
          </w:tcPr>
          <w:p w14:paraId="73F40E2C" w14:textId="77777777" w:rsidR="000D733F" w:rsidRDefault="006962EF" w:rsidP="003275D0">
            <w:pPr>
              <w:pStyle w:val="TableTextEntries"/>
            </w:pPr>
            <w:r>
              <w:t>Education Sector Program II</w:t>
            </w:r>
          </w:p>
          <w:p w14:paraId="73F40E2D" w14:textId="77777777" w:rsidR="006962EF" w:rsidRDefault="006962EF" w:rsidP="003275D0">
            <w:pPr>
              <w:pStyle w:val="TableTextEntries"/>
            </w:pPr>
            <w:r>
              <w:t>Education Sector Program II</w:t>
            </w:r>
          </w:p>
          <w:p w14:paraId="73F40E2E" w14:textId="77777777" w:rsidR="006962EF" w:rsidRDefault="006962EF" w:rsidP="003275D0">
            <w:pPr>
              <w:pStyle w:val="TableTextEntries"/>
            </w:pPr>
          </w:p>
          <w:p w14:paraId="73F40E2F" w14:textId="77777777" w:rsidR="006962EF" w:rsidRDefault="006962EF" w:rsidP="003275D0">
            <w:pPr>
              <w:pStyle w:val="TableTextEntries"/>
            </w:pPr>
          </w:p>
          <w:p w14:paraId="73F40E30" w14:textId="77777777" w:rsidR="006962EF" w:rsidRDefault="006962EF" w:rsidP="003275D0">
            <w:pPr>
              <w:pStyle w:val="TableTextEntries"/>
            </w:pPr>
            <w:r>
              <w:t>Samoa School Fee Grants Scheme</w:t>
            </w:r>
          </w:p>
          <w:p w14:paraId="73F40E31" w14:textId="77777777" w:rsidR="006962EF" w:rsidRPr="003275D0" w:rsidRDefault="006962EF" w:rsidP="003275D0">
            <w:pPr>
              <w:pStyle w:val="TableTextEntries"/>
            </w:pPr>
          </w:p>
        </w:tc>
        <w:tc>
          <w:tcPr>
            <w:tcW w:w="2530" w:type="dxa"/>
          </w:tcPr>
          <w:p w14:paraId="73F40E32" w14:textId="77777777" w:rsidR="000D733F" w:rsidRDefault="006962EF" w:rsidP="003275D0">
            <w:pPr>
              <w:pStyle w:val="TableTextEntries"/>
            </w:pPr>
            <w:r>
              <w:t>ING971</w:t>
            </w:r>
          </w:p>
          <w:p w14:paraId="73F40E33" w14:textId="77777777" w:rsidR="006962EF" w:rsidRDefault="006962EF" w:rsidP="003275D0">
            <w:pPr>
              <w:pStyle w:val="TableTextEntries"/>
            </w:pPr>
            <w:r>
              <w:t>ING971</w:t>
            </w:r>
          </w:p>
          <w:p w14:paraId="73F40E34" w14:textId="77777777" w:rsidR="006962EF" w:rsidRDefault="006962EF" w:rsidP="003275D0">
            <w:pPr>
              <w:pStyle w:val="TableTextEntries"/>
            </w:pPr>
          </w:p>
          <w:p w14:paraId="73F40E35" w14:textId="77777777" w:rsidR="006962EF" w:rsidRDefault="006962EF" w:rsidP="003275D0">
            <w:pPr>
              <w:pStyle w:val="TableTextEntries"/>
            </w:pPr>
          </w:p>
          <w:p w14:paraId="73F40E36" w14:textId="77777777" w:rsidR="006962EF" w:rsidRPr="003275D0" w:rsidRDefault="006962EF" w:rsidP="003275D0">
            <w:pPr>
              <w:pStyle w:val="TableTextEntries"/>
            </w:pPr>
            <w:r>
              <w:t>INJ405</w:t>
            </w:r>
          </w:p>
        </w:tc>
        <w:tc>
          <w:tcPr>
            <w:tcW w:w="2612" w:type="dxa"/>
          </w:tcPr>
          <w:p w14:paraId="73F40E37" w14:textId="77777777" w:rsidR="000D733F" w:rsidRDefault="006962EF" w:rsidP="003275D0">
            <w:pPr>
              <w:pStyle w:val="TableTextEntries"/>
            </w:pPr>
            <w:r>
              <w:t>Joint Review Mission</w:t>
            </w:r>
          </w:p>
          <w:p w14:paraId="73F40E38" w14:textId="77777777" w:rsidR="006962EF" w:rsidRDefault="006962EF" w:rsidP="003275D0">
            <w:pPr>
              <w:pStyle w:val="TableTextEntries"/>
            </w:pPr>
            <w:r>
              <w:t>Independent Completion Review</w:t>
            </w:r>
          </w:p>
          <w:p w14:paraId="73F40E39" w14:textId="77777777" w:rsidR="006962EF" w:rsidRDefault="006962EF" w:rsidP="003275D0">
            <w:pPr>
              <w:pStyle w:val="TableTextEntries"/>
            </w:pPr>
          </w:p>
          <w:p w14:paraId="73F40E3A" w14:textId="77777777" w:rsidR="006962EF" w:rsidRDefault="006962EF" w:rsidP="003275D0">
            <w:pPr>
              <w:pStyle w:val="TableTextEntries"/>
            </w:pPr>
          </w:p>
          <w:p w14:paraId="73F40E3B" w14:textId="77777777" w:rsidR="006962EF" w:rsidRPr="003275D0" w:rsidRDefault="006962EF" w:rsidP="003275D0">
            <w:pPr>
              <w:pStyle w:val="TableTextEntries"/>
            </w:pPr>
            <w:r>
              <w:t>Independent Program Evaluation</w:t>
            </w:r>
          </w:p>
        </w:tc>
        <w:tc>
          <w:tcPr>
            <w:tcW w:w="2612" w:type="dxa"/>
          </w:tcPr>
          <w:p w14:paraId="73F40E3C" w14:textId="77777777" w:rsidR="006962EF" w:rsidRDefault="000D733F" w:rsidP="006962EF">
            <w:pPr>
              <w:pStyle w:val="TableTextEntries"/>
            </w:pPr>
            <w:r w:rsidRPr="003275D0">
              <w:t xml:space="preserve">To </w:t>
            </w:r>
            <w:r w:rsidR="006962EF">
              <w:t xml:space="preserve">improve existing program and to </w:t>
            </w:r>
            <w:r w:rsidRPr="003275D0">
              <w:t xml:space="preserve">inform </w:t>
            </w:r>
            <w:r w:rsidR="006962EF">
              <w:t>Australia’s future Education Program. To verify existing program outcomes and to complete the program.</w:t>
            </w:r>
          </w:p>
          <w:p w14:paraId="73F40E3D" w14:textId="77777777" w:rsidR="006962EF" w:rsidRPr="003275D0" w:rsidRDefault="006962EF" w:rsidP="006962EF">
            <w:pPr>
              <w:pStyle w:val="TableTextEntries"/>
              <w:rPr>
                <w:color w:val="000000" w:themeColor="text1" w:themeShade="BF"/>
              </w:rPr>
            </w:pPr>
            <w:r>
              <w:t>To improve existing program and to ascertain whether the program has achieved its intended objectives</w:t>
            </w:r>
          </w:p>
        </w:tc>
        <w:tc>
          <w:tcPr>
            <w:tcW w:w="2617" w:type="dxa"/>
          </w:tcPr>
          <w:p w14:paraId="73F40E3E" w14:textId="77777777" w:rsidR="000D733F" w:rsidRDefault="006962EF" w:rsidP="003275D0">
            <w:pPr>
              <w:pStyle w:val="TableTextEntries"/>
            </w:pPr>
            <w:r>
              <w:t xml:space="preserve">May-June </w:t>
            </w:r>
            <w:r w:rsidR="00EA0854">
              <w:t>2015</w:t>
            </w:r>
          </w:p>
          <w:p w14:paraId="73F40E3F" w14:textId="77777777" w:rsidR="006962EF" w:rsidRDefault="006962EF" w:rsidP="003275D0">
            <w:pPr>
              <w:pStyle w:val="TableTextEntries"/>
            </w:pPr>
          </w:p>
          <w:p w14:paraId="73F40E40" w14:textId="77777777" w:rsidR="006962EF" w:rsidRDefault="006962EF" w:rsidP="003275D0">
            <w:pPr>
              <w:pStyle w:val="TableTextEntries"/>
            </w:pPr>
            <w:r>
              <w:t>March  2015</w:t>
            </w:r>
          </w:p>
          <w:p w14:paraId="73F40E41" w14:textId="77777777" w:rsidR="006962EF" w:rsidRDefault="006962EF" w:rsidP="003275D0">
            <w:pPr>
              <w:pStyle w:val="TableTextEntries"/>
            </w:pPr>
          </w:p>
          <w:p w14:paraId="73F40E42" w14:textId="77777777" w:rsidR="006962EF" w:rsidRDefault="006962EF" w:rsidP="003275D0">
            <w:pPr>
              <w:pStyle w:val="TableTextEntries"/>
            </w:pPr>
          </w:p>
          <w:p w14:paraId="73F40E43" w14:textId="77777777" w:rsidR="006962EF" w:rsidRPr="003275D0" w:rsidRDefault="006962EF" w:rsidP="003275D0">
            <w:pPr>
              <w:pStyle w:val="TableTextEntries"/>
            </w:pPr>
            <w:r>
              <w:t>April-May 2015</w:t>
            </w:r>
          </w:p>
        </w:tc>
      </w:tr>
      <w:tr w:rsidR="000D733F" w:rsidRPr="00071B95" w14:paraId="73F40E4A" w14:textId="77777777" w:rsidTr="000D733F">
        <w:tc>
          <w:tcPr>
            <w:tcW w:w="2601" w:type="dxa"/>
          </w:tcPr>
          <w:p w14:paraId="73F40E45" w14:textId="77777777" w:rsidR="000D733F" w:rsidRPr="00071B95" w:rsidRDefault="002571E9" w:rsidP="000D733F">
            <w:pPr>
              <w:pStyle w:val="TableTextEntries"/>
            </w:pPr>
            <w:r>
              <w:t>Samoa Civil Society Support Program</w:t>
            </w:r>
          </w:p>
        </w:tc>
        <w:tc>
          <w:tcPr>
            <w:tcW w:w="2530" w:type="dxa"/>
          </w:tcPr>
          <w:p w14:paraId="73F40E46" w14:textId="77777777" w:rsidR="000D733F" w:rsidRPr="00071B95" w:rsidRDefault="00C729E0" w:rsidP="000D733F">
            <w:pPr>
              <w:pStyle w:val="TableTextEntries"/>
            </w:pPr>
            <w:r>
              <w:t>INH402</w:t>
            </w:r>
          </w:p>
        </w:tc>
        <w:tc>
          <w:tcPr>
            <w:tcW w:w="2612" w:type="dxa"/>
          </w:tcPr>
          <w:p w14:paraId="73F40E47" w14:textId="77777777" w:rsidR="000D733F" w:rsidRPr="00071B95" w:rsidRDefault="002571E9" w:rsidP="000D733F">
            <w:pPr>
              <w:pStyle w:val="TableTextEntries"/>
            </w:pPr>
            <w:r>
              <w:t>Independent Completion Review</w:t>
            </w:r>
          </w:p>
        </w:tc>
        <w:tc>
          <w:tcPr>
            <w:tcW w:w="2612" w:type="dxa"/>
          </w:tcPr>
          <w:p w14:paraId="73F40E48" w14:textId="77777777" w:rsidR="000D733F" w:rsidRPr="00071B95" w:rsidRDefault="002571E9" w:rsidP="000D733F">
            <w:pPr>
              <w:pStyle w:val="TableTextEntries"/>
            </w:pPr>
            <w:r>
              <w:t xml:space="preserve">Program due to be completed by July 2015. An independent evaluation at the end of the program will inform any future phase of support and assist in realigning to new aid policy. </w:t>
            </w:r>
          </w:p>
        </w:tc>
        <w:tc>
          <w:tcPr>
            <w:tcW w:w="2617" w:type="dxa"/>
          </w:tcPr>
          <w:p w14:paraId="73F40E49" w14:textId="77777777" w:rsidR="000D733F" w:rsidRPr="00071B95" w:rsidRDefault="002571E9" w:rsidP="000D733F">
            <w:pPr>
              <w:pStyle w:val="TableTextEntries"/>
            </w:pPr>
            <w:r>
              <w:t>March 2015</w:t>
            </w:r>
          </w:p>
        </w:tc>
      </w:tr>
    </w:tbl>
    <w:p w14:paraId="73F40E4B" w14:textId="77777777" w:rsidR="000D733F" w:rsidRDefault="000D733F" w:rsidP="000D733F">
      <w:pPr>
        <w:rPr>
          <w:b/>
        </w:rPr>
        <w:sectPr w:rsidR="000D733F" w:rsidSect="000D733F">
          <w:footnotePr>
            <w:numRestart w:val="eachPage"/>
          </w:footnotePr>
          <w:type w:val="continuous"/>
          <w:pgSz w:w="16838" w:h="11906" w:orient="landscape" w:code="9"/>
          <w:pgMar w:top="1814" w:right="1814" w:bottom="851" w:left="851" w:header="709" w:footer="425" w:gutter="0"/>
          <w:cols w:space="708"/>
          <w:titlePg/>
          <w:docGrid w:linePitch="360"/>
        </w:sectPr>
      </w:pPr>
    </w:p>
    <w:p w14:paraId="73F40E4C" w14:textId="77777777" w:rsidR="000D733F" w:rsidRPr="009E38C1" w:rsidRDefault="000D733F" w:rsidP="000D733F">
      <w:pPr>
        <w:pStyle w:val="Heading2"/>
        <w:rPr>
          <w:sz w:val="28"/>
        </w:rPr>
      </w:pPr>
      <w:r w:rsidRPr="009E38C1">
        <w:rPr>
          <w:sz w:val="28"/>
        </w:rPr>
        <w:lastRenderedPageBreak/>
        <w:t>Annex D</w:t>
      </w:r>
    </w:p>
    <w:p w14:paraId="73F40E4D" w14:textId="77777777" w:rsidR="000D733F" w:rsidRPr="009E38C1" w:rsidRDefault="000D733F" w:rsidP="000D733F">
      <w:pPr>
        <w:pStyle w:val="Heading2"/>
        <w:rPr>
          <w:sz w:val="28"/>
        </w:rPr>
      </w:pPr>
      <w:r w:rsidRPr="009E38C1">
        <w:rPr>
          <w:sz w:val="28"/>
        </w:rPr>
        <w:t>Performance Benchmarks 2014 -15</w:t>
      </w:r>
    </w:p>
    <w:p w14:paraId="73F40E4E" w14:textId="77777777" w:rsidR="000D733F" w:rsidRDefault="000D733F" w:rsidP="000D733F">
      <w:pPr>
        <w:pStyle w:val="BodyText"/>
      </w:pPr>
      <w:r w:rsidRPr="007C1EF5">
        <w:t>Identify a small set of performance benchmarks to be used to assess the performance of the country or regional program in 2014-15. Performance benchmarks can reflect intended results (e.g. 250 scholarships provided), milestones (e.g. construction started</w:t>
      </w:r>
      <w:r w:rsidR="009A25EB">
        <w:t>/completed</w:t>
      </w:r>
      <w:r w:rsidRPr="007C1EF5">
        <w:t xml:space="preserve"> on an infrastructure project) or measures of increased effectiveness and efficiency (e.g. better investment quality ratings). </w:t>
      </w:r>
    </w:p>
    <w:tbl>
      <w:tblPr>
        <w:tblStyle w:val="DFATTable"/>
        <w:tblW w:w="5000" w:type="pct"/>
        <w:tblLook w:val="04A0" w:firstRow="1" w:lastRow="0" w:firstColumn="1" w:lastColumn="0" w:noHBand="0" w:noVBand="1"/>
      </w:tblPr>
      <w:tblGrid>
        <w:gridCol w:w="3301"/>
        <w:gridCol w:w="3301"/>
        <w:gridCol w:w="7279"/>
      </w:tblGrid>
      <w:tr w:rsidR="000D733F" w:rsidRPr="004F7D80" w14:paraId="73F40E52" w14:textId="77777777" w:rsidTr="000D733F">
        <w:trPr>
          <w:tblHeader/>
        </w:trPr>
        <w:tc>
          <w:tcPr>
            <w:tcW w:w="1189" w:type="pct"/>
            <w:tcMar>
              <w:top w:w="57" w:type="dxa"/>
              <w:bottom w:w="57" w:type="dxa"/>
            </w:tcMar>
          </w:tcPr>
          <w:p w14:paraId="73F40E4F" w14:textId="77777777" w:rsidR="000D733F" w:rsidRPr="002749B6" w:rsidRDefault="00736D2D">
            <w:pPr>
              <w:pStyle w:val="TableHeading1"/>
            </w:pPr>
            <w:r>
              <w:t>Aid</w:t>
            </w:r>
            <w:r w:rsidR="000D733F" w:rsidRPr="002749B6">
              <w:t xml:space="preserve"> objective</w:t>
            </w:r>
          </w:p>
        </w:tc>
        <w:tc>
          <w:tcPr>
            <w:tcW w:w="1189" w:type="pct"/>
          </w:tcPr>
          <w:p w14:paraId="73F40E50" w14:textId="77777777" w:rsidR="000D733F" w:rsidRPr="002749B6" w:rsidRDefault="000D733F" w:rsidP="000D733F">
            <w:pPr>
              <w:pStyle w:val="TableHeading1"/>
            </w:pPr>
            <w:r w:rsidRPr="002749B6">
              <w:t xml:space="preserve">2014-15 benchmark </w:t>
            </w:r>
          </w:p>
        </w:tc>
        <w:tc>
          <w:tcPr>
            <w:tcW w:w="2622" w:type="pct"/>
          </w:tcPr>
          <w:p w14:paraId="73F40E51" w14:textId="77777777" w:rsidR="000D733F" w:rsidRPr="002749B6" w:rsidRDefault="000D733F" w:rsidP="000D733F">
            <w:pPr>
              <w:pStyle w:val="TableHeading1"/>
            </w:pPr>
            <w:r w:rsidRPr="002749B6">
              <w:t>Rationale for selecting this performance benchmark</w:t>
            </w:r>
          </w:p>
        </w:tc>
      </w:tr>
      <w:tr w:rsidR="000D733F" w:rsidRPr="004F7D80" w14:paraId="73F40E56" w14:textId="77777777" w:rsidTr="000D733F">
        <w:tc>
          <w:tcPr>
            <w:tcW w:w="1189" w:type="pct"/>
            <w:tcMar>
              <w:top w:w="57" w:type="dxa"/>
              <w:bottom w:w="57" w:type="dxa"/>
            </w:tcMar>
          </w:tcPr>
          <w:p w14:paraId="73F40E53" w14:textId="77777777" w:rsidR="000D733F" w:rsidRPr="002749B6" w:rsidRDefault="00FA29CB" w:rsidP="00D206B3">
            <w:pPr>
              <w:pStyle w:val="TableTextEntries"/>
            </w:pPr>
            <w:r w:rsidRPr="00FA29CB">
              <w:t>To stimulate economic growth by investing in essential economic infrastructure.</w:t>
            </w:r>
          </w:p>
        </w:tc>
        <w:tc>
          <w:tcPr>
            <w:tcW w:w="1189" w:type="pct"/>
          </w:tcPr>
          <w:p w14:paraId="73F40E54" w14:textId="77777777" w:rsidR="000D733F" w:rsidRPr="002749B6" w:rsidRDefault="00FA29CB" w:rsidP="00A07B8C">
            <w:pPr>
              <w:pStyle w:val="TableTextEntries"/>
            </w:pPr>
            <w:r w:rsidRPr="00FA29CB">
              <w:t xml:space="preserve">Commence </w:t>
            </w:r>
            <w:r w:rsidR="00A07B8C">
              <w:t xml:space="preserve">design and procurement for </w:t>
            </w:r>
            <w:r w:rsidRPr="00FA29CB">
              <w:t>construction of a new bridge</w:t>
            </w:r>
            <w:r w:rsidR="000C7755">
              <w:t xml:space="preserve"> at</w:t>
            </w:r>
            <w:r w:rsidRPr="00FA29CB">
              <w:t xml:space="preserve"> </w:t>
            </w:r>
            <w:r w:rsidR="000C7755" w:rsidRPr="000C7755">
              <w:t>Leone Bridge in Apia</w:t>
            </w:r>
            <w:r w:rsidR="000C7755">
              <w:t xml:space="preserve"> </w:t>
            </w:r>
            <w:r w:rsidRPr="00FA29CB">
              <w:t>linking Apia port to the business district.</w:t>
            </w:r>
            <w:r w:rsidR="000C7755">
              <w:t xml:space="preserve"> </w:t>
            </w:r>
          </w:p>
        </w:tc>
        <w:tc>
          <w:tcPr>
            <w:tcW w:w="2622" w:type="pct"/>
          </w:tcPr>
          <w:p w14:paraId="73F40E55" w14:textId="77777777" w:rsidR="00A07B8C" w:rsidRPr="00CA18C9" w:rsidRDefault="001C75A2" w:rsidP="00A07B8C">
            <w:pPr>
              <w:pStyle w:val="TableTextEntries"/>
              <w:rPr>
                <w:lang w:val="en-US"/>
              </w:rPr>
            </w:pPr>
            <w:r>
              <w:t>A key</w:t>
            </w:r>
            <w:r w:rsidR="00990B49">
              <w:t xml:space="preserve"> focus of the aid program in Samoa is to </w:t>
            </w:r>
            <w:r w:rsidR="00990B49" w:rsidRPr="00990B49">
              <w:rPr>
                <w:lang w:val="en-US"/>
              </w:rPr>
              <w:t>to maintain economic stability and drive private sector development</w:t>
            </w:r>
            <w:r w:rsidR="00990B49">
              <w:rPr>
                <w:lang w:val="en-US"/>
              </w:rPr>
              <w:t xml:space="preserve">. </w:t>
            </w:r>
            <w:r w:rsidR="00A07B8C">
              <w:t xml:space="preserve">The Leone Bridge, </w:t>
            </w:r>
            <w:r w:rsidR="00A07B8C" w:rsidRPr="000C7755">
              <w:t>damaged during Cyclone Evan in 2012, is a vital link between the port and the business district</w:t>
            </w:r>
            <w:r w:rsidR="00A07B8C">
              <w:t>.</w:t>
            </w:r>
            <w:r w:rsidR="00A07B8C">
              <w:rPr>
                <w:lang w:val="en-US"/>
              </w:rPr>
              <w:t xml:space="preserve"> </w:t>
            </w:r>
            <w:r w:rsidR="00990B49">
              <w:rPr>
                <w:lang w:val="en-US"/>
              </w:rPr>
              <w:t>As such, achieving this benchmark would be significant as it will provide a short-term boost to the construction industry and a long-term benefit to the private sector as a whole.</w:t>
            </w:r>
            <w:r w:rsidR="00A07B8C">
              <w:rPr>
                <w:lang w:val="en-US"/>
              </w:rPr>
              <w:t xml:space="preserve"> </w:t>
            </w:r>
          </w:p>
        </w:tc>
      </w:tr>
      <w:tr w:rsidR="000D733F" w:rsidRPr="004F7D80" w14:paraId="73F40E5A" w14:textId="77777777" w:rsidTr="000D733F">
        <w:tc>
          <w:tcPr>
            <w:tcW w:w="1189" w:type="pct"/>
            <w:tcMar>
              <w:top w:w="57" w:type="dxa"/>
              <w:bottom w:w="57" w:type="dxa"/>
            </w:tcMar>
          </w:tcPr>
          <w:p w14:paraId="73F40E57" w14:textId="77777777" w:rsidR="000D733F" w:rsidRPr="002749B6" w:rsidRDefault="00990B49" w:rsidP="00990B49">
            <w:pPr>
              <w:pStyle w:val="TableTextEntries"/>
            </w:pPr>
            <w:r w:rsidRPr="00990B49">
              <w:t>To support the development of Samoa’s human capital by providing high achieving Samoans with recognised tertiary and technical qualifications.</w:t>
            </w:r>
          </w:p>
        </w:tc>
        <w:tc>
          <w:tcPr>
            <w:tcW w:w="1189" w:type="pct"/>
          </w:tcPr>
          <w:p w14:paraId="73F40E58" w14:textId="77777777" w:rsidR="000D733F" w:rsidRPr="002749B6" w:rsidRDefault="00990B49" w:rsidP="00990B49">
            <w:pPr>
              <w:pStyle w:val="TableTextEntries"/>
            </w:pPr>
            <w:r>
              <w:t>A well-targe</w:t>
            </w:r>
            <w:r w:rsidRPr="00990B49">
              <w:t>ted scholarships program for Samoan students based on Samoa’s Human Resource Development needs.</w:t>
            </w:r>
          </w:p>
        </w:tc>
        <w:tc>
          <w:tcPr>
            <w:tcW w:w="2622" w:type="pct"/>
          </w:tcPr>
          <w:p w14:paraId="73F40E59" w14:textId="77777777" w:rsidR="000D733F" w:rsidRPr="002749B6" w:rsidRDefault="00EA0854" w:rsidP="001C75A2">
            <w:pPr>
              <w:pStyle w:val="TableTextEntries"/>
            </w:pPr>
            <w:r>
              <w:t xml:space="preserve">A targeted scholarships program is expected to </w:t>
            </w:r>
            <w:r w:rsidR="001C75A2">
              <w:t xml:space="preserve">help </w:t>
            </w:r>
            <w:r>
              <w:t>address the skills shortage in Samoa.</w:t>
            </w:r>
          </w:p>
        </w:tc>
      </w:tr>
      <w:tr w:rsidR="00990B49" w:rsidRPr="004F7D80" w14:paraId="73F40E60" w14:textId="77777777" w:rsidTr="000D733F">
        <w:tc>
          <w:tcPr>
            <w:tcW w:w="1189" w:type="pct"/>
            <w:tcMar>
              <w:top w:w="57" w:type="dxa"/>
              <w:bottom w:w="57" w:type="dxa"/>
            </w:tcMar>
          </w:tcPr>
          <w:p w14:paraId="73F40E5B" w14:textId="77777777" w:rsidR="00990B49" w:rsidRPr="00990B49" w:rsidRDefault="00990B49" w:rsidP="00EA0854">
            <w:pPr>
              <w:pStyle w:val="TableTextEntries"/>
            </w:pPr>
            <w:r w:rsidRPr="00990B49">
              <w:t xml:space="preserve">To support the development of Samoa’s human capital by </w:t>
            </w:r>
            <w:r>
              <w:t>improving opportunities for women</w:t>
            </w:r>
            <w:r w:rsidRPr="00990B49">
              <w:t>.</w:t>
            </w:r>
          </w:p>
        </w:tc>
        <w:tc>
          <w:tcPr>
            <w:tcW w:w="1189" w:type="pct"/>
          </w:tcPr>
          <w:p w14:paraId="73F40E5C" w14:textId="77777777" w:rsidR="007C21B4" w:rsidRPr="00016AF5" w:rsidRDefault="00CA18C9" w:rsidP="007C21B4">
            <w:pPr>
              <w:spacing w:after="120"/>
              <w:jc w:val="both"/>
              <w:rPr>
                <w:rFonts w:ascii="Franklin Gothic Book" w:hAnsi="Franklin Gothic Book" w:cs="Arial"/>
                <w:color w:val="0070C0"/>
                <w:sz w:val="17"/>
                <w:szCs w:val="17"/>
              </w:rPr>
            </w:pPr>
            <w:r w:rsidRPr="00016AF5">
              <w:rPr>
                <w:rFonts w:ascii="Franklin Gothic Book" w:hAnsi="Franklin Gothic Book" w:cs="Arial"/>
                <w:color w:val="0070C0"/>
                <w:sz w:val="17"/>
                <w:szCs w:val="17"/>
              </w:rPr>
              <w:t>Focused</w:t>
            </w:r>
            <w:r w:rsidR="007C21B4" w:rsidRPr="00016AF5">
              <w:rPr>
                <w:rFonts w:ascii="Franklin Gothic Book" w:hAnsi="Franklin Gothic Book" w:cs="Arial"/>
                <w:color w:val="0070C0"/>
                <w:sz w:val="17"/>
                <w:szCs w:val="17"/>
              </w:rPr>
              <w:t xml:space="preserve"> on increasing participation of women in decision making through legislation and policies that advance women’s leadership at all levels.</w:t>
            </w:r>
          </w:p>
          <w:p w14:paraId="73F40E5D" w14:textId="77777777" w:rsidR="007C21B4" w:rsidRPr="00016AF5" w:rsidRDefault="007C21B4" w:rsidP="00990B49">
            <w:pPr>
              <w:pStyle w:val="TableTextEntries"/>
              <w:rPr>
                <w:rFonts w:cs="Arial"/>
                <w:i/>
                <w:color w:val="0070C0"/>
                <w:szCs w:val="20"/>
              </w:rPr>
            </w:pPr>
          </w:p>
          <w:p w14:paraId="73F40E5E" w14:textId="77777777" w:rsidR="00990B49" w:rsidRPr="00016AF5" w:rsidRDefault="00990B49" w:rsidP="00D51543">
            <w:pPr>
              <w:pStyle w:val="TableTextEntries"/>
              <w:rPr>
                <w:color w:val="0070C0"/>
              </w:rPr>
            </w:pPr>
          </w:p>
        </w:tc>
        <w:tc>
          <w:tcPr>
            <w:tcW w:w="2622" w:type="pct"/>
          </w:tcPr>
          <w:p w14:paraId="73F40E5F" w14:textId="77777777" w:rsidR="00990B49" w:rsidRPr="00016AF5" w:rsidRDefault="00EA0854" w:rsidP="00D51543">
            <w:pPr>
              <w:pStyle w:val="TableTextEntries"/>
              <w:rPr>
                <w:color w:val="0070C0"/>
              </w:rPr>
            </w:pPr>
            <w:r w:rsidRPr="00016AF5">
              <w:rPr>
                <w:color w:val="0070C0"/>
              </w:rPr>
              <w:t xml:space="preserve">Improving opportunities for women is an important objective of the aid program in Samoa </w:t>
            </w:r>
            <w:r w:rsidR="00CA18C9" w:rsidRPr="00016AF5">
              <w:rPr>
                <w:color w:val="0070C0"/>
              </w:rPr>
              <w:t xml:space="preserve">and while working towards finalising the design of the Country Plan, one of the targeted interventions to be delivered is </w:t>
            </w:r>
            <w:r w:rsidR="00D51543" w:rsidRPr="00016AF5">
              <w:rPr>
                <w:color w:val="0070C0"/>
              </w:rPr>
              <w:t xml:space="preserve">to </w:t>
            </w:r>
            <w:r w:rsidR="00CA18C9" w:rsidRPr="00016AF5">
              <w:rPr>
                <w:color w:val="0070C0"/>
              </w:rPr>
              <w:t>ad</w:t>
            </w:r>
            <w:r w:rsidR="00D51543" w:rsidRPr="00016AF5">
              <w:rPr>
                <w:color w:val="0070C0"/>
              </w:rPr>
              <w:t>vocate and support the increase representation of women in parliament at local government level and within public administration.  For example to attain an increased number of women candidates standing for election to the National Parliament in 2016.  This can be achieved through (i) parliament outreach and education; (ii) working with political parties; (iii) capacity building for women and candidates; (iv) mentoring and support for women MPs.</w:t>
            </w:r>
          </w:p>
        </w:tc>
      </w:tr>
      <w:tr w:rsidR="00990B49" w:rsidRPr="004F7D80" w14:paraId="73F40E65" w14:textId="77777777" w:rsidTr="000D733F">
        <w:tc>
          <w:tcPr>
            <w:tcW w:w="1189" w:type="pct"/>
            <w:tcMar>
              <w:top w:w="57" w:type="dxa"/>
              <w:bottom w:w="57" w:type="dxa"/>
            </w:tcMar>
          </w:tcPr>
          <w:p w14:paraId="73F40E61" w14:textId="77777777" w:rsidR="00990B49" w:rsidRPr="00990B49" w:rsidRDefault="002571E9" w:rsidP="002571E9">
            <w:pPr>
              <w:pStyle w:val="TableTextEntries"/>
            </w:pPr>
            <w:r>
              <w:t>Improve articulation of how programs are addressing gender and improving monitoring and evaluation</w:t>
            </w:r>
          </w:p>
        </w:tc>
        <w:tc>
          <w:tcPr>
            <w:tcW w:w="1189" w:type="pct"/>
          </w:tcPr>
          <w:p w14:paraId="73F40E62" w14:textId="77777777" w:rsidR="00990B49" w:rsidRDefault="002571E9" w:rsidP="00990B49">
            <w:pPr>
              <w:pStyle w:val="TableTextEntries"/>
            </w:pPr>
            <w:r>
              <w:t xml:space="preserve">New programs in education, health and economic infrastructure </w:t>
            </w:r>
            <w:r w:rsidR="000C7755">
              <w:t>will</w:t>
            </w:r>
            <w:r>
              <w:t xml:space="preserve"> specifically identify objectives around improved gender outcomes. </w:t>
            </w:r>
          </w:p>
          <w:p w14:paraId="73F40E63" w14:textId="77777777" w:rsidR="002571E9" w:rsidRDefault="002571E9" w:rsidP="00990B49">
            <w:pPr>
              <w:pStyle w:val="TableTextEntries"/>
            </w:pPr>
            <w:r>
              <w:t xml:space="preserve">Monitoring and evaluation assistance in </w:t>
            </w:r>
            <w:r>
              <w:lastRenderedPageBreak/>
              <w:t xml:space="preserve">Ministry of Finance and in education sector to put in place process to improve monitoring and reporting of results. </w:t>
            </w:r>
          </w:p>
        </w:tc>
        <w:tc>
          <w:tcPr>
            <w:tcW w:w="2622" w:type="pct"/>
          </w:tcPr>
          <w:p w14:paraId="73F40E64" w14:textId="77777777" w:rsidR="00990B49" w:rsidRPr="002749B6" w:rsidRDefault="002571E9" w:rsidP="000D733F">
            <w:pPr>
              <w:pStyle w:val="TableTextEntries"/>
            </w:pPr>
            <w:r>
              <w:lastRenderedPageBreak/>
              <w:t xml:space="preserve">A number of current initiatives have been rated low on gender in previous years. Monitoring and evaluation ratings have been low across the board. Technical assistance to strengthen M&amp;E together with targeted assistance from Pacific Gender Specialist for programs to turn around gender will lead to improvements in these areas. Focus will be on new programs being designed given constraints in addressing issues where programs are about to end.  </w:t>
            </w:r>
          </w:p>
        </w:tc>
      </w:tr>
    </w:tbl>
    <w:p w14:paraId="73F40E66" w14:textId="77777777" w:rsidR="00125903" w:rsidRDefault="00125903">
      <w:pPr>
        <w:spacing w:after="200" w:line="276" w:lineRule="auto"/>
        <w:rPr>
          <w:rFonts w:ascii="Helvetica" w:eastAsia="Times New Roman" w:hAnsi="Helvetica" w:cs="Arial"/>
          <w:color w:val="007FAD"/>
          <w:kern w:val="28"/>
          <w:sz w:val="28"/>
          <w:szCs w:val="28"/>
        </w:rPr>
      </w:pPr>
      <w:r>
        <w:rPr>
          <w:sz w:val="28"/>
        </w:rPr>
        <w:lastRenderedPageBreak/>
        <w:br w:type="page"/>
      </w:r>
    </w:p>
    <w:p w14:paraId="73F40E67" w14:textId="77777777" w:rsidR="0026439A" w:rsidRDefault="0026439A" w:rsidP="0026439A">
      <w:pPr>
        <w:pStyle w:val="Heading2"/>
        <w:spacing w:before="0" w:line="276" w:lineRule="auto"/>
        <w:rPr>
          <w:sz w:val="28"/>
        </w:rPr>
      </w:pPr>
      <w:r>
        <w:rPr>
          <w:sz w:val="28"/>
        </w:rPr>
        <w:lastRenderedPageBreak/>
        <w:t>Annex E</w:t>
      </w:r>
    </w:p>
    <w:p w14:paraId="73F40E68" w14:textId="77777777" w:rsidR="0026439A" w:rsidRDefault="0026439A" w:rsidP="0026439A">
      <w:pPr>
        <w:pStyle w:val="Heading2"/>
        <w:spacing w:before="0" w:line="276" w:lineRule="auto"/>
        <w:rPr>
          <w:sz w:val="32"/>
          <w:szCs w:val="32"/>
        </w:rPr>
      </w:pPr>
      <w:r>
        <w:rPr>
          <w:sz w:val="28"/>
        </w:rPr>
        <w:t>Annual performance of selected Pacific Regional programs at the Country level</w:t>
      </w:r>
      <w:r w:rsidRPr="009E38C1">
        <w:rPr>
          <w:sz w:val="28"/>
        </w:rPr>
        <w:tab/>
      </w:r>
      <w:r>
        <w:rPr>
          <w:sz w:val="32"/>
          <w:szCs w:val="32"/>
        </w:rPr>
        <w:tab/>
      </w:r>
      <w:r>
        <w:rPr>
          <w:sz w:val="32"/>
          <w:szCs w:val="32"/>
        </w:rPr>
        <w:tab/>
      </w:r>
    </w:p>
    <w:p w14:paraId="73F40E69" w14:textId="77777777" w:rsidR="0026439A" w:rsidRDefault="0026439A" w:rsidP="0026439A">
      <w:pPr>
        <w:pStyle w:val="Heading2"/>
        <w:spacing w:before="0" w:line="276" w:lineRule="auto"/>
        <w:rPr>
          <w:sz w:val="28"/>
        </w:rPr>
      </w:pPr>
      <w:r>
        <w:rPr>
          <w:sz w:val="28"/>
        </w:rPr>
        <w:t>Samoa</w:t>
      </w:r>
      <w:r w:rsidRPr="00D80DA6">
        <w:rPr>
          <w:sz w:val="28"/>
        </w:rPr>
        <w:t xml:space="preserve"> Bilateral Program - 2013</w:t>
      </w:r>
      <w:r w:rsidRPr="00D80DA6">
        <w:rPr>
          <w:sz w:val="28"/>
        </w:rPr>
        <w:tab/>
      </w:r>
      <w:r w:rsidRPr="00D80DA6">
        <w:rPr>
          <w:sz w:val="28"/>
        </w:rPr>
        <w:tab/>
      </w:r>
    </w:p>
    <w:p w14:paraId="73F40E6A" w14:textId="77777777" w:rsidR="0026439A" w:rsidRDefault="0026439A" w:rsidP="0026439A">
      <w:pPr>
        <w:pStyle w:val="Caption"/>
        <w:spacing w:before="0" w:after="120" w:line="276" w:lineRule="auto"/>
      </w:pPr>
      <w:r>
        <w:t>Pacific Regional Program ODA attributed to bilateral program</w:t>
      </w:r>
    </w:p>
    <w:tbl>
      <w:tblPr>
        <w:tblStyle w:val="APPR"/>
        <w:tblpPr w:leftFromText="180" w:rightFromText="180" w:vertAnchor="text" w:tblpY="1"/>
        <w:tblW w:w="5000" w:type="pct"/>
        <w:tblLayout w:type="fixed"/>
        <w:tblLook w:val="0000" w:firstRow="0" w:lastRow="0" w:firstColumn="0" w:lastColumn="0" w:noHBand="0" w:noVBand="0"/>
      </w:tblPr>
      <w:tblGrid>
        <w:gridCol w:w="9335"/>
        <w:gridCol w:w="2281"/>
        <w:gridCol w:w="2321"/>
      </w:tblGrid>
      <w:tr w:rsidR="0026439A" w:rsidRPr="00180B19" w14:paraId="73F40E6E" w14:textId="77777777" w:rsidTr="0026439A">
        <w:trPr>
          <w:cnfStyle w:val="000000010000" w:firstRow="0" w:lastRow="0" w:firstColumn="0" w:lastColumn="0" w:oddVBand="0" w:evenVBand="0" w:oddHBand="0" w:evenHBand="1" w:firstRowFirstColumn="0" w:firstRowLastColumn="0" w:lastRowFirstColumn="0" w:lastRowLastColumn="0"/>
        </w:trPr>
        <w:tc>
          <w:tcPr>
            <w:tcW w:w="6329" w:type="dxa"/>
          </w:tcPr>
          <w:p w14:paraId="73F40E6B" w14:textId="77777777" w:rsidR="0026439A" w:rsidRPr="00180B19" w:rsidRDefault="0026439A" w:rsidP="0026439A">
            <w:pPr>
              <w:pStyle w:val="TableHeading1"/>
              <w:spacing w:before="0" w:after="120" w:line="276" w:lineRule="auto"/>
            </w:pPr>
          </w:p>
        </w:tc>
        <w:tc>
          <w:tcPr>
            <w:tcW w:w="1534" w:type="dxa"/>
          </w:tcPr>
          <w:p w14:paraId="73F40E6C" w14:textId="77777777" w:rsidR="0026439A" w:rsidRPr="00180B19" w:rsidRDefault="0026439A" w:rsidP="0026439A">
            <w:pPr>
              <w:pStyle w:val="TableHeading1"/>
              <w:spacing w:before="0" w:after="120" w:line="276" w:lineRule="auto"/>
            </w:pPr>
            <w:r>
              <w:t xml:space="preserve">2013/14 </w:t>
            </w:r>
            <w:r>
              <w:br/>
              <w:t>(Actual)</w:t>
            </w:r>
          </w:p>
        </w:tc>
        <w:tc>
          <w:tcPr>
            <w:tcW w:w="1552" w:type="dxa"/>
          </w:tcPr>
          <w:p w14:paraId="73F40E6D" w14:textId="77777777" w:rsidR="0026439A" w:rsidRPr="00180B19" w:rsidRDefault="0026439A" w:rsidP="0026439A">
            <w:pPr>
              <w:pStyle w:val="TableHeading1"/>
              <w:spacing w:before="0" w:after="120" w:line="276" w:lineRule="auto"/>
            </w:pPr>
            <w:r>
              <w:t>2014/15</w:t>
            </w:r>
            <w:r>
              <w:br/>
              <w:t xml:space="preserve"> (Plan)</w:t>
            </w:r>
          </w:p>
        </w:tc>
      </w:tr>
      <w:tr w:rsidR="0026439A" w:rsidRPr="00180B19" w14:paraId="73F40E72" w14:textId="77777777" w:rsidTr="0026439A">
        <w:trPr>
          <w:cnfStyle w:val="000000010000" w:firstRow="0" w:lastRow="0" w:firstColumn="0" w:lastColumn="0" w:oddVBand="0" w:evenVBand="0" w:oddHBand="0" w:evenHBand="1" w:firstRowFirstColumn="0" w:firstRowLastColumn="0" w:lastRowFirstColumn="0" w:lastRowLastColumn="0"/>
        </w:trPr>
        <w:tc>
          <w:tcPr>
            <w:tcW w:w="6329" w:type="dxa"/>
          </w:tcPr>
          <w:p w14:paraId="73F40E6F" w14:textId="77777777" w:rsidR="0026439A" w:rsidRPr="002B1D75" w:rsidRDefault="0026439A" w:rsidP="0026439A">
            <w:pPr>
              <w:pStyle w:val="TableTextEntries"/>
              <w:spacing w:before="0" w:after="120" w:line="276" w:lineRule="auto"/>
            </w:pPr>
            <w:r>
              <w:t>Samoa</w:t>
            </w:r>
          </w:p>
        </w:tc>
        <w:tc>
          <w:tcPr>
            <w:tcW w:w="1534" w:type="dxa"/>
          </w:tcPr>
          <w:p w14:paraId="73F40E70" w14:textId="77777777" w:rsidR="0026439A" w:rsidRPr="00C57923" w:rsidRDefault="0026439A" w:rsidP="0026439A">
            <w:pPr>
              <w:pStyle w:val="TableTextEntries"/>
              <w:spacing w:before="0" w:after="120" w:line="276" w:lineRule="auto"/>
            </w:pPr>
            <w:r>
              <w:t>A$</w:t>
            </w:r>
            <w:r w:rsidRPr="00375B03">
              <w:t>8,089,303</w:t>
            </w:r>
          </w:p>
        </w:tc>
        <w:tc>
          <w:tcPr>
            <w:tcW w:w="1552" w:type="dxa"/>
          </w:tcPr>
          <w:p w14:paraId="73F40E71" w14:textId="77777777" w:rsidR="0026439A" w:rsidRPr="00C57923" w:rsidRDefault="0026439A" w:rsidP="0026439A">
            <w:pPr>
              <w:pStyle w:val="TableTextEntries"/>
              <w:spacing w:before="0" w:after="120" w:line="276" w:lineRule="auto"/>
            </w:pPr>
            <w:r>
              <w:t>A$</w:t>
            </w:r>
            <w:r w:rsidRPr="00375B03">
              <w:t>8,900,267</w:t>
            </w:r>
          </w:p>
        </w:tc>
      </w:tr>
    </w:tbl>
    <w:p w14:paraId="73F40E73" w14:textId="77777777" w:rsidR="0026439A" w:rsidRDefault="0026439A" w:rsidP="0026439A">
      <w:pPr>
        <w:pStyle w:val="ListBullet"/>
        <w:numPr>
          <w:ilvl w:val="0"/>
          <w:numId w:val="0"/>
        </w:numPr>
        <w:spacing w:line="276" w:lineRule="auto"/>
      </w:pPr>
    </w:p>
    <w:p w14:paraId="73F40E74" w14:textId="77777777" w:rsidR="0026439A" w:rsidRPr="00AC6F49" w:rsidRDefault="0026439A" w:rsidP="0026439A">
      <w:pPr>
        <w:pStyle w:val="ListBullet"/>
        <w:numPr>
          <w:ilvl w:val="0"/>
          <w:numId w:val="0"/>
        </w:numPr>
        <w:spacing w:line="276" w:lineRule="auto"/>
      </w:pPr>
      <w:r w:rsidRPr="002B1D75">
        <w:t>This Annex outlines the country-level results of selected investments of the Pacific R</w:t>
      </w:r>
      <w:r>
        <w:t>egional Aid Program for Samoa</w:t>
      </w:r>
      <w:r w:rsidRPr="002B1D75">
        <w:t>. All information included in this annex is drawn from internal and external reporting produced by DFAT and our implementing partners on investments managed by the Pacific Regional aid program. This information should not be treated as comprehensive.</w:t>
      </w:r>
    </w:p>
    <w:p w14:paraId="73F40E75" w14:textId="77777777" w:rsidR="0026439A" w:rsidRDefault="0026439A" w:rsidP="0026439A">
      <w:pPr>
        <w:pStyle w:val="Heading2"/>
        <w:spacing w:before="0" w:line="276" w:lineRule="auto"/>
        <w:rPr>
          <w:rStyle w:val="BodyTextChar"/>
        </w:rPr>
      </w:pPr>
      <w:r w:rsidRPr="002B1D75">
        <w:rPr>
          <w:sz w:val="28"/>
        </w:rPr>
        <w:t xml:space="preserve">Contributions to </w:t>
      </w:r>
      <w:r>
        <w:rPr>
          <w:sz w:val="28"/>
        </w:rPr>
        <w:t>Samoa</w:t>
      </w:r>
      <w:r w:rsidRPr="002B1D75">
        <w:rPr>
          <w:sz w:val="28"/>
        </w:rPr>
        <w:t xml:space="preserve"> Country Program Outcomes</w:t>
      </w:r>
      <w:r w:rsidRPr="009E38C1">
        <w:rPr>
          <w:sz w:val="28"/>
        </w:rPr>
        <w:t xml:space="preserve"> </w:t>
      </w:r>
      <w:r w:rsidRPr="009E38C1">
        <w:rPr>
          <w:sz w:val="28"/>
        </w:rPr>
        <w:tab/>
      </w:r>
      <w:r>
        <w:rPr>
          <w:sz w:val="32"/>
          <w:szCs w:val="32"/>
        </w:rPr>
        <w:tab/>
      </w:r>
      <w:r>
        <w:rPr>
          <w:rStyle w:val="BodyTextChar"/>
        </w:rPr>
        <w:tab/>
      </w:r>
    </w:p>
    <w:p w14:paraId="73F40E76" w14:textId="77777777" w:rsidR="0026439A" w:rsidRPr="002B1D75" w:rsidRDefault="0026439A" w:rsidP="0026439A">
      <w:pPr>
        <w:pStyle w:val="Heading3"/>
        <w:spacing w:before="0" w:line="276" w:lineRule="auto"/>
        <w:rPr>
          <w:rStyle w:val="BodyTextChar"/>
          <w:sz w:val="22"/>
          <w:szCs w:val="22"/>
        </w:rPr>
      </w:pPr>
      <w:r w:rsidRPr="00375B03">
        <w:t>O</w:t>
      </w:r>
      <w:r>
        <w:t>utcome</w:t>
      </w:r>
      <w:r w:rsidRPr="00375B03">
        <w:t xml:space="preserve"> 1 – improving economic stability and governance</w:t>
      </w:r>
      <w:r>
        <w:rPr>
          <w:rStyle w:val="BodyTextChar"/>
        </w:rPr>
        <w:tab/>
      </w:r>
    </w:p>
    <w:p w14:paraId="73F40E77" w14:textId="77777777" w:rsidR="0026439A" w:rsidRPr="00B97250" w:rsidRDefault="0026439A" w:rsidP="0026439A">
      <w:pPr>
        <w:pStyle w:val="Heading3"/>
        <w:spacing w:before="0" w:line="276" w:lineRule="auto"/>
        <w:rPr>
          <w:rFonts w:ascii="Franklin Gothic Book" w:hAnsi="Franklin Gothic Book" w:cs="Times New Roman"/>
          <w:b w:val="0"/>
          <w:color w:val="auto"/>
          <w:kern w:val="0"/>
          <w:sz w:val="21"/>
          <w:szCs w:val="24"/>
          <w:lang w:eastAsia="en-AU"/>
        </w:rPr>
      </w:pPr>
      <w:r w:rsidRPr="00B97250">
        <w:rPr>
          <w:rFonts w:ascii="Franklin Gothic Book" w:hAnsi="Franklin Gothic Book" w:cs="Times New Roman"/>
          <w:b w:val="0"/>
          <w:color w:val="auto"/>
          <w:kern w:val="0"/>
          <w:sz w:val="21"/>
          <w:szCs w:val="24"/>
          <w:lang w:eastAsia="en-AU"/>
        </w:rPr>
        <w:t>Examples of contributions to this objective from the DFAT Pacific Regional Program include:</w:t>
      </w:r>
    </w:p>
    <w:p w14:paraId="73F40E78" w14:textId="77777777" w:rsidR="0026439A" w:rsidRPr="00375B03" w:rsidRDefault="0026439A" w:rsidP="0026439A">
      <w:pPr>
        <w:pStyle w:val="ListBullet"/>
        <w:tabs>
          <w:tab w:val="clear" w:pos="284"/>
        </w:tabs>
        <w:spacing w:line="276" w:lineRule="auto"/>
      </w:pPr>
      <w:r w:rsidRPr="00375B03">
        <w:t xml:space="preserve">The Pacific Financial Technical Assistance Centre (PFTAC) provided support to Samoa’s Ministry of Finance in assessing the debt sustainability consequences of various fiscal policy choices. As a result, the Samoan Economic and Revenue Forecasting (SERF) model was complemented with a medium-term fiscal framework that computes a comprehensive set of debt indicators. </w:t>
      </w:r>
    </w:p>
    <w:p w14:paraId="73F40E79" w14:textId="77777777" w:rsidR="0026439A" w:rsidRPr="00375B03" w:rsidRDefault="0026439A" w:rsidP="0026439A">
      <w:pPr>
        <w:pStyle w:val="ListBullet"/>
        <w:tabs>
          <w:tab w:val="clear" w:pos="284"/>
        </w:tabs>
        <w:spacing w:line="276" w:lineRule="auto"/>
      </w:pPr>
      <w:r w:rsidRPr="00375B03">
        <w:t xml:space="preserve">The Samoa Alternative Dispute Resolution project, implemented by the International Finance Corporation (IFC), contributed to establishing a cost-effective and sustainable alternative for commercial dispute resolution as a complement to the formal Court System. Twenty three mediators were trained and accredited as Accredited Mediators of Samoa and formed the Accredited Mediators of Samoa Association (AMSA). The program facilitated a strategic planning retreat for AMSA in May 2013, during which a Constitution, a Mission statement, Mediator Fees/Charges proposal, AMSA Funds Use Policy, and a continuing Mediation Rules 2013 were drafted. </w:t>
      </w:r>
    </w:p>
    <w:p w14:paraId="73F40E7A" w14:textId="77777777" w:rsidR="0026439A" w:rsidRPr="00375B03" w:rsidRDefault="0026439A" w:rsidP="0026439A">
      <w:pPr>
        <w:pStyle w:val="ListBullet"/>
        <w:tabs>
          <w:tab w:val="clear" w:pos="284"/>
        </w:tabs>
        <w:spacing w:line="276" w:lineRule="auto"/>
      </w:pPr>
      <w:r w:rsidRPr="00375B03">
        <w:lastRenderedPageBreak/>
        <w:t xml:space="preserve">PFTAC supported the strengthening of macroeconomic analysis and forecasting. Policy reviews were carried out, and legislative drafting assistance was provided, in order to develop and implement a modern revenue policy and legislative frameworks. Excellent progress has been achieved in implementing comprehensive strategic and corporate planning. Excellent progress has also been made towards effective risk management and compliance improvement strategies. </w:t>
      </w:r>
    </w:p>
    <w:p w14:paraId="73F40E7B" w14:textId="77777777" w:rsidR="0026439A" w:rsidRDefault="0026439A" w:rsidP="0026439A">
      <w:pPr>
        <w:spacing w:after="120" w:line="276" w:lineRule="auto"/>
        <w:rPr>
          <w:rFonts w:ascii="Helvetica" w:eastAsia="Times New Roman" w:hAnsi="Helvetica" w:cs="Arial"/>
          <w:b/>
          <w:color w:val="124486"/>
          <w:kern w:val="28"/>
          <w:sz w:val="22"/>
          <w:szCs w:val="22"/>
          <w:lang w:eastAsia="zh-CN"/>
        </w:rPr>
      </w:pPr>
      <w:r w:rsidRPr="00375B03">
        <w:rPr>
          <w:rFonts w:ascii="Helvetica" w:eastAsia="Times New Roman" w:hAnsi="Helvetica" w:cs="Arial"/>
          <w:b/>
          <w:color w:val="124486"/>
          <w:kern w:val="28"/>
          <w:sz w:val="22"/>
          <w:szCs w:val="22"/>
          <w:lang w:eastAsia="zh-CN"/>
        </w:rPr>
        <w:t>O</w:t>
      </w:r>
      <w:r>
        <w:rPr>
          <w:rFonts w:ascii="Helvetica" w:eastAsia="Times New Roman" w:hAnsi="Helvetica" w:cs="Arial"/>
          <w:b/>
          <w:color w:val="124486"/>
          <w:kern w:val="28"/>
          <w:sz w:val="22"/>
          <w:szCs w:val="22"/>
          <w:lang w:eastAsia="zh-CN"/>
        </w:rPr>
        <w:t>utcome</w:t>
      </w:r>
      <w:r w:rsidRPr="00375B03">
        <w:rPr>
          <w:rFonts w:ascii="Helvetica" w:eastAsia="Times New Roman" w:hAnsi="Helvetica" w:cs="Arial"/>
          <w:b/>
          <w:color w:val="124486"/>
          <w:kern w:val="28"/>
          <w:sz w:val="22"/>
          <w:szCs w:val="22"/>
          <w:lang w:eastAsia="zh-CN"/>
        </w:rPr>
        <w:t xml:space="preserve"> 2 – improving health</w:t>
      </w:r>
    </w:p>
    <w:p w14:paraId="73F40E7C" w14:textId="77777777" w:rsidR="0026439A" w:rsidRPr="002B1D75" w:rsidRDefault="0026439A" w:rsidP="0026439A">
      <w:pPr>
        <w:spacing w:after="120" w:line="276" w:lineRule="auto"/>
        <w:rPr>
          <w:rFonts w:ascii="Franklin Gothic Book" w:eastAsia="Times New Roman" w:hAnsi="Franklin Gothic Book"/>
          <w:sz w:val="21"/>
        </w:rPr>
      </w:pPr>
      <w:r w:rsidRPr="002B1D75">
        <w:rPr>
          <w:rFonts w:ascii="Franklin Gothic Book" w:eastAsia="Times New Roman" w:hAnsi="Franklin Gothic Book"/>
          <w:sz w:val="21"/>
        </w:rPr>
        <w:t>Examples of contributions to this objective from the DFAT Pacific Regional Program include:</w:t>
      </w:r>
    </w:p>
    <w:p w14:paraId="73F40E7D" w14:textId="77777777" w:rsidR="0026439A" w:rsidRPr="00375B03" w:rsidRDefault="0026439A" w:rsidP="0026439A">
      <w:pPr>
        <w:pStyle w:val="ListBullet"/>
        <w:tabs>
          <w:tab w:val="clear" w:pos="284"/>
        </w:tabs>
        <w:spacing w:line="276" w:lineRule="auto"/>
      </w:pPr>
      <w:r w:rsidRPr="00375B03">
        <w:t xml:space="preserve">The Pacific Island Program (PIP) implemented by the Royal Australian College </w:t>
      </w:r>
      <w:r>
        <w:t xml:space="preserve">of Surgeons </w:t>
      </w:r>
      <w:r w:rsidRPr="00375B03">
        <w:t>(RAC</w:t>
      </w:r>
      <w:r>
        <w:t>S</w:t>
      </w:r>
      <w:r w:rsidRPr="00375B03">
        <w:t xml:space="preserve">) conducted training for 25 Samoan participants to increase the capability of Samoan clinicians to diagnose and undertake medical procedures independently, and to teach and lead education programs. </w:t>
      </w:r>
    </w:p>
    <w:p w14:paraId="73F40E7E" w14:textId="77777777" w:rsidR="0026439A" w:rsidRPr="00375B03" w:rsidRDefault="0026439A" w:rsidP="0026439A">
      <w:pPr>
        <w:pStyle w:val="ListBullet"/>
        <w:tabs>
          <w:tab w:val="clear" w:pos="284"/>
        </w:tabs>
        <w:spacing w:line="276" w:lineRule="auto"/>
      </w:pPr>
      <w:r w:rsidRPr="00375B03">
        <w:t>In 2013, the Strengthening Specialised Clinical Services in the Pacific program (SSCSiP) provided funding for 4 Samoa</w:t>
      </w:r>
      <w:r>
        <w:t xml:space="preserve">ns to attend </w:t>
      </w:r>
      <w:r w:rsidRPr="00375B03">
        <w:t xml:space="preserve">training that enabled them to acquire research skills in reproductive health and clinical audits. </w:t>
      </w:r>
    </w:p>
    <w:p w14:paraId="73F40E7F" w14:textId="77777777" w:rsidR="0026439A" w:rsidRDefault="0026439A" w:rsidP="0026439A">
      <w:pPr>
        <w:spacing w:after="120" w:line="276" w:lineRule="auto"/>
        <w:rPr>
          <w:rFonts w:ascii="Helvetica" w:eastAsia="Times New Roman" w:hAnsi="Helvetica" w:cs="Arial"/>
          <w:b/>
          <w:color w:val="124486"/>
          <w:kern w:val="28"/>
          <w:sz w:val="22"/>
          <w:szCs w:val="22"/>
          <w:lang w:eastAsia="zh-CN"/>
        </w:rPr>
      </w:pPr>
      <w:r w:rsidRPr="00375B03">
        <w:rPr>
          <w:rFonts w:ascii="Helvetica" w:eastAsia="Times New Roman" w:hAnsi="Helvetica" w:cs="Arial"/>
          <w:b/>
          <w:color w:val="124486"/>
          <w:kern w:val="28"/>
          <w:sz w:val="22"/>
          <w:szCs w:val="22"/>
          <w:lang w:eastAsia="zh-CN"/>
        </w:rPr>
        <w:t>O</w:t>
      </w:r>
      <w:r>
        <w:rPr>
          <w:rFonts w:ascii="Helvetica" w:eastAsia="Times New Roman" w:hAnsi="Helvetica" w:cs="Arial"/>
          <w:b/>
          <w:color w:val="124486"/>
          <w:kern w:val="28"/>
          <w:sz w:val="22"/>
          <w:szCs w:val="22"/>
          <w:lang w:eastAsia="zh-CN"/>
        </w:rPr>
        <w:t>utcome</w:t>
      </w:r>
      <w:r w:rsidRPr="00375B03">
        <w:rPr>
          <w:rFonts w:ascii="Helvetica" w:eastAsia="Times New Roman" w:hAnsi="Helvetica" w:cs="Arial"/>
          <w:b/>
          <w:color w:val="124486"/>
          <w:kern w:val="28"/>
          <w:sz w:val="22"/>
          <w:szCs w:val="22"/>
          <w:lang w:eastAsia="zh-CN"/>
        </w:rPr>
        <w:t xml:space="preserve"> 3 – improving education</w:t>
      </w:r>
    </w:p>
    <w:p w14:paraId="73F40E80" w14:textId="77777777" w:rsidR="0026439A" w:rsidRPr="002B1D75" w:rsidRDefault="0026439A" w:rsidP="0026439A">
      <w:pPr>
        <w:spacing w:after="120" w:line="276" w:lineRule="auto"/>
        <w:rPr>
          <w:rFonts w:ascii="Franklin Gothic Book" w:eastAsia="Times New Roman" w:hAnsi="Franklin Gothic Book"/>
          <w:sz w:val="21"/>
        </w:rPr>
      </w:pPr>
      <w:r w:rsidRPr="002B1D75">
        <w:rPr>
          <w:rFonts w:ascii="Franklin Gothic Book" w:eastAsia="Times New Roman" w:hAnsi="Franklin Gothic Book"/>
          <w:sz w:val="21"/>
        </w:rPr>
        <w:t>Examples of contributions to this objective from the DFAT Pacific Regional Program include:</w:t>
      </w:r>
    </w:p>
    <w:p w14:paraId="73F40E81" w14:textId="77777777" w:rsidR="0026439A" w:rsidRPr="00C039C2" w:rsidRDefault="0026439A" w:rsidP="0026439A">
      <w:pPr>
        <w:pStyle w:val="ListBullet"/>
        <w:tabs>
          <w:tab w:val="clear" w:pos="284"/>
        </w:tabs>
        <w:spacing w:line="276" w:lineRule="auto"/>
      </w:pPr>
      <w:r w:rsidRPr="00C039C2">
        <w:t>As part of its Pacific Benchmarking Education for Results (PaBER) project, the Secretariat of the Pacific Board for Educational Assessment (SPBEA) undertook a benchmarking analysis of literacy and numeracy in Samoa.  Pacific Islands Literacy and Numerical Assessment (PILNA) data for Samoa has been analysed, the report completed and a Samoa baseline for literacy and numeracy established.</w:t>
      </w:r>
    </w:p>
    <w:p w14:paraId="73F40E82" w14:textId="77777777" w:rsidR="0026439A" w:rsidRPr="00C039C2" w:rsidRDefault="0026439A" w:rsidP="0026439A">
      <w:pPr>
        <w:pStyle w:val="ListBullet"/>
        <w:tabs>
          <w:tab w:val="clear" w:pos="284"/>
        </w:tabs>
        <w:spacing w:line="276" w:lineRule="auto"/>
      </w:pPr>
      <w:r w:rsidRPr="00C039C2">
        <w:t xml:space="preserve">The Pacific Indicators for Inclusive Education research project is developing a set of contextually specific indicators for inclusive education in the Pacific and guidelines for implementation in four countries including Samoa. The indicators will assist countries to evaluate their efforts and develop further plans and targets for providing quality education for children with disability. </w:t>
      </w:r>
    </w:p>
    <w:p w14:paraId="73F40E83" w14:textId="77777777" w:rsidR="0026439A" w:rsidRPr="006E631D" w:rsidRDefault="0026439A" w:rsidP="0026439A">
      <w:pPr>
        <w:pStyle w:val="ListBullet"/>
        <w:numPr>
          <w:ilvl w:val="0"/>
          <w:numId w:val="0"/>
        </w:numPr>
        <w:spacing w:line="276" w:lineRule="auto"/>
        <w:rPr>
          <w:rFonts w:ascii="Helvetica" w:hAnsi="Helvetica" w:cs="Arial"/>
          <w:color w:val="007FAD"/>
          <w:kern w:val="28"/>
          <w:sz w:val="28"/>
          <w:szCs w:val="28"/>
        </w:rPr>
      </w:pPr>
      <w:r w:rsidRPr="002B1D75">
        <w:rPr>
          <w:rFonts w:ascii="Helvetica" w:hAnsi="Helvetica" w:cs="Arial"/>
          <w:color w:val="007FAD"/>
          <w:kern w:val="28"/>
          <w:sz w:val="28"/>
          <w:szCs w:val="28"/>
        </w:rPr>
        <w:t xml:space="preserve">Regional Services that complement the </w:t>
      </w:r>
      <w:r>
        <w:rPr>
          <w:rFonts w:ascii="Helvetica" w:hAnsi="Helvetica" w:cs="Arial"/>
          <w:color w:val="007FAD"/>
          <w:kern w:val="28"/>
          <w:sz w:val="28"/>
          <w:szCs w:val="28"/>
        </w:rPr>
        <w:t>Samoa</w:t>
      </w:r>
      <w:r w:rsidRPr="002B1D75">
        <w:rPr>
          <w:rFonts w:ascii="Helvetica" w:hAnsi="Helvetica" w:cs="Arial"/>
          <w:color w:val="007FAD"/>
          <w:kern w:val="28"/>
          <w:sz w:val="28"/>
          <w:szCs w:val="28"/>
        </w:rPr>
        <w:t xml:space="preserve"> Bilateral Program</w:t>
      </w:r>
    </w:p>
    <w:p w14:paraId="73F40E84" w14:textId="77777777" w:rsidR="0026439A" w:rsidRDefault="0026439A" w:rsidP="0026439A">
      <w:pPr>
        <w:pStyle w:val="ListBullet"/>
        <w:numPr>
          <w:ilvl w:val="0"/>
          <w:numId w:val="0"/>
        </w:numPr>
        <w:spacing w:line="276" w:lineRule="auto"/>
      </w:pPr>
      <w:r>
        <w:t>Examples of contributions to the Samoa Bilateral Program from Regional Institutions and Regional Services supported by the DFAT Pacific Regional Program include:</w:t>
      </w:r>
    </w:p>
    <w:p w14:paraId="73F40E85" w14:textId="77777777" w:rsidR="0026439A" w:rsidRPr="00C039C2" w:rsidRDefault="0026439A" w:rsidP="0026439A">
      <w:pPr>
        <w:pStyle w:val="ListBullet"/>
        <w:tabs>
          <w:tab w:val="clear" w:pos="284"/>
        </w:tabs>
        <w:spacing w:line="276" w:lineRule="auto"/>
      </w:pPr>
      <w:r w:rsidRPr="00C039C2">
        <w:t xml:space="preserve">Core-funding to the Secretariat of the Pacific Community (SPC) supported the recruitment of the Samoa Country Focal Officer in April 2014, who has provided support to the Ministry of Women, Community &amp; Social Development in planning for the implementation of their Family Safety Act. Training </w:t>
      </w:r>
      <w:r w:rsidRPr="00C039C2">
        <w:lastRenderedPageBreak/>
        <w:t xml:space="preserve">delivered to Members of Parliament and country focal officers contributed to increased observance of human rights and good governance standards by agencies and governments providing service to the public. </w:t>
      </w:r>
    </w:p>
    <w:p w14:paraId="73F40E86" w14:textId="77777777" w:rsidR="0026439A" w:rsidRPr="00C039C2" w:rsidRDefault="0026439A" w:rsidP="0026439A">
      <w:pPr>
        <w:pStyle w:val="ListBullet"/>
        <w:tabs>
          <w:tab w:val="clear" w:pos="284"/>
        </w:tabs>
        <w:spacing w:line="276" w:lineRule="auto"/>
      </w:pPr>
      <w:r w:rsidRPr="00C039C2">
        <w:t>Pacific Regional core funding to the Australia Pacific Technical College (APTC) in 2013 supported 883 enrolments and 641 graduates</w:t>
      </w:r>
      <w:r>
        <w:t xml:space="preserve"> from Samoa.</w:t>
      </w:r>
    </w:p>
    <w:p w14:paraId="73F40E87" w14:textId="77777777" w:rsidR="0026439A" w:rsidRPr="00C039C2" w:rsidRDefault="0026439A" w:rsidP="0026439A">
      <w:pPr>
        <w:pStyle w:val="ListBullet"/>
        <w:tabs>
          <w:tab w:val="clear" w:pos="284"/>
        </w:tabs>
        <w:spacing w:line="276" w:lineRule="auto"/>
      </w:pPr>
      <w:r w:rsidRPr="00C039C2">
        <w:t>The Pacific Disability Forum (PDF) has advocated for the signing and ratification of laws and conventions affecting people with disabilities. In November 2013, Samoan Government representatives were supported to attend the focus group discussions relating to the Convention on the Rights of Persons with Disability (CRPD) ratification in the Pacific.</w:t>
      </w:r>
    </w:p>
    <w:p w14:paraId="73F40E88" w14:textId="77777777" w:rsidR="0026439A" w:rsidRPr="00C039C2" w:rsidRDefault="0026439A" w:rsidP="0026439A">
      <w:pPr>
        <w:pStyle w:val="ListBullet"/>
        <w:tabs>
          <w:tab w:val="clear" w:pos="284"/>
        </w:tabs>
        <w:spacing w:line="276" w:lineRule="auto"/>
      </w:pPr>
      <w:r w:rsidRPr="00C039C2">
        <w:t xml:space="preserve">The Pacific Leadership Program (PLP) is supporting the Samoa National Youth Council (SNYC) to be better positioned to lobby for support on youth related issues. Youth representatives have been formally registered in all 10 villages in Savaii, and 16 villages in Upolu. 87% of villages in Savaii and Upolu have a recognised youth representative who sits in village councils along with the Matai (Chiefs), on which they have not traditionally been represented. </w:t>
      </w:r>
    </w:p>
    <w:p w14:paraId="73F40E89" w14:textId="77777777" w:rsidR="0026439A" w:rsidRDefault="0026439A" w:rsidP="0026439A">
      <w:pPr>
        <w:pStyle w:val="ListBullet"/>
        <w:tabs>
          <w:tab w:val="clear" w:pos="284"/>
        </w:tabs>
        <w:spacing w:line="276" w:lineRule="auto"/>
      </w:pPr>
      <w:r w:rsidRPr="00C039C2">
        <w:t xml:space="preserve">In 2014, the Pacific Assistance Media Scheme (PACMAS) delivered a total of 14 national and regional workshops in the areas of Media Strengthening and Pacific Communication Broadcast Technicians. Out of 184 participants in these workshops, Samoa had the second-highest number of participants of any PICT (after Vanuatu).  PACMAS is also working with SPREP to support Samoa’s national broadcaster to improve its capacity to provide quality and timely information to enable communities to prepare and respond to natural disasters. </w:t>
      </w:r>
    </w:p>
    <w:p w14:paraId="73F40E8A" w14:textId="77777777" w:rsidR="0026439A" w:rsidRPr="009E38C1" w:rsidRDefault="0026439A" w:rsidP="0026439A">
      <w:pPr>
        <w:pStyle w:val="Heading2"/>
        <w:spacing w:before="0" w:line="276" w:lineRule="auto"/>
        <w:rPr>
          <w:sz w:val="28"/>
        </w:rPr>
      </w:pPr>
      <w:r w:rsidRPr="00034413">
        <w:rPr>
          <w:sz w:val="28"/>
        </w:rPr>
        <w:t xml:space="preserve">Case study: </w:t>
      </w:r>
      <w:r w:rsidRPr="00C039C2">
        <w:rPr>
          <w:sz w:val="28"/>
        </w:rPr>
        <w:t>Support for Samoa Ch</w:t>
      </w:r>
      <w:r>
        <w:rPr>
          <w:sz w:val="28"/>
        </w:rPr>
        <w:t>amber of Commerce and Industry</w:t>
      </w:r>
    </w:p>
    <w:p w14:paraId="73F40E8B" w14:textId="77777777" w:rsidR="0026439A" w:rsidRDefault="0026439A" w:rsidP="0026439A">
      <w:pPr>
        <w:pBdr>
          <w:top w:val="single" w:sz="4" w:space="1" w:color="auto"/>
          <w:bottom w:val="single" w:sz="4" w:space="1" w:color="auto"/>
        </w:pBdr>
        <w:spacing w:after="120" w:line="276" w:lineRule="auto"/>
      </w:pPr>
      <w:r w:rsidRPr="00C039C2">
        <w:rPr>
          <w:rFonts w:ascii="Franklin Gothic Book" w:eastAsia="Times New Roman" w:hAnsi="Franklin Gothic Book"/>
          <w:sz w:val="21"/>
        </w:rPr>
        <w:t>Recognising the Samoa Chamber of Commerce and Industry’s (SCCI’s) potential to represent the private sector at development policy level as well as its commitment to nurturing small businesses and young business leaders, the Pacific Leadership Program (PLP) entered into a formal partnership with SCCI in 2009. SCCI members include members of the Samoa Hotel Association, Samoa Association of Manufacturers and Exporters and Samoa Women in Business Development Inc. PLP’s support has included core and program funding as well as the provision of board governance, strategic planning and financial management support. At a policy level, PLP support has allowed SCCI to engage with Government to highlight and lobby on key development issues from a private sector perspective. SCCI now presents policy positions on every bill that is drafted, ranging from Health Regulations to the Crimes Act Review. PLP has supported SCCI to develop a comprehensive Policy Statement, which outlines the private sector’s position on four main development areas – tourism, trade, infrastructure development and the social sector. At times SCCI, in the absence of an effective political opposition, has played an important leadership role in providing the Samoan public with an alternative analysis of the National Budget.</w:t>
      </w:r>
    </w:p>
    <w:p w14:paraId="73F40E8C" w14:textId="77777777" w:rsidR="0026439A" w:rsidRPr="00C039C2" w:rsidRDefault="0026439A" w:rsidP="0026439A">
      <w:pPr>
        <w:pStyle w:val="ListBullet"/>
        <w:numPr>
          <w:ilvl w:val="0"/>
          <w:numId w:val="0"/>
        </w:numPr>
        <w:tabs>
          <w:tab w:val="clear" w:pos="284"/>
        </w:tabs>
        <w:spacing w:line="276" w:lineRule="auto"/>
      </w:pPr>
    </w:p>
    <w:p w14:paraId="73F40E8D" w14:textId="77777777" w:rsidR="000D733F" w:rsidRDefault="000D733F" w:rsidP="000D733F"/>
    <w:bookmarkEnd w:id="2"/>
    <w:p w14:paraId="73F40E8E" w14:textId="77777777" w:rsidR="000D733F" w:rsidRPr="00D95DDC" w:rsidRDefault="000D733F"/>
    <w:sectPr w:rsidR="000D733F" w:rsidRPr="00D95DDC" w:rsidSect="001C745A">
      <w:pgSz w:w="16840" w:h="11907" w:orient="landscape" w:code="9"/>
      <w:pgMar w:top="1871" w:right="2268" w:bottom="1871"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40E9F" w14:textId="77777777" w:rsidR="00163D2A" w:rsidRDefault="00163D2A" w:rsidP="0050529F">
      <w:r>
        <w:separator/>
      </w:r>
    </w:p>
    <w:p w14:paraId="73F40EA0" w14:textId="77777777" w:rsidR="00163D2A" w:rsidRDefault="00163D2A"/>
    <w:p w14:paraId="73F40EA1" w14:textId="77777777" w:rsidR="00163D2A" w:rsidRDefault="00163D2A"/>
    <w:p w14:paraId="73F40EA2" w14:textId="77777777" w:rsidR="00163D2A" w:rsidRDefault="00163D2A"/>
    <w:p w14:paraId="73F40EA3" w14:textId="77777777" w:rsidR="00163D2A" w:rsidRDefault="00163D2A"/>
    <w:p w14:paraId="73F40EA4" w14:textId="77777777" w:rsidR="00163D2A" w:rsidRDefault="00163D2A"/>
    <w:p w14:paraId="73F40EA5" w14:textId="77777777" w:rsidR="00163D2A" w:rsidRDefault="00163D2A"/>
  </w:endnote>
  <w:endnote w:type="continuationSeparator" w:id="0">
    <w:p w14:paraId="73F40EA6" w14:textId="77777777" w:rsidR="00163D2A" w:rsidRDefault="00163D2A" w:rsidP="0050529F">
      <w:r>
        <w:continuationSeparator/>
      </w:r>
    </w:p>
    <w:p w14:paraId="73F40EA7" w14:textId="77777777" w:rsidR="00163D2A" w:rsidRDefault="00163D2A"/>
    <w:p w14:paraId="73F40EA8" w14:textId="77777777" w:rsidR="00163D2A" w:rsidRDefault="00163D2A"/>
    <w:p w14:paraId="73F40EA9" w14:textId="77777777" w:rsidR="00163D2A" w:rsidRDefault="00163D2A"/>
    <w:p w14:paraId="73F40EAA" w14:textId="77777777" w:rsidR="00163D2A" w:rsidRDefault="00163D2A"/>
    <w:p w14:paraId="73F40EAB" w14:textId="77777777" w:rsidR="00163D2A" w:rsidRDefault="00163D2A"/>
    <w:p w14:paraId="73F40EAC" w14:textId="77777777" w:rsidR="00163D2A" w:rsidRDefault="00163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40EAF" w14:textId="77777777" w:rsidR="00163D2A" w:rsidRPr="0091071F" w:rsidRDefault="00163D2A" w:rsidP="000D733F">
    <w:pPr>
      <w:pStyle w:val="Footer"/>
    </w:pPr>
    <w:r w:rsidRPr="0091071F">
      <w:fldChar w:fldCharType="begin"/>
    </w:r>
    <w:r w:rsidRPr="0091071F">
      <w:instrText xml:space="preserve"> PAGE </w:instrText>
    </w:r>
    <w:r w:rsidRPr="0091071F">
      <w:fldChar w:fldCharType="separate"/>
    </w:r>
    <w:r w:rsidR="008C1633">
      <w:rPr>
        <w:noProof/>
      </w:rPr>
      <w:t>22</w:t>
    </w:r>
    <w:r w:rsidRPr="0091071F">
      <w:fldChar w:fldCharType="end"/>
    </w:r>
    <w:r w:rsidRPr="0091071F">
      <w:tab/>
    </w:r>
    <w:r>
      <w:fldChar w:fldCharType="begin"/>
    </w:r>
    <w:r>
      <w:instrText xml:space="preserve"> STYLEREF  Title </w:instrText>
    </w:r>
    <w:r>
      <w:rPr>
        <w:noProof/>
      </w:rPr>
      <w:fldChar w:fldCharType="end"/>
    </w:r>
    <w:r>
      <w:t xml:space="preserve"> &lt;&lt;Name of Country Program&gt;&gt;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40EB0" w14:textId="77777777" w:rsidR="00163D2A" w:rsidRPr="0091071F" w:rsidRDefault="00163D2A" w:rsidP="000D733F">
    <w:pPr>
      <w:pStyle w:val="Footer"/>
    </w:pPr>
    <w:r>
      <w:tab/>
    </w:r>
    <w:r>
      <w:tab/>
    </w:r>
    <w:fldSimple w:instr=" STYLEREF Title \* MERGEFORMAT ">
      <w:r w:rsidR="00B544DB">
        <w:rPr>
          <w:noProof/>
        </w:rPr>
        <w:t>Aid Program Performance Report 2013-14</w:t>
      </w:r>
    </w:fldSimple>
    <w:r w:rsidRPr="0091071F">
      <w:tab/>
    </w:r>
    <w:r w:rsidRPr="0091071F">
      <w:rPr>
        <w:rStyle w:val="PageNumber"/>
        <w:color w:val="3E3935"/>
      </w:rPr>
      <w:tab/>
    </w:r>
    <w:r w:rsidRPr="0091071F">
      <w:rPr>
        <w:rStyle w:val="PageNumber"/>
        <w:color w:val="3E3935"/>
      </w:rPr>
      <w:fldChar w:fldCharType="begin"/>
    </w:r>
    <w:r w:rsidRPr="0091071F">
      <w:rPr>
        <w:rStyle w:val="PageNumber"/>
        <w:color w:val="3E3935"/>
      </w:rPr>
      <w:instrText xml:space="preserve"> PAGE </w:instrText>
    </w:r>
    <w:r w:rsidRPr="0091071F">
      <w:rPr>
        <w:rStyle w:val="PageNumber"/>
        <w:color w:val="3E3935"/>
      </w:rPr>
      <w:fldChar w:fldCharType="separate"/>
    </w:r>
    <w:r w:rsidR="00B544DB">
      <w:rPr>
        <w:rStyle w:val="PageNumber"/>
        <w:noProof/>
        <w:color w:val="3E3935"/>
      </w:rPr>
      <w:t>1</w:t>
    </w:r>
    <w:r w:rsidRPr="0091071F">
      <w:rPr>
        <w:rStyle w:val="PageNumber"/>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40EB2" w14:textId="77777777" w:rsidR="005A5F69" w:rsidRDefault="005A5F6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40EB5" w14:textId="77777777" w:rsidR="00163D2A" w:rsidRPr="004C4A3E" w:rsidRDefault="00163D2A"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658240" behindDoc="1" locked="1" layoutInCell="1" allowOverlap="1" wp14:anchorId="73F40EB7" wp14:editId="73F40EB8">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Description: 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sidR="008C1633">
      <w:rPr>
        <w:rFonts w:ascii="Franklin Gothic Medium" w:hAnsi="Franklin Gothic Medium"/>
        <w:noProof/>
        <w:color w:val="5A9A98"/>
        <w:sz w:val="14"/>
        <w:szCs w:val="14"/>
      </w:rPr>
      <w:t>Aid Program Performance Report 2013-14</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sidR="008C1633">
      <w:rPr>
        <w:rFonts w:ascii="Franklin Gothic Medium" w:hAnsi="Franklin Gothic Medium"/>
        <w:noProof/>
        <w:color w:val="54534A"/>
        <w:sz w:val="14"/>
        <w:szCs w:val="14"/>
      </w:rPr>
      <w:t>22</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657216" behindDoc="1" locked="0" layoutInCell="1" allowOverlap="1" wp14:anchorId="73F40EB9" wp14:editId="73F40EBA">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Description: 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56192" behindDoc="1" locked="0" layoutInCell="1" allowOverlap="1" wp14:anchorId="73F40EBB" wp14:editId="73F40EBC">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Description: 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40E95" w14:textId="77777777" w:rsidR="00163D2A" w:rsidRDefault="00163D2A" w:rsidP="0050529F">
      <w:r>
        <w:separator/>
      </w:r>
    </w:p>
    <w:p w14:paraId="73F40E96" w14:textId="77777777" w:rsidR="00163D2A" w:rsidRDefault="00163D2A"/>
    <w:p w14:paraId="73F40E97" w14:textId="77777777" w:rsidR="00163D2A" w:rsidRDefault="00163D2A"/>
  </w:footnote>
  <w:footnote w:type="continuationSeparator" w:id="0">
    <w:p w14:paraId="73F40E98" w14:textId="77777777" w:rsidR="00163D2A" w:rsidRDefault="00163D2A" w:rsidP="0050529F">
      <w:r>
        <w:continuationSeparator/>
      </w:r>
    </w:p>
    <w:p w14:paraId="73F40E99" w14:textId="77777777" w:rsidR="00163D2A" w:rsidRDefault="00163D2A"/>
    <w:p w14:paraId="73F40E9A" w14:textId="77777777" w:rsidR="00163D2A" w:rsidRDefault="00163D2A"/>
    <w:p w14:paraId="73F40E9B" w14:textId="77777777" w:rsidR="00163D2A" w:rsidRDefault="00163D2A"/>
    <w:p w14:paraId="73F40E9C" w14:textId="77777777" w:rsidR="00163D2A" w:rsidRDefault="00163D2A"/>
    <w:p w14:paraId="73F40E9D" w14:textId="77777777" w:rsidR="00163D2A" w:rsidRDefault="00163D2A"/>
    <w:p w14:paraId="73F40E9E" w14:textId="77777777" w:rsidR="00163D2A" w:rsidRDefault="00163D2A"/>
  </w:footnote>
  <w:footnote w:id="1">
    <w:p w14:paraId="73F40EBD" w14:textId="77777777" w:rsidR="00163D2A" w:rsidRDefault="00163D2A">
      <w:pPr>
        <w:pStyle w:val="FootnoteText"/>
      </w:pPr>
      <w:r>
        <w:rPr>
          <w:rStyle w:val="FootnoteReference"/>
        </w:rPr>
        <w:footnoteRef/>
      </w:r>
      <w:r>
        <w:t xml:space="preserve"> </w:t>
      </w:r>
      <w:r w:rsidRPr="00C550DE">
        <w:t>http://www.adb.org/countries/samoa/economy</w:t>
      </w:r>
    </w:p>
  </w:footnote>
  <w:footnote w:id="2">
    <w:p w14:paraId="73F40EBE" w14:textId="77777777" w:rsidR="00163D2A" w:rsidRDefault="00163D2A">
      <w:pPr>
        <w:pStyle w:val="FootnoteText"/>
      </w:pPr>
      <w:r>
        <w:rPr>
          <w:rStyle w:val="FootnoteReference"/>
        </w:rPr>
        <w:footnoteRef/>
      </w:r>
      <w:r>
        <w:t xml:space="preserve"> </w:t>
      </w:r>
      <w:r w:rsidRPr="005874F0">
        <w:t>http://data.worldbank.org/indicator/NY.GDP.PCAP.CD/countries</w:t>
      </w:r>
    </w:p>
  </w:footnote>
  <w:footnote w:id="3">
    <w:p w14:paraId="73F40EBF" w14:textId="77777777" w:rsidR="00163D2A" w:rsidRDefault="00163D2A">
      <w:pPr>
        <w:pStyle w:val="FootnoteText"/>
      </w:pPr>
      <w:r>
        <w:rPr>
          <w:rStyle w:val="FootnoteReference"/>
        </w:rPr>
        <w:footnoteRef/>
      </w:r>
      <w:r>
        <w:t xml:space="preserve"> World Bank, </w:t>
      </w:r>
      <w:r w:rsidRPr="00C85C91">
        <w:t>http://data.worldbank.org/country/samoa</w:t>
      </w:r>
    </w:p>
  </w:footnote>
  <w:footnote w:id="4">
    <w:p w14:paraId="73F40EC0" w14:textId="77777777" w:rsidR="00163D2A" w:rsidRDefault="00163D2A" w:rsidP="00C23727">
      <w:pPr>
        <w:pStyle w:val="FootnoteText"/>
      </w:pPr>
      <w:r>
        <w:rPr>
          <w:rStyle w:val="FootnoteReference"/>
        </w:rPr>
        <w:footnoteRef/>
      </w:r>
      <w:r>
        <w:t xml:space="preserve"> Samoa country case study: </w:t>
      </w:r>
      <w:r w:rsidRPr="00C23727">
        <w:t>AusAID Pacific social protection series: poverty, vulnerability and social protection in the Pacific</w:t>
      </w:r>
      <w:r>
        <w:t xml:space="preserve">, </w:t>
      </w:r>
      <w:r w:rsidRPr="00C23727">
        <w:t>http://aid.dfat.gov.au/countries/pacific/rp/Documents/samoa-case-study.pdf</w:t>
      </w:r>
      <w:r>
        <w:t xml:space="preserve"> </w:t>
      </w:r>
    </w:p>
  </w:footnote>
  <w:footnote w:id="5">
    <w:p w14:paraId="73F40EC1" w14:textId="77777777" w:rsidR="00163D2A" w:rsidRDefault="00163D2A" w:rsidP="00377800">
      <w:pPr>
        <w:pStyle w:val="FootnoteText"/>
      </w:pPr>
      <w:r>
        <w:rPr>
          <w:rStyle w:val="FootnoteReference"/>
        </w:rPr>
        <w:footnoteRef/>
      </w:r>
      <w:r>
        <w:t xml:space="preserve"> </w:t>
      </w:r>
      <w:r w:rsidRPr="00377800">
        <w:t>Perceptions of Wealth and Poverty in Samoa</w:t>
      </w:r>
      <w:r>
        <w:t xml:space="preserve">, </w:t>
      </w:r>
      <w:r w:rsidRPr="00377800">
        <w:t>William Glass</w:t>
      </w:r>
      <w:r>
        <w:t xml:space="preserve">, 2012, </w:t>
      </w:r>
      <w:r w:rsidRPr="00377800">
        <w:t>http://digitalcollections.sit.edu/cgi/viewcontent.cgi?article=2511&amp;context=isp_collection</w:t>
      </w:r>
      <w:r>
        <w:t>.</w:t>
      </w:r>
    </w:p>
  </w:footnote>
  <w:footnote w:id="6">
    <w:p w14:paraId="73F40EC2" w14:textId="77777777" w:rsidR="00163D2A" w:rsidRDefault="00163D2A">
      <w:pPr>
        <w:pStyle w:val="FootnoteText"/>
      </w:pPr>
      <w:r w:rsidRPr="00770571">
        <w:rPr>
          <w:rStyle w:val="FootnoteReference"/>
        </w:rPr>
        <w:footnoteRef/>
      </w:r>
      <w:r w:rsidRPr="00770571">
        <w:t xml:space="preserve"> http://www.pacificwomen.org/wp-content/uploads/SamoaFamilyHealthandSafetyStudy1.pdf</w:t>
      </w:r>
    </w:p>
  </w:footnote>
  <w:footnote w:id="7">
    <w:p w14:paraId="73F40EC3" w14:textId="77777777" w:rsidR="00163D2A" w:rsidRDefault="00163D2A" w:rsidP="00782241">
      <w:pPr>
        <w:pStyle w:val="FootnoteText"/>
      </w:pPr>
      <w:r>
        <w:rPr>
          <w:rStyle w:val="FootnoteReference"/>
        </w:rPr>
        <w:footnoteRef/>
      </w:r>
      <w:r>
        <w:t xml:space="preserve"> MDG Tracking Report, 2013.</w:t>
      </w:r>
    </w:p>
  </w:footnote>
  <w:footnote w:id="8">
    <w:p w14:paraId="73F40EC4" w14:textId="77777777" w:rsidR="00163D2A" w:rsidRDefault="00163D2A" w:rsidP="00C05910">
      <w:pPr>
        <w:pStyle w:val="FootnoteText"/>
      </w:pPr>
      <w:r>
        <w:rPr>
          <w:rStyle w:val="FootnoteReference"/>
        </w:rPr>
        <w:footnoteRef/>
      </w:r>
      <w:r>
        <w:t xml:space="preserve"> The latest OECD Statistics only provide 2012 figures, </w:t>
      </w:r>
      <w:r w:rsidRPr="005C4CAF">
        <w:t>http://stats.oecd.org/</w:t>
      </w:r>
    </w:p>
  </w:footnote>
  <w:footnote w:id="9">
    <w:p w14:paraId="73F40EC5" w14:textId="77777777" w:rsidR="00163D2A" w:rsidRPr="00824ECA" w:rsidRDefault="00163D2A">
      <w:pPr>
        <w:pStyle w:val="FootnoteText"/>
        <w:rPr>
          <w:i/>
        </w:rPr>
      </w:pPr>
      <w:r>
        <w:rPr>
          <w:rStyle w:val="FootnoteReference"/>
        </w:rPr>
        <w:footnoteRef/>
      </w:r>
      <w:r>
        <w:t xml:space="preserve"> </w:t>
      </w:r>
      <w:r>
        <w:rPr>
          <w:i/>
        </w:rPr>
        <w:t xml:space="preserve">The Development Needs of Pacific Island Countries, </w:t>
      </w:r>
      <w:r w:rsidRPr="00824ECA">
        <w:t>Smith, et al, 2014.</w:t>
      </w:r>
      <w:r>
        <w:rPr>
          <w:i/>
        </w:rPr>
        <w:t xml:space="preserve"> </w:t>
      </w:r>
    </w:p>
  </w:footnote>
  <w:footnote w:id="10">
    <w:p w14:paraId="73F40EC6" w14:textId="77777777" w:rsidR="00163D2A" w:rsidRPr="00824ECA" w:rsidRDefault="00163D2A" w:rsidP="00E30F06">
      <w:pPr>
        <w:pStyle w:val="FootnoteText"/>
        <w:rPr>
          <w:lang w:val="en-GB"/>
        </w:rPr>
      </w:pPr>
      <w:r>
        <w:rPr>
          <w:rStyle w:val="FootnoteReference"/>
        </w:rPr>
        <w:footnoteRef/>
      </w:r>
      <w:r>
        <w:t xml:space="preserve"> </w:t>
      </w:r>
      <w:r w:rsidRPr="00824ECA">
        <w:rPr>
          <w:i/>
          <w:lang w:val="en-GB"/>
        </w:rPr>
        <w:t>Samoan PM Tuilaepa Sa'ilele confident in debt strategy despite IMF, World Bank warnings</w:t>
      </w:r>
      <w:r w:rsidRPr="009631FB">
        <w:rPr>
          <w:lang w:val="en-GB"/>
        </w:rPr>
        <w:t xml:space="preserve">, </w:t>
      </w:r>
      <w:r>
        <w:rPr>
          <w:lang w:val="en-GB"/>
        </w:rPr>
        <w:t>Radio Australia, 15 April,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40EAD" w14:textId="77777777" w:rsidR="005A5F69" w:rsidRDefault="005A5F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916638"/>
      <w:docPartObj>
        <w:docPartGallery w:val="Watermarks"/>
        <w:docPartUnique/>
      </w:docPartObj>
    </w:sdtPr>
    <w:sdtEndPr/>
    <w:sdtContent>
      <w:p w14:paraId="73F40EAE" w14:textId="77777777" w:rsidR="005A5F69" w:rsidRDefault="00B544DB">
        <w:pPr>
          <w:pStyle w:val="Header"/>
        </w:pPr>
        <w:r>
          <w:rPr>
            <w:noProof/>
            <w:lang w:val="en-US" w:eastAsia="zh-TW"/>
          </w:rPr>
          <w:pict w14:anchorId="73F40E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8548"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40EB1" w14:textId="77777777" w:rsidR="005A5F69" w:rsidRDefault="005A5F6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40EB3" w14:textId="77777777" w:rsidR="00163D2A" w:rsidRDefault="00163D2A" w:rsidP="00AA31F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40EB4" w14:textId="77777777" w:rsidR="00163D2A" w:rsidRDefault="00163D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4C3642"/>
    <w:multiLevelType w:val="hybridMultilevel"/>
    <w:tmpl w:val="9468D8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5">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BA67573"/>
    <w:multiLevelType w:val="hybridMultilevel"/>
    <w:tmpl w:val="E722BA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8">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9">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nsid w:val="25600795"/>
    <w:multiLevelType w:val="hybridMultilevel"/>
    <w:tmpl w:val="081A2504"/>
    <w:lvl w:ilvl="0" w:tplc="0C09000F">
      <w:start w:val="1"/>
      <w:numFmt w:val="decimal"/>
      <w:lvlText w:val="%1."/>
      <w:lvlJc w:val="left"/>
      <w:pPr>
        <w:ind w:left="360" w:hanging="360"/>
      </w:pPr>
      <w:rPr>
        <w:rFonts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3">
    <w:nsid w:val="29B12E78"/>
    <w:multiLevelType w:val="hybridMultilevel"/>
    <w:tmpl w:val="F0A44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FBD11B4"/>
    <w:multiLevelType w:val="multilevel"/>
    <w:tmpl w:val="B9D2567A"/>
    <w:lvl w:ilvl="0">
      <w:start w:val="1"/>
      <w:numFmt w:val="decimal"/>
      <w:pStyle w:val="List-number-1"/>
      <w:lvlText w:val="%1."/>
      <w:lvlJc w:val="left"/>
      <w:pPr>
        <w:tabs>
          <w:tab w:val="num" w:pos="1211"/>
        </w:tabs>
        <w:ind w:left="1211" w:hanging="360"/>
      </w:pPr>
      <w:rPr>
        <w:rFonts w:hint="default"/>
        <w:b w:val="0"/>
        <w:i w:val="0"/>
        <w:sz w:val="22"/>
        <w:szCs w:val="22"/>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4E61D19"/>
    <w:multiLevelType w:val="hybridMultilevel"/>
    <w:tmpl w:val="61020C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D31046E"/>
    <w:multiLevelType w:val="hybridMultilevel"/>
    <w:tmpl w:val="BD167E1A"/>
    <w:lvl w:ilvl="0" w:tplc="3A009392">
      <w:start w:val="1"/>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8B26FD5"/>
    <w:multiLevelType w:val="hybridMultilevel"/>
    <w:tmpl w:val="FBFC7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5AC5186"/>
    <w:multiLevelType w:val="hybridMultilevel"/>
    <w:tmpl w:val="936AE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2E4619B"/>
    <w:multiLevelType w:val="hybridMultilevel"/>
    <w:tmpl w:val="005AE52C"/>
    <w:lvl w:ilvl="0" w:tplc="997CAA2C">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78DB3F30"/>
    <w:multiLevelType w:val="hybridMultilevel"/>
    <w:tmpl w:val="4B22E030"/>
    <w:lvl w:ilvl="0" w:tplc="85A0CFE0">
      <w:start w:val="3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C2C6ADB"/>
    <w:multiLevelType w:val="hybridMultilevel"/>
    <w:tmpl w:val="DE6A3AE0"/>
    <w:lvl w:ilvl="0" w:tplc="133E79AA">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1"/>
  </w:num>
  <w:num w:numId="3">
    <w:abstractNumId w:val="5"/>
  </w:num>
  <w:num w:numId="4">
    <w:abstractNumId w:val="19"/>
  </w:num>
  <w:num w:numId="5">
    <w:abstractNumId w:val="17"/>
  </w:num>
  <w:num w:numId="6">
    <w:abstractNumId w:val="16"/>
  </w:num>
  <w:num w:numId="7">
    <w:abstractNumId w:val="25"/>
  </w:num>
  <w:num w:numId="8">
    <w:abstractNumId w:val="3"/>
  </w:num>
  <w:num w:numId="9">
    <w:abstractNumId w:val="8"/>
  </w:num>
  <w:num w:numId="10">
    <w:abstractNumId w:val="28"/>
  </w:num>
  <w:num w:numId="11">
    <w:abstractNumId w:val="30"/>
  </w:num>
  <w:num w:numId="12">
    <w:abstractNumId w:val="0"/>
  </w:num>
  <w:num w:numId="13">
    <w:abstractNumId w:val="2"/>
  </w:num>
  <w:num w:numId="14">
    <w:abstractNumId w:val="23"/>
  </w:num>
  <w:num w:numId="15">
    <w:abstractNumId w:val="1"/>
  </w:num>
  <w:num w:numId="16">
    <w:abstractNumId w:val="12"/>
  </w:num>
  <w:num w:numId="17">
    <w:abstractNumId w:val="9"/>
  </w:num>
  <w:num w:numId="18">
    <w:abstractNumId w:val="7"/>
  </w:num>
  <w:num w:numId="19">
    <w:abstractNumId w:val="10"/>
  </w:num>
  <w:num w:numId="20">
    <w:abstractNumId w:val="29"/>
  </w:num>
  <w:num w:numId="21">
    <w:abstractNumId w:val="18"/>
  </w:num>
  <w:num w:numId="22">
    <w:abstractNumId w:val="30"/>
  </w:num>
  <w:num w:numId="23">
    <w:abstractNumId w:val="15"/>
  </w:num>
  <w:num w:numId="24">
    <w:abstractNumId w:val="20"/>
  </w:num>
  <w:num w:numId="25">
    <w:abstractNumId w:val="30"/>
  </w:num>
  <w:num w:numId="26">
    <w:abstractNumId w:val="6"/>
  </w:num>
  <w:num w:numId="27">
    <w:abstractNumId w:val="30"/>
  </w:num>
  <w:num w:numId="28">
    <w:abstractNumId w:val="27"/>
  </w:num>
  <w:num w:numId="29">
    <w:abstractNumId w:val="13"/>
  </w:num>
  <w:num w:numId="30">
    <w:abstractNumId w:val="14"/>
  </w:num>
  <w:num w:numId="31">
    <w:abstractNumId w:val="26"/>
  </w:num>
  <w:num w:numId="32">
    <w:abstractNumId w:val="30"/>
  </w:num>
  <w:num w:numId="33">
    <w:abstractNumId w:val="4"/>
  </w:num>
  <w:num w:numId="34">
    <w:abstractNumId w:val="30"/>
  </w:num>
  <w:num w:numId="35">
    <w:abstractNumId w:val="24"/>
  </w:num>
  <w:num w:numId="36">
    <w:abstractNumId w:val="24"/>
  </w:num>
  <w:num w:numId="37">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trackRevisions/>
  <w:doNotTrackMoves/>
  <w:defaultTabStop w:val="720"/>
  <w:characterSpacingControl w:val="doNotCompress"/>
  <w:hdrShapeDefaults>
    <o:shapedefaults v:ext="edit" spidmax="108549"/>
    <o:shapelayout v:ext="edit">
      <o:idmap v:ext="edit" data="10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C1"/>
    <w:rsid w:val="000004FF"/>
    <w:rsid w:val="00002161"/>
    <w:rsid w:val="0000242A"/>
    <w:rsid w:val="00002A92"/>
    <w:rsid w:val="00002E28"/>
    <w:rsid w:val="000039CF"/>
    <w:rsid w:val="00004E18"/>
    <w:rsid w:val="00005F58"/>
    <w:rsid w:val="0000772B"/>
    <w:rsid w:val="00007BB5"/>
    <w:rsid w:val="00007E94"/>
    <w:rsid w:val="00012AB8"/>
    <w:rsid w:val="000142A2"/>
    <w:rsid w:val="000143D9"/>
    <w:rsid w:val="00014C62"/>
    <w:rsid w:val="00016AF5"/>
    <w:rsid w:val="00020121"/>
    <w:rsid w:val="00020C1E"/>
    <w:rsid w:val="00020E6C"/>
    <w:rsid w:val="0002110A"/>
    <w:rsid w:val="00021A21"/>
    <w:rsid w:val="00021A9E"/>
    <w:rsid w:val="00022BD1"/>
    <w:rsid w:val="0002495E"/>
    <w:rsid w:val="00027629"/>
    <w:rsid w:val="000278B6"/>
    <w:rsid w:val="00030111"/>
    <w:rsid w:val="00031100"/>
    <w:rsid w:val="00031EB5"/>
    <w:rsid w:val="0003231A"/>
    <w:rsid w:val="00032EAF"/>
    <w:rsid w:val="000365B7"/>
    <w:rsid w:val="00040AF6"/>
    <w:rsid w:val="00040DE6"/>
    <w:rsid w:val="0004258B"/>
    <w:rsid w:val="000426DF"/>
    <w:rsid w:val="00046AE1"/>
    <w:rsid w:val="0004758B"/>
    <w:rsid w:val="000529AD"/>
    <w:rsid w:val="0005506B"/>
    <w:rsid w:val="000550B0"/>
    <w:rsid w:val="00055E78"/>
    <w:rsid w:val="00057589"/>
    <w:rsid w:val="00057D09"/>
    <w:rsid w:val="00061FD2"/>
    <w:rsid w:val="000630C8"/>
    <w:rsid w:val="00064750"/>
    <w:rsid w:val="00071B95"/>
    <w:rsid w:val="00073887"/>
    <w:rsid w:val="000738E8"/>
    <w:rsid w:val="0007395B"/>
    <w:rsid w:val="000745E2"/>
    <w:rsid w:val="0007703B"/>
    <w:rsid w:val="000774FD"/>
    <w:rsid w:val="00081045"/>
    <w:rsid w:val="00081F4E"/>
    <w:rsid w:val="000851FC"/>
    <w:rsid w:val="000905A8"/>
    <w:rsid w:val="00091878"/>
    <w:rsid w:val="00095272"/>
    <w:rsid w:val="000957FC"/>
    <w:rsid w:val="000979A0"/>
    <w:rsid w:val="00097B02"/>
    <w:rsid w:val="000A1618"/>
    <w:rsid w:val="000A2267"/>
    <w:rsid w:val="000A4247"/>
    <w:rsid w:val="000A7FB3"/>
    <w:rsid w:val="000B3121"/>
    <w:rsid w:val="000B68F6"/>
    <w:rsid w:val="000B6BE5"/>
    <w:rsid w:val="000B6FEA"/>
    <w:rsid w:val="000B75E8"/>
    <w:rsid w:val="000C0C8B"/>
    <w:rsid w:val="000C249F"/>
    <w:rsid w:val="000C258A"/>
    <w:rsid w:val="000C29BF"/>
    <w:rsid w:val="000C3656"/>
    <w:rsid w:val="000C6080"/>
    <w:rsid w:val="000C60A8"/>
    <w:rsid w:val="000C7755"/>
    <w:rsid w:val="000D151B"/>
    <w:rsid w:val="000D1993"/>
    <w:rsid w:val="000D2FE0"/>
    <w:rsid w:val="000D48D9"/>
    <w:rsid w:val="000D4D82"/>
    <w:rsid w:val="000D733F"/>
    <w:rsid w:val="000D7952"/>
    <w:rsid w:val="000E1911"/>
    <w:rsid w:val="000E1969"/>
    <w:rsid w:val="000E2068"/>
    <w:rsid w:val="000E4573"/>
    <w:rsid w:val="000E5241"/>
    <w:rsid w:val="000E6496"/>
    <w:rsid w:val="000E7297"/>
    <w:rsid w:val="000E7A8D"/>
    <w:rsid w:val="000F139F"/>
    <w:rsid w:val="000F29A9"/>
    <w:rsid w:val="000F2D94"/>
    <w:rsid w:val="000F41DE"/>
    <w:rsid w:val="00100485"/>
    <w:rsid w:val="00100AA2"/>
    <w:rsid w:val="0010376F"/>
    <w:rsid w:val="00106185"/>
    <w:rsid w:val="00106BDC"/>
    <w:rsid w:val="0010729C"/>
    <w:rsid w:val="00112048"/>
    <w:rsid w:val="00112E97"/>
    <w:rsid w:val="001139DE"/>
    <w:rsid w:val="00114751"/>
    <w:rsid w:val="001154CA"/>
    <w:rsid w:val="001171DE"/>
    <w:rsid w:val="001206D7"/>
    <w:rsid w:val="00120FC7"/>
    <w:rsid w:val="00121571"/>
    <w:rsid w:val="001216B7"/>
    <w:rsid w:val="00122038"/>
    <w:rsid w:val="001227C3"/>
    <w:rsid w:val="001241ED"/>
    <w:rsid w:val="0012429A"/>
    <w:rsid w:val="00124EB5"/>
    <w:rsid w:val="001258C6"/>
    <w:rsid w:val="00125903"/>
    <w:rsid w:val="0012793C"/>
    <w:rsid w:val="001311EC"/>
    <w:rsid w:val="00131FF0"/>
    <w:rsid w:val="00132003"/>
    <w:rsid w:val="001334E1"/>
    <w:rsid w:val="00133784"/>
    <w:rsid w:val="00133AAD"/>
    <w:rsid w:val="00135806"/>
    <w:rsid w:val="001366B4"/>
    <w:rsid w:val="001375E3"/>
    <w:rsid w:val="00141A30"/>
    <w:rsid w:val="00143053"/>
    <w:rsid w:val="0014411B"/>
    <w:rsid w:val="00144339"/>
    <w:rsid w:val="001448E7"/>
    <w:rsid w:val="00147846"/>
    <w:rsid w:val="0015043E"/>
    <w:rsid w:val="00152DFD"/>
    <w:rsid w:val="00154EF9"/>
    <w:rsid w:val="00156BC5"/>
    <w:rsid w:val="00157858"/>
    <w:rsid w:val="001612CE"/>
    <w:rsid w:val="00161DED"/>
    <w:rsid w:val="001624FB"/>
    <w:rsid w:val="00163D2A"/>
    <w:rsid w:val="0016544D"/>
    <w:rsid w:val="001657F1"/>
    <w:rsid w:val="00167331"/>
    <w:rsid w:val="0016740F"/>
    <w:rsid w:val="00171BB2"/>
    <w:rsid w:val="00173C6E"/>
    <w:rsid w:val="00180B19"/>
    <w:rsid w:val="0018196F"/>
    <w:rsid w:val="001829BB"/>
    <w:rsid w:val="0018305E"/>
    <w:rsid w:val="0018353A"/>
    <w:rsid w:val="00192498"/>
    <w:rsid w:val="001943B6"/>
    <w:rsid w:val="00194806"/>
    <w:rsid w:val="00196433"/>
    <w:rsid w:val="001A374B"/>
    <w:rsid w:val="001B1556"/>
    <w:rsid w:val="001B1A0C"/>
    <w:rsid w:val="001B2948"/>
    <w:rsid w:val="001B41CD"/>
    <w:rsid w:val="001B5E5E"/>
    <w:rsid w:val="001B714C"/>
    <w:rsid w:val="001B7E1F"/>
    <w:rsid w:val="001C1EA0"/>
    <w:rsid w:val="001C31B9"/>
    <w:rsid w:val="001C4E50"/>
    <w:rsid w:val="001C507E"/>
    <w:rsid w:val="001C655C"/>
    <w:rsid w:val="001C700E"/>
    <w:rsid w:val="001C7117"/>
    <w:rsid w:val="001C745A"/>
    <w:rsid w:val="001C75A2"/>
    <w:rsid w:val="001C78F9"/>
    <w:rsid w:val="001C7DDD"/>
    <w:rsid w:val="001D0C20"/>
    <w:rsid w:val="001D20FC"/>
    <w:rsid w:val="001D210A"/>
    <w:rsid w:val="001D6059"/>
    <w:rsid w:val="001D74CF"/>
    <w:rsid w:val="001D7E98"/>
    <w:rsid w:val="001E40A2"/>
    <w:rsid w:val="001E4BDE"/>
    <w:rsid w:val="001E6635"/>
    <w:rsid w:val="001F12A2"/>
    <w:rsid w:val="001F5CB1"/>
    <w:rsid w:val="001F61A8"/>
    <w:rsid w:val="001F7480"/>
    <w:rsid w:val="00201174"/>
    <w:rsid w:val="00202880"/>
    <w:rsid w:val="00202E4E"/>
    <w:rsid w:val="00203949"/>
    <w:rsid w:val="00203BCC"/>
    <w:rsid w:val="00205E0B"/>
    <w:rsid w:val="00205F2B"/>
    <w:rsid w:val="002115BD"/>
    <w:rsid w:val="002126BA"/>
    <w:rsid w:val="00212A65"/>
    <w:rsid w:val="00212B27"/>
    <w:rsid w:val="00214B66"/>
    <w:rsid w:val="0021515C"/>
    <w:rsid w:val="002227A9"/>
    <w:rsid w:val="00226DEE"/>
    <w:rsid w:val="00231D45"/>
    <w:rsid w:val="002327C2"/>
    <w:rsid w:val="002335A9"/>
    <w:rsid w:val="002343CF"/>
    <w:rsid w:val="00235562"/>
    <w:rsid w:val="00235D29"/>
    <w:rsid w:val="002363D9"/>
    <w:rsid w:val="00236A2A"/>
    <w:rsid w:val="00236B8C"/>
    <w:rsid w:val="00237C4B"/>
    <w:rsid w:val="00240D59"/>
    <w:rsid w:val="002441D5"/>
    <w:rsid w:val="00246E5F"/>
    <w:rsid w:val="00250F9D"/>
    <w:rsid w:val="002571E9"/>
    <w:rsid w:val="00261E78"/>
    <w:rsid w:val="00263F5F"/>
    <w:rsid w:val="0026439A"/>
    <w:rsid w:val="00266A9F"/>
    <w:rsid w:val="00270898"/>
    <w:rsid w:val="00272AF0"/>
    <w:rsid w:val="00273C6F"/>
    <w:rsid w:val="0027498E"/>
    <w:rsid w:val="00275C42"/>
    <w:rsid w:val="002849B4"/>
    <w:rsid w:val="00290926"/>
    <w:rsid w:val="002911A4"/>
    <w:rsid w:val="00291F1C"/>
    <w:rsid w:val="0029725E"/>
    <w:rsid w:val="00297FA7"/>
    <w:rsid w:val="002A15F4"/>
    <w:rsid w:val="002A1935"/>
    <w:rsid w:val="002A1A79"/>
    <w:rsid w:val="002A1C7A"/>
    <w:rsid w:val="002A21D1"/>
    <w:rsid w:val="002A22F7"/>
    <w:rsid w:val="002A3B4D"/>
    <w:rsid w:val="002A4D70"/>
    <w:rsid w:val="002A75DC"/>
    <w:rsid w:val="002B1CB1"/>
    <w:rsid w:val="002B1F66"/>
    <w:rsid w:val="002B31B3"/>
    <w:rsid w:val="002B433A"/>
    <w:rsid w:val="002B61A8"/>
    <w:rsid w:val="002B6DA5"/>
    <w:rsid w:val="002B6EBE"/>
    <w:rsid w:val="002B79D4"/>
    <w:rsid w:val="002C176E"/>
    <w:rsid w:val="002C1E00"/>
    <w:rsid w:val="002C3A7C"/>
    <w:rsid w:val="002C48BB"/>
    <w:rsid w:val="002C639B"/>
    <w:rsid w:val="002C65A1"/>
    <w:rsid w:val="002C7B06"/>
    <w:rsid w:val="002D1328"/>
    <w:rsid w:val="002D5D7B"/>
    <w:rsid w:val="002D6914"/>
    <w:rsid w:val="002D6DF0"/>
    <w:rsid w:val="002D7FFA"/>
    <w:rsid w:val="002E3184"/>
    <w:rsid w:val="002E55EA"/>
    <w:rsid w:val="002E5604"/>
    <w:rsid w:val="002E69A1"/>
    <w:rsid w:val="002F322F"/>
    <w:rsid w:val="002F479A"/>
    <w:rsid w:val="002F54F3"/>
    <w:rsid w:val="002F5A14"/>
    <w:rsid w:val="00302C41"/>
    <w:rsid w:val="00303038"/>
    <w:rsid w:val="0030318A"/>
    <w:rsid w:val="00306734"/>
    <w:rsid w:val="00310426"/>
    <w:rsid w:val="00310974"/>
    <w:rsid w:val="00315135"/>
    <w:rsid w:val="003151B0"/>
    <w:rsid w:val="00315D13"/>
    <w:rsid w:val="003167E5"/>
    <w:rsid w:val="00320FCE"/>
    <w:rsid w:val="0032127F"/>
    <w:rsid w:val="003223F8"/>
    <w:rsid w:val="0032292A"/>
    <w:rsid w:val="00322D92"/>
    <w:rsid w:val="0032483E"/>
    <w:rsid w:val="0032486D"/>
    <w:rsid w:val="00325619"/>
    <w:rsid w:val="003260C0"/>
    <w:rsid w:val="0032641D"/>
    <w:rsid w:val="003266E1"/>
    <w:rsid w:val="00326B5A"/>
    <w:rsid w:val="00326F0A"/>
    <w:rsid w:val="003275D0"/>
    <w:rsid w:val="003279FD"/>
    <w:rsid w:val="003305E3"/>
    <w:rsid w:val="003326BE"/>
    <w:rsid w:val="003327F8"/>
    <w:rsid w:val="00335F19"/>
    <w:rsid w:val="003363C7"/>
    <w:rsid w:val="00340047"/>
    <w:rsid w:val="00340AD4"/>
    <w:rsid w:val="00341177"/>
    <w:rsid w:val="00341311"/>
    <w:rsid w:val="00342BF7"/>
    <w:rsid w:val="00343B25"/>
    <w:rsid w:val="00345B8E"/>
    <w:rsid w:val="00346CE3"/>
    <w:rsid w:val="0035093A"/>
    <w:rsid w:val="00351ACA"/>
    <w:rsid w:val="00352298"/>
    <w:rsid w:val="00352AE5"/>
    <w:rsid w:val="003561EB"/>
    <w:rsid w:val="00356A72"/>
    <w:rsid w:val="00357648"/>
    <w:rsid w:val="00357AF7"/>
    <w:rsid w:val="00360662"/>
    <w:rsid w:val="00371F53"/>
    <w:rsid w:val="0037244C"/>
    <w:rsid w:val="00372E1B"/>
    <w:rsid w:val="003743C8"/>
    <w:rsid w:val="00377800"/>
    <w:rsid w:val="00383294"/>
    <w:rsid w:val="00383F3F"/>
    <w:rsid w:val="00384342"/>
    <w:rsid w:val="003843EE"/>
    <w:rsid w:val="003849ED"/>
    <w:rsid w:val="00385A4C"/>
    <w:rsid w:val="00390013"/>
    <w:rsid w:val="00392981"/>
    <w:rsid w:val="00393782"/>
    <w:rsid w:val="00395CFA"/>
    <w:rsid w:val="003A27D2"/>
    <w:rsid w:val="003A2D7B"/>
    <w:rsid w:val="003A74BF"/>
    <w:rsid w:val="003B122C"/>
    <w:rsid w:val="003B2131"/>
    <w:rsid w:val="003B2756"/>
    <w:rsid w:val="003B6898"/>
    <w:rsid w:val="003C167A"/>
    <w:rsid w:val="003C288C"/>
    <w:rsid w:val="003C28BF"/>
    <w:rsid w:val="003C31EE"/>
    <w:rsid w:val="003C7721"/>
    <w:rsid w:val="003D081D"/>
    <w:rsid w:val="003D2E2F"/>
    <w:rsid w:val="003D3F31"/>
    <w:rsid w:val="003D44F4"/>
    <w:rsid w:val="003E0E66"/>
    <w:rsid w:val="003E4982"/>
    <w:rsid w:val="003E63B3"/>
    <w:rsid w:val="003E7AA9"/>
    <w:rsid w:val="003F0CE4"/>
    <w:rsid w:val="003F4646"/>
    <w:rsid w:val="00403152"/>
    <w:rsid w:val="00403AAA"/>
    <w:rsid w:val="00406000"/>
    <w:rsid w:val="00407953"/>
    <w:rsid w:val="00412707"/>
    <w:rsid w:val="00413539"/>
    <w:rsid w:val="0041396D"/>
    <w:rsid w:val="00415A92"/>
    <w:rsid w:val="0041730D"/>
    <w:rsid w:val="00420E02"/>
    <w:rsid w:val="00421092"/>
    <w:rsid w:val="004228CD"/>
    <w:rsid w:val="00422DEB"/>
    <w:rsid w:val="00424768"/>
    <w:rsid w:val="0042527A"/>
    <w:rsid w:val="00426354"/>
    <w:rsid w:val="004271AF"/>
    <w:rsid w:val="004309E9"/>
    <w:rsid w:val="00437C95"/>
    <w:rsid w:val="00440BF8"/>
    <w:rsid w:val="00441E77"/>
    <w:rsid w:val="00443639"/>
    <w:rsid w:val="004450BD"/>
    <w:rsid w:val="004453CE"/>
    <w:rsid w:val="00445A3B"/>
    <w:rsid w:val="00445C4E"/>
    <w:rsid w:val="00446742"/>
    <w:rsid w:val="0044760D"/>
    <w:rsid w:val="0045475F"/>
    <w:rsid w:val="00455707"/>
    <w:rsid w:val="00455C53"/>
    <w:rsid w:val="0045719D"/>
    <w:rsid w:val="00462000"/>
    <w:rsid w:val="00464203"/>
    <w:rsid w:val="00466C98"/>
    <w:rsid w:val="00467C3F"/>
    <w:rsid w:val="00467CE4"/>
    <w:rsid w:val="00471DE2"/>
    <w:rsid w:val="0047205B"/>
    <w:rsid w:val="0047710F"/>
    <w:rsid w:val="004811E8"/>
    <w:rsid w:val="00481777"/>
    <w:rsid w:val="00482790"/>
    <w:rsid w:val="00490BDE"/>
    <w:rsid w:val="00494504"/>
    <w:rsid w:val="0049577B"/>
    <w:rsid w:val="004957EC"/>
    <w:rsid w:val="00496F8D"/>
    <w:rsid w:val="004A3489"/>
    <w:rsid w:val="004A568F"/>
    <w:rsid w:val="004A7400"/>
    <w:rsid w:val="004B201A"/>
    <w:rsid w:val="004B41B9"/>
    <w:rsid w:val="004B4A44"/>
    <w:rsid w:val="004B634B"/>
    <w:rsid w:val="004B64F3"/>
    <w:rsid w:val="004C33EA"/>
    <w:rsid w:val="004C36CF"/>
    <w:rsid w:val="004C4A3E"/>
    <w:rsid w:val="004C59EA"/>
    <w:rsid w:val="004C65C6"/>
    <w:rsid w:val="004C660D"/>
    <w:rsid w:val="004C7E92"/>
    <w:rsid w:val="004D0699"/>
    <w:rsid w:val="004D1529"/>
    <w:rsid w:val="004D19CE"/>
    <w:rsid w:val="004D23F6"/>
    <w:rsid w:val="004D2ED0"/>
    <w:rsid w:val="004D3331"/>
    <w:rsid w:val="004D4377"/>
    <w:rsid w:val="004D4522"/>
    <w:rsid w:val="004E01E9"/>
    <w:rsid w:val="004E068B"/>
    <w:rsid w:val="004E38F9"/>
    <w:rsid w:val="004E3AAA"/>
    <w:rsid w:val="004E3E40"/>
    <w:rsid w:val="004E570D"/>
    <w:rsid w:val="004E6400"/>
    <w:rsid w:val="004E642E"/>
    <w:rsid w:val="004E6924"/>
    <w:rsid w:val="004E6A61"/>
    <w:rsid w:val="004E6E33"/>
    <w:rsid w:val="004E702A"/>
    <w:rsid w:val="004F0C2D"/>
    <w:rsid w:val="004F3D7E"/>
    <w:rsid w:val="004F4630"/>
    <w:rsid w:val="004F521E"/>
    <w:rsid w:val="004F6FEE"/>
    <w:rsid w:val="00500EB4"/>
    <w:rsid w:val="00501CD2"/>
    <w:rsid w:val="00503974"/>
    <w:rsid w:val="0050439B"/>
    <w:rsid w:val="0050529F"/>
    <w:rsid w:val="0050556B"/>
    <w:rsid w:val="0050620C"/>
    <w:rsid w:val="00506A51"/>
    <w:rsid w:val="00507586"/>
    <w:rsid w:val="005110C3"/>
    <w:rsid w:val="00514B5E"/>
    <w:rsid w:val="005157C1"/>
    <w:rsid w:val="00515954"/>
    <w:rsid w:val="00515E3D"/>
    <w:rsid w:val="005208AC"/>
    <w:rsid w:val="0052286C"/>
    <w:rsid w:val="00522AB9"/>
    <w:rsid w:val="005265B9"/>
    <w:rsid w:val="005307E8"/>
    <w:rsid w:val="0053175E"/>
    <w:rsid w:val="00533533"/>
    <w:rsid w:val="00534CCB"/>
    <w:rsid w:val="00535C99"/>
    <w:rsid w:val="00535E24"/>
    <w:rsid w:val="00537A94"/>
    <w:rsid w:val="00537E02"/>
    <w:rsid w:val="00540801"/>
    <w:rsid w:val="00542718"/>
    <w:rsid w:val="00543224"/>
    <w:rsid w:val="005440F6"/>
    <w:rsid w:val="00544CCD"/>
    <w:rsid w:val="0054557A"/>
    <w:rsid w:val="00546DD6"/>
    <w:rsid w:val="0055172C"/>
    <w:rsid w:val="00554C68"/>
    <w:rsid w:val="0055771D"/>
    <w:rsid w:val="005626B0"/>
    <w:rsid w:val="00565055"/>
    <w:rsid w:val="00565635"/>
    <w:rsid w:val="0056798D"/>
    <w:rsid w:val="00567FCF"/>
    <w:rsid w:val="00570765"/>
    <w:rsid w:val="00570C59"/>
    <w:rsid w:val="00571521"/>
    <w:rsid w:val="005732BD"/>
    <w:rsid w:val="005733F9"/>
    <w:rsid w:val="00573E59"/>
    <w:rsid w:val="00575295"/>
    <w:rsid w:val="00577C42"/>
    <w:rsid w:val="0058071C"/>
    <w:rsid w:val="00580D0F"/>
    <w:rsid w:val="00581C01"/>
    <w:rsid w:val="0058242D"/>
    <w:rsid w:val="00582BEB"/>
    <w:rsid w:val="005845CB"/>
    <w:rsid w:val="0058498A"/>
    <w:rsid w:val="00586350"/>
    <w:rsid w:val="005874F0"/>
    <w:rsid w:val="0059461A"/>
    <w:rsid w:val="00595185"/>
    <w:rsid w:val="00597520"/>
    <w:rsid w:val="005A18C5"/>
    <w:rsid w:val="005A30C4"/>
    <w:rsid w:val="005A3ED5"/>
    <w:rsid w:val="005A497F"/>
    <w:rsid w:val="005A511C"/>
    <w:rsid w:val="005A5F69"/>
    <w:rsid w:val="005A7CF6"/>
    <w:rsid w:val="005B42EE"/>
    <w:rsid w:val="005B4F7A"/>
    <w:rsid w:val="005B537E"/>
    <w:rsid w:val="005B66A1"/>
    <w:rsid w:val="005B7249"/>
    <w:rsid w:val="005B7C71"/>
    <w:rsid w:val="005C0D07"/>
    <w:rsid w:val="005C4A6B"/>
    <w:rsid w:val="005C4CAF"/>
    <w:rsid w:val="005C661F"/>
    <w:rsid w:val="005C66CF"/>
    <w:rsid w:val="005C6F38"/>
    <w:rsid w:val="005D2A59"/>
    <w:rsid w:val="005D2AB3"/>
    <w:rsid w:val="005E1751"/>
    <w:rsid w:val="005F0C00"/>
    <w:rsid w:val="005F15ED"/>
    <w:rsid w:val="005F33F2"/>
    <w:rsid w:val="005F3A5F"/>
    <w:rsid w:val="005F4109"/>
    <w:rsid w:val="005F44A4"/>
    <w:rsid w:val="005F460C"/>
    <w:rsid w:val="005F51F6"/>
    <w:rsid w:val="005F74D0"/>
    <w:rsid w:val="006000FC"/>
    <w:rsid w:val="00600404"/>
    <w:rsid w:val="0060117A"/>
    <w:rsid w:val="00603B35"/>
    <w:rsid w:val="00610596"/>
    <w:rsid w:val="00612E14"/>
    <w:rsid w:val="00617F30"/>
    <w:rsid w:val="0062598A"/>
    <w:rsid w:val="00625A52"/>
    <w:rsid w:val="0062686B"/>
    <w:rsid w:val="006302CE"/>
    <w:rsid w:val="006306E0"/>
    <w:rsid w:val="006335EA"/>
    <w:rsid w:val="00633A74"/>
    <w:rsid w:val="00636A10"/>
    <w:rsid w:val="00637549"/>
    <w:rsid w:val="00642A6F"/>
    <w:rsid w:val="00642E50"/>
    <w:rsid w:val="00646049"/>
    <w:rsid w:val="00647FBA"/>
    <w:rsid w:val="00651BF5"/>
    <w:rsid w:val="00651EFF"/>
    <w:rsid w:val="0065229B"/>
    <w:rsid w:val="00652659"/>
    <w:rsid w:val="0065268F"/>
    <w:rsid w:val="0065391A"/>
    <w:rsid w:val="0065679C"/>
    <w:rsid w:val="00657108"/>
    <w:rsid w:val="00663306"/>
    <w:rsid w:val="00663909"/>
    <w:rsid w:val="00663E95"/>
    <w:rsid w:val="00665516"/>
    <w:rsid w:val="006659FF"/>
    <w:rsid w:val="006671BC"/>
    <w:rsid w:val="0067299B"/>
    <w:rsid w:val="00673287"/>
    <w:rsid w:val="0067364F"/>
    <w:rsid w:val="006762BC"/>
    <w:rsid w:val="00680679"/>
    <w:rsid w:val="0068146D"/>
    <w:rsid w:val="00682DB1"/>
    <w:rsid w:val="00683FFB"/>
    <w:rsid w:val="0068582E"/>
    <w:rsid w:val="0068768A"/>
    <w:rsid w:val="00690BEA"/>
    <w:rsid w:val="00695279"/>
    <w:rsid w:val="006962EF"/>
    <w:rsid w:val="00697C69"/>
    <w:rsid w:val="006A0911"/>
    <w:rsid w:val="006A23F1"/>
    <w:rsid w:val="006A477D"/>
    <w:rsid w:val="006A4FE8"/>
    <w:rsid w:val="006B06EF"/>
    <w:rsid w:val="006B0F12"/>
    <w:rsid w:val="006B2A13"/>
    <w:rsid w:val="006B33A7"/>
    <w:rsid w:val="006B3CB0"/>
    <w:rsid w:val="006B3F39"/>
    <w:rsid w:val="006B794E"/>
    <w:rsid w:val="006C04EE"/>
    <w:rsid w:val="006C1260"/>
    <w:rsid w:val="006C2232"/>
    <w:rsid w:val="006C43BB"/>
    <w:rsid w:val="006C6800"/>
    <w:rsid w:val="006D0BC5"/>
    <w:rsid w:val="006D2CF2"/>
    <w:rsid w:val="006D2D92"/>
    <w:rsid w:val="006D2E37"/>
    <w:rsid w:val="006D34C3"/>
    <w:rsid w:val="006E327C"/>
    <w:rsid w:val="006E7795"/>
    <w:rsid w:val="006E7E9F"/>
    <w:rsid w:val="006E7FA8"/>
    <w:rsid w:val="006F00DB"/>
    <w:rsid w:val="006F0765"/>
    <w:rsid w:val="006F374D"/>
    <w:rsid w:val="006F37D1"/>
    <w:rsid w:val="006F4623"/>
    <w:rsid w:val="006F4B40"/>
    <w:rsid w:val="006F54AD"/>
    <w:rsid w:val="006F7512"/>
    <w:rsid w:val="00701FEA"/>
    <w:rsid w:val="00703E07"/>
    <w:rsid w:val="007040D1"/>
    <w:rsid w:val="007045D9"/>
    <w:rsid w:val="00705A00"/>
    <w:rsid w:val="007069F7"/>
    <w:rsid w:val="00706DE1"/>
    <w:rsid w:val="00707954"/>
    <w:rsid w:val="00710059"/>
    <w:rsid w:val="00710337"/>
    <w:rsid w:val="007110C9"/>
    <w:rsid w:val="00712349"/>
    <w:rsid w:val="007123AD"/>
    <w:rsid w:val="00712FCE"/>
    <w:rsid w:val="007131CA"/>
    <w:rsid w:val="00714BA3"/>
    <w:rsid w:val="0071537B"/>
    <w:rsid w:val="007167AE"/>
    <w:rsid w:val="00721098"/>
    <w:rsid w:val="0072495B"/>
    <w:rsid w:val="007311E0"/>
    <w:rsid w:val="00733F88"/>
    <w:rsid w:val="00735367"/>
    <w:rsid w:val="007360D3"/>
    <w:rsid w:val="0073644C"/>
    <w:rsid w:val="00736D2D"/>
    <w:rsid w:val="00737641"/>
    <w:rsid w:val="00737C72"/>
    <w:rsid w:val="00737EC1"/>
    <w:rsid w:val="007452F9"/>
    <w:rsid w:val="0074660C"/>
    <w:rsid w:val="0074760B"/>
    <w:rsid w:val="00747B69"/>
    <w:rsid w:val="00750E77"/>
    <w:rsid w:val="00751449"/>
    <w:rsid w:val="00755D95"/>
    <w:rsid w:val="00756B0E"/>
    <w:rsid w:val="00756B7F"/>
    <w:rsid w:val="00757222"/>
    <w:rsid w:val="00757BAA"/>
    <w:rsid w:val="00762B9C"/>
    <w:rsid w:val="00766BCF"/>
    <w:rsid w:val="00767398"/>
    <w:rsid w:val="00767D7F"/>
    <w:rsid w:val="00767F39"/>
    <w:rsid w:val="00770571"/>
    <w:rsid w:val="007705BC"/>
    <w:rsid w:val="00771F0A"/>
    <w:rsid w:val="00772354"/>
    <w:rsid w:val="007726E1"/>
    <w:rsid w:val="0077279C"/>
    <w:rsid w:val="00774F4B"/>
    <w:rsid w:val="00782241"/>
    <w:rsid w:val="00784475"/>
    <w:rsid w:val="0079256F"/>
    <w:rsid w:val="0079307B"/>
    <w:rsid w:val="007941CF"/>
    <w:rsid w:val="00795354"/>
    <w:rsid w:val="00796F48"/>
    <w:rsid w:val="007970F1"/>
    <w:rsid w:val="007973C0"/>
    <w:rsid w:val="007A1C53"/>
    <w:rsid w:val="007A2A5E"/>
    <w:rsid w:val="007A3C6A"/>
    <w:rsid w:val="007A5821"/>
    <w:rsid w:val="007A624A"/>
    <w:rsid w:val="007A65D0"/>
    <w:rsid w:val="007A6B87"/>
    <w:rsid w:val="007A6D80"/>
    <w:rsid w:val="007A74E2"/>
    <w:rsid w:val="007B0EBF"/>
    <w:rsid w:val="007B12EF"/>
    <w:rsid w:val="007B2617"/>
    <w:rsid w:val="007B51E2"/>
    <w:rsid w:val="007B6F81"/>
    <w:rsid w:val="007C08B4"/>
    <w:rsid w:val="007C21B4"/>
    <w:rsid w:val="007C305D"/>
    <w:rsid w:val="007C39EC"/>
    <w:rsid w:val="007D5D8D"/>
    <w:rsid w:val="007D608D"/>
    <w:rsid w:val="007E10A5"/>
    <w:rsid w:val="007E2A95"/>
    <w:rsid w:val="007E3D71"/>
    <w:rsid w:val="007F0036"/>
    <w:rsid w:val="007F12EC"/>
    <w:rsid w:val="007F2841"/>
    <w:rsid w:val="007F36B6"/>
    <w:rsid w:val="007F3E30"/>
    <w:rsid w:val="007F43CE"/>
    <w:rsid w:val="0080096B"/>
    <w:rsid w:val="00800B90"/>
    <w:rsid w:val="00802A66"/>
    <w:rsid w:val="00805ADD"/>
    <w:rsid w:val="008103A0"/>
    <w:rsid w:val="00810DE3"/>
    <w:rsid w:val="00815D47"/>
    <w:rsid w:val="008165FE"/>
    <w:rsid w:val="00816ADC"/>
    <w:rsid w:val="00821541"/>
    <w:rsid w:val="00821A06"/>
    <w:rsid w:val="008220F3"/>
    <w:rsid w:val="00822273"/>
    <w:rsid w:val="008235DB"/>
    <w:rsid w:val="00824ECA"/>
    <w:rsid w:val="00825560"/>
    <w:rsid w:val="00826FE4"/>
    <w:rsid w:val="00830647"/>
    <w:rsid w:val="00830E80"/>
    <w:rsid w:val="00832911"/>
    <w:rsid w:val="00833071"/>
    <w:rsid w:val="00833EB7"/>
    <w:rsid w:val="0084092F"/>
    <w:rsid w:val="00844C87"/>
    <w:rsid w:val="0085054B"/>
    <w:rsid w:val="00850A87"/>
    <w:rsid w:val="008520E0"/>
    <w:rsid w:val="008532FB"/>
    <w:rsid w:val="008540F0"/>
    <w:rsid w:val="008568C0"/>
    <w:rsid w:val="0086060A"/>
    <w:rsid w:val="00864874"/>
    <w:rsid w:val="008659F1"/>
    <w:rsid w:val="008660A3"/>
    <w:rsid w:val="00867CB1"/>
    <w:rsid w:val="00871CA1"/>
    <w:rsid w:val="00874F47"/>
    <w:rsid w:val="00876277"/>
    <w:rsid w:val="00877D87"/>
    <w:rsid w:val="00880255"/>
    <w:rsid w:val="008810FA"/>
    <w:rsid w:val="00884878"/>
    <w:rsid w:val="00885B9C"/>
    <w:rsid w:val="00886D18"/>
    <w:rsid w:val="00892303"/>
    <w:rsid w:val="00896927"/>
    <w:rsid w:val="00897E16"/>
    <w:rsid w:val="008A144E"/>
    <w:rsid w:val="008A310A"/>
    <w:rsid w:val="008A3301"/>
    <w:rsid w:val="008A3D0C"/>
    <w:rsid w:val="008A522B"/>
    <w:rsid w:val="008A6603"/>
    <w:rsid w:val="008A6E88"/>
    <w:rsid w:val="008B5F65"/>
    <w:rsid w:val="008C0FBD"/>
    <w:rsid w:val="008C1633"/>
    <w:rsid w:val="008C4903"/>
    <w:rsid w:val="008C4DB1"/>
    <w:rsid w:val="008C5617"/>
    <w:rsid w:val="008C6046"/>
    <w:rsid w:val="008C6687"/>
    <w:rsid w:val="008C70BD"/>
    <w:rsid w:val="008C79C7"/>
    <w:rsid w:val="008C7AC8"/>
    <w:rsid w:val="008D0242"/>
    <w:rsid w:val="008D27EF"/>
    <w:rsid w:val="008D28DF"/>
    <w:rsid w:val="008D2DC8"/>
    <w:rsid w:val="008D34F9"/>
    <w:rsid w:val="008D745E"/>
    <w:rsid w:val="008E0D0D"/>
    <w:rsid w:val="008E29AB"/>
    <w:rsid w:val="008E44A5"/>
    <w:rsid w:val="008E4EF2"/>
    <w:rsid w:val="008E5E6D"/>
    <w:rsid w:val="008E63F4"/>
    <w:rsid w:val="008E7A88"/>
    <w:rsid w:val="008F06F2"/>
    <w:rsid w:val="008F1E28"/>
    <w:rsid w:val="008F365F"/>
    <w:rsid w:val="008F4C4B"/>
    <w:rsid w:val="008F5D80"/>
    <w:rsid w:val="008F7B8C"/>
    <w:rsid w:val="009006D2"/>
    <w:rsid w:val="00906FF7"/>
    <w:rsid w:val="009103F3"/>
    <w:rsid w:val="0091044C"/>
    <w:rsid w:val="009126A4"/>
    <w:rsid w:val="0091551F"/>
    <w:rsid w:val="009163AF"/>
    <w:rsid w:val="00916D52"/>
    <w:rsid w:val="0092377D"/>
    <w:rsid w:val="00923D3D"/>
    <w:rsid w:val="00924CCB"/>
    <w:rsid w:val="0092520A"/>
    <w:rsid w:val="00927327"/>
    <w:rsid w:val="00927978"/>
    <w:rsid w:val="00932FAD"/>
    <w:rsid w:val="009340D6"/>
    <w:rsid w:val="00936ECF"/>
    <w:rsid w:val="00937307"/>
    <w:rsid w:val="00943390"/>
    <w:rsid w:val="00943EAC"/>
    <w:rsid w:val="009445BA"/>
    <w:rsid w:val="0094485B"/>
    <w:rsid w:val="00945130"/>
    <w:rsid w:val="00945B0A"/>
    <w:rsid w:val="0094682B"/>
    <w:rsid w:val="00946F68"/>
    <w:rsid w:val="009475F3"/>
    <w:rsid w:val="00950387"/>
    <w:rsid w:val="009504F4"/>
    <w:rsid w:val="00951562"/>
    <w:rsid w:val="00951651"/>
    <w:rsid w:val="00953CAB"/>
    <w:rsid w:val="00953FE2"/>
    <w:rsid w:val="00954EF3"/>
    <w:rsid w:val="0095603B"/>
    <w:rsid w:val="00957353"/>
    <w:rsid w:val="00957948"/>
    <w:rsid w:val="0096032F"/>
    <w:rsid w:val="009631FB"/>
    <w:rsid w:val="00965055"/>
    <w:rsid w:val="009668EF"/>
    <w:rsid w:val="009713CF"/>
    <w:rsid w:val="00972055"/>
    <w:rsid w:val="009729A9"/>
    <w:rsid w:val="009761F8"/>
    <w:rsid w:val="00976AF1"/>
    <w:rsid w:val="00976FB3"/>
    <w:rsid w:val="0098030D"/>
    <w:rsid w:val="00980D3E"/>
    <w:rsid w:val="00981E62"/>
    <w:rsid w:val="00990B49"/>
    <w:rsid w:val="009928E1"/>
    <w:rsid w:val="00993846"/>
    <w:rsid w:val="0099488A"/>
    <w:rsid w:val="00994D57"/>
    <w:rsid w:val="00996460"/>
    <w:rsid w:val="0099664F"/>
    <w:rsid w:val="0099677B"/>
    <w:rsid w:val="00996A2A"/>
    <w:rsid w:val="009A04BA"/>
    <w:rsid w:val="009A1E07"/>
    <w:rsid w:val="009A25EB"/>
    <w:rsid w:val="009A290D"/>
    <w:rsid w:val="009A5968"/>
    <w:rsid w:val="009B5190"/>
    <w:rsid w:val="009B5381"/>
    <w:rsid w:val="009B654F"/>
    <w:rsid w:val="009C16DF"/>
    <w:rsid w:val="009C1FDC"/>
    <w:rsid w:val="009C2AA3"/>
    <w:rsid w:val="009C4804"/>
    <w:rsid w:val="009C6A2D"/>
    <w:rsid w:val="009C6F38"/>
    <w:rsid w:val="009D104E"/>
    <w:rsid w:val="009D1FDF"/>
    <w:rsid w:val="009D2410"/>
    <w:rsid w:val="009D29F2"/>
    <w:rsid w:val="009D3524"/>
    <w:rsid w:val="009D3B43"/>
    <w:rsid w:val="009D3C42"/>
    <w:rsid w:val="009D5236"/>
    <w:rsid w:val="009D6383"/>
    <w:rsid w:val="009E119B"/>
    <w:rsid w:val="009E1667"/>
    <w:rsid w:val="009E1CA8"/>
    <w:rsid w:val="009E28E1"/>
    <w:rsid w:val="009E3825"/>
    <w:rsid w:val="009E38C1"/>
    <w:rsid w:val="009E6780"/>
    <w:rsid w:val="009E79EC"/>
    <w:rsid w:val="009F3650"/>
    <w:rsid w:val="009F4D99"/>
    <w:rsid w:val="009F50F0"/>
    <w:rsid w:val="009F56D8"/>
    <w:rsid w:val="009F7F2E"/>
    <w:rsid w:val="00A01327"/>
    <w:rsid w:val="00A018E7"/>
    <w:rsid w:val="00A0325B"/>
    <w:rsid w:val="00A03341"/>
    <w:rsid w:val="00A03911"/>
    <w:rsid w:val="00A05140"/>
    <w:rsid w:val="00A06FC9"/>
    <w:rsid w:val="00A07B8C"/>
    <w:rsid w:val="00A10122"/>
    <w:rsid w:val="00A10387"/>
    <w:rsid w:val="00A10DE1"/>
    <w:rsid w:val="00A11D59"/>
    <w:rsid w:val="00A123C7"/>
    <w:rsid w:val="00A13029"/>
    <w:rsid w:val="00A14E44"/>
    <w:rsid w:val="00A14E66"/>
    <w:rsid w:val="00A20730"/>
    <w:rsid w:val="00A217CB"/>
    <w:rsid w:val="00A22538"/>
    <w:rsid w:val="00A25CA0"/>
    <w:rsid w:val="00A27E2B"/>
    <w:rsid w:val="00A33B7B"/>
    <w:rsid w:val="00A34039"/>
    <w:rsid w:val="00A3552E"/>
    <w:rsid w:val="00A417FA"/>
    <w:rsid w:val="00A41F5A"/>
    <w:rsid w:val="00A42760"/>
    <w:rsid w:val="00A42FCA"/>
    <w:rsid w:val="00A443C7"/>
    <w:rsid w:val="00A458B3"/>
    <w:rsid w:val="00A45B60"/>
    <w:rsid w:val="00A45E73"/>
    <w:rsid w:val="00A5348F"/>
    <w:rsid w:val="00A5551F"/>
    <w:rsid w:val="00A60070"/>
    <w:rsid w:val="00A61B0C"/>
    <w:rsid w:val="00A62E17"/>
    <w:rsid w:val="00A63324"/>
    <w:rsid w:val="00A63EE9"/>
    <w:rsid w:val="00A65CAA"/>
    <w:rsid w:val="00A662CF"/>
    <w:rsid w:val="00A667EE"/>
    <w:rsid w:val="00A7165F"/>
    <w:rsid w:val="00A766FD"/>
    <w:rsid w:val="00A80353"/>
    <w:rsid w:val="00A812FC"/>
    <w:rsid w:val="00A820E7"/>
    <w:rsid w:val="00A82DF8"/>
    <w:rsid w:val="00A9333E"/>
    <w:rsid w:val="00A93CFD"/>
    <w:rsid w:val="00A93FC2"/>
    <w:rsid w:val="00A94EC5"/>
    <w:rsid w:val="00A9554E"/>
    <w:rsid w:val="00AA04C5"/>
    <w:rsid w:val="00AA31F2"/>
    <w:rsid w:val="00AA406C"/>
    <w:rsid w:val="00AA4F9F"/>
    <w:rsid w:val="00AA5E1B"/>
    <w:rsid w:val="00AA6FB9"/>
    <w:rsid w:val="00AA7256"/>
    <w:rsid w:val="00AB0987"/>
    <w:rsid w:val="00AB2289"/>
    <w:rsid w:val="00AB3900"/>
    <w:rsid w:val="00AB4381"/>
    <w:rsid w:val="00AB6362"/>
    <w:rsid w:val="00AB7215"/>
    <w:rsid w:val="00AC005D"/>
    <w:rsid w:val="00AC0320"/>
    <w:rsid w:val="00AC06D9"/>
    <w:rsid w:val="00AC14DE"/>
    <w:rsid w:val="00AC2B8C"/>
    <w:rsid w:val="00AC3C09"/>
    <w:rsid w:val="00AC4D31"/>
    <w:rsid w:val="00AC56C2"/>
    <w:rsid w:val="00AC5E19"/>
    <w:rsid w:val="00AC6F49"/>
    <w:rsid w:val="00AC7FE8"/>
    <w:rsid w:val="00AD2723"/>
    <w:rsid w:val="00AD3B15"/>
    <w:rsid w:val="00AD445D"/>
    <w:rsid w:val="00AD6F47"/>
    <w:rsid w:val="00AE0E0D"/>
    <w:rsid w:val="00AE1DD7"/>
    <w:rsid w:val="00AE2781"/>
    <w:rsid w:val="00AE5C52"/>
    <w:rsid w:val="00AE6D76"/>
    <w:rsid w:val="00AE6E0A"/>
    <w:rsid w:val="00AF045F"/>
    <w:rsid w:val="00AF0FA2"/>
    <w:rsid w:val="00AF0FDD"/>
    <w:rsid w:val="00AF4414"/>
    <w:rsid w:val="00AF463F"/>
    <w:rsid w:val="00AF5A70"/>
    <w:rsid w:val="00AF5C5C"/>
    <w:rsid w:val="00B03FB1"/>
    <w:rsid w:val="00B15829"/>
    <w:rsid w:val="00B16EFA"/>
    <w:rsid w:val="00B17A9D"/>
    <w:rsid w:val="00B206FA"/>
    <w:rsid w:val="00B21B5C"/>
    <w:rsid w:val="00B21C2F"/>
    <w:rsid w:val="00B22426"/>
    <w:rsid w:val="00B22808"/>
    <w:rsid w:val="00B249B7"/>
    <w:rsid w:val="00B2764E"/>
    <w:rsid w:val="00B27F3B"/>
    <w:rsid w:val="00B27F58"/>
    <w:rsid w:val="00B30E77"/>
    <w:rsid w:val="00B318B1"/>
    <w:rsid w:val="00B33F27"/>
    <w:rsid w:val="00B34B88"/>
    <w:rsid w:val="00B37A25"/>
    <w:rsid w:val="00B406B0"/>
    <w:rsid w:val="00B41194"/>
    <w:rsid w:val="00B411E6"/>
    <w:rsid w:val="00B44032"/>
    <w:rsid w:val="00B456CC"/>
    <w:rsid w:val="00B45FD5"/>
    <w:rsid w:val="00B478EF"/>
    <w:rsid w:val="00B51BAD"/>
    <w:rsid w:val="00B51C9D"/>
    <w:rsid w:val="00B5249F"/>
    <w:rsid w:val="00B52563"/>
    <w:rsid w:val="00B544DB"/>
    <w:rsid w:val="00B55BE4"/>
    <w:rsid w:val="00B564A3"/>
    <w:rsid w:val="00B56514"/>
    <w:rsid w:val="00B56551"/>
    <w:rsid w:val="00B56936"/>
    <w:rsid w:val="00B57AE9"/>
    <w:rsid w:val="00B57CA2"/>
    <w:rsid w:val="00B638BD"/>
    <w:rsid w:val="00B65EB5"/>
    <w:rsid w:val="00B66555"/>
    <w:rsid w:val="00B71672"/>
    <w:rsid w:val="00B72CEC"/>
    <w:rsid w:val="00B73156"/>
    <w:rsid w:val="00B74929"/>
    <w:rsid w:val="00B7716B"/>
    <w:rsid w:val="00B777E6"/>
    <w:rsid w:val="00B80134"/>
    <w:rsid w:val="00B80707"/>
    <w:rsid w:val="00B829B6"/>
    <w:rsid w:val="00B83389"/>
    <w:rsid w:val="00B83CD3"/>
    <w:rsid w:val="00B84049"/>
    <w:rsid w:val="00B861D4"/>
    <w:rsid w:val="00B8737A"/>
    <w:rsid w:val="00B87675"/>
    <w:rsid w:val="00B910DF"/>
    <w:rsid w:val="00B922B9"/>
    <w:rsid w:val="00B93E35"/>
    <w:rsid w:val="00B95043"/>
    <w:rsid w:val="00B95CE9"/>
    <w:rsid w:val="00B9749F"/>
    <w:rsid w:val="00BA2A1B"/>
    <w:rsid w:val="00BA3026"/>
    <w:rsid w:val="00BA3EFF"/>
    <w:rsid w:val="00BA4972"/>
    <w:rsid w:val="00BA5F3E"/>
    <w:rsid w:val="00BA5FE7"/>
    <w:rsid w:val="00BB1C24"/>
    <w:rsid w:val="00BB2580"/>
    <w:rsid w:val="00BB27EC"/>
    <w:rsid w:val="00BB37EE"/>
    <w:rsid w:val="00BB530B"/>
    <w:rsid w:val="00BB58D3"/>
    <w:rsid w:val="00BB5975"/>
    <w:rsid w:val="00BC179B"/>
    <w:rsid w:val="00BC432E"/>
    <w:rsid w:val="00BC6774"/>
    <w:rsid w:val="00BC6C8B"/>
    <w:rsid w:val="00BC6EEF"/>
    <w:rsid w:val="00BC7980"/>
    <w:rsid w:val="00BC7C9C"/>
    <w:rsid w:val="00BD28C5"/>
    <w:rsid w:val="00BD2FEE"/>
    <w:rsid w:val="00BD4D43"/>
    <w:rsid w:val="00BD6BF1"/>
    <w:rsid w:val="00BD7695"/>
    <w:rsid w:val="00BE00FC"/>
    <w:rsid w:val="00BE0D1F"/>
    <w:rsid w:val="00BE0D5C"/>
    <w:rsid w:val="00BE0EE1"/>
    <w:rsid w:val="00BE4BDF"/>
    <w:rsid w:val="00BE5F86"/>
    <w:rsid w:val="00BE5FED"/>
    <w:rsid w:val="00BE65E4"/>
    <w:rsid w:val="00BE7D81"/>
    <w:rsid w:val="00BF0AA7"/>
    <w:rsid w:val="00BF130A"/>
    <w:rsid w:val="00BF2F97"/>
    <w:rsid w:val="00BF7A16"/>
    <w:rsid w:val="00C00765"/>
    <w:rsid w:val="00C00E26"/>
    <w:rsid w:val="00C022A4"/>
    <w:rsid w:val="00C0387F"/>
    <w:rsid w:val="00C03A2E"/>
    <w:rsid w:val="00C046AC"/>
    <w:rsid w:val="00C05910"/>
    <w:rsid w:val="00C05DC3"/>
    <w:rsid w:val="00C06287"/>
    <w:rsid w:val="00C12309"/>
    <w:rsid w:val="00C15048"/>
    <w:rsid w:val="00C15E39"/>
    <w:rsid w:val="00C20D5E"/>
    <w:rsid w:val="00C23583"/>
    <w:rsid w:val="00C23727"/>
    <w:rsid w:val="00C308B0"/>
    <w:rsid w:val="00C312CC"/>
    <w:rsid w:val="00C347B0"/>
    <w:rsid w:val="00C36C67"/>
    <w:rsid w:val="00C4066A"/>
    <w:rsid w:val="00C40D0E"/>
    <w:rsid w:val="00C469FC"/>
    <w:rsid w:val="00C51DF7"/>
    <w:rsid w:val="00C5255D"/>
    <w:rsid w:val="00C5264B"/>
    <w:rsid w:val="00C550DE"/>
    <w:rsid w:val="00C56BAB"/>
    <w:rsid w:val="00C57E14"/>
    <w:rsid w:val="00C602B7"/>
    <w:rsid w:val="00C60507"/>
    <w:rsid w:val="00C60D92"/>
    <w:rsid w:val="00C6358E"/>
    <w:rsid w:val="00C64EB8"/>
    <w:rsid w:val="00C65930"/>
    <w:rsid w:val="00C729E0"/>
    <w:rsid w:val="00C75AB0"/>
    <w:rsid w:val="00C772DB"/>
    <w:rsid w:val="00C80466"/>
    <w:rsid w:val="00C8164C"/>
    <w:rsid w:val="00C82AA4"/>
    <w:rsid w:val="00C8305C"/>
    <w:rsid w:val="00C844D6"/>
    <w:rsid w:val="00C85C91"/>
    <w:rsid w:val="00C85FF6"/>
    <w:rsid w:val="00C90BEA"/>
    <w:rsid w:val="00C923DD"/>
    <w:rsid w:val="00C9326B"/>
    <w:rsid w:val="00C94D16"/>
    <w:rsid w:val="00C95691"/>
    <w:rsid w:val="00C96A47"/>
    <w:rsid w:val="00C970CE"/>
    <w:rsid w:val="00CA18C9"/>
    <w:rsid w:val="00CA1ECD"/>
    <w:rsid w:val="00CA33B7"/>
    <w:rsid w:val="00CA4C7F"/>
    <w:rsid w:val="00CB13B7"/>
    <w:rsid w:val="00CB2A3A"/>
    <w:rsid w:val="00CB3834"/>
    <w:rsid w:val="00CB7087"/>
    <w:rsid w:val="00CB723D"/>
    <w:rsid w:val="00CC1993"/>
    <w:rsid w:val="00CC2BD1"/>
    <w:rsid w:val="00CC41EE"/>
    <w:rsid w:val="00CC71EC"/>
    <w:rsid w:val="00CD061B"/>
    <w:rsid w:val="00CD0A95"/>
    <w:rsid w:val="00CD0BF5"/>
    <w:rsid w:val="00CD0FA4"/>
    <w:rsid w:val="00CD1089"/>
    <w:rsid w:val="00CD1BCD"/>
    <w:rsid w:val="00CD41F8"/>
    <w:rsid w:val="00CD6D61"/>
    <w:rsid w:val="00CD7D66"/>
    <w:rsid w:val="00CD7FFC"/>
    <w:rsid w:val="00CE2C6E"/>
    <w:rsid w:val="00CE2D75"/>
    <w:rsid w:val="00CE6C66"/>
    <w:rsid w:val="00CE799B"/>
    <w:rsid w:val="00CF00BB"/>
    <w:rsid w:val="00CF046A"/>
    <w:rsid w:val="00CF321C"/>
    <w:rsid w:val="00CF376E"/>
    <w:rsid w:val="00CF4FE6"/>
    <w:rsid w:val="00CF556F"/>
    <w:rsid w:val="00CF5909"/>
    <w:rsid w:val="00CF5974"/>
    <w:rsid w:val="00D0030F"/>
    <w:rsid w:val="00D0445F"/>
    <w:rsid w:val="00D0608D"/>
    <w:rsid w:val="00D061D5"/>
    <w:rsid w:val="00D06E87"/>
    <w:rsid w:val="00D06EFC"/>
    <w:rsid w:val="00D074BF"/>
    <w:rsid w:val="00D1197E"/>
    <w:rsid w:val="00D122E5"/>
    <w:rsid w:val="00D1619E"/>
    <w:rsid w:val="00D201A8"/>
    <w:rsid w:val="00D206B3"/>
    <w:rsid w:val="00D219C1"/>
    <w:rsid w:val="00D22C33"/>
    <w:rsid w:val="00D27373"/>
    <w:rsid w:val="00D3274D"/>
    <w:rsid w:val="00D32833"/>
    <w:rsid w:val="00D33DA7"/>
    <w:rsid w:val="00D3507E"/>
    <w:rsid w:val="00D354D0"/>
    <w:rsid w:val="00D41D9A"/>
    <w:rsid w:val="00D4659D"/>
    <w:rsid w:val="00D472D8"/>
    <w:rsid w:val="00D500ED"/>
    <w:rsid w:val="00D51543"/>
    <w:rsid w:val="00D5255B"/>
    <w:rsid w:val="00D538F6"/>
    <w:rsid w:val="00D5457D"/>
    <w:rsid w:val="00D54EF5"/>
    <w:rsid w:val="00D56FF4"/>
    <w:rsid w:val="00D571A5"/>
    <w:rsid w:val="00D61E55"/>
    <w:rsid w:val="00D6213A"/>
    <w:rsid w:val="00D64044"/>
    <w:rsid w:val="00D70223"/>
    <w:rsid w:val="00D73760"/>
    <w:rsid w:val="00D74036"/>
    <w:rsid w:val="00D778E3"/>
    <w:rsid w:val="00D802BD"/>
    <w:rsid w:val="00D808EE"/>
    <w:rsid w:val="00D87FE7"/>
    <w:rsid w:val="00D91885"/>
    <w:rsid w:val="00D93663"/>
    <w:rsid w:val="00D94097"/>
    <w:rsid w:val="00D95DDC"/>
    <w:rsid w:val="00D96B60"/>
    <w:rsid w:val="00DA0634"/>
    <w:rsid w:val="00DA1FFD"/>
    <w:rsid w:val="00DA3E6F"/>
    <w:rsid w:val="00DA503E"/>
    <w:rsid w:val="00DA5714"/>
    <w:rsid w:val="00DA62C5"/>
    <w:rsid w:val="00DA7CB8"/>
    <w:rsid w:val="00DA7DA7"/>
    <w:rsid w:val="00DB0871"/>
    <w:rsid w:val="00DB0CB2"/>
    <w:rsid w:val="00DB0E97"/>
    <w:rsid w:val="00DB386B"/>
    <w:rsid w:val="00DB73F9"/>
    <w:rsid w:val="00DC08BC"/>
    <w:rsid w:val="00DC1F63"/>
    <w:rsid w:val="00DD1011"/>
    <w:rsid w:val="00DD1A8B"/>
    <w:rsid w:val="00DD771E"/>
    <w:rsid w:val="00DE221F"/>
    <w:rsid w:val="00DE2D8C"/>
    <w:rsid w:val="00DE3A2A"/>
    <w:rsid w:val="00DE4B1F"/>
    <w:rsid w:val="00DE55E6"/>
    <w:rsid w:val="00DE5DBB"/>
    <w:rsid w:val="00DF169D"/>
    <w:rsid w:val="00DF7AE1"/>
    <w:rsid w:val="00E0235A"/>
    <w:rsid w:val="00E0241F"/>
    <w:rsid w:val="00E027C6"/>
    <w:rsid w:val="00E03536"/>
    <w:rsid w:val="00E04482"/>
    <w:rsid w:val="00E04D37"/>
    <w:rsid w:val="00E05840"/>
    <w:rsid w:val="00E068FB"/>
    <w:rsid w:val="00E07968"/>
    <w:rsid w:val="00E100B1"/>
    <w:rsid w:val="00E10BA8"/>
    <w:rsid w:val="00E12448"/>
    <w:rsid w:val="00E12CDA"/>
    <w:rsid w:val="00E13C9B"/>
    <w:rsid w:val="00E14683"/>
    <w:rsid w:val="00E14E0B"/>
    <w:rsid w:val="00E207DB"/>
    <w:rsid w:val="00E20AC7"/>
    <w:rsid w:val="00E21EFB"/>
    <w:rsid w:val="00E2267F"/>
    <w:rsid w:val="00E227DC"/>
    <w:rsid w:val="00E235D4"/>
    <w:rsid w:val="00E25FBA"/>
    <w:rsid w:val="00E270B7"/>
    <w:rsid w:val="00E27C9F"/>
    <w:rsid w:val="00E30EB6"/>
    <w:rsid w:val="00E30F06"/>
    <w:rsid w:val="00E349D5"/>
    <w:rsid w:val="00E36A50"/>
    <w:rsid w:val="00E37BFF"/>
    <w:rsid w:val="00E41B22"/>
    <w:rsid w:val="00E42369"/>
    <w:rsid w:val="00E43C87"/>
    <w:rsid w:val="00E44BDB"/>
    <w:rsid w:val="00E47DAC"/>
    <w:rsid w:val="00E528EB"/>
    <w:rsid w:val="00E5370B"/>
    <w:rsid w:val="00E55A95"/>
    <w:rsid w:val="00E56172"/>
    <w:rsid w:val="00E56701"/>
    <w:rsid w:val="00E56811"/>
    <w:rsid w:val="00E56A3E"/>
    <w:rsid w:val="00E60FB1"/>
    <w:rsid w:val="00E6139F"/>
    <w:rsid w:val="00E61E1E"/>
    <w:rsid w:val="00E62387"/>
    <w:rsid w:val="00E62DA2"/>
    <w:rsid w:val="00E646A0"/>
    <w:rsid w:val="00E64B3B"/>
    <w:rsid w:val="00E65F44"/>
    <w:rsid w:val="00E67B41"/>
    <w:rsid w:val="00E67D97"/>
    <w:rsid w:val="00E67FA4"/>
    <w:rsid w:val="00E71A05"/>
    <w:rsid w:val="00E742BC"/>
    <w:rsid w:val="00E759DD"/>
    <w:rsid w:val="00E76F49"/>
    <w:rsid w:val="00E80AB0"/>
    <w:rsid w:val="00E832E5"/>
    <w:rsid w:val="00E8435E"/>
    <w:rsid w:val="00E90B9D"/>
    <w:rsid w:val="00E923F1"/>
    <w:rsid w:val="00E96A6F"/>
    <w:rsid w:val="00EA0854"/>
    <w:rsid w:val="00EA1B79"/>
    <w:rsid w:val="00EA42B1"/>
    <w:rsid w:val="00EA4BDE"/>
    <w:rsid w:val="00EA6D03"/>
    <w:rsid w:val="00EB1D3D"/>
    <w:rsid w:val="00EB3D8A"/>
    <w:rsid w:val="00EB4AF9"/>
    <w:rsid w:val="00EB6139"/>
    <w:rsid w:val="00EB711D"/>
    <w:rsid w:val="00EC0476"/>
    <w:rsid w:val="00EC542B"/>
    <w:rsid w:val="00EC5A32"/>
    <w:rsid w:val="00EC663E"/>
    <w:rsid w:val="00EC71ED"/>
    <w:rsid w:val="00EC7486"/>
    <w:rsid w:val="00ED04F4"/>
    <w:rsid w:val="00ED23C1"/>
    <w:rsid w:val="00ED2536"/>
    <w:rsid w:val="00ED27A5"/>
    <w:rsid w:val="00ED56F0"/>
    <w:rsid w:val="00ED7B38"/>
    <w:rsid w:val="00EE0057"/>
    <w:rsid w:val="00EE0E84"/>
    <w:rsid w:val="00EE120A"/>
    <w:rsid w:val="00EE208F"/>
    <w:rsid w:val="00EE308D"/>
    <w:rsid w:val="00EE44C9"/>
    <w:rsid w:val="00EE7BFD"/>
    <w:rsid w:val="00EF087C"/>
    <w:rsid w:val="00EF2769"/>
    <w:rsid w:val="00EF366A"/>
    <w:rsid w:val="00EF4DF3"/>
    <w:rsid w:val="00EF522D"/>
    <w:rsid w:val="00F01290"/>
    <w:rsid w:val="00F02F28"/>
    <w:rsid w:val="00F04C97"/>
    <w:rsid w:val="00F0799D"/>
    <w:rsid w:val="00F12130"/>
    <w:rsid w:val="00F12744"/>
    <w:rsid w:val="00F13F24"/>
    <w:rsid w:val="00F13F5B"/>
    <w:rsid w:val="00F1419E"/>
    <w:rsid w:val="00F14426"/>
    <w:rsid w:val="00F1472A"/>
    <w:rsid w:val="00F14CC1"/>
    <w:rsid w:val="00F209D8"/>
    <w:rsid w:val="00F20E1B"/>
    <w:rsid w:val="00F27ED1"/>
    <w:rsid w:val="00F30CF8"/>
    <w:rsid w:val="00F31315"/>
    <w:rsid w:val="00F32857"/>
    <w:rsid w:val="00F35B38"/>
    <w:rsid w:val="00F40408"/>
    <w:rsid w:val="00F416AC"/>
    <w:rsid w:val="00F42301"/>
    <w:rsid w:val="00F42F5E"/>
    <w:rsid w:val="00F43BA3"/>
    <w:rsid w:val="00F46297"/>
    <w:rsid w:val="00F46ABC"/>
    <w:rsid w:val="00F476A4"/>
    <w:rsid w:val="00F50498"/>
    <w:rsid w:val="00F5172B"/>
    <w:rsid w:val="00F524BF"/>
    <w:rsid w:val="00F53655"/>
    <w:rsid w:val="00F53C1E"/>
    <w:rsid w:val="00F55290"/>
    <w:rsid w:val="00F55956"/>
    <w:rsid w:val="00F56CA9"/>
    <w:rsid w:val="00F577EC"/>
    <w:rsid w:val="00F6071E"/>
    <w:rsid w:val="00F614AD"/>
    <w:rsid w:val="00F616C5"/>
    <w:rsid w:val="00F62CFC"/>
    <w:rsid w:val="00F639E2"/>
    <w:rsid w:val="00F65284"/>
    <w:rsid w:val="00F711FF"/>
    <w:rsid w:val="00F71512"/>
    <w:rsid w:val="00F74363"/>
    <w:rsid w:val="00F74D52"/>
    <w:rsid w:val="00F74FA5"/>
    <w:rsid w:val="00F7658C"/>
    <w:rsid w:val="00F769FF"/>
    <w:rsid w:val="00F77E6A"/>
    <w:rsid w:val="00F81D93"/>
    <w:rsid w:val="00F82E0B"/>
    <w:rsid w:val="00F831FB"/>
    <w:rsid w:val="00F86C62"/>
    <w:rsid w:val="00F907B5"/>
    <w:rsid w:val="00F909AD"/>
    <w:rsid w:val="00F93164"/>
    <w:rsid w:val="00F93332"/>
    <w:rsid w:val="00F940A3"/>
    <w:rsid w:val="00F9413F"/>
    <w:rsid w:val="00F9437B"/>
    <w:rsid w:val="00F94A2D"/>
    <w:rsid w:val="00F94D21"/>
    <w:rsid w:val="00F969CB"/>
    <w:rsid w:val="00F97AF6"/>
    <w:rsid w:val="00FA11D0"/>
    <w:rsid w:val="00FA14EB"/>
    <w:rsid w:val="00FA29CB"/>
    <w:rsid w:val="00FA344A"/>
    <w:rsid w:val="00FA39DE"/>
    <w:rsid w:val="00FA406D"/>
    <w:rsid w:val="00FA44DE"/>
    <w:rsid w:val="00FA4570"/>
    <w:rsid w:val="00FA690F"/>
    <w:rsid w:val="00FB3748"/>
    <w:rsid w:val="00FB5056"/>
    <w:rsid w:val="00FB57AF"/>
    <w:rsid w:val="00FC015B"/>
    <w:rsid w:val="00FC019D"/>
    <w:rsid w:val="00FC19A6"/>
    <w:rsid w:val="00FC3C87"/>
    <w:rsid w:val="00FD0CB0"/>
    <w:rsid w:val="00FD1315"/>
    <w:rsid w:val="00FD19F3"/>
    <w:rsid w:val="00FD530A"/>
    <w:rsid w:val="00FD53B4"/>
    <w:rsid w:val="00FD7BD8"/>
    <w:rsid w:val="00FE1536"/>
    <w:rsid w:val="00FE25EE"/>
    <w:rsid w:val="00FE4491"/>
    <w:rsid w:val="00FE50D8"/>
    <w:rsid w:val="00FE5718"/>
    <w:rsid w:val="00FE68CD"/>
    <w:rsid w:val="00FF061A"/>
    <w:rsid w:val="00FF1CD1"/>
    <w:rsid w:val="00FF2137"/>
    <w:rsid w:val="00FF2D07"/>
    <w:rsid w:val="00FF3DA4"/>
    <w:rsid w:val="00FF6A90"/>
    <w:rsid w:val="00FF6B6F"/>
    <w:rsid w:val="00FF768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549"/>
    <o:shapelayout v:ext="edit">
      <o:idmap v:ext="edit" data="1"/>
    </o:shapelayout>
  </w:shapeDefaults>
  <w:decimalSymbol w:val="."/>
  <w:listSeparator w:val=","/>
  <w14:docId w14:val="73F4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footer"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5F3A5F"/>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5F3A5F"/>
    <w:rPr>
      <w:rFonts w:ascii="Franklin Gothic Book" w:eastAsia="Times New Roman" w:hAnsi="Franklin Gothic Book" w:cs="Arial"/>
      <w:b/>
      <w:sz w:val="20"/>
      <w:szCs w:val="19"/>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NoSpacing">
    <w:name w:val="No Spacing"/>
    <w:uiPriority w:val="1"/>
    <w:qFormat/>
    <w:rsid w:val="00BC7C9C"/>
    <w:pPr>
      <w:spacing w:after="0" w:line="240" w:lineRule="auto"/>
    </w:pPr>
    <w:rPr>
      <w:lang w:eastAsia="en-US"/>
    </w:rPr>
  </w:style>
  <w:style w:type="paragraph" w:customStyle="1" w:styleId="Default">
    <w:name w:val="Default"/>
    <w:rsid w:val="00A812FC"/>
    <w:pPr>
      <w:autoSpaceDE w:val="0"/>
      <w:autoSpaceDN w:val="0"/>
      <w:adjustRightInd w:val="0"/>
      <w:spacing w:after="0" w:line="240" w:lineRule="auto"/>
    </w:pPr>
    <w:rPr>
      <w:rFonts w:ascii="Franklin Gothic Medium" w:hAnsi="Franklin Gothic Medium" w:cs="Franklin Gothic Medium"/>
      <w:color w:val="000000"/>
      <w:sz w:val="24"/>
      <w:szCs w:val="24"/>
    </w:rPr>
  </w:style>
  <w:style w:type="paragraph" w:customStyle="1" w:styleId="List-number-2">
    <w:name w:val="List-number-2"/>
    <w:basedOn w:val="Normal"/>
    <w:link w:val="List-number-2Char"/>
    <w:qFormat/>
    <w:rsid w:val="00D64044"/>
    <w:pPr>
      <w:numPr>
        <w:ilvl w:val="1"/>
        <w:numId w:val="30"/>
      </w:numPr>
      <w:spacing w:before="60"/>
    </w:pPr>
    <w:rPr>
      <w:rFonts w:ascii="Arial" w:eastAsia="Times New Roman" w:hAnsi="Arial"/>
      <w:sz w:val="18"/>
      <w:lang w:eastAsia="en-US"/>
    </w:rPr>
  </w:style>
  <w:style w:type="paragraph" w:customStyle="1" w:styleId="List-number-1">
    <w:name w:val="List-number-1"/>
    <w:basedOn w:val="Normal"/>
    <w:link w:val="List-number-1CharChar"/>
    <w:qFormat/>
    <w:rsid w:val="00D64044"/>
    <w:pPr>
      <w:numPr>
        <w:numId w:val="30"/>
      </w:numPr>
      <w:spacing w:before="160"/>
    </w:pPr>
    <w:rPr>
      <w:rFonts w:ascii="Arial" w:eastAsia="Times New Roman" w:hAnsi="Arial"/>
      <w:sz w:val="22"/>
      <w:lang w:eastAsia="en-US"/>
    </w:rPr>
  </w:style>
  <w:style w:type="character" w:customStyle="1" w:styleId="List-number-2Char">
    <w:name w:val="List-number-2 Char"/>
    <w:link w:val="List-number-2"/>
    <w:rsid w:val="00D64044"/>
    <w:rPr>
      <w:rFonts w:ascii="Arial" w:eastAsia="Times New Roman" w:hAnsi="Arial" w:cs="Times New Roman"/>
      <w:sz w:val="18"/>
      <w:szCs w:val="24"/>
      <w:lang w:eastAsia="en-US"/>
    </w:rPr>
  </w:style>
  <w:style w:type="character" w:customStyle="1" w:styleId="List-number-1CharChar">
    <w:name w:val="List-number-1 Char Char"/>
    <w:link w:val="List-number-1"/>
    <w:rsid w:val="00D64044"/>
    <w:rPr>
      <w:rFonts w:ascii="Arial" w:eastAsia="Times New Roman" w:hAnsi="Arial" w:cs="Times New Roman"/>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uiPriority="0" w:qFormat="1"/>
    <w:lsdException w:name="annotation text" w:uiPriority="0"/>
    <w:lsdException w:name="footer" w:uiPriority="0"/>
    <w:lsdException w:name="caption"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5F3A5F"/>
    <w:pPr>
      <w:keepNext/>
      <w:spacing w:before="80" w:after="80" w:line="280" w:lineRule="atLeast"/>
    </w:pPr>
    <w:rPr>
      <w:rFonts w:ascii="Franklin Gothic Book" w:eastAsia="Times New Roman" w:hAnsi="Franklin Gothic Book" w:cs="Arial"/>
      <w:b/>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semiHidden/>
    <w:rsid w:val="009E79EC"/>
    <w:pPr>
      <w:spacing w:line="240" w:lineRule="atLeast"/>
    </w:pPr>
    <w:rPr>
      <w:sz w:val="18"/>
      <w:szCs w:val="18"/>
    </w:rPr>
  </w:style>
  <w:style w:type="character" w:customStyle="1" w:styleId="CommentTextChar">
    <w:name w:val="Comment Text Char"/>
    <w:basedOn w:val="DefaultParagraphFont"/>
    <w:link w:val="CommentText"/>
    <w:semiHidden/>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5F3A5F"/>
    <w:rPr>
      <w:rFonts w:ascii="Franklin Gothic Book" w:eastAsia="Times New Roman" w:hAnsi="Franklin Gothic Book" w:cs="Arial"/>
      <w:b/>
      <w:sz w:val="20"/>
      <w:szCs w:val="19"/>
    </w:rPr>
  </w:style>
  <w:style w:type="paragraph" w:styleId="FootnoteText">
    <w:name w:val="footnote text"/>
    <w:basedOn w:val="BodyText"/>
    <w:link w:val="FootnoteTextChar"/>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rsid w:val="00DA7CB8"/>
    <w:rPr>
      <w:rFonts w:ascii="Times New Roman" w:eastAsia="Times New Roman" w:hAnsi="Times New Roman" w:cs="Times New Roman"/>
      <w:sz w:val="16"/>
      <w:szCs w:val="20"/>
    </w:rPr>
  </w:style>
  <w:style w:type="character" w:styleId="FootnoteReference">
    <w:name w:val="footnote reference"/>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basedOn w:val="BodyText"/>
    <w:uiPriority w:val="34"/>
    <w:qFormat/>
    <w:rsid w:val="00FD7BD8"/>
    <w:pPr>
      <w:numPr>
        <w:numId w:val="18"/>
      </w:numPr>
      <w:tabs>
        <w:tab w:val="num" w:pos="360"/>
      </w:tabs>
      <w:spacing w:after="120" w:line="240" w:lineRule="auto"/>
      <w:ind w:left="0" w:firstLine="0"/>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NoSpacing">
    <w:name w:val="No Spacing"/>
    <w:uiPriority w:val="1"/>
    <w:qFormat/>
    <w:rsid w:val="00BC7C9C"/>
    <w:pPr>
      <w:spacing w:after="0" w:line="240" w:lineRule="auto"/>
    </w:pPr>
    <w:rPr>
      <w:lang w:eastAsia="en-US"/>
    </w:rPr>
  </w:style>
  <w:style w:type="paragraph" w:customStyle="1" w:styleId="Default">
    <w:name w:val="Default"/>
    <w:rsid w:val="00A812FC"/>
    <w:pPr>
      <w:autoSpaceDE w:val="0"/>
      <w:autoSpaceDN w:val="0"/>
      <w:adjustRightInd w:val="0"/>
      <w:spacing w:after="0" w:line="240" w:lineRule="auto"/>
    </w:pPr>
    <w:rPr>
      <w:rFonts w:ascii="Franklin Gothic Medium" w:hAnsi="Franklin Gothic Medium" w:cs="Franklin Gothic Medium"/>
      <w:color w:val="000000"/>
      <w:sz w:val="24"/>
      <w:szCs w:val="24"/>
    </w:rPr>
  </w:style>
  <w:style w:type="paragraph" w:customStyle="1" w:styleId="List-number-2">
    <w:name w:val="List-number-2"/>
    <w:basedOn w:val="Normal"/>
    <w:link w:val="List-number-2Char"/>
    <w:qFormat/>
    <w:rsid w:val="00D64044"/>
    <w:pPr>
      <w:numPr>
        <w:ilvl w:val="1"/>
        <w:numId w:val="30"/>
      </w:numPr>
      <w:spacing w:before="60"/>
    </w:pPr>
    <w:rPr>
      <w:rFonts w:ascii="Arial" w:eastAsia="Times New Roman" w:hAnsi="Arial"/>
      <w:sz w:val="18"/>
      <w:lang w:eastAsia="en-US"/>
    </w:rPr>
  </w:style>
  <w:style w:type="paragraph" w:customStyle="1" w:styleId="List-number-1">
    <w:name w:val="List-number-1"/>
    <w:basedOn w:val="Normal"/>
    <w:link w:val="List-number-1CharChar"/>
    <w:qFormat/>
    <w:rsid w:val="00D64044"/>
    <w:pPr>
      <w:numPr>
        <w:numId w:val="30"/>
      </w:numPr>
      <w:spacing w:before="160"/>
    </w:pPr>
    <w:rPr>
      <w:rFonts w:ascii="Arial" w:eastAsia="Times New Roman" w:hAnsi="Arial"/>
      <w:sz w:val="22"/>
      <w:lang w:eastAsia="en-US"/>
    </w:rPr>
  </w:style>
  <w:style w:type="character" w:customStyle="1" w:styleId="List-number-2Char">
    <w:name w:val="List-number-2 Char"/>
    <w:link w:val="List-number-2"/>
    <w:rsid w:val="00D64044"/>
    <w:rPr>
      <w:rFonts w:ascii="Arial" w:eastAsia="Times New Roman" w:hAnsi="Arial" w:cs="Times New Roman"/>
      <w:sz w:val="18"/>
      <w:szCs w:val="24"/>
      <w:lang w:eastAsia="en-US"/>
    </w:rPr>
  </w:style>
  <w:style w:type="character" w:customStyle="1" w:styleId="List-number-1CharChar">
    <w:name w:val="List-number-1 Char Char"/>
    <w:link w:val="List-number-1"/>
    <w:rsid w:val="00D64044"/>
    <w:rPr>
      <w:rFonts w:ascii="Arial" w:eastAsia="Times New Roman" w:hAnsi="Arial"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43132">
      <w:bodyDiv w:val="1"/>
      <w:marLeft w:val="0"/>
      <w:marRight w:val="0"/>
      <w:marTop w:val="0"/>
      <w:marBottom w:val="0"/>
      <w:divBdr>
        <w:top w:val="none" w:sz="0" w:space="0" w:color="auto"/>
        <w:left w:val="none" w:sz="0" w:space="0" w:color="auto"/>
        <w:bottom w:val="none" w:sz="0" w:space="0" w:color="auto"/>
        <w:right w:val="none" w:sz="0" w:space="0" w:color="auto"/>
      </w:divBdr>
      <w:divsChild>
        <w:div w:id="2017537154">
          <w:marLeft w:val="0"/>
          <w:marRight w:val="0"/>
          <w:marTop w:val="0"/>
          <w:marBottom w:val="0"/>
          <w:divBdr>
            <w:top w:val="none" w:sz="0" w:space="0" w:color="auto"/>
            <w:left w:val="none" w:sz="0" w:space="0" w:color="auto"/>
            <w:bottom w:val="none" w:sz="0" w:space="0" w:color="auto"/>
            <w:right w:val="none" w:sz="0" w:space="0" w:color="auto"/>
          </w:divBdr>
          <w:divsChild>
            <w:div w:id="875696846">
              <w:marLeft w:val="0"/>
              <w:marRight w:val="0"/>
              <w:marTop w:val="0"/>
              <w:marBottom w:val="0"/>
              <w:divBdr>
                <w:top w:val="none" w:sz="0" w:space="0" w:color="auto"/>
                <w:left w:val="none" w:sz="0" w:space="0" w:color="auto"/>
                <w:bottom w:val="none" w:sz="0" w:space="0" w:color="auto"/>
                <w:right w:val="none" w:sz="0" w:space="0" w:color="auto"/>
              </w:divBdr>
              <w:divsChild>
                <w:div w:id="1626765151">
                  <w:marLeft w:val="0"/>
                  <w:marRight w:val="0"/>
                  <w:marTop w:val="375"/>
                  <w:marBottom w:val="375"/>
                  <w:divBdr>
                    <w:top w:val="none" w:sz="0" w:space="0" w:color="auto"/>
                    <w:left w:val="none" w:sz="0" w:space="0" w:color="auto"/>
                    <w:bottom w:val="none" w:sz="0" w:space="0" w:color="auto"/>
                    <w:right w:val="none" w:sz="0" w:space="0" w:color="auto"/>
                  </w:divBdr>
                  <w:divsChild>
                    <w:div w:id="1394045792">
                      <w:marLeft w:val="0"/>
                      <w:marRight w:val="0"/>
                      <w:marTop w:val="0"/>
                      <w:marBottom w:val="0"/>
                      <w:divBdr>
                        <w:top w:val="none" w:sz="0" w:space="0" w:color="auto"/>
                        <w:left w:val="none" w:sz="0" w:space="0" w:color="auto"/>
                        <w:bottom w:val="none" w:sz="0" w:space="0" w:color="auto"/>
                        <w:right w:val="none" w:sz="0" w:space="0" w:color="auto"/>
                      </w:divBdr>
                      <w:divsChild>
                        <w:div w:id="774131109">
                          <w:marLeft w:val="0"/>
                          <w:marRight w:val="0"/>
                          <w:marTop w:val="0"/>
                          <w:marBottom w:val="0"/>
                          <w:divBdr>
                            <w:top w:val="none" w:sz="0" w:space="0" w:color="auto"/>
                            <w:left w:val="none" w:sz="0" w:space="0" w:color="auto"/>
                            <w:bottom w:val="none" w:sz="0" w:space="0" w:color="auto"/>
                            <w:right w:val="none" w:sz="0" w:space="0" w:color="auto"/>
                          </w:divBdr>
                          <w:divsChild>
                            <w:div w:id="2128966128">
                              <w:marLeft w:val="0"/>
                              <w:marRight w:val="0"/>
                              <w:marTop w:val="0"/>
                              <w:marBottom w:val="0"/>
                              <w:divBdr>
                                <w:top w:val="none" w:sz="0" w:space="0" w:color="auto"/>
                                <w:left w:val="none" w:sz="0" w:space="0" w:color="auto"/>
                                <w:bottom w:val="none" w:sz="0" w:space="0" w:color="auto"/>
                                <w:right w:val="none" w:sz="0" w:space="0" w:color="auto"/>
                              </w:divBdr>
                              <w:divsChild>
                                <w:div w:id="1256860611">
                                  <w:marLeft w:val="0"/>
                                  <w:marRight w:val="0"/>
                                  <w:marTop w:val="0"/>
                                  <w:marBottom w:val="0"/>
                                  <w:divBdr>
                                    <w:top w:val="none" w:sz="0" w:space="0" w:color="auto"/>
                                    <w:left w:val="none" w:sz="0" w:space="0" w:color="auto"/>
                                    <w:bottom w:val="none" w:sz="0" w:space="0" w:color="auto"/>
                                    <w:right w:val="none" w:sz="0" w:space="0" w:color="auto"/>
                                  </w:divBdr>
                                  <w:divsChild>
                                    <w:div w:id="238944308">
                                      <w:marLeft w:val="0"/>
                                      <w:marRight w:val="0"/>
                                      <w:marTop w:val="0"/>
                                      <w:marBottom w:val="0"/>
                                      <w:divBdr>
                                        <w:top w:val="none" w:sz="0" w:space="0" w:color="auto"/>
                                        <w:left w:val="none" w:sz="0" w:space="0" w:color="auto"/>
                                        <w:bottom w:val="none" w:sz="0" w:space="0" w:color="auto"/>
                                        <w:right w:val="none" w:sz="0" w:space="0" w:color="auto"/>
                                      </w:divBdr>
                                      <w:divsChild>
                                        <w:div w:id="134032741">
                                          <w:marLeft w:val="0"/>
                                          <w:marRight w:val="0"/>
                                          <w:marTop w:val="0"/>
                                          <w:marBottom w:val="0"/>
                                          <w:divBdr>
                                            <w:top w:val="none" w:sz="0" w:space="0" w:color="auto"/>
                                            <w:left w:val="none" w:sz="0" w:space="0" w:color="auto"/>
                                            <w:bottom w:val="none" w:sz="0" w:space="0" w:color="auto"/>
                                            <w:right w:val="none" w:sz="0" w:space="0" w:color="auto"/>
                                          </w:divBdr>
                                          <w:divsChild>
                                            <w:div w:id="7694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726686">
      <w:bodyDiv w:val="1"/>
      <w:marLeft w:val="0"/>
      <w:marRight w:val="0"/>
      <w:marTop w:val="0"/>
      <w:marBottom w:val="0"/>
      <w:divBdr>
        <w:top w:val="none" w:sz="0" w:space="0" w:color="auto"/>
        <w:left w:val="none" w:sz="0" w:space="0" w:color="auto"/>
        <w:bottom w:val="none" w:sz="0" w:space="0" w:color="auto"/>
        <w:right w:val="none" w:sz="0" w:space="0" w:color="auto"/>
      </w:divBdr>
    </w:div>
    <w:div w:id="121462743">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203448608">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514882982">
      <w:bodyDiv w:val="1"/>
      <w:marLeft w:val="0"/>
      <w:marRight w:val="0"/>
      <w:marTop w:val="0"/>
      <w:marBottom w:val="0"/>
      <w:divBdr>
        <w:top w:val="none" w:sz="0" w:space="0" w:color="auto"/>
        <w:left w:val="none" w:sz="0" w:space="0" w:color="auto"/>
        <w:bottom w:val="none" w:sz="0" w:space="0" w:color="auto"/>
        <w:right w:val="none" w:sz="0" w:space="0" w:color="auto"/>
      </w:divBdr>
    </w:div>
    <w:div w:id="566569361">
      <w:bodyDiv w:val="1"/>
      <w:marLeft w:val="0"/>
      <w:marRight w:val="0"/>
      <w:marTop w:val="0"/>
      <w:marBottom w:val="0"/>
      <w:divBdr>
        <w:top w:val="none" w:sz="0" w:space="0" w:color="auto"/>
        <w:left w:val="none" w:sz="0" w:space="0" w:color="auto"/>
        <w:bottom w:val="none" w:sz="0" w:space="0" w:color="auto"/>
        <w:right w:val="none" w:sz="0" w:space="0" w:color="auto"/>
      </w:divBdr>
    </w:div>
    <w:div w:id="743332871">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1814143">
      <w:bodyDiv w:val="1"/>
      <w:marLeft w:val="0"/>
      <w:marRight w:val="0"/>
      <w:marTop w:val="0"/>
      <w:marBottom w:val="0"/>
      <w:divBdr>
        <w:top w:val="none" w:sz="0" w:space="0" w:color="auto"/>
        <w:left w:val="none" w:sz="0" w:space="0" w:color="auto"/>
        <w:bottom w:val="none" w:sz="0" w:space="0" w:color="auto"/>
        <w:right w:val="none" w:sz="0" w:space="0" w:color="auto"/>
      </w:divBdr>
      <w:divsChild>
        <w:div w:id="535969427">
          <w:marLeft w:val="0"/>
          <w:marRight w:val="0"/>
          <w:marTop w:val="0"/>
          <w:marBottom w:val="0"/>
          <w:divBdr>
            <w:top w:val="none" w:sz="0" w:space="0" w:color="auto"/>
            <w:left w:val="none" w:sz="0" w:space="0" w:color="auto"/>
            <w:bottom w:val="none" w:sz="0" w:space="0" w:color="auto"/>
            <w:right w:val="none" w:sz="0" w:space="0" w:color="auto"/>
          </w:divBdr>
          <w:divsChild>
            <w:div w:id="766274111">
              <w:marLeft w:val="0"/>
              <w:marRight w:val="0"/>
              <w:marTop w:val="0"/>
              <w:marBottom w:val="0"/>
              <w:divBdr>
                <w:top w:val="none" w:sz="0" w:space="0" w:color="auto"/>
                <w:left w:val="none" w:sz="0" w:space="0" w:color="auto"/>
                <w:bottom w:val="none" w:sz="0" w:space="0" w:color="auto"/>
                <w:right w:val="none" w:sz="0" w:space="0" w:color="auto"/>
              </w:divBdr>
              <w:divsChild>
                <w:div w:id="1378892125">
                  <w:marLeft w:val="0"/>
                  <w:marRight w:val="0"/>
                  <w:marTop w:val="375"/>
                  <w:marBottom w:val="375"/>
                  <w:divBdr>
                    <w:top w:val="none" w:sz="0" w:space="0" w:color="auto"/>
                    <w:left w:val="none" w:sz="0" w:space="0" w:color="auto"/>
                    <w:bottom w:val="none" w:sz="0" w:space="0" w:color="auto"/>
                    <w:right w:val="none" w:sz="0" w:space="0" w:color="auto"/>
                  </w:divBdr>
                  <w:divsChild>
                    <w:div w:id="512382387">
                      <w:marLeft w:val="0"/>
                      <w:marRight w:val="0"/>
                      <w:marTop w:val="0"/>
                      <w:marBottom w:val="0"/>
                      <w:divBdr>
                        <w:top w:val="none" w:sz="0" w:space="0" w:color="auto"/>
                        <w:left w:val="none" w:sz="0" w:space="0" w:color="auto"/>
                        <w:bottom w:val="none" w:sz="0" w:space="0" w:color="auto"/>
                        <w:right w:val="none" w:sz="0" w:space="0" w:color="auto"/>
                      </w:divBdr>
                      <w:divsChild>
                        <w:div w:id="816531892">
                          <w:marLeft w:val="0"/>
                          <w:marRight w:val="0"/>
                          <w:marTop w:val="0"/>
                          <w:marBottom w:val="0"/>
                          <w:divBdr>
                            <w:top w:val="none" w:sz="0" w:space="0" w:color="auto"/>
                            <w:left w:val="none" w:sz="0" w:space="0" w:color="auto"/>
                            <w:bottom w:val="none" w:sz="0" w:space="0" w:color="auto"/>
                            <w:right w:val="none" w:sz="0" w:space="0" w:color="auto"/>
                          </w:divBdr>
                          <w:divsChild>
                            <w:div w:id="713231672">
                              <w:marLeft w:val="0"/>
                              <w:marRight w:val="0"/>
                              <w:marTop w:val="0"/>
                              <w:marBottom w:val="0"/>
                              <w:divBdr>
                                <w:top w:val="none" w:sz="0" w:space="0" w:color="auto"/>
                                <w:left w:val="none" w:sz="0" w:space="0" w:color="auto"/>
                                <w:bottom w:val="none" w:sz="0" w:space="0" w:color="auto"/>
                                <w:right w:val="none" w:sz="0" w:space="0" w:color="auto"/>
                              </w:divBdr>
                              <w:divsChild>
                                <w:div w:id="777486202">
                                  <w:marLeft w:val="0"/>
                                  <w:marRight w:val="0"/>
                                  <w:marTop w:val="0"/>
                                  <w:marBottom w:val="0"/>
                                  <w:divBdr>
                                    <w:top w:val="none" w:sz="0" w:space="0" w:color="auto"/>
                                    <w:left w:val="none" w:sz="0" w:space="0" w:color="auto"/>
                                    <w:bottom w:val="none" w:sz="0" w:space="0" w:color="auto"/>
                                    <w:right w:val="none" w:sz="0" w:space="0" w:color="auto"/>
                                  </w:divBdr>
                                  <w:divsChild>
                                    <w:div w:id="2138327830">
                                      <w:marLeft w:val="0"/>
                                      <w:marRight w:val="0"/>
                                      <w:marTop w:val="0"/>
                                      <w:marBottom w:val="0"/>
                                      <w:divBdr>
                                        <w:top w:val="none" w:sz="0" w:space="0" w:color="auto"/>
                                        <w:left w:val="none" w:sz="0" w:space="0" w:color="auto"/>
                                        <w:bottom w:val="none" w:sz="0" w:space="0" w:color="auto"/>
                                        <w:right w:val="none" w:sz="0" w:space="0" w:color="auto"/>
                                      </w:divBdr>
                                      <w:divsChild>
                                        <w:div w:id="1799759024">
                                          <w:marLeft w:val="0"/>
                                          <w:marRight w:val="0"/>
                                          <w:marTop w:val="0"/>
                                          <w:marBottom w:val="0"/>
                                          <w:divBdr>
                                            <w:top w:val="none" w:sz="0" w:space="0" w:color="auto"/>
                                            <w:left w:val="none" w:sz="0" w:space="0" w:color="auto"/>
                                            <w:bottom w:val="none" w:sz="0" w:space="0" w:color="auto"/>
                                            <w:right w:val="none" w:sz="0" w:space="0" w:color="auto"/>
                                          </w:divBdr>
                                          <w:divsChild>
                                            <w:div w:id="89254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3656975">
      <w:bodyDiv w:val="1"/>
      <w:marLeft w:val="0"/>
      <w:marRight w:val="0"/>
      <w:marTop w:val="0"/>
      <w:marBottom w:val="0"/>
      <w:divBdr>
        <w:top w:val="none" w:sz="0" w:space="0" w:color="auto"/>
        <w:left w:val="none" w:sz="0" w:space="0" w:color="auto"/>
        <w:bottom w:val="none" w:sz="0" w:space="0" w:color="auto"/>
        <w:right w:val="none" w:sz="0" w:space="0" w:color="auto"/>
      </w:divBdr>
    </w:div>
    <w:div w:id="1056735220">
      <w:bodyDiv w:val="1"/>
      <w:marLeft w:val="0"/>
      <w:marRight w:val="0"/>
      <w:marTop w:val="0"/>
      <w:marBottom w:val="0"/>
      <w:divBdr>
        <w:top w:val="none" w:sz="0" w:space="0" w:color="auto"/>
        <w:left w:val="none" w:sz="0" w:space="0" w:color="auto"/>
        <w:bottom w:val="none" w:sz="0" w:space="0" w:color="auto"/>
        <w:right w:val="none" w:sz="0" w:space="0" w:color="auto"/>
      </w:divBdr>
    </w:div>
    <w:div w:id="1074283293">
      <w:bodyDiv w:val="1"/>
      <w:marLeft w:val="0"/>
      <w:marRight w:val="0"/>
      <w:marTop w:val="0"/>
      <w:marBottom w:val="0"/>
      <w:divBdr>
        <w:top w:val="none" w:sz="0" w:space="0" w:color="auto"/>
        <w:left w:val="none" w:sz="0" w:space="0" w:color="auto"/>
        <w:bottom w:val="none" w:sz="0" w:space="0" w:color="auto"/>
        <w:right w:val="none" w:sz="0" w:space="0" w:color="auto"/>
      </w:divBdr>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147169749">
      <w:bodyDiv w:val="1"/>
      <w:marLeft w:val="0"/>
      <w:marRight w:val="0"/>
      <w:marTop w:val="0"/>
      <w:marBottom w:val="0"/>
      <w:divBdr>
        <w:top w:val="none" w:sz="0" w:space="0" w:color="auto"/>
        <w:left w:val="none" w:sz="0" w:space="0" w:color="auto"/>
        <w:bottom w:val="none" w:sz="0" w:space="0" w:color="auto"/>
        <w:right w:val="none" w:sz="0" w:space="0" w:color="auto"/>
      </w:divBdr>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292829001">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375622082">
      <w:bodyDiv w:val="1"/>
      <w:marLeft w:val="0"/>
      <w:marRight w:val="0"/>
      <w:marTop w:val="0"/>
      <w:marBottom w:val="0"/>
      <w:divBdr>
        <w:top w:val="none" w:sz="0" w:space="0" w:color="auto"/>
        <w:left w:val="none" w:sz="0" w:space="0" w:color="auto"/>
        <w:bottom w:val="none" w:sz="0" w:space="0" w:color="auto"/>
        <w:right w:val="none" w:sz="0" w:space="0" w:color="auto"/>
      </w:divBdr>
      <w:divsChild>
        <w:div w:id="662779493">
          <w:marLeft w:val="0"/>
          <w:marRight w:val="0"/>
          <w:marTop w:val="0"/>
          <w:marBottom w:val="0"/>
          <w:divBdr>
            <w:top w:val="none" w:sz="0" w:space="0" w:color="auto"/>
            <w:left w:val="none" w:sz="0" w:space="0" w:color="auto"/>
            <w:bottom w:val="none" w:sz="0" w:space="0" w:color="auto"/>
            <w:right w:val="none" w:sz="0" w:space="0" w:color="auto"/>
          </w:divBdr>
          <w:divsChild>
            <w:div w:id="1843084096">
              <w:marLeft w:val="0"/>
              <w:marRight w:val="0"/>
              <w:marTop w:val="0"/>
              <w:marBottom w:val="0"/>
              <w:divBdr>
                <w:top w:val="none" w:sz="0" w:space="0" w:color="auto"/>
                <w:left w:val="none" w:sz="0" w:space="0" w:color="auto"/>
                <w:bottom w:val="none" w:sz="0" w:space="0" w:color="auto"/>
                <w:right w:val="none" w:sz="0" w:space="0" w:color="auto"/>
              </w:divBdr>
              <w:divsChild>
                <w:div w:id="746028647">
                  <w:marLeft w:val="0"/>
                  <w:marRight w:val="0"/>
                  <w:marTop w:val="0"/>
                  <w:marBottom w:val="0"/>
                  <w:divBdr>
                    <w:top w:val="none" w:sz="0" w:space="0" w:color="auto"/>
                    <w:left w:val="none" w:sz="0" w:space="0" w:color="auto"/>
                    <w:bottom w:val="none" w:sz="0" w:space="0" w:color="auto"/>
                    <w:right w:val="none" w:sz="0" w:space="0" w:color="auto"/>
                  </w:divBdr>
                  <w:divsChild>
                    <w:div w:id="728114800">
                      <w:marLeft w:val="0"/>
                      <w:marRight w:val="0"/>
                      <w:marTop w:val="0"/>
                      <w:marBottom w:val="0"/>
                      <w:divBdr>
                        <w:top w:val="none" w:sz="0" w:space="0" w:color="auto"/>
                        <w:left w:val="none" w:sz="0" w:space="0" w:color="auto"/>
                        <w:bottom w:val="none" w:sz="0" w:space="0" w:color="auto"/>
                        <w:right w:val="none" w:sz="0" w:space="0" w:color="auto"/>
                      </w:divBdr>
                      <w:divsChild>
                        <w:div w:id="1638952465">
                          <w:marLeft w:val="0"/>
                          <w:marRight w:val="0"/>
                          <w:marTop w:val="0"/>
                          <w:marBottom w:val="0"/>
                          <w:divBdr>
                            <w:top w:val="none" w:sz="0" w:space="0" w:color="auto"/>
                            <w:left w:val="none" w:sz="0" w:space="0" w:color="auto"/>
                            <w:bottom w:val="none" w:sz="0" w:space="0" w:color="auto"/>
                            <w:right w:val="none" w:sz="0" w:space="0" w:color="auto"/>
                          </w:divBdr>
                          <w:divsChild>
                            <w:div w:id="20742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137696">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0679782">
      <w:bodyDiv w:val="1"/>
      <w:marLeft w:val="0"/>
      <w:marRight w:val="0"/>
      <w:marTop w:val="0"/>
      <w:marBottom w:val="0"/>
      <w:divBdr>
        <w:top w:val="none" w:sz="0" w:space="0" w:color="auto"/>
        <w:left w:val="none" w:sz="0" w:space="0" w:color="auto"/>
        <w:bottom w:val="none" w:sz="0" w:space="0" w:color="auto"/>
        <w:right w:val="none" w:sz="0" w:space="0" w:color="auto"/>
      </w:divBdr>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517843438">
      <w:bodyDiv w:val="1"/>
      <w:marLeft w:val="0"/>
      <w:marRight w:val="0"/>
      <w:marTop w:val="0"/>
      <w:marBottom w:val="0"/>
      <w:divBdr>
        <w:top w:val="none" w:sz="0" w:space="0" w:color="auto"/>
        <w:left w:val="none" w:sz="0" w:space="0" w:color="auto"/>
        <w:bottom w:val="none" w:sz="0" w:space="0" w:color="auto"/>
        <w:right w:val="none" w:sz="0" w:space="0" w:color="auto"/>
      </w:divBdr>
    </w:div>
    <w:div w:id="1542402857">
      <w:bodyDiv w:val="1"/>
      <w:marLeft w:val="0"/>
      <w:marRight w:val="0"/>
      <w:marTop w:val="0"/>
      <w:marBottom w:val="0"/>
      <w:divBdr>
        <w:top w:val="none" w:sz="0" w:space="0" w:color="auto"/>
        <w:left w:val="none" w:sz="0" w:space="0" w:color="auto"/>
        <w:bottom w:val="none" w:sz="0" w:space="0" w:color="auto"/>
        <w:right w:val="none" w:sz="0" w:space="0" w:color="auto"/>
      </w:divBdr>
    </w:div>
    <w:div w:id="1583417661">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199666">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1974821652">
      <w:bodyDiv w:val="1"/>
      <w:marLeft w:val="0"/>
      <w:marRight w:val="0"/>
      <w:marTop w:val="0"/>
      <w:marBottom w:val="0"/>
      <w:divBdr>
        <w:top w:val="none" w:sz="0" w:space="0" w:color="auto"/>
        <w:left w:val="none" w:sz="0" w:space="0" w:color="auto"/>
        <w:bottom w:val="none" w:sz="0" w:space="0" w:color="auto"/>
        <w:right w:val="none" w:sz="0" w:space="0" w:color="auto"/>
      </w:divBdr>
    </w:div>
    <w:div w:id="1977369478">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015945-681F-44DC-A9C4-2E28FBAA7532}"/>
</file>

<file path=customXml/itemProps2.xml><?xml version="1.0" encoding="utf-8"?>
<ds:datastoreItem xmlns:ds="http://schemas.openxmlformats.org/officeDocument/2006/customXml" ds:itemID="{C3DC95E2-DC88-4B63-98D3-529953EA69F8}"/>
</file>

<file path=customXml/itemProps3.xml><?xml version="1.0" encoding="utf-8"?>
<ds:datastoreItem xmlns:ds="http://schemas.openxmlformats.org/officeDocument/2006/customXml" ds:itemID="{1CB79BB6-0081-42E4-A2D3-B6553D5849BA}"/>
</file>

<file path=customXml/itemProps4.xml><?xml version="1.0" encoding="utf-8"?>
<ds:datastoreItem xmlns:ds="http://schemas.openxmlformats.org/officeDocument/2006/customXml" ds:itemID="{9A449245-B105-4F34-82A0-7BA8972F50A4}"/>
</file>

<file path=docProps/app.xml><?xml version="1.0" encoding="utf-8"?>
<Properties xmlns="http://schemas.openxmlformats.org/officeDocument/2006/extended-properties" xmlns:vt="http://schemas.openxmlformats.org/officeDocument/2006/docPropsVTypes">
  <Template>16B35C45</Template>
  <TotalTime>0</TotalTime>
  <Pages>23</Pages>
  <Words>8201</Words>
  <Characters>45376</Characters>
  <Application>Microsoft Office Word</Application>
  <DocSecurity>0</DocSecurity>
  <Lines>1204</Lines>
  <Paragraphs>526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2015-05-21T07:29:00Z</dcterms:created>
  <dcterms:modified xsi:type="dcterms:W3CDTF">2015-05-21T07:29:00Z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950500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