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4C5C1" w14:textId="77777777" w:rsidR="00285798" w:rsidRDefault="00285798" w:rsidP="00285798">
      <w:pPr>
        <w:pStyle w:val="Heading1"/>
        <w:spacing w:after="0" w:line="275" w:lineRule="exact"/>
      </w:pPr>
      <w:r>
        <w:t>SINGAPORE-AUSTRALIA</w:t>
      </w:r>
      <w:r>
        <w:rPr>
          <w:spacing w:val="-15"/>
        </w:rPr>
        <w:t xml:space="preserve"> </w:t>
      </w:r>
      <w:r>
        <w:t>FREE</w:t>
      </w:r>
      <w:r>
        <w:rPr>
          <w:spacing w:val="-15"/>
        </w:rPr>
        <w:t xml:space="preserve"> </w:t>
      </w:r>
      <w:r>
        <w:t>TRADE</w:t>
      </w:r>
      <w:r>
        <w:rPr>
          <w:spacing w:val="-14"/>
        </w:rPr>
        <w:t xml:space="preserve"> </w:t>
      </w:r>
      <w:r>
        <w:rPr>
          <w:spacing w:val="-2"/>
        </w:rPr>
        <w:t>AGREEMENT</w:t>
      </w:r>
    </w:p>
    <w:p w14:paraId="122359BA" w14:textId="77777777" w:rsidR="00285798" w:rsidRDefault="00285798" w:rsidP="00285798">
      <w:pPr>
        <w:pStyle w:val="Heading1"/>
        <w:spacing w:after="360"/>
      </w:pPr>
      <w:r>
        <w:t>Chapter</w:t>
      </w:r>
      <w:r>
        <w:rPr>
          <w:spacing w:val="-13"/>
        </w:rPr>
        <w:t xml:space="preserve"> </w:t>
      </w:r>
      <w:r>
        <w:rPr>
          <w:spacing w:val="-10"/>
        </w:rPr>
        <w:t>5</w:t>
      </w:r>
    </w:p>
    <w:p w14:paraId="3EFF4468" w14:textId="77777777" w:rsidR="00285798" w:rsidRDefault="00285798" w:rsidP="00477932">
      <w:pPr>
        <w:pStyle w:val="Heading2"/>
      </w:pPr>
      <w:r>
        <w:t>TECHNICAL</w:t>
      </w:r>
      <w:r>
        <w:rPr>
          <w:spacing w:val="-10"/>
        </w:rPr>
        <w:t xml:space="preserve"> </w:t>
      </w:r>
      <w:r>
        <w:t>REGULATIONS</w:t>
      </w:r>
      <w:r>
        <w:rPr>
          <w:spacing w:val="-8"/>
        </w:rPr>
        <w:t xml:space="preserve"> </w:t>
      </w:r>
      <w:r>
        <w:t>AND</w:t>
      </w:r>
      <w:r>
        <w:rPr>
          <w:spacing w:val="-9"/>
        </w:rPr>
        <w:t xml:space="preserve"> </w:t>
      </w:r>
      <w:r>
        <w:t>SANITARY</w:t>
      </w:r>
      <w:r>
        <w:rPr>
          <w:spacing w:val="-9"/>
        </w:rPr>
        <w:t xml:space="preserve"> </w:t>
      </w:r>
      <w:r>
        <w:t>AND</w:t>
      </w:r>
      <w:r>
        <w:rPr>
          <w:spacing w:val="-9"/>
        </w:rPr>
        <w:t xml:space="preserve"> </w:t>
      </w:r>
      <w:r>
        <w:t xml:space="preserve">PHYTOSANITARY </w:t>
      </w:r>
      <w:r>
        <w:rPr>
          <w:spacing w:val="-2"/>
        </w:rPr>
        <w:t>MEASURES</w:t>
      </w:r>
    </w:p>
    <w:p w14:paraId="7D1B2436" w14:textId="77777777" w:rsidR="00285798" w:rsidRDefault="00285798" w:rsidP="00477932">
      <w:pPr>
        <w:pStyle w:val="Heading3"/>
      </w:pPr>
      <w:r>
        <w:t>SECTORAL</w:t>
      </w:r>
      <w:r>
        <w:rPr>
          <w:spacing w:val="-10"/>
        </w:rPr>
        <w:t xml:space="preserve"> </w:t>
      </w:r>
      <w:r>
        <w:t>ANNEX</w:t>
      </w:r>
      <w:r>
        <w:rPr>
          <w:spacing w:val="-8"/>
        </w:rPr>
        <w:t xml:space="preserve"> </w:t>
      </w:r>
      <w:r>
        <w:t>ON</w:t>
      </w:r>
      <w:r>
        <w:rPr>
          <w:spacing w:val="-6"/>
        </w:rPr>
        <w:t xml:space="preserve"> </w:t>
      </w:r>
      <w:r>
        <w:t>MEDICAL</w:t>
      </w:r>
      <w:r>
        <w:rPr>
          <w:spacing w:val="-9"/>
        </w:rPr>
        <w:t xml:space="preserve"> </w:t>
      </w:r>
      <w:r>
        <w:rPr>
          <w:spacing w:val="-2"/>
        </w:rPr>
        <w:t>DEVICES</w:t>
      </w:r>
    </w:p>
    <w:p w14:paraId="04B01037" w14:textId="77777777" w:rsidR="00285798" w:rsidRDefault="00285798" w:rsidP="005B1982">
      <w:pPr>
        <w:pStyle w:val="BodyText"/>
        <w:ind w:right="45"/>
      </w:pPr>
      <w:r>
        <w:t>Pursuant to Chapter 5 (Technical Regulations and Sanitary and Phytosanitary Measures), the Parties agree to this Sectoral Annex on Medical Devices for the purpose of facilitating trade in medical devices between the Parties.</w:t>
      </w:r>
    </w:p>
    <w:p w14:paraId="2616C7FD" w14:textId="77777777" w:rsidR="00285798" w:rsidRDefault="00285798" w:rsidP="00477932">
      <w:pPr>
        <w:pStyle w:val="BodyText"/>
        <w:spacing w:after="480"/>
      </w:pPr>
      <w:r>
        <w:t>The</w:t>
      </w:r>
      <w:r>
        <w:rPr>
          <w:spacing w:val="-4"/>
        </w:rPr>
        <w:t xml:space="preserve"> </w:t>
      </w:r>
      <w:r>
        <w:t>Parties</w:t>
      </w:r>
      <w:r>
        <w:rPr>
          <w:spacing w:val="-1"/>
        </w:rPr>
        <w:t xml:space="preserve"> </w:t>
      </w:r>
      <w:r>
        <w:t>have</w:t>
      </w:r>
      <w:r>
        <w:rPr>
          <w:spacing w:val="-3"/>
        </w:rPr>
        <w:t xml:space="preserve"> </w:t>
      </w:r>
      <w:r>
        <w:t>agreed</w:t>
      </w:r>
      <w:r>
        <w:rPr>
          <w:spacing w:val="-3"/>
        </w:rPr>
        <w:t xml:space="preserve"> </w:t>
      </w:r>
      <w:r>
        <w:t>as</w:t>
      </w:r>
      <w:r>
        <w:rPr>
          <w:spacing w:val="-1"/>
        </w:rPr>
        <w:t xml:space="preserve"> </w:t>
      </w:r>
      <w:r>
        <w:rPr>
          <w:spacing w:val="-2"/>
        </w:rPr>
        <w:t>follows:</w:t>
      </w:r>
    </w:p>
    <w:p w14:paraId="2FC4F440" w14:textId="77777777" w:rsidR="00285798" w:rsidRPr="00285798" w:rsidRDefault="00285798" w:rsidP="00477932">
      <w:pPr>
        <w:pStyle w:val="Heading4"/>
        <w:rPr>
          <w:b w:val="0"/>
        </w:rPr>
      </w:pPr>
      <w:r w:rsidRPr="00285798">
        <w:t>Scope</w:t>
      </w:r>
    </w:p>
    <w:p w14:paraId="39AE6898" w14:textId="34057622" w:rsidR="00285798" w:rsidRDefault="00285798" w:rsidP="00235E63">
      <w:pPr>
        <w:pStyle w:val="ListParagraph"/>
        <w:numPr>
          <w:ilvl w:val="0"/>
          <w:numId w:val="51"/>
        </w:numPr>
        <w:tabs>
          <w:tab w:val="left" w:pos="837"/>
        </w:tabs>
        <w:spacing w:before="1"/>
        <w:ind w:left="0" w:right="-54" w:firstLine="0"/>
      </w:pPr>
      <w:r>
        <w:t>This Annex shall apply to the preparation, adoption and application of technical regulations, standards, conformity assessment procedures, marketing authorisation</w:t>
      </w:r>
      <w:r w:rsidR="005B1982">
        <w:rPr>
          <w:rStyle w:val="FootnoteReference"/>
          <w:spacing w:val="-15"/>
        </w:rPr>
        <w:footnoteReference w:id="1"/>
      </w:r>
      <w:r>
        <w:t xml:space="preserve"> and notification procedures of central government bodies that may affect trade in medical devices between the Parties. This Annex shall not apply to a technical specification prepared by a governmental entity for its production or consumption requirements or a sanitary or phytosanitary measure.</w:t>
      </w:r>
    </w:p>
    <w:p w14:paraId="62E97549" w14:textId="77777777" w:rsidR="00285798" w:rsidRDefault="00285798" w:rsidP="00477932">
      <w:pPr>
        <w:pStyle w:val="ListParagraph"/>
        <w:numPr>
          <w:ilvl w:val="0"/>
          <w:numId w:val="51"/>
        </w:numPr>
        <w:tabs>
          <w:tab w:val="left" w:pos="837"/>
        </w:tabs>
        <w:spacing w:before="1"/>
        <w:ind w:left="0" w:right="-54" w:firstLine="0"/>
      </w:pPr>
      <w:r>
        <w:t>A Party’s obligations under this Annex shall apply to any product that the Party defines as a medical device pursuant to paragraph 3. For the purposes of this Annex, preparation of a technical regulation, standard, conformity assessment procedure or marketing authorisation includes, as appropriate the evaluation of the risks involved, the need to adopt a measure to address those risks, the review of relevant scientific</w:t>
      </w:r>
      <w:r>
        <w:rPr>
          <w:spacing w:val="-2"/>
        </w:rPr>
        <w:t xml:space="preserve"> </w:t>
      </w:r>
      <w:r>
        <w:t>or</w:t>
      </w:r>
      <w:r>
        <w:rPr>
          <w:spacing w:val="-9"/>
        </w:rPr>
        <w:t xml:space="preserve"> </w:t>
      </w:r>
      <w:r>
        <w:t>technical</w:t>
      </w:r>
      <w:r>
        <w:rPr>
          <w:spacing w:val="-6"/>
        </w:rPr>
        <w:t xml:space="preserve"> </w:t>
      </w:r>
      <w:r>
        <w:t>information, and</w:t>
      </w:r>
      <w:r>
        <w:rPr>
          <w:spacing w:val="-1"/>
        </w:rPr>
        <w:t xml:space="preserve"> </w:t>
      </w:r>
      <w:r>
        <w:t>the</w:t>
      </w:r>
      <w:r>
        <w:rPr>
          <w:spacing w:val="-2"/>
        </w:rPr>
        <w:t xml:space="preserve"> </w:t>
      </w:r>
      <w:r>
        <w:t>consideration</w:t>
      </w:r>
      <w:r>
        <w:rPr>
          <w:spacing w:val="-6"/>
        </w:rPr>
        <w:t xml:space="preserve"> </w:t>
      </w:r>
      <w:r>
        <w:t>of</w:t>
      </w:r>
      <w:r>
        <w:rPr>
          <w:spacing w:val="-9"/>
        </w:rPr>
        <w:t xml:space="preserve"> </w:t>
      </w:r>
      <w:r>
        <w:t>the characteristics or design of alternative approaches.</w:t>
      </w:r>
    </w:p>
    <w:p w14:paraId="0B49C6E9" w14:textId="77777777" w:rsidR="00285798" w:rsidRPr="005B1982" w:rsidRDefault="00285798" w:rsidP="00477932">
      <w:pPr>
        <w:pStyle w:val="Heading4"/>
      </w:pPr>
      <w:r w:rsidRPr="005B1982">
        <w:t>Definitions</w:t>
      </w:r>
    </w:p>
    <w:p w14:paraId="1B736CDC" w14:textId="77777777" w:rsidR="00285798" w:rsidRDefault="00285798" w:rsidP="005B1982">
      <w:pPr>
        <w:pStyle w:val="ListParagraph"/>
        <w:numPr>
          <w:ilvl w:val="0"/>
          <w:numId w:val="51"/>
        </w:numPr>
        <w:tabs>
          <w:tab w:val="left" w:pos="837"/>
        </w:tabs>
        <w:ind w:left="0" w:firstLine="0"/>
      </w:pPr>
      <w:r>
        <w:t>For</w:t>
      </w:r>
      <w:r>
        <w:rPr>
          <w:spacing w:val="-3"/>
        </w:rPr>
        <w:t xml:space="preserve"> </w:t>
      </w:r>
      <w:r>
        <w:t>the</w:t>
      </w:r>
      <w:r>
        <w:rPr>
          <w:spacing w:val="-1"/>
        </w:rPr>
        <w:t xml:space="preserve"> </w:t>
      </w:r>
      <w:r>
        <w:t>purposes</w:t>
      </w:r>
      <w:r>
        <w:rPr>
          <w:spacing w:val="-2"/>
        </w:rPr>
        <w:t xml:space="preserve"> </w:t>
      </w:r>
      <w:r>
        <w:t>of</w:t>
      </w:r>
      <w:r>
        <w:rPr>
          <w:spacing w:val="-8"/>
        </w:rPr>
        <w:t xml:space="preserve"> </w:t>
      </w:r>
      <w:r>
        <w:t>this</w:t>
      </w:r>
      <w:r>
        <w:rPr>
          <w:spacing w:val="2"/>
        </w:rPr>
        <w:t xml:space="preserve"> </w:t>
      </w:r>
      <w:r>
        <w:rPr>
          <w:spacing w:val="-2"/>
        </w:rPr>
        <w:t>Annex:</w:t>
      </w:r>
    </w:p>
    <w:p w14:paraId="1A17E9BD" w14:textId="751A98E4" w:rsidR="00235E63" w:rsidRDefault="00285798" w:rsidP="00235E63">
      <w:pPr>
        <w:pStyle w:val="ListParagraph"/>
        <w:numPr>
          <w:ilvl w:val="1"/>
          <w:numId w:val="51"/>
        </w:numPr>
        <w:tabs>
          <w:tab w:val="left" w:pos="1557"/>
        </w:tabs>
        <w:ind w:left="1553" w:right="-113" w:hanging="720"/>
      </w:pPr>
      <w:r>
        <w:t>“</w:t>
      </w:r>
      <w:proofErr w:type="gramStart"/>
      <w:r>
        <w:t>marketing</w:t>
      </w:r>
      <w:proofErr w:type="gramEnd"/>
      <w:r>
        <w:t xml:space="preserve"> authorisation” means the process or processes by which a Party</w:t>
      </w:r>
      <w:r>
        <w:rPr>
          <w:spacing w:val="-8"/>
        </w:rPr>
        <w:t xml:space="preserve"> </w:t>
      </w:r>
      <w:r>
        <w:t>approves</w:t>
      </w:r>
      <w:r>
        <w:rPr>
          <w:spacing w:val="-1"/>
        </w:rPr>
        <w:t xml:space="preserve"> </w:t>
      </w:r>
      <w:r>
        <w:t>or</w:t>
      </w:r>
      <w:r>
        <w:rPr>
          <w:spacing w:val="-6"/>
        </w:rPr>
        <w:t xml:space="preserve"> </w:t>
      </w:r>
      <w:r>
        <w:t>registers</w:t>
      </w:r>
      <w:r>
        <w:rPr>
          <w:spacing w:val="-1"/>
        </w:rPr>
        <w:t xml:space="preserve"> </w:t>
      </w:r>
      <w:r>
        <w:t>a</w:t>
      </w:r>
      <w:r>
        <w:rPr>
          <w:spacing w:val="-4"/>
        </w:rPr>
        <w:t xml:space="preserve"> </w:t>
      </w:r>
      <w:r>
        <w:t>product in</w:t>
      </w:r>
      <w:r>
        <w:rPr>
          <w:spacing w:val="-3"/>
        </w:rPr>
        <w:t xml:space="preserve"> </w:t>
      </w:r>
      <w:r>
        <w:t>order</w:t>
      </w:r>
      <w:r>
        <w:rPr>
          <w:spacing w:val="-6"/>
        </w:rPr>
        <w:t xml:space="preserve"> </w:t>
      </w:r>
      <w:r>
        <w:t>to authorise its</w:t>
      </w:r>
      <w:r>
        <w:rPr>
          <w:spacing w:val="-1"/>
        </w:rPr>
        <w:t xml:space="preserve"> </w:t>
      </w:r>
      <w:r>
        <w:t>marketing, distribution or sale in the Party’s territory. The process or processes may be described in a Party’s laws or regulations in various ways, including “marketing authorisation”, “authorisation”, “approval”, “registration”, “sanitary authorisation”, “sanitary registration” and “sanitary approval” for a product. Marketing authorisation does not</w:t>
      </w:r>
      <w:r w:rsidR="00477932">
        <w:t xml:space="preserve"> </w:t>
      </w:r>
      <w:r>
        <w:t>include notification procedures; and</w:t>
      </w:r>
    </w:p>
    <w:p w14:paraId="3964BF9B" w14:textId="77777777" w:rsidR="00235E63" w:rsidRDefault="00235E63" w:rsidP="00CC0856">
      <w:pPr>
        <w:pStyle w:val="ListParagraph"/>
        <w:numPr>
          <w:ilvl w:val="1"/>
          <w:numId w:val="51"/>
        </w:numPr>
        <w:tabs>
          <w:tab w:val="left" w:pos="1556"/>
          <w:tab w:val="left" w:pos="1557"/>
        </w:tabs>
        <w:spacing w:before="107" w:after="0" w:line="242" w:lineRule="auto"/>
        <w:ind w:right="-113"/>
      </w:pPr>
      <w:r>
        <w:lastRenderedPageBreak/>
        <w:t>“measure”</w:t>
      </w:r>
      <w:r>
        <w:rPr>
          <w:spacing w:val="40"/>
        </w:rPr>
        <w:t xml:space="preserve"> </w:t>
      </w:r>
      <w:r>
        <w:t>includes</w:t>
      </w:r>
      <w:r>
        <w:rPr>
          <w:spacing w:val="40"/>
        </w:rPr>
        <w:t xml:space="preserve"> </w:t>
      </w:r>
      <w:r>
        <w:t>any</w:t>
      </w:r>
      <w:r>
        <w:rPr>
          <w:spacing w:val="40"/>
        </w:rPr>
        <w:t xml:space="preserve"> </w:t>
      </w:r>
      <w:r>
        <w:t>law,</w:t>
      </w:r>
      <w:r>
        <w:rPr>
          <w:spacing w:val="40"/>
        </w:rPr>
        <w:t xml:space="preserve"> </w:t>
      </w:r>
      <w:r>
        <w:t>regulation,</w:t>
      </w:r>
      <w:r>
        <w:rPr>
          <w:spacing w:val="40"/>
        </w:rPr>
        <w:t xml:space="preserve"> </w:t>
      </w:r>
      <w:r>
        <w:t>procedure,</w:t>
      </w:r>
      <w:r>
        <w:rPr>
          <w:spacing w:val="40"/>
        </w:rPr>
        <w:t xml:space="preserve"> </w:t>
      </w:r>
      <w:proofErr w:type="gramStart"/>
      <w:r>
        <w:t>requirement</w:t>
      </w:r>
      <w:proofErr w:type="gramEnd"/>
      <w:r>
        <w:rPr>
          <w:spacing w:val="40"/>
        </w:rPr>
        <w:t xml:space="preserve"> </w:t>
      </w:r>
      <w:r>
        <w:t xml:space="preserve">or </w:t>
      </w:r>
      <w:r>
        <w:rPr>
          <w:spacing w:val="-2"/>
        </w:rPr>
        <w:t>practice.</w:t>
      </w:r>
    </w:p>
    <w:p w14:paraId="4C0299CC" w14:textId="77777777" w:rsidR="00235E63" w:rsidRPr="00235E63" w:rsidRDefault="00235E63" w:rsidP="00477932">
      <w:pPr>
        <w:pStyle w:val="Heading4"/>
      </w:pPr>
      <w:r w:rsidRPr="00235E63">
        <w:t>Obligations</w:t>
      </w:r>
    </w:p>
    <w:p w14:paraId="2A42EE30" w14:textId="77777777" w:rsidR="00235E63" w:rsidRDefault="00235E63" w:rsidP="00CC0856">
      <w:pPr>
        <w:pStyle w:val="ListParagraph"/>
        <w:numPr>
          <w:ilvl w:val="0"/>
          <w:numId w:val="51"/>
        </w:numPr>
        <w:tabs>
          <w:tab w:val="left" w:pos="837"/>
        </w:tabs>
        <w:ind w:left="113" w:right="-113" w:firstLine="0"/>
      </w:pPr>
      <w:r>
        <w:t xml:space="preserve">Each Party shall define the scope of the products subject to its laws and regulations for medical devices in its territory and make that information publicly </w:t>
      </w:r>
      <w:r>
        <w:rPr>
          <w:spacing w:val="-2"/>
        </w:rPr>
        <w:t>available.</w:t>
      </w:r>
    </w:p>
    <w:p w14:paraId="104AEBC2" w14:textId="5672340E" w:rsidR="00235E63" w:rsidRDefault="00235E63" w:rsidP="00477932">
      <w:pPr>
        <w:pStyle w:val="ListParagraph"/>
        <w:numPr>
          <w:ilvl w:val="0"/>
          <w:numId w:val="51"/>
        </w:numPr>
        <w:tabs>
          <w:tab w:val="left" w:pos="837"/>
        </w:tabs>
        <w:ind w:left="113" w:right="-170" w:firstLine="0"/>
      </w:pPr>
      <w:r>
        <w:t>Recognising that each Party is required to define the scope of products</w:t>
      </w:r>
      <w:r>
        <w:rPr>
          <w:spacing w:val="40"/>
        </w:rPr>
        <w:t xml:space="preserve"> </w:t>
      </w:r>
      <w:r>
        <w:t>covered by</w:t>
      </w:r>
      <w:r>
        <w:rPr>
          <w:spacing w:val="-1"/>
        </w:rPr>
        <w:t xml:space="preserve"> </w:t>
      </w:r>
      <w:r>
        <w:t>this Annex pursuant to paragraph 3, each Party</w:t>
      </w:r>
      <w:r>
        <w:rPr>
          <w:spacing w:val="-1"/>
        </w:rPr>
        <w:t xml:space="preserve"> </w:t>
      </w:r>
      <w:r>
        <w:t>should define the scope</w:t>
      </w:r>
      <w:r>
        <w:rPr>
          <w:spacing w:val="-2"/>
        </w:rPr>
        <w:t xml:space="preserve"> </w:t>
      </w:r>
      <w:r>
        <w:t>of</w:t>
      </w:r>
      <w:r w:rsidR="001F0CD8">
        <w:br/>
      </w:r>
      <w:r>
        <w:t xml:space="preserve"> products subject to its laws and regulations for medical devices in a manner that is consistent with</w:t>
      </w:r>
      <w:r>
        <w:rPr>
          <w:spacing w:val="-5"/>
        </w:rPr>
        <w:t xml:space="preserve"> </w:t>
      </w:r>
      <w:r>
        <w:t>the meaning</w:t>
      </w:r>
      <w:r>
        <w:rPr>
          <w:spacing w:val="-1"/>
        </w:rPr>
        <w:t xml:space="preserve"> </w:t>
      </w:r>
      <w:r>
        <w:t>assigned</w:t>
      </w:r>
      <w:r>
        <w:rPr>
          <w:spacing w:val="-1"/>
        </w:rPr>
        <w:t xml:space="preserve"> </w:t>
      </w:r>
      <w:r>
        <w:t>to</w:t>
      </w:r>
      <w:r>
        <w:rPr>
          <w:spacing w:val="-5"/>
        </w:rPr>
        <w:t xml:space="preserve"> </w:t>
      </w:r>
      <w:r>
        <w:t>the</w:t>
      </w:r>
      <w:r>
        <w:rPr>
          <w:spacing w:val="-2"/>
        </w:rPr>
        <w:t xml:space="preserve"> </w:t>
      </w:r>
      <w:r>
        <w:t>term</w:t>
      </w:r>
      <w:r>
        <w:rPr>
          <w:spacing w:val="-5"/>
        </w:rPr>
        <w:t xml:space="preserve"> </w:t>
      </w:r>
      <w:r>
        <w:t>“medical</w:t>
      </w:r>
      <w:r>
        <w:rPr>
          <w:spacing w:val="-5"/>
        </w:rPr>
        <w:t xml:space="preserve"> </w:t>
      </w:r>
      <w:r>
        <w:t>device” in</w:t>
      </w:r>
      <w:r>
        <w:rPr>
          <w:spacing w:val="-5"/>
        </w:rPr>
        <w:t xml:space="preserve"> </w:t>
      </w:r>
      <w:r>
        <w:t>the</w:t>
      </w:r>
      <w:r>
        <w:rPr>
          <w:spacing w:val="-2"/>
        </w:rPr>
        <w:t xml:space="preserve"> </w:t>
      </w:r>
      <w:r>
        <w:t>Definition</w:t>
      </w:r>
      <w:r>
        <w:rPr>
          <w:spacing w:val="-5"/>
        </w:rPr>
        <w:t xml:space="preserve"> </w:t>
      </w:r>
      <w:r>
        <w:t xml:space="preserve">of the Terms ‘Medical Device’ and ‘In Vitro Diagnostic (IVD) Medical Device’ </w:t>
      </w:r>
      <w:r w:rsidR="00477932">
        <w:br/>
      </w:r>
      <w:r>
        <w:t xml:space="preserve">endorsed by the Global Harmonization Task Force on May 16, 2012, as may be </w:t>
      </w:r>
      <w:r>
        <w:rPr>
          <w:spacing w:val="-2"/>
        </w:rPr>
        <w:t>amended.</w:t>
      </w:r>
    </w:p>
    <w:p w14:paraId="1F3D702A" w14:textId="77777777" w:rsidR="00235E63" w:rsidRDefault="00235E63" w:rsidP="00CC0856">
      <w:pPr>
        <w:pStyle w:val="ListParagraph"/>
        <w:numPr>
          <w:ilvl w:val="0"/>
          <w:numId w:val="51"/>
        </w:numPr>
        <w:tabs>
          <w:tab w:val="left" w:pos="837"/>
        </w:tabs>
        <w:spacing w:line="242" w:lineRule="auto"/>
        <w:ind w:left="113" w:right="-113" w:firstLine="0"/>
      </w:pPr>
      <w:r>
        <w:t>Each</w:t>
      </w:r>
      <w:r>
        <w:rPr>
          <w:spacing w:val="-1"/>
        </w:rPr>
        <w:t xml:space="preserve"> </w:t>
      </w:r>
      <w:r>
        <w:t>Party</w:t>
      </w:r>
      <w:r>
        <w:rPr>
          <w:spacing w:val="-5"/>
        </w:rPr>
        <w:t xml:space="preserve"> </w:t>
      </w:r>
      <w:r>
        <w:t>shall identify</w:t>
      </w:r>
      <w:r>
        <w:rPr>
          <w:spacing w:val="-1"/>
        </w:rPr>
        <w:t xml:space="preserve"> </w:t>
      </w:r>
      <w:r>
        <w:t>the agency</w:t>
      </w:r>
      <w:r>
        <w:rPr>
          <w:spacing w:val="-1"/>
        </w:rPr>
        <w:t xml:space="preserve"> </w:t>
      </w:r>
      <w:r>
        <w:t>or agencies that are authorised to regulate medical devices in its territory and make that information publicly available.</w:t>
      </w:r>
    </w:p>
    <w:p w14:paraId="3768002F" w14:textId="091B6BAC" w:rsidR="00235E63" w:rsidRDefault="00235E63" w:rsidP="00CC0856">
      <w:pPr>
        <w:pStyle w:val="ListParagraph"/>
        <w:numPr>
          <w:ilvl w:val="0"/>
          <w:numId w:val="51"/>
        </w:numPr>
        <w:tabs>
          <w:tab w:val="left" w:pos="837"/>
        </w:tabs>
        <w:ind w:left="113" w:right="-113" w:firstLine="0"/>
      </w:pPr>
      <w:r>
        <w:t>If more than one agency is authorised to regulate medical devices within the territory</w:t>
      </w:r>
      <w:r>
        <w:rPr>
          <w:spacing w:val="-5"/>
        </w:rPr>
        <w:t xml:space="preserve"> </w:t>
      </w:r>
      <w:r>
        <w:t>of</w:t>
      </w:r>
      <w:r>
        <w:rPr>
          <w:spacing w:val="-3"/>
        </w:rPr>
        <w:t xml:space="preserve"> </w:t>
      </w:r>
      <w:r>
        <w:t>a Party, that Party</w:t>
      </w:r>
      <w:r>
        <w:rPr>
          <w:spacing w:val="-5"/>
        </w:rPr>
        <w:t xml:space="preserve"> </w:t>
      </w:r>
      <w:r>
        <w:t>shall examine whether there is overlap or duplication in the scope of those authorities and to take reasonable measures to eliminate unnecessary</w:t>
      </w:r>
      <w:r>
        <w:rPr>
          <w:spacing w:val="-2"/>
        </w:rPr>
        <w:t xml:space="preserve"> </w:t>
      </w:r>
      <w:r>
        <w:t>duplication of any</w:t>
      </w:r>
      <w:r>
        <w:rPr>
          <w:spacing w:val="-2"/>
        </w:rPr>
        <w:t xml:space="preserve"> </w:t>
      </w:r>
      <w:r>
        <w:t>regulatory</w:t>
      </w:r>
      <w:r>
        <w:rPr>
          <w:spacing w:val="-2"/>
        </w:rPr>
        <w:t xml:space="preserve"> </w:t>
      </w:r>
      <w:r>
        <w:t>requirements resulting for medical devices.</w:t>
      </w:r>
    </w:p>
    <w:p w14:paraId="2B57744C" w14:textId="77777777" w:rsidR="00235E63" w:rsidRDefault="00235E63" w:rsidP="00CC0856">
      <w:pPr>
        <w:pStyle w:val="ListParagraph"/>
        <w:numPr>
          <w:ilvl w:val="0"/>
          <w:numId w:val="51"/>
        </w:numPr>
        <w:tabs>
          <w:tab w:val="left" w:pos="837"/>
        </w:tabs>
        <w:ind w:left="113" w:right="-113" w:firstLine="0"/>
      </w:pPr>
      <w:r>
        <w:t>The Parties shall seek to collaborate through relevant international initiatives, such as those aimed at harmonisation, as well as regional initiatives that support of those international initiatives, as appropriate, to improve the alignment of their respective regulations and regulatory activities for medical devices.</w:t>
      </w:r>
    </w:p>
    <w:p w14:paraId="2DE9C5BD" w14:textId="77777777" w:rsidR="00235E63" w:rsidRDefault="00235E63" w:rsidP="00CC0856">
      <w:pPr>
        <w:pStyle w:val="ListParagraph"/>
        <w:numPr>
          <w:ilvl w:val="0"/>
          <w:numId w:val="51"/>
        </w:numPr>
        <w:tabs>
          <w:tab w:val="left" w:pos="837"/>
        </w:tabs>
        <w:ind w:left="113" w:right="-113" w:firstLine="0"/>
      </w:pPr>
      <w:r>
        <w:t xml:space="preserve">When developing or implementing regulations for marketing authorisation of medical devices, each Party shall consider relevant scientific or technical guidance documents developed through international collaborative efforts. Each Party is encouraged to consider </w:t>
      </w:r>
      <w:proofErr w:type="gramStart"/>
      <w:r>
        <w:t>regionally-developed</w:t>
      </w:r>
      <w:proofErr w:type="gramEnd"/>
      <w:r>
        <w:t xml:space="preserve"> scientific or technical guidance documents that are aligned with international efforts.</w:t>
      </w:r>
    </w:p>
    <w:p w14:paraId="319CE010" w14:textId="77777777" w:rsidR="00235E63" w:rsidRDefault="00235E63" w:rsidP="00CC0856">
      <w:pPr>
        <w:pStyle w:val="ListParagraph"/>
        <w:numPr>
          <w:ilvl w:val="0"/>
          <w:numId w:val="51"/>
        </w:numPr>
        <w:tabs>
          <w:tab w:val="left" w:pos="837"/>
        </w:tabs>
        <w:ind w:left="113" w:right="-113" w:firstLine="0"/>
      </w:pPr>
      <w:r>
        <w:t>Each Party</w:t>
      </w:r>
      <w:r>
        <w:rPr>
          <w:spacing w:val="-5"/>
        </w:rPr>
        <w:t xml:space="preserve"> </w:t>
      </w:r>
      <w:r>
        <w:t>shall</w:t>
      </w:r>
      <w:r>
        <w:rPr>
          <w:spacing w:val="-5"/>
        </w:rPr>
        <w:t xml:space="preserve"> </w:t>
      </w:r>
      <w:r>
        <w:t>observe the obligations set out in Articles 2.1 and 5.1.1 of</w:t>
      </w:r>
      <w:r>
        <w:rPr>
          <w:spacing w:val="-3"/>
        </w:rPr>
        <w:t xml:space="preserve"> </w:t>
      </w:r>
      <w:r>
        <w:t xml:space="preserve">the WTO Agreement on Technical Barriers to Trade with respect to a marketing authorisation, notification procedure or elements of either that the Party prepares, </w:t>
      </w:r>
      <w:proofErr w:type="gramStart"/>
      <w:r>
        <w:t>adopts</w:t>
      </w:r>
      <w:proofErr w:type="gramEnd"/>
      <w:r>
        <w:t xml:space="preserve"> or applies for medical devices and that do not fall within the definition of a technical regulation or conformity assessment procedure.</w:t>
      </w:r>
    </w:p>
    <w:p w14:paraId="189B5B15" w14:textId="77777777" w:rsidR="00235E63" w:rsidRDefault="00235E63" w:rsidP="00CC0856">
      <w:pPr>
        <w:pStyle w:val="ListParagraph"/>
        <w:numPr>
          <w:ilvl w:val="0"/>
          <w:numId w:val="51"/>
        </w:numPr>
        <w:tabs>
          <w:tab w:val="left" w:pos="837"/>
        </w:tabs>
        <w:ind w:left="113" w:right="-113" w:firstLine="0"/>
      </w:pPr>
      <w:r>
        <w:t xml:space="preserve">Recognising that different medical devices pose different levels of risk, each Party shall classify medical devices based on risk, </w:t>
      </w:r>
      <w:proofErr w:type="gramStart"/>
      <w:r>
        <w:t>taking into account</w:t>
      </w:r>
      <w:proofErr w:type="gramEnd"/>
      <w:r>
        <w:t xml:space="preserve"> scientifically relevant factors. Each Party shall ensure that, when it regulates a medical device, it regulates the device consistent with the classification the Party has assigned to that </w:t>
      </w:r>
      <w:r>
        <w:rPr>
          <w:spacing w:val="-2"/>
        </w:rPr>
        <w:t>device.</w:t>
      </w:r>
    </w:p>
    <w:p w14:paraId="418FB254" w14:textId="77777777" w:rsidR="00235E63" w:rsidRDefault="00235E63" w:rsidP="00235E63">
      <w:pPr>
        <w:ind w:firstLine="0"/>
        <w:jc w:val="left"/>
      </w:pPr>
      <w:r>
        <w:br w:type="page"/>
      </w:r>
    </w:p>
    <w:p w14:paraId="4D058B12" w14:textId="77777777" w:rsidR="00124E93" w:rsidRDefault="00124E93" w:rsidP="00EA14C4">
      <w:pPr>
        <w:pStyle w:val="ListParagraph"/>
        <w:numPr>
          <w:ilvl w:val="0"/>
          <w:numId w:val="51"/>
        </w:numPr>
        <w:tabs>
          <w:tab w:val="left" w:pos="837"/>
        </w:tabs>
        <w:spacing w:before="76" w:line="237" w:lineRule="auto"/>
        <w:ind w:left="0" w:right="-57" w:firstLine="0"/>
      </w:pPr>
      <w:r>
        <w:lastRenderedPageBreak/>
        <w:t>Each</w:t>
      </w:r>
      <w:r>
        <w:rPr>
          <w:spacing w:val="-1"/>
        </w:rPr>
        <w:t xml:space="preserve"> </w:t>
      </w:r>
      <w:r>
        <w:t>Party</w:t>
      </w:r>
      <w:r>
        <w:rPr>
          <w:spacing w:val="-5"/>
        </w:rPr>
        <w:t xml:space="preserve"> </w:t>
      </w:r>
      <w:r>
        <w:t>recognises that the applicant is responsible for providing sufficient information to a Party for it to make a regulatory</w:t>
      </w:r>
      <w:r>
        <w:rPr>
          <w:spacing w:val="-1"/>
        </w:rPr>
        <w:t xml:space="preserve"> </w:t>
      </w:r>
      <w:r>
        <w:t>determination on a medical device.</w:t>
      </w:r>
    </w:p>
    <w:p w14:paraId="0798D659" w14:textId="77777777" w:rsidR="00124E93" w:rsidRDefault="00124E93" w:rsidP="00EA14C4">
      <w:pPr>
        <w:pStyle w:val="ListParagraph"/>
        <w:numPr>
          <w:ilvl w:val="0"/>
          <w:numId w:val="51"/>
        </w:numPr>
        <w:tabs>
          <w:tab w:val="left" w:pos="837"/>
        </w:tabs>
        <w:spacing w:line="242" w:lineRule="auto"/>
        <w:ind w:left="0" w:right="-57" w:firstLine="0"/>
      </w:pPr>
      <w:r>
        <w:t xml:space="preserve">Each Party shall </w:t>
      </w:r>
      <w:proofErr w:type="gramStart"/>
      <w:r>
        <w:t>make a determination</w:t>
      </w:r>
      <w:proofErr w:type="gramEnd"/>
      <w:r>
        <w:t xml:space="preserve"> whether to grant marketing authorisation for a specific medical device on the basis of:</w:t>
      </w:r>
    </w:p>
    <w:p w14:paraId="4A876441" w14:textId="77777777" w:rsidR="00124E93" w:rsidRDefault="00124E93" w:rsidP="00EA14C4">
      <w:pPr>
        <w:pStyle w:val="ListParagraph"/>
        <w:numPr>
          <w:ilvl w:val="1"/>
          <w:numId w:val="53"/>
        </w:numPr>
        <w:spacing w:line="237" w:lineRule="auto"/>
        <w:ind w:left="1418" w:right="-57" w:hanging="709"/>
      </w:pPr>
      <w:r>
        <w:t xml:space="preserve">information, including, where appropriate, clinical data, on safety and </w:t>
      </w:r>
      <w:proofErr w:type="gramStart"/>
      <w:r>
        <w:rPr>
          <w:spacing w:val="-2"/>
        </w:rPr>
        <w:t>efficacy;</w:t>
      </w:r>
      <w:proofErr w:type="gramEnd"/>
    </w:p>
    <w:p w14:paraId="641A9913" w14:textId="77777777" w:rsidR="00124E93" w:rsidRDefault="00124E93" w:rsidP="00EA14C4">
      <w:pPr>
        <w:pStyle w:val="ListParagraph"/>
        <w:numPr>
          <w:ilvl w:val="1"/>
          <w:numId w:val="53"/>
        </w:numPr>
        <w:spacing w:line="242" w:lineRule="auto"/>
        <w:ind w:left="1418" w:right="-57" w:hanging="709"/>
      </w:pPr>
      <w:r>
        <w:t xml:space="preserve">information on performance, design and manufacturing quality of the medical </w:t>
      </w:r>
      <w:proofErr w:type="gramStart"/>
      <w:r>
        <w:t>device;</w:t>
      </w:r>
      <w:proofErr w:type="gramEnd"/>
    </w:p>
    <w:p w14:paraId="2AA3CD38" w14:textId="77777777" w:rsidR="00124E93" w:rsidRDefault="00124E93" w:rsidP="00EA14C4">
      <w:pPr>
        <w:pStyle w:val="ListParagraph"/>
        <w:numPr>
          <w:ilvl w:val="1"/>
          <w:numId w:val="53"/>
        </w:numPr>
        <w:spacing w:line="237" w:lineRule="auto"/>
        <w:ind w:left="1418" w:right="-57" w:hanging="709"/>
      </w:pPr>
      <w:r>
        <w:t xml:space="preserve">labelling information related to safety, efficacy, and use of the device; </w:t>
      </w:r>
      <w:r>
        <w:rPr>
          <w:spacing w:val="-4"/>
        </w:rPr>
        <w:t>and</w:t>
      </w:r>
    </w:p>
    <w:p w14:paraId="715101A5" w14:textId="77777777" w:rsidR="00124E93" w:rsidRDefault="00124E93" w:rsidP="00EA14C4">
      <w:pPr>
        <w:pStyle w:val="ListParagraph"/>
        <w:numPr>
          <w:ilvl w:val="1"/>
          <w:numId w:val="53"/>
        </w:numPr>
        <w:spacing w:line="242" w:lineRule="auto"/>
        <w:ind w:left="1418" w:right="-57" w:hanging="709"/>
      </w:pPr>
      <w:r>
        <w:t>other matters that may directly affect the health or safety of the user of the device.</w:t>
      </w:r>
    </w:p>
    <w:p w14:paraId="158905E6" w14:textId="77777777" w:rsidR="00124E93" w:rsidRDefault="00124E93" w:rsidP="00EA14C4">
      <w:pPr>
        <w:pStyle w:val="BodyText"/>
        <w:spacing w:line="237" w:lineRule="auto"/>
        <w:ind w:right="-57" w:firstLine="0"/>
      </w:pPr>
      <w:r>
        <w:t>To</w:t>
      </w:r>
      <w:r>
        <w:rPr>
          <w:spacing w:val="40"/>
        </w:rPr>
        <w:t xml:space="preserve"> </w:t>
      </w:r>
      <w:r>
        <w:t>this</w:t>
      </w:r>
      <w:r>
        <w:rPr>
          <w:spacing w:val="40"/>
        </w:rPr>
        <w:t xml:space="preserve"> </w:t>
      </w:r>
      <w:r>
        <w:t>end,</w:t>
      </w:r>
      <w:r>
        <w:rPr>
          <w:spacing w:val="40"/>
        </w:rPr>
        <w:t xml:space="preserve"> </w:t>
      </w:r>
      <w:r>
        <w:t>neither</w:t>
      </w:r>
      <w:r>
        <w:rPr>
          <w:spacing w:val="40"/>
        </w:rPr>
        <w:t xml:space="preserve"> </w:t>
      </w:r>
      <w:r>
        <w:t>Party</w:t>
      </w:r>
      <w:r>
        <w:rPr>
          <w:spacing w:val="36"/>
        </w:rPr>
        <w:t xml:space="preserve"> </w:t>
      </w:r>
      <w:r>
        <w:t>shall</w:t>
      </w:r>
      <w:r>
        <w:rPr>
          <w:spacing w:val="37"/>
        </w:rPr>
        <w:t xml:space="preserve"> </w:t>
      </w:r>
      <w:r>
        <w:t>require</w:t>
      </w:r>
      <w:r>
        <w:rPr>
          <w:spacing w:val="40"/>
        </w:rPr>
        <w:t xml:space="preserve"> </w:t>
      </w:r>
      <w:r>
        <w:t>sale</w:t>
      </w:r>
      <w:r>
        <w:rPr>
          <w:spacing w:val="40"/>
        </w:rPr>
        <w:t xml:space="preserve"> </w:t>
      </w:r>
      <w:r>
        <w:t>data,</w:t>
      </w:r>
      <w:r>
        <w:rPr>
          <w:spacing w:val="40"/>
        </w:rPr>
        <w:t xml:space="preserve"> </w:t>
      </w:r>
      <w:r>
        <w:t>pricing</w:t>
      </w:r>
      <w:r>
        <w:rPr>
          <w:spacing w:val="40"/>
        </w:rPr>
        <w:t xml:space="preserve"> </w:t>
      </w:r>
      <w:r>
        <w:t>or</w:t>
      </w:r>
      <w:r>
        <w:rPr>
          <w:spacing w:val="40"/>
        </w:rPr>
        <w:t xml:space="preserve"> </w:t>
      </w:r>
      <w:r>
        <w:t>related</w:t>
      </w:r>
      <w:r>
        <w:rPr>
          <w:spacing w:val="40"/>
        </w:rPr>
        <w:t xml:space="preserve"> </w:t>
      </w:r>
      <w:r>
        <w:t>financial</w:t>
      </w:r>
      <w:r>
        <w:rPr>
          <w:spacing w:val="37"/>
        </w:rPr>
        <w:t xml:space="preserve"> </w:t>
      </w:r>
      <w:r>
        <w:t>data concerning the marketing of the medical device.</w:t>
      </w:r>
    </w:p>
    <w:p w14:paraId="4B0BCBB8" w14:textId="08B58A0E" w:rsidR="00124E93" w:rsidRDefault="00124E93" w:rsidP="0063267C">
      <w:pPr>
        <w:pStyle w:val="ListParagraph"/>
        <w:numPr>
          <w:ilvl w:val="0"/>
          <w:numId w:val="51"/>
        </w:numPr>
        <w:tabs>
          <w:tab w:val="left" w:pos="837"/>
        </w:tabs>
        <w:ind w:left="0" w:right="7" w:firstLine="0"/>
      </w:pPr>
      <w:r>
        <w:t xml:space="preserve">Each Party shall administer any marketing authorisation process that it maintains for medical devices in a timely, reasonable, objective, transparent and impartial manner, and identify and manage any conflicts of interest </w:t>
      </w:r>
      <w:proofErr w:type="gramStart"/>
      <w:r>
        <w:t>in order to</w:t>
      </w:r>
      <w:proofErr w:type="gramEnd"/>
      <w:r>
        <w:t xml:space="preserve"> mitigate any associated risks.</w:t>
      </w:r>
    </w:p>
    <w:p w14:paraId="1124B18C" w14:textId="248E126E" w:rsidR="00124E93" w:rsidRDefault="00124E93" w:rsidP="0063267C">
      <w:pPr>
        <w:pStyle w:val="ListParagraph1a"/>
        <w:ind w:left="1418" w:right="21" w:hanging="709"/>
      </w:pPr>
      <w:r>
        <w:t xml:space="preserve">Each Party shall provide an applicant that requests marketing authorisation for a medical device with its determination within a reasonable </w:t>
      </w:r>
      <w:proofErr w:type="gramStart"/>
      <w:r>
        <w:t>period of time</w:t>
      </w:r>
      <w:proofErr w:type="gramEnd"/>
      <w:r>
        <w:t xml:space="preserve">. The Parties recognise that the reasonable </w:t>
      </w:r>
      <w:proofErr w:type="gramStart"/>
      <w:r>
        <w:t>period of time</w:t>
      </w:r>
      <w:proofErr w:type="gramEnd"/>
      <w:r>
        <w:t xml:space="preserve"> required to make a marketing authorisation determination may be affected by factors such as the novelty of a device or regulatory implications that may arise.</w:t>
      </w:r>
    </w:p>
    <w:p w14:paraId="145AA4C0" w14:textId="77777777" w:rsidR="00124E93" w:rsidRDefault="00124E93" w:rsidP="00EA14C4">
      <w:pPr>
        <w:pStyle w:val="ListParagraph1a"/>
        <w:ind w:left="1418" w:right="-57" w:hanging="709"/>
      </w:pPr>
      <w:r>
        <w:t>If a Party determines that a marketing authorisation application for a medical device under review in its jurisdiction has deficiencies that have led or will lead to a decision not to authorise its marketing, that Party shall inform the applicant that requests marketing authorisation and provide reasons why the application is deficient.</w:t>
      </w:r>
    </w:p>
    <w:p w14:paraId="63EDD525" w14:textId="021A4B55" w:rsidR="00124E93" w:rsidRDefault="00124E93" w:rsidP="0063267C">
      <w:pPr>
        <w:pStyle w:val="ListParagraph1a"/>
        <w:ind w:left="1418" w:right="21" w:hanging="709"/>
      </w:pPr>
      <w:r>
        <w:t>If a Party requires marketing authorisation for a medical device, the Party shall ensure that any marketing authorisation determination is subject to an appeal or review process that may be invoked at the request of the applicant. For greater certainty, the Party may maintain an appeal or review process that is either internal to the regulatory</w:t>
      </w:r>
      <w:r>
        <w:rPr>
          <w:spacing w:val="40"/>
        </w:rPr>
        <w:t xml:space="preserve"> </w:t>
      </w:r>
      <w:r>
        <w:t>body responsible for the marketing authorisation determination, such</w:t>
      </w:r>
      <w:r>
        <w:rPr>
          <w:spacing w:val="40"/>
        </w:rPr>
        <w:t xml:space="preserve"> </w:t>
      </w:r>
      <w:r>
        <w:t xml:space="preserve">as a dispute resolution or review process, or external to the regulatory </w:t>
      </w:r>
      <w:r>
        <w:rPr>
          <w:spacing w:val="-2"/>
        </w:rPr>
        <w:t>body.</w:t>
      </w:r>
    </w:p>
    <w:p w14:paraId="25B2A7F2" w14:textId="4E00DDEE" w:rsidR="003F76CE" w:rsidRDefault="00124E93" w:rsidP="00EA14C4">
      <w:pPr>
        <w:pStyle w:val="ListParagraph1a"/>
        <w:ind w:left="1418" w:right="-57" w:hanging="709"/>
      </w:pPr>
      <w:r>
        <w:t>If a Party requires periodic re-authorisation for a medical device that has</w:t>
      </w:r>
      <w:r>
        <w:rPr>
          <w:spacing w:val="40"/>
        </w:rPr>
        <w:t xml:space="preserve"> </w:t>
      </w:r>
      <w:r>
        <w:t>previously</w:t>
      </w:r>
      <w:r>
        <w:rPr>
          <w:spacing w:val="40"/>
        </w:rPr>
        <w:t xml:space="preserve"> </w:t>
      </w:r>
      <w:r>
        <w:t>received</w:t>
      </w:r>
      <w:r>
        <w:rPr>
          <w:spacing w:val="40"/>
        </w:rPr>
        <w:t xml:space="preserve"> </w:t>
      </w:r>
      <w:r>
        <w:t>marketing</w:t>
      </w:r>
      <w:r>
        <w:rPr>
          <w:spacing w:val="40"/>
        </w:rPr>
        <w:t xml:space="preserve"> </w:t>
      </w:r>
      <w:r>
        <w:t>authorisation</w:t>
      </w:r>
      <w:r>
        <w:rPr>
          <w:spacing w:val="40"/>
        </w:rPr>
        <w:t xml:space="preserve"> </w:t>
      </w:r>
      <w:r>
        <w:t>from</w:t>
      </w:r>
      <w:r>
        <w:rPr>
          <w:spacing w:val="37"/>
        </w:rPr>
        <w:t xml:space="preserve"> </w:t>
      </w:r>
      <w:r>
        <w:t>the</w:t>
      </w:r>
      <w:r>
        <w:rPr>
          <w:spacing w:val="40"/>
        </w:rPr>
        <w:t xml:space="preserve"> </w:t>
      </w:r>
      <w:r>
        <w:t>Party,</w:t>
      </w:r>
      <w:r>
        <w:rPr>
          <w:spacing w:val="40"/>
        </w:rPr>
        <w:t xml:space="preserve"> </w:t>
      </w:r>
      <w:r>
        <w:t>the</w:t>
      </w:r>
    </w:p>
    <w:p w14:paraId="124EDA57" w14:textId="77777777" w:rsidR="003F76CE" w:rsidRDefault="003F76CE">
      <w:pPr>
        <w:spacing w:after="0"/>
        <w:ind w:firstLine="0"/>
        <w:jc w:val="left"/>
      </w:pPr>
      <w:r>
        <w:br w:type="page"/>
      </w:r>
    </w:p>
    <w:p w14:paraId="725C9F5D" w14:textId="77777777" w:rsidR="003F76CE" w:rsidRDefault="003F76CE" w:rsidP="003F76CE">
      <w:pPr>
        <w:pStyle w:val="BodyText"/>
        <w:spacing w:before="74"/>
        <w:ind w:left="1556" w:right="-170" w:firstLine="0"/>
      </w:pPr>
      <w:r>
        <w:lastRenderedPageBreak/>
        <w:t xml:space="preserve">Party shall allow the medical device to remain on its market under the conditions of the previous marketing authorisation pending a decision on the periodic </w:t>
      </w:r>
      <w:proofErr w:type="gramStart"/>
      <w:r>
        <w:t>re-authorisation, unless</w:t>
      </w:r>
      <w:proofErr w:type="gramEnd"/>
      <w:r>
        <w:t xml:space="preserve"> a Party identifies a significant health or safety concern.</w:t>
      </w:r>
    </w:p>
    <w:p w14:paraId="3EF65813" w14:textId="77777777" w:rsidR="003F76CE" w:rsidRDefault="003F76CE" w:rsidP="003F76CE">
      <w:pPr>
        <w:pStyle w:val="ListParagraph"/>
        <w:numPr>
          <w:ilvl w:val="0"/>
          <w:numId w:val="51"/>
        </w:numPr>
        <w:tabs>
          <w:tab w:val="left" w:pos="837"/>
        </w:tabs>
        <w:ind w:right="-170" w:firstLine="0"/>
      </w:pPr>
      <w:r>
        <w:t xml:space="preserve">When developing regulatory requirements for medical devices, a Party shall consider its available resources and technical capacity </w:t>
      </w:r>
      <w:proofErr w:type="gramStart"/>
      <w:r>
        <w:t>in order to</w:t>
      </w:r>
      <w:proofErr w:type="gramEnd"/>
      <w:r>
        <w:t xml:space="preserve"> minimise the implementation of requirements that could:</w:t>
      </w:r>
    </w:p>
    <w:p w14:paraId="3CAE958C" w14:textId="68C44BC0" w:rsidR="003F76CE" w:rsidRDefault="00477932" w:rsidP="00477932">
      <w:pPr>
        <w:spacing w:line="242" w:lineRule="auto"/>
        <w:ind w:left="1560" w:right="-170" w:hanging="725"/>
      </w:pPr>
      <w:r>
        <w:t>(a)</w:t>
      </w:r>
      <w:r>
        <w:tab/>
      </w:r>
      <w:r w:rsidR="003F76CE">
        <w:t xml:space="preserve">inhibit the effectiveness of procedures for ensuring the safety, </w:t>
      </w:r>
      <w:proofErr w:type="gramStart"/>
      <w:r w:rsidR="003F76CE">
        <w:t>efficacy</w:t>
      </w:r>
      <w:proofErr w:type="gramEnd"/>
      <w:r w:rsidR="003F76CE">
        <w:t xml:space="preserve"> or manufacturing quality of medical devices; or</w:t>
      </w:r>
    </w:p>
    <w:p w14:paraId="2E9C159C" w14:textId="77777777" w:rsidR="003F76CE" w:rsidRDefault="003F76CE" w:rsidP="003F76CE">
      <w:pPr>
        <w:pStyle w:val="BodyText"/>
        <w:tabs>
          <w:tab w:val="left" w:pos="1556"/>
        </w:tabs>
        <w:spacing w:before="1" w:line="237" w:lineRule="auto"/>
        <w:ind w:left="1556" w:right="-170" w:hanging="721"/>
      </w:pPr>
      <w:r>
        <w:rPr>
          <w:spacing w:val="-4"/>
        </w:rPr>
        <w:t>(a)</w:t>
      </w:r>
      <w:r>
        <w:tab/>
        <w:t>lead to substantial</w:t>
      </w:r>
      <w:r>
        <w:rPr>
          <w:spacing w:val="-3"/>
        </w:rPr>
        <w:t xml:space="preserve"> </w:t>
      </w:r>
      <w:r>
        <w:t>delays in marketing authorisation regarding medical devices for sale on that Party’s market.</w:t>
      </w:r>
    </w:p>
    <w:p w14:paraId="525B5728" w14:textId="77777777" w:rsidR="003F76CE" w:rsidRDefault="003F76CE" w:rsidP="003F76CE">
      <w:pPr>
        <w:pStyle w:val="ListParagraph"/>
        <w:numPr>
          <w:ilvl w:val="0"/>
          <w:numId w:val="51"/>
        </w:numPr>
        <w:tabs>
          <w:tab w:val="left" w:pos="837"/>
        </w:tabs>
        <w:ind w:right="-170" w:firstLine="0"/>
      </w:pPr>
      <w:r>
        <w:t>Neither Party shall require that a medical device receive a marketing authorisation from</w:t>
      </w:r>
      <w:r>
        <w:rPr>
          <w:spacing w:val="-1"/>
        </w:rPr>
        <w:t xml:space="preserve"> </w:t>
      </w:r>
      <w:r>
        <w:t>a regulatory</w:t>
      </w:r>
      <w:r>
        <w:rPr>
          <w:spacing w:val="-1"/>
        </w:rPr>
        <w:t xml:space="preserve"> </w:t>
      </w:r>
      <w:r>
        <w:t>authority in the country</w:t>
      </w:r>
      <w:r>
        <w:rPr>
          <w:spacing w:val="-1"/>
        </w:rPr>
        <w:t xml:space="preserve"> </w:t>
      </w:r>
      <w:r>
        <w:t>of manufacture as a condition for the medical device to receive marketing authorisation from that Party.</w:t>
      </w:r>
    </w:p>
    <w:p w14:paraId="3E85BA3A" w14:textId="77777777" w:rsidR="003F76CE" w:rsidRDefault="003F76CE" w:rsidP="003F76CE">
      <w:pPr>
        <w:pStyle w:val="ListParagraph"/>
        <w:numPr>
          <w:ilvl w:val="0"/>
          <w:numId w:val="51"/>
        </w:numPr>
        <w:tabs>
          <w:tab w:val="left" w:pos="837"/>
        </w:tabs>
        <w:ind w:right="-170" w:firstLine="0"/>
      </w:pPr>
      <w:r>
        <w:t>For</w:t>
      </w:r>
      <w:r>
        <w:rPr>
          <w:spacing w:val="-1"/>
        </w:rPr>
        <w:t xml:space="preserve"> </w:t>
      </w:r>
      <w:r>
        <w:t>greater</w:t>
      </w:r>
      <w:r>
        <w:rPr>
          <w:spacing w:val="-1"/>
        </w:rPr>
        <w:t xml:space="preserve"> </w:t>
      </w:r>
      <w:r>
        <w:t>certainty, a</w:t>
      </w:r>
      <w:r>
        <w:rPr>
          <w:spacing w:val="-3"/>
        </w:rPr>
        <w:t xml:space="preserve"> </w:t>
      </w:r>
      <w:r>
        <w:t>Party</w:t>
      </w:r>
      <w:r>
        <w:rPr>
          <w:spacing w:val="-7"/>
        </w:rPr>
        <w:t xml:space="preserve"> </w:t>
      </w:r>
      <w:r>
        <w:t>may</w:t>
      </w:r>
      <w:r>
        <w:rPr>
          <w:spacing w:val="-7"/>
        </w:rPr>
        <w:t xml:space="preserve"> </w:t>
      </w:r>
      <w:r>
        <w:t>accept a</w:t>
      </w:r>
      <w:r>
        <w:rPr>
          <w:spacing w:val="-3"/>
        </w:rPr>
        <w:t xml:space="preserve"> </w:t>
      </w:r>
      <w:r>
        <w:t>prior</w:t>
      </w:r>
      <w:r>
        <w:rPr>
          <w:spacing w:val="-1"/>
        </w:rPr>
        <w:t xml:space="preserve"> </w:t>
      </w:r>
      <w:r>
        <w:t>marketing authorisation</w:t>
      </w:r>
      <w:r>
        <w:rPr>
          <w:spacing w:val="-7"/>
        </w:rPr>
        <w:t xml:space="preserve"> </w:t>
      </w:r>
      <w:r>
        <w:t>that is issued by another regulatory</w:t>
      </w:r>
      <w:r>
        <w:rPr>
          <w:spacing w:val="-1"/>
        </w:rPr>
        <w:t xml:space="preserve"> </w:t>
      </w:r>
      <w:r>
        <w:t>authority</w:t>
      </w:r>
      <w:r>
        <w:rPr>
          <w:spacing w:val="-1"/>
        </w:rPr>
        <w:t xml:space="preserve"> </w:t>
      </w:r>
      <w:r>
        <w:t>as evidence that a medical</w:t>
      </w:r>
      <w:r>
        <w:rPr>
          <w:spacing w:val="-1"/>
        </w:rPr>
        <w:t xml:space="preserve"> </w:t>
      </w:r>
      <w:r>
        <w:t xml:space="preserve">device may meet its own requirements. If there are regulatory resource limitations, a Party may require a marketing authorisation from one of </w:t>
      </w:r>
      <w:proofErr w:type="gramStart"/>
      <w:r>
        <w:t>a number of</w:t>
      </w:r>
      <w:proofErr w:type="gramEnd"/>
      <w:r>
        <w:t xml:space="preserve"> reference countries established and made public by that Party as a condition for the medical device’s marketing authorisation from that Party.</w:t>
      </w:r>
    </w:p>
    <w:p w14:paraId="57A41D32" w14:textId="0BB7F97C" w:rsidR="00124E93" w:rsidRDefault="003F76CE" w:rsidP="00F25F72">
      <w:pPr>
        <w:pStyle w:val="ListParagraph"/>
        <w:numPr>
          <w:ilvl w:val="0"/>
          <w:numId w:val="51"/>
        </w:numPr>
        <w:tabs>
          <w:tab w:val="left" w:pos="837"/>
        </w:tabs>
        <w:ind w:right="-170" w:firstLine="0"/>
      </w:pPr>
      <w:r>
        <w:t>If a Party requires a manufacturer or supplier of a medical device to indicate information on the product’s label, the Party</w:t>
      </w:r>
      <w:r>
        <w:rPr>
          <w:spacing w:val="-5"/>
        </w:rPr>
        <w:t xml:space="preserve"> </w:t>
      </w:r>
      <w:r>
        <w:t>shall permit the manufacturer or supplier to indicate the required information by relabelling the product or by using supplementary labelling of the device in accordance with the Party’s domestic requirements</w:t>
      </w:r>
      <w:r>
        <w:rPr>
          <w:spacing w:val="-1"/>
        </w:rPr>
        <w:t xml:space="preserve"> </w:t>
      </w:r>
      <w:r>
        <w:t>after importation</w:t>
      </w:r>
      <w:r>
        <w:rPr>
          <w:spacing w:val="-3"/>
        </w:rPr>
        <w:t xml:space="preserve"> </w:t>
      </w:r>
      <w:r>
        <w:t>but prior</w:t>
      </w:r>
      <w:r>
        <w:rPr>
          <w:spacing w:val="-2"/>
        </w:rPr>
        <w:t xml:space="preserve"> </w:t>
      </w:r>
      <w:r>
        <w:t>to</w:t>
      </w:r>
      <w:r>
        <w:rPr>
          <w:spacing w:val="-3"/>
        </w:rPr>
        <w:t xml:space="preserve"> </w:t>
      </w:r>
      <w:r>
        <w:t>offering</w:t>
      </w:r>
      <w:r>
        <w:rPr>
          <w:spacing w:val="-3"/>
        </w:rPr>
        <w:t xml:space="preserve"> </w:t>
      </w:r>
      <w:r>
        <w:t>the device for sale or</w:t>
      </w:r>
      <w:r>
        <w:rPr>
          <w:spacing w:val="-2"/>
        </w:rPr>
        <w:t xml:space="preserve"> </w:t>
      </w:r>
      <w:r>
        <w:t>supply</w:t>
      </w:r>
      <w:r>
        <w:rPr>
          <w:spacing w:val="-3"/>
        </w:rPr>
        <w:t xml:space="preserve"> </w:t>
      </w:r>
      <w:r>
        <w:t>in</w:t>
      </w:r>
      <w:r>
        <w:rPr>
          <w:spacing w:val="-3"/>
        </w:rPr>
        <w:t xml:space="preserve"> </w:t>
      </w:r>
      <w:r>
        <w:t>the Party’s territory.</w:t>
      </w:r>
    </w:p>
    <w:sectPr w:rsidR="00124E93" w:rsidSect="00235E63">
      <w:footerReference w:type="default" r:id="rId8"/>
      <w:pgSz w:w="11910" w:h="16840"/>
      <w:pgMar w:top="1338" w:right="1871" w:bottom="1242" w:left="1871"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4908"/>
      <w:docPartObj>
        <w:docPartGallery w:val="Page Numbers (Bottom of Page)"/>
        <w:docPartUnique/>
      </w:docPartObj>
    </w:sdtPr>
    <w:sdtEndPr>
      <w:rPr>
        <w:noProof/>
      </w:rPr>
    </w:sdtEndPr>
    <w:sdtContent>
      <w:p w14:paraId="19F75801" w14:textId="12CDB5BD" w:rsidR="00B25E2A" w:rsidRPr="00AD2B0D" w:rsidRDefault="00EA14C4" w:rsidP="0046437F">
        <w:pPr>
          <w:pStyle w:val="Footer"/>
          <w:ind w:firstLine="0"/>
          <w:jc w:val="center"/>
        </w:pPr>
        <w:r>
          <w:t>ANNEX</w:t>
        </w:r>
        <w:r>
          <w:rPr>
            <w:spacing w:val="-4"/>
          </w:rPr>
          <w:t xml:space="preserve"> </w:t>
        </w:r>
        <w:r>
          <w:t>5E</w:t>
        </w:r>
        <w:r>
          <w:rPr>
            <w:spacing w:val="1"/>
          </w:rPr>
          <w:t xml:space="preserve"> </w:t>
        </w:r>
        <w:r>
          <w:t>–</w:t>
        </w:r>
        <w:r>
          <w:rPr>
            <w:spacing w:val="-2"/>
          </w:rPr>
          <w:t xml:space="preserve"> </w:t>
        </w:r>
        <w:r w:rsidR="00AD2B0D">
          <w:fldChar w:fldCharType="begin"/>
        </w:r>
        <w:r w:rsidR="00AD2B0D">
          <w:instrText xml:space="preserve"> PAGE   \* MERGEFORMAT </w:instrText>
        </w:r>
        <w:r w:rsidR="00AD2B0D">
          <w:fldChar w:fldCharType="separate"/>
        </w:r>
        <w:r w:rsidR="00AD2B0D">
          <w:rPr>
            <w:noProof/>
          </w:rPr>
          <w:t>2</w:t>
        </w:r>
        <w:r w:rsidR="00AD2B0D">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 w:id="1">
    <w:p w14:paraId="7F1585D8" w14:textId="2C16BD5F" w:rsidR="005B1982" w:rsidRPr="005B1982" w:rsidRDefault="005B1982" w:rsidP="00235E63">
      <w:pPr>
        <w:pStyle w:val="FootnoteText"/>
        <w:ind w:right="-113" w:firstLine="0"/>
        <w:rPr>
          <w:rStyle w:val="EndnoteReference"/>
        </w:rPr>
      </w:pPr>
      <w:r w:rsidRPr="00235E63">
        <w:rPr>
          <w:rStyle w:val="EndnoteReference"/>
          <w:vertAlign w:val="superscript"/>
        </w:rPr>
        <w:footnoteRef/>
      </w:r>
      <w:r w:rsidRPr="00235E63">
        <w:rPr>
          <w:rStyle w:val="EndnoteReference"/>
          <w:vertAlign w:val="superscript"/>
        </w:rPr>
        <w:t xml:space="preserve"> </w:t>
      </w:r>
      <w:r w:rsidRPr="005B1982">
        <w:rPr>
          <w:rStyle w:val="EndnoteReference"/>
        </w:rPr>
        <w:t>The application of this Annex to marketing authorisations is without prejudice to whether a marketing authorisation meets the definition of a standard, technical regulation or conformity assessment procedure.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429E"/>
    <w:multiLevelType w:val="hybridMultilevel"/>
    <w:tmpl w:val="95348584"/>
    <w:lvl w:ilvl="0" w:tplc="C73022D4">
      <w:start w:val="1"/>
      <w:numFmt w:val="decimal"/>
      <w:lvlText w:val="%1."/>
      <w:lvlJc w:val="left"/>
      <w:pPr>
        <w:ind w:left="115" w:hanging="721"/>
      </w:pPr>
      <w:rPr>
        <w:rFonts w:ascii="Times New Roman" w:eastAsia="Times New Roman" w:hAnsi="Times New Roman" w:cs="Times New Roman" w:hint="default"/>
        <w:b w:val="0"/>
        <w:bCs w:val="0"/>
        <w:i w:val="0"/>
        <w:iCs w:val="0"/>
        <w:w w:val="100"/>
        <w:sz w:val="24"/>
        <w:szCs w:val="24"/>
        <w:lang w:val="en-AU" w:eastAsia="en-US" w:bidi="ar-SA"/>
      </w:rPr>
    </w:lvl>
    <w:lvl w:ilvl="1" w:tplc="A10849B0">
      <w:start w:val="1"/>
      <w:numFmt w:val="lowerLetter"/>
      <w:lvlText w:val="(%2)"/>
      <w:lvlJc w:val="left"/>
      <w:pPr>
        <w:ind w:left="1556"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71449FD4">
      <w:numFmt w:val="bullet"/>
      <w:lvlText w:val="•"/>
      <w:lvlJc w:val="left"/>
      <w:pPr>
        <w:ind w:left="2340" w:hanging="721"/>
      </w:pPr>
      <w:rPr>
        <w:rFonts w:hint="default"/>
        <w:lang w:val="en-AU" w:eastAsia="en-US" w:bidi="ar-SA"/>
      </w:rPr>
    </w:lvl>
    <w:lvl w:ilvl="3" w:tplc="FC6A32BE">
      <w:numFmt w:val="bullet"/>
      <w:lvlText w:val="•"/>
      <w:lvlJc w:val="left"/>
      <w:pPr>
        <w:ind w:left="3120" w:hanging="721"/>
      </w:pPr>
      <w:rPr>
        <w:rFonts w:hint="default"/>
        <w:lang w:val="en-AU" w:eastAsia="en-US" w:bidi="ar-SA"/>
      </w:rPr>
    </w:lvl>
    <w:lvl w:ilvl="4" w:tplc="2BE20714">
      <w:numFmt w:val="bullet"/>
      <w:lvlText w:val="•"/>
      <w:lvlJc w:val="left"/>
      <w:pPr>
        <w:ind w:left="3901" w:hanging="721"/>
      </w:pPr>
      <w:rPr>
        <w:rFonts w:hint="default"/>
        <w:lang w:val="en-AU" w:eastAsia="en-US" w:bidi="ar-SA"/>
      </w:rPr>
    </w:lvl>
    <w:lvl w:ilvl="5" w:tplc="FA7CF4F6">
      <w:numFmt w:val="bullet"/>
      <w:lvlText w:val="•"/>
      <w:lvlJc w:val="left"/>
      <w:pPr>
        <w:ind w:left="4681" w:hanging="721"/>
      </w:pPr>
      <w:rPr>
        <w:rFonts w:hint="default"/>
        <w:lang w:val="en-AU" w:eastAsia="en-US" w:bidi="ar-SA"/>
      </w:rPr>
    </w:lvl>
    <w:lvl w:ilvl="6" w:tplc="142AD5DE">
      <w:numFmt w:val="bullet"/>
      <w:lvlText w:val="•"/>
      <w:lvlJc w:val="left"/>
      <w:pPr>
        <w:ind w:left="5462" w:hanging="721"/>
      </w:pPr>
      <w:rPr>
        <w:rFonts w:hint="default"/>
        <w:lang w:val="en-AU" w:eastAsia="en-US" w:bidi="ar-SA"/>
      </w:rPr>
    </w:lvl>
    <w:lvl w:ilvl="7" w:tplc="400A354E">
      <w:numFmt w:val="bullet"/>
      <w:lvlText w:val="•"/>
      <w:lvlJc w:val="left"/>
      <w:pPr>
        <w:ind w:left="6242" w:hanging="721"/>
      </w:pPr>
      <w:rPr>
        <w:rFonts w:hint="default"/>
        <w:lang w:val="en-AU" w:eastAsia="en-US" w:bidi="ar-SA"/>
      </w:rPr>
    </w:lvl>
    <w:lvl w:ilvl="8" w:tplc="5DA29058">
      <w:numFmt w:val="bullet"/>
      <w:lvlText w:val="•"/>
      <w:lvlJc w:val="left"/>
      <w:pPr>
        <w:ind w:left="7023" w:hanging="721"/>
      </w:pPr>
      <w:rPr>
        <w:rFonts w:hint="default"/>
        <w:lang w:val="en-AU" w:eastAsia="en-US" w:bidi="ar-SA"/>
      </w:rPr>
    </w:lvl>
  </w:abstractNum>
  <w:abstractNum w:abstractNumId="1" w15:restartNumberingAfterBreak="0">
    <w:nsid w:val="0BC10B77"/>
    <w:multiLevelType w:val="hybridMultilevel"/>
    <w:tmpl w:val="275C7B0A"/>
    <w:lvl w:ilvl="0" w:tplc="A61C05A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6CAE138">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9EA190E">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7BA4DEBE">
      <w:numFmt w:val="bullet"/>
      <w:lvlText w:val="•"/>
      <w:lvlJc w:val="left"/>
      <w:pPr>
        <w:ind w:left="3063" w:hanging="720"/>
      </w:pPr>
      <w:rPr>
        <w:rFonts w:hint="default"/>
        <w:lang w:val="en-AU" w:eastAsia="en-US" w:bidi="ar-SA"/>
      </w:rPr>
    </w:lvl>
    <w:lvl w:ilvl="4" w:tplc="DBACE65C">
      <w:numFmt w:val="bullet"/>
      <w:lvlText w:val="•"/>
      <w:lvlJc w:val="left"/>
      <w:pPr>
        <w:ind w:left="3846" w:hanging="720"/>
      </w:pPr>
      <w:rPr>
        <w:rFonts w:hint="default"/>
        <w:lang w:val="en-AU" w:eastAsia="en-US" w:bidi="ar-SA"/>
      </w:rPr>
    </w:lvl>
    <w:lvl w:ilvl="5" w:tplc="E24AF62E">
      <w:numFmt w:val="bullet"/>
      <w:lvlText w:val="•"/>
      <w:lvlJc w:val="left"/>
      <w:pPr>
        <w:ind w:left="4629" w:hanging="720"/>
      </w:pPr>
      <w:rPr>
        <w:rFonts w:hint="default"/>
        <w:lang w:val="en-AU" w:eastAsia="en-US" w:bidi="ar-SA"/>
      </w:rPr>
    </w:lvl>
    <w:lvl w:ilvl="6" w:tplc="DFD0B384">
      <w:numFmt w:val="bullet"/>
      <w:lvlText w:val="•"/>
      <w:lvlJc w:val="left"/>
      <w:pPr>
        <w:ind w:left="5412" w:hanging="720"/>
      </w:pPr>
      <w:rPr>
        <w:rFonts w:hint="default"/>
        <w:lang w:val="en-AU" w:eastAsia="en-US" w:bidi="ar-SA"/>
      </w:rPr>
    </w:lvl>
    <w:lvl w:ilvl="7" w:tplc="6A166D2A">
      <w:numFmt w:val="bullet"/>
      <w:lvlText w:val="•"/>
      <w:lvlJc w:val="left"/>
      <w:pPr>
        <w:ind w:left="6195" w:hanging="720"/>
      </w:pPr>
      <w:rPr>
        <w:rFonts w:hint="default"/>
        <w:lang w:val="en-AU" w:eastAsia="en-US" w:bidi="ar-SA"/>
      </w:rPr>
    </w:lvl>
    <w:lvl w:ilvl="8" w:tplc="4E5A6192">
      <w:numFmt w:val="bullet"/>
      <w:lvlText w:val="•"/>
      <w:lvlJc w:val="left"/>
      <w:pPr>
        <w:ind w:left="6978" w:hanging="720"/>
      </w:pPr>
      <w:rPr>
        <w:rFonts w:hint="default"/>
        <w:lang w:val="en-AU" w:eastAsia="en-US" w:bidi="ar-SA"/>
      </w:rPr>
    </w:lvl>
  </w:abstractNum>
  <w:abstractNum w:abstractNumId="2"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3" w15:restartNumberingAfterBreak="0">
    <w:nsid w:val="1EA014C0"/>
    <w:multiLevelType w:val="hybridMultilevel"/>
    <w:tmpl w:val="6FAE00A6"/>
    <w:lvl w:ilvl="0" w:tplc="53D46706">
      <w:start w:val="1"/>
      <w:numFmt w:val="decimal"/>
      <w:pStyle w:val="ListParagraph1"/>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336" w:hanging="721"/>
      </w:pPr>
      <w:rPr>
        <w:rFonts w:hint="default"/>
        <w:lang w:val="en-AU" w:eastAsia="en-US" w:bidi="ar-SA"/>
      </w:rPr>
    </w:lvl>
    <w:lvl w:ilvl="3" w:tplc="0FA0E544">
      <w:numFmt w:val="bullet"/>
      <w:lvlText w:val="•"/>
      <w:lvlJc w:val="left"/>
      <w:pPr>
        <w:ind w:left="3112" w:hanging="721"/>
      </w:pPr>
      <w:rPr>
        <w:rFonts w:hint="default"/>
        <w:lang w:val="en-AU" w:eastAsia="en-US" w:bidi="ar-SA"/>
      </w:rPr>
    </w:lvl>
    <w:lvl w:ilvl="4" w:tplc="E8FA4744">
      <w:numFmt w:val="bullet"/>
      <w:lvlText w:val="•"/>
      <w:lvlJc w:val="left"/>
      <w:pPr>
        <w:ind w:left="3888" w:hanging="721"/>
      </w:pPr>
      <w:rPr>
        <w:rFonts w:hint="default"/>
        <w:lang w:val="en-AU" w:eastAsia="en-US" w:bidi="ar-SA"/>
      </w:rPr>
    </w:lvl>
    <w:lvl w:ilvl="5" w:tplc="7856EDA0">
      <w:numFmt w:val="bullet"/>
      <w:lvlText w:val="•"/>
      <w:lvlJc w:val="left"/>
      <w:pPr>
        <w:ind w:left="4664" w:hanging="721"/>
      </w:pPr>
      <w:rPr>
        <w:rFonts w:hint="default"/>
        <w:lang w:val="en-AU" w:eastAsia="en-US" w:bidi="ar-SA"/>
      </w:rPr>
    </w:lvl>
    <w:lvl w:ilvl="6" w:tplc="A6E429BE">
      <w:numFmt w:val="bullet"/>
      <w:lvlText w:val="•"/>
      <w:lvlJc w:val="left"/>
      <w:pPr>
        <w:ind w:left="5440" w:hanging="721"/>
      </w:pPr>
      <w:rPr>
        <w:rFonts w:hint="default"/>
        <w:lang w:val="en-AU" w:eastAsia="en-US" w:bidi="ar-SA"/>
      </w:rPr>
    </w:lvl>
    <w:lvl w:ilvl="7" w:tplc="D898BC5E">
      <w:numFmt w:val="bullet"/>
      <w:lvlText w:val="•"/>
      <w:lvlJc w:val="left"/>
      <w:pPr>
        <w:ind w:left="6216" w:hanging="721"/>
      </w:pPr>
      <w:rPr>
        <w:rFonts w:hint="default"/>
        <w:lang w:val="en-AU" w:eastAsia="en-US" w:bidi="ar-SA"/>
      </w:rPr>
    </w:lvl>
    <w:lvl w:ilvl="8" w:tplc="0C98A972">
      <w:numFmt w:val="bullet"/>
      <w:lvlText w:val="•"/>
      <w:lvlJc w:val="left"/>
      <w:pPr>
        <w:ind w:left="6992" w:hanging="721"/>
      </w:pPr>
      <w:rPr>
        <w:rFonts w:hint="default"/>
        <w:lang w:val="en-AU" w:eastAsia="en-US" w:bidi="ar-SA"/>
      </w:rPr>
    </w:lvl>
  </w:abstractNum>
  <w:abstractNum w:abstractNumId="4" w15:restartNumberingAfterBreak="0">
    <w:nsid w:val="27AD62FF"/>
    <w:multiLevelType w:val="hybridMultilevel"/>
    <w:tmpl w:val="5DB8D7C8"/>
    <w:lvl w:ilvl="0" w:tplc="92BCE33A">
      <w:start w:val="1"/>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C152E91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05A1F0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66DA4752">
      <w:numFmt w:val="bullet"/>
      <w:lvlText w:val="•"/>
      <w:lvlJc w:val="left"/>
      <w:pPr>
        <w:ind w:left="3063" w:hanging="720"/>
      </w:pPr>
      <w:rPr>
        <w:rFonts w:hint="default"/>
        <w:lang w:val="en-AU" w:eastAsia="en-US" w:bidi="ar-SA"/>
      </w:rPr>
    </w:lvl>
    <w:lvl w:ilvl="4" w:tplc="6606742C">
      <w:numFmt w:val="bullet"/>
      <w:lvlText w:val="•"/>
      <w:lvlJc w:val="left"/>
      <w:pPr>
        <w:ind w:left="3846" w:hanging="720"/>
      </w:pPr>
      <w:rPr>
        <w:rFonts w:hint="default"/>
        <w:lang w:val="en-AU" w:eastAsia="en-US" w:bidi="ar-SA"/>
      </w:rPr>
    </w:lvl>
    <w:lvl w:ilvl="5" w:tplc="3A7E7824">
      <w:numFmt w:val="bullet"/>
      <w:lvlText w:val="•"/>
      <w:lvlJc w:val="left"/>
      <w:pPr>
        <w:ind w:left="4629" w:hanging="720"/>
      </w:pPr>
      <w:rPr>
        <w:rFonts w:hint="default"/>
        <w:lang w:val="en-AU" w:eastAsia="en-US" w:bidi="ar-SA"/>
      </w:rPr>
    </w:lvl>
    <w:lvl w:ilvl="6" w:tplc="A29CD730">
      <w:numFmt w:val="bullet"/>
      <w:lvlText w:val="•"/>
      <w:lvlJc w:val="left"/>
      <w:pPr>
        <w:ind w:left="5412" w:hanging="720"/>
      </w:pPr>
      <w:rPr>
        <w:rFonts w:hint="default"/>
        <w:lang w:val="en-AU" w:eastAsia="en-US" w:bidi="ar-SA"/>
      </w:rPr>
    </w:lvl>
    <w:lvl w:ilvl="7" w:tplc="E73ECD6C">
      <w:numFmt w:val="bullet"/>
      <w:lvlText w:val="•"/>
      <w:lvlJc w:val="left"/>
      <w:pPr>
        <w:ind w:left="6195" w:hanging="720"/>
      </w:pPr>
      <w:rPr>
        <w:rFonts w:hint="default"/>
        <w:lang w:val="en-AU" w:eastAsia="en-US" w:bidi="ar-SA"/>
      </w:rPr>
    </w:lvl>
    <w:lvl w:ilvl="8" w:tplc="27E4AE60">
      <w:numFmt w:val="bullet"/>
      <w:lvlText w:val="•"/>
      <w:lvlJc w:val="left"/>
      <w:pPr>
        <w:ind w:left="6978" w:hanging="720"/>
      </w:pPr>
      <w:rPr>
        <w:rFonts w:hint="default"/>
        <w:lang w:val="en-AU" w:eastAsia="en-US" w:bidi="ar-SA"/>
      </w:rPr>
    </w:lvl>
  </w:abstractNum>
  <w:abstractNum w:abstractNumId="5" w15:restartNumberingAfterBreak="0">
    <w:nsid w:val="2CF5739C"/>
    <w:multiLevelType w:val="hybridMultilevel"/>
    <w:tmpl w:val="37CE3BA4"/>
    <w:lvl w:ilvl="0" w:tplc="FFFFFFFF">
      <w:start w:val="1"/>
      <w:numFmt w:val="decimal"/>
      <w:lvlText w:val="%1."/>
      <w:lvlJc w:val="left"/>
      <w:pPr>
        <w:ind w:left="115" w:hanging="721"/>
      </w:pPr>
      <w:rPr>
        <w:rFonts w:ascii="Times New Roman" w:eastAsia="Times New Roman" w:hAnsi="Times New Roman" w:cs="Times New Roman" w:hint="default"/>
        <w:b w:val="0"/>
        <w:bCs w:val="0"/>
        <w:i w:val="0"/>
        <w:iCs w:val="0"/>
        <w:w w:val="100"/>
        <w:sz w:val="24"/>
        <w:szCs w:val="24"/>
        <w:lang w:val="en-AU" w:eastAsia="en-US" w:bidi="ar-SA"/>
      </w:rPr>
    </w:lvl>
    <w:lvl w:ilvl="1" w:tplc="FFFFFFFF">
      <w:start w:val="1"/>
      <w:numFmt w:val="lowerLetter"/>
      <w:lvlText w:val="(%2)"/>
      <w:lvlJc w:val="left"/>
      <w:pPr>
        <w:ind w:left="1556"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FFFFFFFF">
      <w:numFmt w:val="bullet"/>
      <w:lvlText w:val="•"/>
      <w:lvlJc w:val="left"/>
      <w:pPr>
        <w:ind w:left="2340" w:hanging="721"/>
      </w:pPr>
      <w:rPr>
        <w:rFonts w:hint="default"/>
        <w:lang w:val="en-AU" w:eastAsia="en-US" w:bidi="ar-SA"/>
      </w:rPr>
    </w:lvl>
    <w:lvl w:ilvl="3" w:tplc="FFFFFFFF">
      <w:numFmt w:val="bullet"/>
      <w:lvlText w:val="•"/>
      <w:lvlJc w:val="left"/>
      <w:pPr>
        <w:ind w:left="3120" w:hanging="721"/>
      </w:pPr>
      <w:rPr>
        <w:rFonts w:hint="default"/>
        <w:lang w:val="en-AU" w:eastAsia="en-US" w:bidi="ar-SA"/>
      </w:rPr>
    </w:lvl>
    <w:lvl w:ilvl="4" w:tplc="FFFFFFFF">
      <w:numFmt w:val="bullet"/>
      <w:lvlText w:val="•"/>
      <w:lvlJc w:val="left"/>
      <w:pPr>
        <w:ind w:left="3901" w:hanging="721"/>
      </w:pPr>
      <w:rPr>
        <w:rFonts w:hint="default"/>
        <w:lang w:val="en-AU" w:eastAsia="en-US" w:bidi="ar-SA"/>
      </w:rPr>
    </w:lvl>
    <w:lvl w:ilvl="5" w:tplc="FFFFFFFF">
      <w:numFmt w:val="bullet"/>
      <w:lvlText w:val="•"/>
      <w:lvlJc w:val="left"/>
      <w:pPr>
        <w:ind w:left="4681" w:hanging="721"/>
      </w:pPr>
      <w:rPr>
        <w:rFonts w:hint="default"/>
        <w:lang w:val="en-AU" w:eastAsia="en-US" w:bidi="ar-SA"/>
      </w:rPr>
    </w:lvl>
    <w:lvl w:ilvl="6" w:tplc="FFFFFFFF">
      <w:numFmt w:val="bullet"/>
      <w:lvlText w:val="•"/>
      <w:lvlJc w:val="left"/>
      <w:pPr>
        <w:ind w:left="5462" w:hanging="721"/>
      </w:pPr>
      <w:rPr>
        <w:rFonts w:hint="default"/>
        <w:lang w:val="en-AU" w:eastAsia="en-US" w:bidi="ar-SA"/>
      </w:rPr>
    </w:lvl>
    <w:lvl w:ilvl="7" w:tplc="FFFFFFFF">
      <w:numFmt w:val="bullet"/>
      <w:lvlText w:val="•"/>
      <w:lvlJc w:val="left"/>
      <w:pPr>
        <w:ind w:left="6242" w:hanging="721"/>
      </w:pPr>
      <w:rPr>
        <w:rFonts w:hint="default"/>
        <w:lang w:val="en-AU" w:eastAsia="en-US" w:bidi="ar-SA"/>
      </w:rPr>
    </w:lvl>
    <w:lvl w:ilvl="8" w:tplc="FFFFFFFF">
      <w:numFmt w:val="bullet"/>
      <w:lvlText w:val="•"/>
      <w:lvlJc w:val="left"/>
      <w:pPr>
        <w:ind w:left="7023" w:hanging="721"/>
      </w:pPr>
      <w:rPr>
        <w:rFonts w:hint="default"/>
        <w:lang w:val="en-AU" w:eastAsia="en-US" w:bidi="ar-SA"/>
      </w:rPr>
    </w:lvl>
  </w:abstractNum>
  <w:abstractNum w:abstractNumId="6"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7" w15:restartNumberingAfterBreak="0">
    <w:nsid w:val="4FEB3C3C"/>
    <w:multiLevelType w:val="hybridMultilevel"/>
    <w:tmpl w:val="058E5FF2"/>
    <w:lvl w:ilvl="0" w:tplc="A10849B0">
      <w:start w:val="1"/>
      <w:numFmt w:val="lowerLetter"/>
      <w:lvlText w:val="(%1)"/>
      <w:lvlJc w:val="left"/>
      <w:pPr>
        <w:ind w:left="1556"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AA06C68"/>
    <w:multiLevelType w:val="hybridMultilevel"/>
    <w:tmpl w:val="30741784"/>
    <w:lvl w:ilvl="0" w:tplc="97681178">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BDAFEA4">
      <w:start w:val="1"/>
      <w:numFmt w:val="lowerLetter"/>
      <w:lvlText w:val="(%2)"/>
      <w:lvlJc w:val="left"/>
      <w:pPr>
        <w:ind w:left="1537" w:hanging="706"/>
      </w:pPr>
      <w:rPr>
        <w:rFonts w:ascii="Times New Roman" w:eastAsia="Times New Roman" w:hAnsi="Times New Roman" w:cs="Times New Roman" w:hint="default"/>
        <w:b w:val="0"/>
        <w:bCs w:val="0"/>
        <w:i w:val="0"/>
        <w:iCs w:val="0"/>
        <w:spacing w:val="-1"/>
        <w:w w:val="99"/>
        <w:sz w:val="24"/>
        <w:szCs w:val="24"/>
        <w:lang w:val="en-AU" w:eastAsia="en-US" w:bidi="ar-SA"/>
      </w:rPr>
    </w:lvl>
    <w:lvl w:ilvl="2" w:tplc="8376A75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F822C1A8">
      <w:numFmt w:val="bullet"/>
      <w:lvlText w:val="•"/>
      <w:lvlJc w:val="left"/>
      <w:pPr>
        <w:ind w:left="2280" w:hanging="720"/>
      </w:pPr>
      <w:rPr>
        <w:rFonts w:hint="default"/>
        <w:lang w:val="en-AU" w:eastAsia="en-US" w:bidi="ar-SA"/>
      </w:rPr>
    </w:lvl>
    <w:lvl w:ilvl="4" w:tplc="FE9A1634">
      <w:numFmt w:val="bullet"/>
      <w:lvlText w:val="•"/>
      <w:lvlJc w:val="left"/>
      <w:pPr>
        <w:ind w:left="3174" w:hanging="720"/>
      </w:pPr>
      <w:rPr>
        <w:rFonts w:hint="default"/>
        <w:lang w:val="en-AU" w:eastAsia="en-US" w:bidi="ar-SA"/>
      </w:rPr>
    </w:lvl>
    <w:lvl w:ilvl="5" w:tplc="468CCBF4">
      <w:numFmt w:val="bullet"/>
      <w:lvlText w:val="•"/>
      <w:lvlJc w:val="left"/>
      <w:pPr>
        <w:ind w:left="4069" w:hanging="720"/>
      </w:pPr>
      <w:rPr>
        <w:rFonts w:hint="default"/>
        <w:lang w:val="en-AU" w:eastAsia="en-US" w:bidi="ar-SA"/>
      </w:rPr>
    </w:lvl>
    <w:lvl w:ilvl="6" w:tplc="08E484CE">
      <w:numFmt w:val="bullet"/>
      <w:lvlText w:val="•"/>
      <w:lvlJc w:val="left"/>
      <w:pPr>
        <w:ind w:left="4964" w:hanging="720"/>
      </w:pPr>
      <w:rPr>
        <w:rFonts w:hint="default"/>
        <w:lang w:val="en-AU" w:eastAsia="en-US" w:bidi="ar-SA"/>
      </w:rPr>
    </w:lvl>
    <w:lvl w:ilvl="7" w:tplc="677C9C64">
      <w:numFmt w:val="bullet"/>
      <w:lvlText w:val="•"/>
      <w:lvlJc w:val="left"/>
      <w:pPr>
        <w:ind w:left="5859" w:hanging="720"/>
      </w:pPr>
      <w:rPr>
        <w:rFonts w:hint="default"/>
        <w:lang w:val="en-AU" w:eastAsia="en-US" w:bidi="ar-SA"/>
      </w:rPr>
    </w:lvl>
    <w:lvl w:ilvl="8" w:tplc="4380FDD6">
      <w:numFmt w:val="bullet"/>
      <w:lvlText w:val="•"/>
      <w:lvlJc w:val="left"/>
      <w:pPr>
        <w:ind w:left="6754" w:hanging="720"/>
      </w:pPr>
      <w:rPr>
        <w:rFonts w:hint="default"/>
        <w:lang w:val="en-AU" w:eastAsia="en-US" w:bidi="ar-SA"/>
      </w:rPr>
    </w:lvl>
  </w:abstractNum>
  <w:abstractNum w:abstractNumId="9" w15:restartNumberingAfterBreak="0">
    <w:nsid w:val="60B55357"/>
    <w:multiLevelType w:val="hybridMultilevel"/>
    <w:tmpl w:val="CAD04040"/>
    <w:lvl w:ilvl="0" w:tplc="676AEE3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B596A92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E49255BC">
      <w:numFmt w:val="bullet"/>
      <w:lvlText w:val="•"/>
      <w:lvlJc w:val="left"/>
      <w:pPr>
        <w:ind w:left="2336" w:hanging="721"/>
      </w:pPr>
      <w:rPr>
        <w:rFonts w:hint="default"/>
        <w:lang w:val="en-AU" w:eastAsia="en-US" w:bidi="ar-SA"/>
      </w:rPr>
    </w:lvl>
    <w:lvl w:ilvl="3" w:tplc="9DCAEC04">
      <w:numFmt w:val="bullet"/>
      <w:lvlText w:val="•"/>
      <w:lvlJc w:val="left"/>
      <w:pPr>
        <w:ind w:left="3112" w:hanging="721"/>
      </w:pPr>
      <w:rPr>
        <w:rFonts w:hint="default"/>
        <w:lang w:val="en-AU" w:eastAsia="en-US" w:bidi="ar-SA"/>
      </w:rPr>
    </w:lvl>
    <w:lvl w:ilvl="4" w:tplc="ECD2FCE6">
      <w:numFmt w:val="bullet"/>
      <w:lvlText w:val="•"/>
      <w:lvlJc w:val="left"/>
      <w:pPr>
        <w:ind w:left="3888" w:hanging="721"/>
      </w:pPr>
      <w:rPr>
        <w:rFonts w:hint="default"/>
        <w:lang w:val="en-AU" w:eastAsia="en-US" w:bidi="ar-SA"/>
      </w:rPr>
    </w:lvl>
    <w:lvl w:ilvl="5" w:tplc="93D847D6">
      <w:numFmt w:val="bullet"/>
      <w:lvlText w:val="•"/>
      <w:lvlJc w:val="left"/>
      <w:pPr>
        <w:ind w:left="4664" w:hanging="721"/>
      </w:pPr>
      <w:rPr>
        <w:rFonts w:hint="default"/>
        <w:lang w:val="en-AU" w:eastAsia="en-US" w:bidi="ar-SA"/>
      </w:rPr>
    </w:lvl>
    <w:lvl w:ilvl="6" w:tplc="39C80F88">
      <w:numFmt w:val="bullet"/>
      <w:lvlText w:val="•"/>
      <w:lvlJc w:val="left"/>
      <w:pPr>
        <w:ind w:left="5440" w:hanging="721"/>
      </w:pPr>
      <w:rPr>
        <w:rFonts w:hint="default"/>
        <w:lang w:val="en-AU" w:eastAsia="en-US" w:bidi="ar-SA"/>
      </w:rPr>
    </w:lvl>
    <w:lvl w:ilvl="7" w:tplc="4EF8085C">
      <w:numFmt w:val="bullet"/>
      <w:lvlText w:val="•"/>
      <w:lvlJc w:val="left"/>
      <w:pPr>
        <w:ind w:left="6216" w:hanging="721"/>
      </w:pPr>
      <w:rPr>
        <w:rFonts w:hint="default"/>
        <w:lang w:val="en-AU" w:eastAsia="en-US" w:bidi="ar-SA"/>
      </w:rPr>
    </w:lvl>
    <w:lvl w:ilvl="8" w:tplc="FA203F40">
      <w:numFmt w:val="bullet"/>
      <w:lvlText w:val="•"/>
      <w:lvlJc w:val="left"/>
      <w:pPr>
        <w:ind w:left="6992" w:hanging="721"/>
      </w:pPr>
      <w:rPr>
        <w:rFonts w:hint="default"/>
        <w:lang w:val="en-AU" w:eastAsia="en-US" w:bidi="ar-SA"/>
      </w:rPr>
    </w:lvl>
  </w:abstractNum>
  <w:abstractNum w:abstractNumId="10" w15:restartNumberingAfterBreak="0">
    <w:nsid w:val="61BB0353"/>
    <w:multiLevelType w:val="hybridMultilevel"/>
    <w:tmpl w:val="546E9320"/>
    <w:lvl w:ilvl="0" w:tplc="AC12E1C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5CE636A">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7550E478">
      <w:numFmt w:val="bullet"/>
      <w:lvlText w:val="•"/>
      <w:lvlJc w:val="left"/>
      <w:pPr>
        <w:ind w:left="2336" w:hanging="721"/>
      </w:pPr>
      <w:rPr>
        <w:rFonts w:hint="default"/>
        <w:lang w:val="en-AU" w:eastAsia="en-US" w:bidi="ar-SA"/>
      </w:rPr>
    </w:lvl>
    <w:lvl w:ilvl="3" w:tplc="53E046B4">
      <w:numFmt w:val="bullet"/>
      <w:lvlText w:val="•"/>
      <w:lvlJc w:val="left"/>
      <w:pPr>
        <w:ind w:left="3112" w:hanging="721"/>
      </w:pPr>
      <w:rPr>
        <w:rFonts w:hint="default"/>
        <w:lang w:val="en-AU" w:eastAsia="en-US" w:bidi="ar-SA"/>
      </w:rPr>
    </w:lvl>
    <w:lvl w:ilvl="4" w:tplc="DE2E2022">
      <w:numFmt w:val="bullet"/>
      <w:lvlText w:val="•"/>
      <w:lvlJc w:val="left"/>
      <w:pPr>
        <w:ind w:left="3888" w:hanging="721"/>
      </w:pPr>
      <w:rPr>
        <w:rFonts w:hint="default"/>
        <w:lang w:val="en-AU" w:eastAsia="en-US" w:bidi="ar-SA"/>
      </w:rPr>
    </w:lvl>
    <w:lvl w:ilvl="5" w:tplc="1CAAEB90">
      <w:numFmt w:val="bullet"/>
      <w:lvlText w:val="•"/>
      <w:lvlJc w:val="left"/>
      <w:pPr>
        <w:ind w:left="4664" w:hanging="721"/>
      </w:pPr>
      <w:rPr>
        <w:rFonts w:hint="default"/>
        <w:lang w:val="en-AU" w:eastAsia="en-US" w:bidi="ar-SA"/>
      </w:rPr>
    </w:lvl>
    <w:lvl w:ilvl="6" w:tplc="75EA2942">
      <w:numFmt w:val="bullet"/>
      <w:lvlText w:val="•"/>
      <w:lvlJc w:val="left"/>
      <w:pPr>
        <w:ind w:left="5440" w:hanging="721"/>
      </w:pPr>
      <w:rPr>
        <w:rFonts w:hint="default"/>
        <w:lang w:val="en-AU" w:eastAsia="en-US" w:bidi="ar-SA"/>
      </w:rPr>
    </w:lvl>
    <w:lvl w:ilvl="7" w:tplc="10D89B24">
      <w:numFmt w:val="bullet"/>
      <w:lvlText w:val="•"/>
      <w:lvlJc w:val="left"/>
      <w:pPr>
        <w:ind w:left="6216" w:hanging="721"/>
      </w:pPr>
      <w:rPr>
        <w:rFonts w:hint="default"/>
        <w:lang w:val="en-AU" w:eastAsia="en-US" w:bidi="ar-SA"/>
      </w:rPr>
    </w:lvl>
    <w:lvl w:ilvl="8" w:tplc="51802E86">
      <w:numFmt w:val="bullet"/>
      <w:lvlText w:val="•"/>
      <w:lvlJc w:val="left"/>
      <w:pPr>
        <w:ind w:left="6992" w:hanging="721"/>
      </w:pPr>
      <w:rPr>
        <w:rFonts w:hint="default"/>
        <w:lang w:val="en-AU" w:eastAsia="en-US" w:bidi="ar-SA"/>
      </w:rPr>
    </w:lvl>
  </w:abstractNum>
  <w:abstractNum w:abstractNumId="11" w15:restartNumberingAfterBreak="0">
    <w:nsid w:val="752B4075"/>
    <w:multiLevelType w:val="hybridMultilevel"/>
    <w:tmpl w:val="061005E4"/>
    <w:lvl w:ilvl="0" w:tplc="FFFFFFFF">
      <w:start w:val="1"/>
      <w:numFmt w:val="decimal"/>
      <w:lvlText w:val="%1."/>
      <w:lvlJc w:val="left"/>
      <w:pPr>
        <w:ind w:left="1556" w:hanging="721"/>
      </w:pPr>
      <w:rPr>
        <w:rFonts w:ascii="Times New Roman" w:eastAsia="Times New Roman" w:hAnsi="Times New Roman" w:cs="Times New Roman" w:hint="default"/>
        <w:b w:val="0"/>
        <w:bCs w:val="0"/>
        <w:i w:val="0"/>
        <w:iCs w:val="0"/>
        <w:w w:val="100"/>
        <w:sz w:val="24"/>
        <w:szCs w:val="24"/>
        <w:lang w:val="en-AU" w:eastAsia="en-US" w:bidi="ar-SA"/>
      </w:rPr>
    </w:lvl>
    <w:lvl w:ilvl="1" w:tplc="0C090019" w:tentative="1">
      <w:start w:val="1"/>
      <w:numFmt w:val="lowerLetter"/>
      <w:lvlText w:val="%2."/>
      <w:lvlJc w:val="left"/>
      <w:pPr>
        <w:ind w:left="2881" w:hanging="360"/>
      </w:pPr>
    </w:lvl>
    <w:lvl w:ilvl="2" w:tplc="0C09001B" w:tentative="1">
      <w:start w:val="1"/>
      <w:numFmt w:val="lowerRoman"/>
      <w:lvlText w:val="%3."/>
      <w:lvlJc w:val="right"/>
      <w:pPr>
        <w:ind w:left="3601" w:hanging="180"/>
      </w:pPr>
    </w:lvl>
    <w:lvl w:ilvl="3" w:tplc="0C09000F" w:tentative="1">
      <w:start w:val="1"/>
      <w:numFmt w:val="decimal"/>
      <w:lvlText w:val="%4."/>
      <w:lvlJc w:val="left"/>
      <w:pPr>
        <w:ind w:left="4321" w:hanging="360"/>
      </w:pPr>
    </w:lvl>
    <w:lvl w:ilvl="4" w:tplc="0C090019" w:tentative="1">
      <w:start w:val="1"/>
      <w:numFmt w:val="lowerLetter"/>
      <w:lvlText w:val="%5."/>
      <w:lvlJc w:val="left"/>
      <w:pPr>
        <w:ind w:left="5041" w:hanging="360"/>
      </w:pPr>
    </w:lvl>
    <w:lvl w:ilvl="5" w:tplc="0C09001B" w:tentative="1">
      <w:start w:val="1"/>
      <w:numFmt w:val="lowerRoman"/>
      <w:lvlText w:val="%6."/>
      <w:lvlJc w:val="right"/>
      <w:pPr>
        <w:ind w:left="5761" w:hanging="180"/>
      </w:pPr>
    </w:lvl>
    <w:lvl w:ilvl="6" w:tplc="0C09000F" w:tentative="1">
      <w:start w:val="1"/>
      <w:numFmt w:val="decimal"/>
      <w:lvlText w:val="%7."/>
      <w:lvlJc w:val="left"/>
      <w:pPr>
        <w:ind w:left="6481" w:hanging="360"/>
      </w:pPr>
    </w:lvl>
    <w:lvl w:ilvl="7" w:tplc="0C090019" w:tentative="1">
      <w:start w:val="1"/>
      <w:numFmt w:val="lowerLetter"/>
      <w:lvlText w:val="%8."/>
      <w:lvlJc w:val="left"/>
      <w:pPr>
        <w:ind w:left="7201" w:hanging="360"/>
      </w:pPr>
    </w:lvl>
    <w:lvl w:ilvl="8" w:tplc="0C09001B" w:tentative="1">
      <w:start w:val="1"/>
      <w:numFmt w:val="lowerRoman"/>
      <w:lvlText w:val="%9."/>
      <w:lvlJc w:val="right"/>
      <w:pPr>
        <w:ind w:left="7921" w:hanging="180"/>
      </w:pPr>
    </w:lvl>
  </w:abstractNum>
  <w:abstractNum w:abstractNumId="12" w15:restartNumberingAfterBreak="0">
    <w:nsid w:val="7A8219FF"/>
    <w:multiLevelType w:val="hybridMultilevel"/>
    <w:tmpl w:val="F6780A0E"/>
    <w:lvl w:ilvl="0" w:tplc="212054C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A4A2BF2">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2D9C0160">
      <w:numFmt w:val="bullet"/>
      <w:lvlText w:val="•"/>
      <w:lvlJc w:val="left"/>
      <w:pPr>
        <w:ind w:left="2336" w:hanging="721"/>
      </w:pPr>
      <w:rPr>
        <w:rFonts w:hint="default"/>
        <w:lang w:val="en-AU" w:eastAsia="en-US" w:bidi="ar-SA"/>
      </w:rPr>
    </w:lvl>
    <w:lvl w:ilvl="3" w:tplc="422CE36A">
      <w:numFmt w:val="bullet"/>
      <w:lvlText w:val="•"/>
      <w:lvlJc w:val="left"/>
      <w:pPr>
        <w:ind w:left="3112" w:hanging="721"/>
      </w:pPr>
      <w:rPr>
        <w:rFonts w:hint="default"/>
        <w:lang w:val="en-AU" w:eastAsia="en-US" w:bidi="ar-SA"/>
      </w:rPr>
    </w:lvl>
    <w:lvl w:ilvl="4" w:tplc="0B90D9BC">
      <w:numFmt w:val="bullet"/>
      <w:lvlText w:val="•"/>
      <w:lvlJc w:val="left"/>
      <w:pPr>
        <w:ind w:left="3888" w:hanging="721"/>
      </w:pPr>
      <w:rPr>
        <w:rFonts w:hint="default"/>
        <w:lang w:val="en-AU" w:eastAsia="en-US" w:bidi="ar-SA"/>
      </w:rPr>
    </w:lvl>
    <w:lvl w:ilvl="5" w:tplc="7DBC38D2">
      <w:numFmt w:val="bullet"/>
      <w:lvlText w:val="•"/>
      <w:lvlJc w:val="left"/>
      <w:pPr>
        <w:ind w:left="4664" w:hanging="721"/>
      </w:pPr>
      <w:rPr>
        <w:rFonts w:hint="default"/>
        <w:lang w:val="en-AU" w:eastAsia="en-US" w:bidi="ar-SA"/>
      </w:rPr>
    </w:lvl>
    <w:lvl w:ilvl="6" w:tplc="37924914">
      <w:numFmt w:val="bullet"/>
      <w:lvlText w:val="•"/>
      <w:lvlJc w:val="left"/>
      <w:pPr>
        <w:ind w:left="5440" w:hanging="721"/>
      </w:pPr>
      <w:rPr>
        <w:rFonts w:hint="default"/>
        <w:lang w:val="en-AU" w:eastAsia="en-US" w:bidi="ar-SA"/>
      </w:rPr>
    </w:lvl>
    <w:lvl w:ilvl="7" w:tplc="D618DC9A">
      <w:numFmt w:val="bullet"/>
      <w:lvlText w:val="•"/>
      <w:lvlJc w:val="left"/>
      <w:pPr>
        <w:ind w:left="6216" w:hanging="721"/>
      </w:pPr>
      <w:rPr>
        <w:rFonts w:hint="default"/>
        <w:lang w:val="en-AU" w:eastAsia="en-US" w:bidi="ar-SA"/>
      </w:rPr>
    </w:lvl>
    <w:lvl w:ilvl="8" w:tplc="8D2C439E">
      <w:numFmt w:val="bullet"/>
      <w:lvlText w:val="•"/>
      <w:lvlJc w:val="left"/>
      <w:pPr>
        <w:ind w:left="6992" w:hanging="721"/>
      </w:pPr>
      <w:rPr>
        <w:rFonts w:hint="default"/>
        <w:lang w:val="en-AU" w:eastAsia="en-US" w:bidi="ar-SA"/>
      </w:rPr>
    </w:lvl>
  </w:abstractNum>
  <w:num w:numId="1" w16cid:durableId="1367831965">
    <w:abstractNumId w:val="8"/>
  </w:num>
  <w:num w:numId="2" w16cid:durableId="1110779094">
    <w:abstractNumId w:val="10"/>
  </w:num>
  <w:num w:numId="3" w16cid:durableId="1350332211">
    <w:abstractNumId w:val="1"/>
  </w:num>
  <w:num w:numId="4" w16cid:durableId="105539659">
    <w:abstractNumId w:val="9"/>
  </w:num>
  <w:num w:numId="5" w16cid:durableId="960765640">
    <w:abstractNumId w:val="12"/>
  </w:num>
  <w:num w:numId="6" w16cid:durableId="2024167424">
    <w:abstractNumId w:val="4"/>
  </w:num>
  <w:num w:numId="7" w16cid:durableId="2114855007">
    <w:abstractNumId w:val="2"/>
  </w:num>
  <w:num w:numId="8" w16cid:durableId="467941177">
    <w:abstractNumId w:val="3"/>
  </w:num>
  <w:num w:numId="9" w16cid:durableId="1107507213">
    <w:abstractNumId w:val="6"/>
  </w:num>
  <w:num w:numId="10" w16cid:durableId="1028335210">
    <w:abstractNumId w:val="6"/>
    <w:lvlOverride w:ilvl="0">
      <w:startOverride w:val="1"/>
    </w:lvlOverride>
  </w:num>
  <w:num w:numId="11" w16cid:durableId="1557930720">
    <w:abstractNumId w:val="6"/>
    <w:lvlOverride w:ilvl="0">
      <w:startOverride w:val="1"/>
    </w:lvlOverride>
  </w:num>
  <w:num w:numId="12" w16cid:durableId="1586180771">
    <w:abstractNumId w:val="6"/>
    <w:lvlOverride w:ilvl="0">
      <w:startOverride w:val="1"/>
    </w:lvlOverride>
  </w:num>
  <w:num w:numId="13" w16cid:durableId="1579897027">
    <w:abstractNumId w:val="3"/>
    <w:lvlOverride w:ilvl="0">
      <w:startOverride w:val="1"/>
    </w:lvlOverride>
  </w:num>
  <w:num w:numId="14" w16cid:durableId="1659992616">
    <w:abstractNumId w:val="3"/>
    <w:lvlOverride w:ilvl="0">
      <w:startOverride w:val="1"/>
    </w:lvlOverride>
  </w:num>
  <w:num w:numId="15" w16cid:durableId="1894658327">
    <w:abstractNumId w:val="6"/>
    <w:lvlOverride w:ilvl="0">
      <w:startOverride w:val="1"/>
    </w:lvlOverride>
  </w:num>
  <w:num w:numId="16" w16cid:durableId="895091811">
    <w:abstractNumId w:val="3"/>
    <w:lvlOverride w:ilvl="0">
      <w:startOverride w:val="1"/>
    </w:lvlOverride>
  </w:num>
  <w:num w:numId="17" w16cid:durableId="2048406963">
    <w:abstractNumId w:val="3"/>
    <w:lvlOverride w:ilvl="0">
      <w:startOverride w:val="1"/>
    </w:lvlOverride>
  </w:num>
  <w:num w:numId="18" w16cid:durableId="235631618">
    <w:abstractNumId w:val="3"/>
    <w:lvlOverride w:ilvl="0">
      <w:startOverride w:val="1"/>
    </w:lvlOverride>
  </w:num>
  <w:num w:numId="19" w16cid:durableId="222179529">
    <w:abstractNumId w:val="6"/>
    <w:lvlOverride w:ilvl="0">
      <w:startOverride w:val="1"/>
    </w:lvlOverride>
  </w:num>
  <w:num w:numId="20" w16cid:durableId="1432893328">
    <w:abstractNumId w:val="3"/>
    <w:lvlOverride w:ilvl="0">
      <w:startOverride w:val="1"/>
    </w:lvlOverride>
  </w:num>
  <w:num w:numId="21" w16cid:durableId="922027680">
    <w:abstractNumId w:val="3"/>
    <w:lvlOverride w:ilvl="0">
      <w:startOverride w:val="1"/>
    </w:lvlOverride>
  </w:num>
  <w:num w:numId="22" w16cid:durableId="850267599">
    <w:abstractNumId w:val="6"/>
    <w:lvlOverride w:ilvl="0">
      <w:startOverride w:val="1"/>
    </w:lvlOverride>
  </w:num>
  <w:num w:numId="23" w16cid:durableId="224267361">
    <w:abstractNumId w:val="3"/>
    <w:lvlOverride w:ilvl="0">
      <w:startOverride w:val="1"/>
    </w:lvlOverride>
  </w:num>
  <w:num w:numId="24" w16cid:durableId="1036465780">
    <w:abstractNumId w:val="3"/>
    <w:lvlOverride w:ilvl="0">
      <w:startOverride w:val="1"/>
    </w:lvlOverride>
  </w:num>
  <w:num w:numId="25" w16cid:durableId="699549174">
    <w:abstractNumId w:val="3"/>
    <w:lvlOverride w:ilvl="0">
      <w:startOverride w:val="1"/>
    </w:lvlOverride>
  </w:num>
  <w:num w:numId="26" w16cid:durableId="2049600264">
    <w:abstractNumId w:val="6"/>
    <w:lvlOverride w:ilvl="0">
      <w:startOverride w:val="1"/>
    </w:lvlOverride>
  </w:num>
  <w:num w:numId="27" w16cid:durableId="912158493">
    <w:abstractNumId w:val="3"/>
    <w:lvlOverride w:ilvl="0">
      <w:startOverride w:val="1"/>
    </w:lvlOverride>
  </w:num>
  <w:num w:numId="28" w16cid:durableId="1771924071">
    <w:abstractNumId w:val="3"/>
    <w:lvlOverride w:ilvl="0">
      <w:startOverride w:val="1"/>
    </w:lvlOverride>
  </w:num>
  <w:num w:numId="29" w16cid:durableId="1203637998">
    <w:abstractNumId w:val="6"/>
    <w:lvlOverride w:ilvl="0">
      <w:startOverride w:val="1"/>
    </w:lvlOverride>
  </w:num>
  <w:num w:numId="30" w16cid:durableId="708602332">
    <w:abstractNumId w:val="6"/>
    <w:lvlOverride w:ilvl="0">
      <w:startOverride w:val="1"/>
    </w:lvlOverride>
  </w:num>
  <w:num w:numId="31" w16cid:durableId="1715929382">
    <w:abstractNumId w:val="3"/>
    <w:lvlOverride w:ilvl="0">
      <w:startOverride w:val="1"/>
    </w:lvlOverride>
  </w:num>
  <w:num w:numId="32" w16cid:durableId="1875384437">
    <w:abstractNumId w:val="6"/>
    <w:lvlOverride w:ilvl="0">
      <w:startOverride w:val="1"/>
    </w:lvlOverride>
  </w:num>
  <w:num w:numId="33" w16cid:durableId="1567835833">
    <w:abstractNumId w:val="6"/>
    <w:lvlOverride w:ilvl="0">
      <w:startOverride w:val="1"/>
    </w:lvlOverride>
  </w:num>
  <w:num w:numId="34" w16cid:durableId="1518737086">
    <w:abstractNumId w:val="3"/>
    <w:lvlOverride w:ilvl="0">
      <w:startOverride w:val="1"/>
    </w:lvlOverride>
  </w:num>
  <w:num w:numId="35" w16cid:durableId="801770170">
    <w:abstractNumId w:val="6"/>
    <w:lvlOverride w:ilvl="0">
      <w:startOverride w:val="1"/>
    </w:lvlOverride>
  </w:num>
  <w:num w:numId="36" w16cid:durableId="2003924017">
    <w:abstractNumId w:val="6"/>
    <w:lvlOverride w:ilvl="0">
      <w:startOverride w:val="1"/>
    </w:lvlOverride>
  </w:num>
  <w:num w:numId="37" w16cid:durableId="1776094332">
    <w:abstractNumId w:val="3"/>
    <w:lvlOverride w:ilvl="0">
      <w:startOverride w:val="1"/>
    </w:lvlOverride>
  </w:num>
  <w:num w:numId="38" w16cid:durableId="1409032129">
    <w:abstractNumId w:val="6"/>
    <w:lvlOverride w:ilvl="0">
      <w:startOverride w:val="1"/>
    </w:lvlOverride>
  </w:num>
  <w:num w:numId="39" w16cid:durableId="1614898228">
    <w:abstractNumId w:val="6"/>
    <w:lvlOverride w:ilvl="0">
      <w:startOverride w:val="1"/>
    </w:lvlOverride>
  </w:num>
  <w:num w:numId="40" w16cid:durableId="789324670">
    <w:abstractNumId w:val="6"/>
    <w:lvlOverride w:ilvl="0">
      <w:startOverride w:val="1"/>
    </w:lvlOverride>
  </w:num>
  <w:num w:numId="41" w16cid:durableId="1519277332">
    <w:abstractNumId w:val="6"/>
    <w:lvlOverride w:ilvl="0">
      <w:startOverride w:val="1"/>
    </w:lvlOverride>
  </w:num>
  <w:num w:numId="42" w16cid:durableId="1404840256">
    <w:abstractNumId w:val="3"/>
    <w:lvlOverride w:ilvl="0">
      <w:startOverride w:val="1"/>
    </w:lvlOverride>
  </w:num>
  <w:num w:numId="43" w16cid:durableId="820774547">
    <w:abstractNumId w:val="6"/>
    <w:lvlOverride w:ilvl="0">
      <w:startOverride w:val="1"/>
    </w:lvlOverride>
  </w:num>
  <w:num w:numId="44" w16cid:durableId="1653173168">
    <w:abstractNumId w:val="6"/>
    <w:lvlOverride w:ilvl="0">
      <w:startOverride w:val="1"/>
    </w:lvlOverride>
  </w:num>
  <w:num w:numId="45" w16cid:durableId="64110282">
    <w:abstractNumId w:val="6"/>
    <w:lvlOverride w:ilvl="0">
      <w:startOverride w:val="1"/>
    </w:lvlOverride>
  </w:num>
  <w:num w:numId="46" w16cid:durableId="1714386664">
    <w:abstractNumId w:val="3"/>
    <w:lvlOverride w:ilvl="0">
      <w:startOverride w:val="1"/>
    </w:lvlOverride>
  </w:num>
  <w:num w:numId="47" w16cid:durableId="774862159">
    <w:abstractNumId w:val="6"/>
    <w:lvlOverride w:ilvl="0">
      <w:startOverride w:val="1"/>
    </w:lvlOverride>
  </w:num>
  <w:num w:numId="48" w16cid:durableId="395250509">
    <w:abstractNumId w:val="6"/>
    <w:lvlOverride w:ilvl="0">
      <w:startOverride w:val="1"/>
    </w:lvlOverride>
  </w:num>
  <w:num w:numId="49" w16cid:durableId="653800562">
    <w:abstractNumId w:val="6"/>
    <w:lvlOverride w:ilvl="0">
      <w:startOverride w:val="1"/>
    </w:lvlOverride>
  </w:num>
  <w:num w:numId="50" w16cid:durableId="1872180582">
    <w:abstractNumId w:val="6"/>
    <w:lvlOverride w:ilvl="0">
      <w:startOverride w:val="1"/>
    </w:lvlOverride>
  </w:num>
  <w:num w:numId="51" w16cid:durableId="1080786803">
    <w:abstractNumId w:val="0"/>
  </w:num>
  <w:num w:numId="52" w16cid:durableId="1932154377">
    <w:abstractNumId w:val="7"/>
  </w:num>
  <w:num w:numId="53" w16cid:durableId="1973634754">
    <w:abstractNumId w:val="5"/>
  </w:num>
  <w:num w:numId="54" w16cid:durableId="167840023">
    <w:abstractNumId w:val="1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43157"/>
    <w:rsid w:val="000460EF"/>
    <w:rsid w:val="00050488"/>
    <w:rsid w:val="000B378E"/>
    <w:rsid w:val="000B798A"/>
    <w:rsid w:val="000E0519"/>
    <w:rsid w:val="000E3A06"/>
    <w:rsid w:val="001111BF"/>
    <w:rsid w:val="00116E51"/>
    <w:rsid w:val="00124E93"/>
    <w:rsid w:val="001F0CD8"/>
    <w:rsid w:val="00222ED2"/>
    <w:rsid w:val="00235E63"/>
    <w:rsid w:val="002549DC"/>
    <w:rsid w:val="00285798"/>
    <w:rsid w:val="00297AD2"/>
    <w:rsid w:val="002B404D"/>
    <w:rsid w:val="002B7EF9"/>
    <w:rsid w:val="002C19F3"/>
    <w:rsid w:val="0032168E"/>
    <w:rsid w:val="003A03B7"/>
    <w:rsid w:val="003F76CE"/>
    <w:rsid w:val="004016B6"/>
    <w:rsid w:val="00410445"/>
    <w:rsid w:val="0045038C"/>
    <w:rsid w:val="0046437F"/>
    <w:rsid w:val="00473F0E"/>
    <w:rsid w:val="00477932"/>
    <w:rsid w:val="004B3DE8"/>
    <w:rsid w:val="004E4CE2"/>
    <w:rsid w:val="004F47B1"/>
    <w:rsid w:val="00506E46"/>
    <w:rsid w:val="0051524E"/>
    <w:rsid w:val="00532742"/>
    <w:rsid w:val="00542CCA"/>
    <w:rsid w:val="00552D09"/>
    <w:rsid w:val="005B1982"/>
    <w:rsid w:val="005B7139"/>
    <w:rsid w:val="005F78C4"/>
    <w:rsid w:val="00604579"/>
    <w:rsid w:val="00621307"/>
    <w:rsid w:val="00625487"/>
    <w:rsid w:val="0063267C"/>
    <w:rsid w:val="0066044E"/>
    <w:rsid w:val="00665084"/>
    <w:rsid w:val="00697317"/>
    <w:rsid w:val="006A43E8"/>
    <w:rsid w:val="006B0C1C"/>
    <w:rsid w:val="006F02C8"/>
    <w:rsid w:val="00741225"/>
    <w:rsid w:val="00756ED0"/>
    <w:rsid w:val="007A79DE"/>
    <w:rsid w:val="007F777F"/>
    <w:rsid w:val="0080461C"/>
    <w:rsid w:val="008343E4"/>
    <w:rsid w:val="00857CBA"/>
    <w:rsid w:val="009035ED"/>
    <w:rsid w:val="00933A67"/>
    <w:rsid w:val="00955A74"/>
    <w:rsid w:val="00971B8C"/>
    <w:rsid w:val="009A4584"/>
    <w:rsid w:val="009D3815"/>
    <w:rsid w:val="009F10AB"/>
    <w:rsid w:val="00A0470C"/>
    <w:rsid w:val="00A06998"/>
    <w:rsid w:val="00A172F4"/>
    <w:rsid w:val="00A768A1"/>
    <w:rsid w:val="00A8766A"/>
    <w:rsid w:val="00A9717F"/>
    <w:rsid w:val="00AA2FF8"/>
    <w:rsid w:val="00AB1AA9"/>
    <w:rsid w:val="00AD2B0D"/>
    <w:rsid w:val="00AE548D"/>
    <w:rsid w:val="00B05366"/>
    <w:rsid w:val="00B25E2A"/>
    <w:rsid w:val="00BB7129"/>
    <w:rsid w:val="00BD3938"/>
    <w:rsid w:val="00C07241"/>
    <w:rsid w:val="00C4363E"/>
    <w:rsid w:val="00C819B9"/>
    <w:rsid w:val="00CA69D1"/>
    <w:rsid w:val="00CC0856"/>
    <w:rsid w:val="00CE2A8E"/>
    <w:rsid w:val="00D65CFB"/>
    <w:rsid w:val="00D93FD9"/>
    <w:rsid w:val="00DD0C73"/>
    <w:rsid w:val="00DF6F0F"/>
    <w:rsid w:val="00E24807"/>
    <w:rsid w:val="00E513D7"/>
    <w:rsid w:val="00E74936"/>
    <w:rsid w:val="00EA14C4"/>
    <w:rsid w:val="00EB64BA"/>
    <w:rsid w:val="00F03652"/>
    <w:rsid w:val="00F25F72"/>
    <w:rsid w:val="00F31F88"/>
    <w:rsid w:val="00F44962"/>
    <w:rsid w:val="00F56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477932"/>
    <w:pPr>
      <w:spacing w:before="480" w:after="480"/>
      <w:ind w:firstLine="0"/>
      <w:jc w:val="center"/>
      <w:outlineLvl w:val="1"/>
    </w:pPr>
    <w:rPr>
      <w:b/>
    </w:rPr>
  </w:style>
  <w:style w:type="paragraph" w:styleId="Heading3">
    <w:name w:val="heading 3"/>
    <w:basedOn w:val="Normal"/>
    <w:uiPriority w:val="9"/>
    <w:unhideWhenUsed/>
    <w:qFormat/>
    <w:rsid w:val="00477932"/>
    <w:pPr>
      <w:ind w:firstLine="0"/>
      <w:jc w:val="center"/>
      <w:outlineLvl w:val="2"/>
    </w:pPr>
    <w:rPr>
      <w:b/>
      <w:bCs/>
      <w:iCs/>
    </w:rPr>
  </w:style>
  <w:style w:type="paragraph" w:styleId="Heading4">
    <w:name w:val="heading 4"/>
    <w:basedOn w:val="Heading2"/>
    <w:next w:val="Normal"/>
    <w:link w:val="Heading4Char"/>
    <w:uiPriority w:val="9"/>
    <w:unhideWhenUsed/>
    <w:qFormat/>
    <w:rsid w:val="00477932"/>
    <w:pPr>
      <w:spacing w:before="360" w:after="360"/>
      <w:jc w:val="left"/>
      <w:outlineLvl w:val="3"/>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9"/>
      </w:numPr>
      <w:ind w:left="2279"/>
    </w:pPr>
  </w:style>
  <w:style w:type="paragraph" w:customStyle="1" w:styleId="ListParagraph1aiA">
    <w:name w:val="List Paragraph 1.a.i.A"/>
    <w:basedOn w:val="ListParagraph"/>
    <w:link w:val="ListParagraph1aiAChar"/>
    <w:qFormat/>
    <w:rsid w:val="00604579"/>
    <w:pPr>
      <w:numPr>
        <w:ilvl w:val="2"/>
        <w:numId w:val="9"/>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9"/>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8"/>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7"/>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477932"/>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1312</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SAFTA chapter 9 financial services</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SAFTA Annexes - 5-E: Sectoral Annex on Medical Devices</dc:title>
  <dc:creator>DFAT</dc:creator>
  <cp:lastModifiedBy>Embellish Creative - Linda Needs</cp:lastModifiedBy>
  <cp:revision>3</cp:revision>
  <cp:lastPrinted>2022-06-03T02:34:00Z</cp:lastPrinted>
  <dcterms:created xsi:type="dcterms:W3CDTF">2022-06-20T00:12:00Z</dcterms:created>
  <dcterms:modified xsi:type="dcterms:W3CDTF">2022-06-20T00:18:00Z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