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4532" w14:textId="77777777" w:rsidR="0000459E" w:rsidRPr="00F14498" w:rsidRDefault="0000459E" w:rsidP="00F14498">
      <w:pPr>
        <w:pStyle w:val="Heading1"/>
        <w:spacing w:after="0"/>
        <w:rPr>
          <w:bCs w:val="0"/>
          <w:w w:val="100"/>
        </w:rPr>
      </w:pPr>
      <w:r w:rsidRPr="00F14498">
        <w:rPr>
          <w:bCs w:val="0"/>
          <w:w w:val="100"/>
        </w:rPr>
        <w:t>SINGAPORE-AUSTRALIA FREE TRADE AGREEMENT</w:t>
      </w:r>
    </w:p>
    <w:p w14:paraId="00FB8063" w14:textId="77777777" w:rsidR="0000459E" w:rsidRPr="005E27B6" w:rsidRDefault="0000459E" w:rsidP="005E27B6">
      <w:pPr>
        <w:spacing w:after="480"/>
        <w:ind w:right="114" w:firstLine="0"/>
        <w:jc w:val="center"/>
        <w:rPr>
          <w:b/>
        </w:rPr>
      </w:pPr>
      <w:r w:rsidRPr="005E27B6">
        <w:rPr>
          <w:b/>
        </w:rPr>
        <w:t>Chapter 5</w:t>
      </w:r>
    </w:p>
    <w:p w14:paraId="7A52A96A" w14:textId="77777777" w:rsidR="0000459E" w:rsidRPr="00F14498" w:rsidRDefault="0000459E" w:rsidP="00F14498">
      <w:pPr>
        <w:pStyle w:val="Heading2"/>
        <w:spacing w:after="360"/>
        <w:ind w:left="993" w:right="964"/>
        <w:rPr>
          <w:b/>
          <w:bCs/>
        </w:rPr>
      </w:pPr>
      <w:r w:rsidRPr="00F14498">
        <w:rPr>
          <w:b/>
          <w:bCs/>
        </w:rPr>
        <w:t>TECHNICAL REGULATIONS AND SANITARY AND PHYTOSANITARY MEASURES</w:t>
      </w:r>
    </w:p>
    <w:p w14:paraId="3244521F" w14:textId="77777777" w:rsidR="0000459E" w:rsidRPr="00F14498" w:rsidRDefault="0000459E" w:rsidP="00F14498">
      <w:pPr>
        <w:pStyle w:val="Heading3"/>
        <w:spacing w:after="480"/>
        <w:rPr>
          <w:i w:val="0"/>
          <w:iCs w:val="0"/>
        </w:rPr>
      </w:pPr>
      <w:r w:rsidRPr="00F14498">
        <w:rPr>
          <w:i w:val="0"/>
          <w:iCs w:val="0"/>
        </w:rPr>
        <w:t>SECTORAL ANNEX ON FOOD PRODUCTS</w:t>
      </w:r>
    </w:p>
    <w:p w14:paraId="1BC10F54" w14:textId="77777777" w:rsidR="0000459E" w:rsidRDefault="0000459E" w:rsidP="00F541BD">
      <w:pPr>
        <w:pStyle w:val="BodyText"/>
        <w:ind w:right="88" w:firstLine="0"/>
      </w:pPr>
      <w:r>
        <w:t>Pursuant to Chapter 5 (Technical Regulations and Sanitary and Phytosanitary Measures),</w:t>
      </w:r>
      <w:r>
        <w:rPr>
          <w:spacing w:val="-9"/>
        </w:rPr>
        <w:t xml:space="preserve"> </w:t>
      </w:r>
      <w:r>
        <w:t>the</w:t>
      </w:r>
      <w:r>
        <w:rPr>
          <w:spacing w:val="-7"/>
        </w:rPr>
        <w:t xml:space="preserve"> </w:t>
      </w:r>
      <w:r>
        <w:t>Parties</w:t>
      </w:r>
      <w:r>
        <w:rPr>
          <w:spacing w:val="-7"/>
        </w:rPr>
        <w:t xml:space="preserve"> </w:t>
      </w:r>
      <w:r>
        <w:t>agree</w:t>
      </w:r>
      <w:r>
        <w:rPr>
          <w:spacing w:val="-11"/>
        </w:rPr>
        <w:t xml:space="preserve"> </w:t>
      </w:r>
      <w:r>
        <w:t>to</w:t>
      </w:r>
      <w:r>
        <w:rPr>
          <w:spacing w:val="-6"/>
        </w:rPr>
        <w:t xml:space="preserve"> </w:t>
      </w:r>
      <w:r>
        <w:t>this</w:t>
      </w:r>
      <w:r>
        <w:rPr>
          <w:spacing w:val="-7"/>
        </w:rPr>
        <w:t xml:space="preserve"> </w:t>
      </w:r>
      <w:r>
        <w:t>Sectoral</w:t>
      </w:r>
      <w:r>
        <w:rPr>
          <w:spacing w:val="-14"/>
        </w:rPr>
        <w:t xml:space="preserve"> </w:t>
      </w:r>
      <w:r>
        <w:t>Annex</w:t>
      </w:r>
      <w:r>
        <w:rPr>
          <w:spacing w:val="-10"/>
        </w:rPr>
        <w:t xml:space="preserve"> </w:t>
      </w:r>
      <w:r>
        <w:t>on</w:t>
      </w:r>
      <w:r>
        <w:rPr>
          <w:spacing w:val="-8"/>
        </w:rPr>
        <w:t xml:space="preserve"> </w:t>
      </w:r>
      <w:r>
        <w:t>Food</w:t>
      </w:r>
      <w:r>
        <w:rPr>
          <w:spacing w:val="-9"/>
        </w:rPr>
        <w:t xml:space="preserve"> </w:t>
      </w:r>
      <w:r>
        <w:t>Products</w:t>
      </w:r>
      <w:r>
        <w:rPr>
          <w:spacing w:val="-12"/>
        </w:rPr>
        <w:t xml:space="preserve"> </w:t>
      </w:r>
      <w:r>
        <w:t>for</w:t>
      </w:r>
      <w:r>
        <w:rPr>
          <w:spacing w:val="-13"/>
        </w:rPr>
        <w:t xml:space="preserve"> </w:t>
      </w:r>
      <w:r>
        <w:t>the</w:t>
      </w:r>
      <w:r>
        <w:rPr>
          <w:spacing w:val="-6"/>
        </w:rPr>
        <w:t xml:space="preserve"> </w:t>
      </w:r>
      <w:r>
        <w:t>purpose of facilitating trade between the Parties.</w:t>
      </w:r>
    </w:p>
    <w:p w14:paraId="386FE77B" w14:textId="77777777" w:rsidR="0000459E" w:rsidRDefault="0000459E" w:rsidP="00F541BD">
      <w:pPr>
        <w:pStyle w:val="BodyText"/>
        <w:ind w:right="88" w:firstLine="0"/>
      </w:pPr>
      <w:r>
        <w:rPr>
          <w:i/>
        </w:rPr>
        <w:t xml:space="preserve">Recognising </w:t>
      </w:r>
      <w:r>
        <w:t>the importance of improving market access opportunities and of minimising</w:t>
      </w:r>
      <w:r>
        <w:rPr>
          <w:spacing w:val="-6"/>
        </w:rPr>
        <w:t xml:space="preserve"> </w:t>
      </w:r>
      <w:r>
        <w:t>possible</w:t>
      </w:r>
      <w:r>
        <w:rPr>
          <w:spacing w:val="-2"/>
        </w:rPr>
        <w:t xml:space="preserve"> </w:t>
      </w:r>
      <w:r>
        <w:t>negative</w:t>
      </w:r>
      <w:r>
        <w:rPr>
          <w:spacing w:val="-7"/>
        </w:rPr>
        <w:t xml:space="preserve"> </w:t>
      </w:r>
      <w:r>
        <w:t>effects</w:t>
      </w:r>
      <w:r>
        <w:rPr>
          <w:spacing w:val="-9"/>
        </w:rPr>
        <w:t xml:space="preserve"> </w:t>
      </w:r>
      <w:r>
        <w:t>of</w:t>
      </w:r>
      <w:r>
        <w:rPr>
          <w:spacing w:val="-13"/>
        </w:rPr>
        <w:t xml:space="preserve"> </w:t>
      </w:r>
      <w:r>
        <w:t>sanitary</w:t>
      </w:r>
      <w:r>
        <w:rPr>
          <w:spacing w:val="-11"/>
        </w:rPr>
        <w:t xml:space="preserve"> </w:t>
      </w:r>
      <w:r>
        <w:t>measures</w:t>
      </w:r>
      <w:r>
        <w:rPr>
          <w:spacing w:val="-8"/>
        </w:rPr>
        <w:t xml:space="preserve"> </w:t>
      </w:r>
      <w:r>
        <w:t>and</w:t>
      </w:r>
      <w:r>
        <w:rPr>
          <w:spacing w:val="-6"/>
        </w:rPr>
        <w:t xml:space="preserve"> </w:t>
      </w:r>
      <w:r>
        <w:t>technical</w:t>
      </w:r>
      <w:r>
        <w:rPr>
          <w:spacing w:val="-15"/>
        </w:rPr>
        <w:t xml:space="preserve"> </w:t>
      </w:r>
      <w:r>
        <w:t xml:space="preserve">regulations on </w:t>
      </w:r>
      <w:proofErr w:type="gramStart"/>
      <w:r>
        <w:t>trade;</w:t>
      </w:r>
      <w:proofErr w:type="gramEnd"/>
    </w:p>
    <w:p w14:paraId="5E6206B3" w14:textId="77777777" w:rsidR="0000459E" w:rsidRDefault="0000459E" w:rsidP="00F541BD">
      <w:pPr>
        <w:pStyle w:val="BodyText"/>
        <w:spacing w:line="237" w:lineRule="auto"/>
        <w:ind w:right="88" w:firstLine="0"/>
      </w:pPr>
      <w:r>
        <w:rPr>
          <w:i/>
        </w:rPr>
        <w:t xml:space="preserve">Recognising </w:t>
      </w:r>
      <w:r>
        <w:t xml:space="preserve">that the Parties operate different food inspection and certification </w:t>
      </w:r>
      <w:proofErr w:type="gramStart"/>
      <w:r>
        <w:rPr>
          <w:spacing w:val="-2"/>
        </w:rPr>
        <w:t>systems;</w:t>
      </w:r>
      <w:proofErr w:type="gramEnd"/>
    </w:p>
    <w:p w14:paraId="4FC38579" w14:textId="77777777" w:rsidR="0000459E" w:rsidRDefault="0000459E" w:rsidP="00F541BD">
      <w:pPr>
        <w:pStyle w:val="BodyText"/>
        <w:spacing w:line="242" w:lineRule="auto"/>
        <w:ind w:right="88" w:firstLine="0"/>
      </w:pPr>
      <w:r>
        <w:rPr>
          <w:i/>
        </w:rPr>
        <w:t xml:space="preserve">Noting </w:t>
      </w:r>
      <w:r>
        <w:t xml:space="preserve">that the application of the principle of equivalence has mutual benefits for both exporting and importing </w:t>
      </w:r>
      <w:proofErr w:type="gramStart"/>
      <w:r>
        <w:t>countries;</w:t>
      </w:r>
      <w:proofErr w:type="gramEnd"/>
    </w:p>
    <w:p w14:paraId="46FAD666" w14:textId="77777777" w:rsidR="0000459E" w:rsidRDefault="0000459E" w:rsidP="00970509">
      <w:pPr>
        <w:pStyle w:val="BodyText"/>
        <w:spacing w:before="1"/>
        <w:ind w:right="371" w:firstLine="0"/>
      </w:pPr>
      <w:r>
        <w:rPr>
          <w:i/>
        </w:rPr>
        <w:t xml:space="preserve">Noting </w:t>
      </w:r>
      <w:r>
        <w:t>that equivalence of mandatory</w:t>
      </w:r>
      <w:r>
        <w:rPr>
          <w:spacing w:val="-2"/>
        </w:rPr>
        <w:t xml:space="preserve"> </w:t>
      </w:r>
      <w:r>
        <w:t>requirements does not require duplication or sameness of</w:t>
      </w:r>
      <w:r>
        <w:rPr>
          <w:spacing w:val="-4"/>
        </w:rPr>
        <w:t xml:space="preserve"> </w:t>
      </w:r>
      <w:r>
        <w:t>requirements, but the acceptance of</w:t>
      </w:r>
      <w:r>
        <w:rPr>
          <w:spacing w:val="-3"/>
        </w:rPr>
        <w:t xml:space="preserve"> </w:t>
      </w:r>
      <w:r>
        <w:t>alternative requirements that meet</w:t>
      </w:r>
      <w:r>
        <w:rPr>
          <w:spacing w:val="-15"/>
        </w:rPr>
        <w:t xml:space="preserve"> </w:t>
      </w:r>
      <w:r>
        <w:t>an</w:t>
      </w:r>
      <w:r>
        <w:rPr>
          <w:spacing w:val="-15"/>
        </w:rPr>
        <w:t xml:space="preserve"> </w:t>
      </w:r>
      <w:r>
        <w:t>importing</w:t>
      </w:r>
      <w:r>
        <w:rPr>
          <w:spacing w:val="-15"/>
        </w:rPr>
        <w:t xml:space="preserve"> </w:t>
      </w:r>
      <w:r>
        <w:t>country’s</w:t>
      </w:r>
      <w:r>
        <w:rPr>
          <w:spacing w:val="-15"/>
        </w:rPr>
        <w:t xml:space="preserve"> </w:t>
      </w:r>
      <w:r>
        <w:t>appropriate</w:t>
      </w:r>
      <w:r>
        <w:rPr>
          <w:spacing w:val="-15"/>
        </w:rPr>
        <w:t xml:space="preserve"> </w:t>
      </w:r>
      <w:r>
        <w:t>level</w:t>
      </w:r>
      <w:r>
        <w:rPr>
          <w:spacing w:val="-15"/>
        </w:rPr>
        <w:t xml:space="preserve"> </w:t>
      </w:r>
      <w:r>
        <w:t>of</w:t>
      </w:r>
      <w:r>
        <w:rPr>
          <w:spacing w:val="-15"/>
        </w:rPr>
        <w:t xml:space="preserve"> </w:t>
      </w:r>
      <w:r>
        <w:t>sanitary</w:t>
      </w:r>
      <w:r>
        <w:rPr>
          <w:spacing w:val="-15"/>
        </w:rPr>
        <w:t xml:space="preserve"> </w:t>
      </w:r>
      <w:r>
        <w:t>protection,</w:t>
      </w:r>
      <w:r>
        <w:rPr>
          <w:spacing w:val="-15"/>
        </w:rPr>
        <w:t xml:space="preserve"> </w:t>
      </w:r>
      <w:r>
        <w:t>or</w:t>
      </w:r>
      <w:r>
        <w:rPr>
          <w:spacing w:val="-15"/>
        </w:rPr>
        <w:t xml:space="preserve"> </w:t>
      </w:r>
      <w:r>
        <w:t xml:space="preserve">regulatory </w:t>
      </w:r>
      <w:r>
        <w:rPr>
          <w:spacing w:val="-2"/>
        </w:rPr>
        <w:t>objectives.</w:t>
      </w:r>
    </w:p>
    <w:p w14:paraId="342A5C79" w14:textId="77777777" w:rsidR="0000459E" w:rsidRDefault="0000459E" w:rsidP="00F76973">
      <w:pPr>
        <w:pStyle w:val="BodyText"/>
        <w:ind w:firstLine="0"/>
      </w:pPr>
      <w:r>
        <w:t>The</w:t>
      </w:r>
      <w:r>
        <w:rPr>
          <w:spacing w:val="-3"/>
        </w:rPr>
        <w:t xml:space="preserve"> </w:t>
      </w:r>
      <w:r>
        <w:t>Parties</w:t>
      </w:r>
      <w:r>
        <w:rPr>
          <w:spacing w:val="2"/>
        </w:rPr>
        <w:t xml:space="preserve"> </w:t>
      </w:r>
      <w:r>
        <w:t>have</w:t>
      </w:r>
      <w:r>
        <w:rPr>
          <w:spacing w:val="-2"/>
        </w:rPr>
        <w:t xml:space="preserve"> </w:t>
      </w:r>
      <w:r>
        <w:t>agreed</w:t>
      </w:r>
      <w:r>
        <w:rPr>
          <w:spacing w:val="-2"/>
        </w:rPr>
        <w:t xml:space="preserve"> </w:t>
      </w:r>
      <w:r>
        <w:t xml:space="preserve">as </w:t>
      </w:r>
      <w:r>
        <w:rPr>
          <w:spacing w:val="-2"/>
        </w:rPr>
        <w:t>follows:</w:t>
      </w:r>
    </w:p>
    <w:p w14:paraId="1A707999" w14:textId="77777777" w:rsidR="0000459E" w:rsidRPr="009A6B22" w:rsidRDefault="0000459E" w:rsidP="004A4772">
      <w:pPr>
        <w:pStyle w:val="Heading4"/>
      </w:pPr>
      <w:r w:rsidRPr="009A6B22">
        <w:t>Scope</w:t>
      </w:r>
    </w:p>
    <w:p w14:paraId="53767007" w14:textId="428CC611" w:rsidR="0000459E" w:rsidRDefault="0000459E" w:rsidP="004A4772">
      <w:pPr>
        <w:pStyle w:val="ListParagraph1"/>
        <w:numPr>
          <w:ilvl w:val="1"/>
          <w:numId w:val="4"/>
        </w:numPr>
        <w:tabs>
          <w:tab w:val="left" w:pos="567"/>
        </w:tabs>
        <w:ind w:left="0" w:firstLine="0"/>
      </w:pPr>
      <w:r>
        <w:t>This</w:t>
      </w:r>
      <w:r>
        <w:rPr>
          <w:spacing w:val="-3"/>
        </w:rPr>
        <w:t xml:space="preserve"> </w:t>
      </w:r>
      <w:r>
        <w:t>Sectoral</w:t>
      </w:r>
      <w:r>
        <w:rPr>
          <w:spacing w:val="-9"/>
        </w:rPr>
        <w:t xml:space="preserve"> </w:t>
      </w:r>
      <w:r>
        <w:t>Annex</w:t>
      </w:r>
      <w:r>
        <w:rPr>
          <w:spacing w:val="-5"/>
        </w:rPr>
        <w:t xml:space="preserve"> </w:t>
      </w:r>
      <w:r>
        <w:t>applies</w:t>
      </w:r>
      <w:r>
        <w:rPr>
          <w:spacing w:val="-1"/>
        </w:rPr>
        <w:t xml:space="preserve"> </w:t>
      </w:r>
      <w:r>
        <w:rPr>
          <w:spacing w:val="-4"/>
        </w:rPr>
        <w:t>to:</w:t>
      </w:r>
      <w:r w:rsidR="00126AA1">
        <w:rPr>
          <w:rStyle w:val="FootnoteReference"/>
          <w:spacing w:val="-4"/>
        </w:rPr>
        <w:footnoteReference w:id="1"/>
      </w:r>
    </w:p>
    <w:p w14:paraId="067BB07A" w14:textId="77777777" w:rsidR="0000459E" w:rsidRDefault="0000459E" w:rsidP="004A4772">
      <w:pPr>
        <w:pStyle w:val="ListParagraph1a"/>
        <w:ind w:left="567" w:right="822" w:firstLine="0"/>
      </w:pPr>
      <w:r>
        <w:t xml:space="preserve">food standards relating to food products exported from one Party to the other </w:t>
      </w:r>
      <w:proofErr w:type="gramStart"/>
      <w:r>
        <w:t>Party;</w:t>
      </w:r>
      <w:proofErr w:type="gramEnd"/>
      <w:r>
        <w:t xml:space="preserve"> and</w:t>
      </w:r>
    </w:p>
    <w:p w14:paraId="4851278A" w14:textId="77777777" w:rsidR="0000459E" w:rsidRDefault="0000459E" w:rsidP="004A4772">
      <w:pPr>
        <w:pStyle w:val="ListParagraph1a"/>
        <w:ind w:left="567" w:firstLine="0"/>
      </w:pPr>
      <w:r>
        <w:t>assessments</w:t>
      </w:r>
      <w:r>
        <w:rPr>
          <w:spacing w:val="40"/>
        </w:rPr>
        <w:t xml:space="preserve"> </w:t>
      </w:r>
      <w:r>
        <w:t>of</w:t>
      </w:r>
      <w:r>
        <w:rPr>
          <w:spacing w:val="40"/>
        </w:rPr>
        <w:t xml:space="preserve"> </w:t>
      </w:r>
      <w:r>
        <w:t>manufacturers</w:t>
      </w:r>
      <w:r>
        <w:rPr>
          <w:spacing w:val="40"/>
        </w:rPr>
        <w:t xml:space="preserve"> </w:t>
      </w:r>
      <w:r>
        <w:t>or</w:t>
      </w:r>
      <w:r>
        <w:rPr>
          <w:spacing w:val="40"/>
        </w:rPr>
        <w:t xml:space="preserve"> </w:t>
      </w:r>
      <w:r>
        <w:t>manufacturing</w:t>
      </w:r>
      <w:r>
        <w:rPr>
          <w:spacing w:val="40"/>
        </w:rPr>
        <w:t xml:space="preserve"> </w:t>
      </w:r>
      <w:r>
        <w:t>processes</w:t>
      </w:r>
      <w:r>
        <w:rPr>
          <w:spacing w:val="39"/>
        </w:rPr>
        <w:t xml:space="preserve"> </w:t>
      </w:r>
      <w:r>
        <w:t>of</w:t>
      </w:r>
      <w:r>
        <w:rPr>
          <w:spacing w:val="40"/>
        </w:rPr>
        <w:t xml:space="preserve"> </w:t>
      </w:r>
      <w:r>
        <w:t>food products exported from one Party to the other Party.</w:t>
      </w:r>
    </w:p>
    <w:p w14:paraId="3C1D7E6C" w14:textId="453CBAE0" w:rsidR="0000459E" w:rsidRDefault="0000459E" w:rsidP="00D50931">
      <w:pPr>
        <w:pStyle w:val="ListParagraph"/>
        <w:numPr>
          <w:ilvl w:val="1"/>
          <w:numId w:val="4"/>
        </w:numPr>
        <w:ind w:left="567" w:right="113" w:hanging="567"/>
      </w:pPr>
      <w:r>
        <w:t>This Sectoral Annex shall not affect the Parties’ existing rights and obligations to each other under the WTO Agreement on the Application of Sanitary</w:t>
      </w:r>
      <w:r>
        <w:rPr>
          <w:spacing w:val="-5"/>
        </w:rPr>
        <w:t xml:space="preserve"> </w:t>
      </w:r>
      <w:r>
        <w:t>and Phytosanitary Measures and the WTO Agreement on</w:t>
      </w:r>
      <w:r>
        <w:rPr>
          <w:spacing w:val="-1"/>
        </w:rPr>
        <w:t xml:space="preserve"> </w:t>
      </w:r>
      <w:r>
        <w:t>Technical Barriers to Trade.</w:t>
      </w:r>
    </w:p>
    <w:p w14:paraId="7034B96D" w14:textId="19D83A46" w:rsidR="007C0BB0" w:rsidRDefault="007C0BB0" w:rsidP="00F76973">
      <w:pPr>
        <w:spacing w:after="0"/>
        <w:ind w:firstLine="0"/>
        <w:jc w:val="left"/>
      </w:pPr>
      <w:r>
        <w:br w:type="page"/>
      </w:r>
    </w:p>
    <w:p w14:paraId="68FA43CE" w14:textId="77777777" w:rsidR="00DD6D20" w:rsidRPr="009A6B22" w:rsidRDefault="00DD6D20" w:rsidP="004A4772">
      <w:pPr>
        <w:pStyle w:val="Heading4"/>
      </w:pPr>
      <w:r w:rsidRPr="009A6B22">
        <w:lastRenderedPageBreak/>
        <w:t>Definitions</w:t>
      </w:r>
    </w:p>
    <w:p w14:paraId="26989724" w14:textId="77777777" w:rsidR="00DD6D20" w:rsidRDefault="00DD6D20" w:rsidP="004A4772">
      <w:pPr>
        <w:pStyle w:val="ListParagraph1"/>
        <w:numPr>
          <w:ilvl w:val="1"/>
          <w:numId w:val="4"/>
        </w:numPr>
        <w:tabs>
          <w:tab w:val="left" w:pos="709"/>
        </w:tabs>
        <w:spacing w:after="280"/>
        <w:ind w:left="0" w:firstLine="0"/>
      </w:pPr>
      <w:proofErr w:type="gramStart"/>
      <w:r>
        <w:t>For</w:t>
      </w:r>
      <w:r w:rsidRPr="000B0FB0">
        <w:t xml:space="preserve"> </w:t>
      </w:r>
      <w:r>
        <w:t>the</w:t>
      </w:r>
      <w:r w:rsidRPr="000B0FB0">
        <w:t xml:space="preserve"> </w:t>
      </w:r>
      <w:r>
        <w:t>purpose</w:t>
      </w:r>
      <w:r w:rsidRPr="000B0FB0">
        <w:t xml:space="preserve"> </w:t>
      </w:r>
      <w:r>
        <w:t>of</w:t>
      </w:r>
      <w:proofErr w:type="gramEnd"/>
      <w:r w:rsidRPr="000B0FB0">
        <w:t xml:space="preserve"> </w:t>
      </w:r>
      <w:r>
        <w:t>this</w:t>
      </w:r>
      <w:r w:rsidRPr="000B0FB0">
        <w:t xml:space="preserve"> </w:t>
      </w:r>
      <w:r>
        <w:t>Sectoral</w:t>
      </w:r>
      <w:r w:rsidRPr="000B0FB0">
        <w:t xml:space="preserve"> Annex:</w:t>
      </w:r>
    </w:p>
    <w:p w14:paraId="3EFB9B58" w14:textId="77777777" w:rsidR="00DD6D20" w:rsidRDefault="00DD6D20" w:rsidP="004A4772">
      <w:pPr>
        <w:pStyle w:val="ListParagraph"/>
        <w:numPr>
          <w:ilvl w:val="2"/>
          <w:numId w:val="7"/>
        </w:numPr>
        <w:tabs>
          <w:tab w:val="left" w:pos="709"/>
          <w:tab w:val="left" w:pos="6379"/>
        </w:tabs>
        <w:spacing w:after="280"/>
        <w:ind w:left="0" w:right="-113" w:firstLine="0"/>
      </w:pPr>
      <w:r>
        <w:t>“</w:t>
      </w:r>
      <w:proofErr w:type="gramStart"/>
      <w:r>
        <w:t>conformity</w:t>
      </w:r>
      <w:proofErr w:type="gramEnd"/>
      <w:r>
        <w:rPr>
          <w:spacing w:val="-11"/>
        </w:rPr>
        <w:t xml:space="preserve"> </w:t>
      </w:r>
      <w:r>
        <w:t>assessment”</w:t>
      </w:r>
      <w:r>
        <w:rPr>
          <w:spacing w:val="-1"/>
        </w:rPr>
        <w:t xml:space="preserve"> </w:t>
      </w:r>
      <w:r>
        <w:t>means</w:t>
      </w:r>
      <w:r>
        <w:rPr>
          <w:spacing w:val="-4"/>
        </w:rPr>
        <w:t xml:space="preserve"> </w:t>
      </w:r>
      <w:r>
        <w:t>any</w:t>
      </w:r>
      <w:r>
        <w:rPr>
          <w:spacing w:val="-6"/>
        </w:rPr>
        <w:t xml:space="preserve"> </w:t>
      </w:r>
      <w:r>
        <w:t>activity</w:t>
      </w:r>
      <w:r>
        <w:rPr>
          <w:spacing w:val="-6"/>
        </w:rPr>
        <w:t xml:space="preserve"> </w:t>
      </w:r>
      <w:r>
        <w:t>undertaken</w:t>
      </w:r>
      <w:r>
        <w:rPr>
          <w:spacing w:val="-6"/>
        </w:rPr>
        <w:t xml:space="preserve"> </w:t>
      </w:r>
      <w:r>
        <w:t>by</w:t>
      </w:r>
      <w:r>
        <w:rPr>
          <w:spacing w:val="-6"/>
        </w:rPr>
        <w:t xml:space="preserve"> </w:t>
      </w:r>
      <w:r>
        <w:t>the</w:t>
      </w:r>
      <w:r>
        <w:rPr>
          <w:spacing w:val="-3"/>
        </w:rPr>
        <w:t xml:space="preserve"> </w:t>
      </w:r>
      <w:r>
        <w:t>exporting</w:t>
      </w:r>
      <w:r>
        <w:rPr>
          <w:spacing w:val="-2"/>
        </w:rPr>
        <w:t xml:space="preserve"> </w:t>
      </w:r>
      <w:r>
        <w:t>Party concerned with determining directly or indirectly that the relevant food standards of the exporting Party are fulfilled;</w:t>
      </w:r>
    </w:p>
    <w:p w14:paraId="2A68D515" w14:textId="77777777" w:rsidR="00DD6D20" w:rsidRDefault="00DD6D20" w:rsidP="004A4772">
      <w:pPr>
        <w:pStyle w:val="ListParagraph"/>
        <w:numPr>
          <w:ilvl w:val="2"/>
          <w:numId w:val="7"/>
        </w:numPr>
        <w:tabs>
          <w:tab w:val="left" w:pos="709"/>
          <w:tab w:val="left" w:pos="6379"/>
        </w:tabs>
        <w:spacing w:after="280"/>
        <w:ind w:left="0" w:right="-227" w:firstLine="0"/>
      </w:pPr>
      <w:r>
        <w:t>“</w:t>
      </w:r>
      <w:proofErr w:type="gramStart"/>
      <w:r>
        <w:t>food</w:t>
      </w:r>
      <w:proofErr w:type="gramEnd"/>
      <w:r w:rsidRPr="003C6FE0">
        <w:t xml:space="preserve"> </w:t>
      </w:r>
      <w:r>
        <w:t>product”</w:t>
      </w:r>
      <w:r w:rsidRPr="003C6FE0">
        <w:t xml:space="preserve"> </w:t>
      </w:r>
      <w:r>
        <w:t>means</w:t>
      </w:r>
      <w:r w:rsidRPr="003C6FE0">
        <w:t xml:space="preserve"> </w:t>
      </w:r>
      <w:r>
        <w:t>any</w:t>
      </w:r>
      <w:r w:rsidRPr="003C6FE0">
        <w:t xml:space="preserve"> </w:t>
      </w:r>
      <w:r>
        <w:t>good</w:t>
      </w:r>
      <w:r w:rsidRPr="003C6FE0">
        <w:t xml:space="preserve"> </w:t>
      </w:r>
      <w:r>
        <w:t>defined</w:t>
      </w:r>
      <w:r w:rsidRPr="003C6FE0">
        <w:t xml:space="preserve"> </w:t>
      </w:r>
      <w:r>
        <w:t>as</w:t>
      </w:r>
      <w:r w:rsidRPr="003C6FE0">
        <w:t xml:space="preserve"> </w:t>
      </w:r>
      <w:r>
        <w:t>food</w:t>
      </w:r>
      <w:r w:rsidRPr="003C6FE0">
        <w:t xml:space="preserve"> </w:t>
      </w:r>
      <w:r>
        <w:t>in</w:t>
      </w:r>
      <w:r w:rsidRPr="003C6FE0">
        <w:t xml:space="preserve"> </w:t>
      </w:r>
      <w:r>
        <w:t>the</w:t>
      </w:r>
      <w:r w:rsidRPr="003C6FE0">
        <w:t xml:space="preserve"> </w:t>
      </w:r>
      <w:r>
        <w:t>Food</w:t>
      </w:r>
      <w:r w:rsidRPr="003C6FE0">
        <w:t xml:space="preserve"> </w:t>
      </w:r>
      <w:r>
        <w:t>Standards</w:t>
      </w:r>
      <w:r w:rsidRPr="003C6FE0">
        <w:t xml:space="preserve"> </w:t>
      </w:r>
      <w:r>
        <w:t>Australia New Zealand Act 1991 (Australia) and the Sale of Food Act (Singapore) or the respective successor Act; and</w:t>
      </w:r>
    </w:p>
    <w:p w14:paraId="676DA5E9" w14:textId="77777777" w:rsidR="00DD6D20" w:rsidRDefault="00DD6D20" w:rsidP="004A4772">
      <w:pPr>
        <w:pStyle w:val="ListParagraph"/>
        <w:numPr>
          <w:ilvl w:val="2"/>
          <w:numId w:val="7"/>
        </w:numPr>
        <w:tabs>
          <w:tab w:val="left" w:pos="709"/>
          <w:tab w:val="left" w:pos="6379"/>
        </w:tabs>
        <w:spacing w:after="480"/>
        <w:ind w:left="0" w:right="-57" w:firstLine="0"/>
      </w:pPr>
      <w:r>
        <w:t>“</w:t>
      </w:r>
      <w:proofErr w:type="gramStart"/>
      <w:r>
        <w:t>food</w:t>
      </w:r>
      <w:proofErr w:type="gramEnd"/>
      <w:r>
        <w:t xml:space="preserve"> standard” means a mandatory</w:t>
      </w:r>
      <w:r>
        <w:rPr>
          <w:spacing w:val="-10"/>
        </w:rPr>
        <w:t xml:space="preserve"> </w:t>
      </w:r>
      <w:r>
        <w:t>requirement</w:t>
      </w:r>
      <w:r>
        <w:rPr>
          <w:spacing w:val="-1"/>
        </w:rPr>
        <w:t xml:space="preserve"> </w:t>
      </w:r>
      <w:r>
        <w:t>relating to food products</w:t>
      </w:r>
      <w:r>
        <w:rPr>
          <w:spacing w:val="-8"/>
        </w:rPr>
        <w:t xml:space="preserve"> </w:t>
      </w:r>
      <w:r>
        <w:t>that is made</w:t>
      </w:r>
      <w:r>
        <w:rPr>
          <w:spacing w:val="-4"/>
        </w:rPr>
        <w:t xml:space="preserve"> </w:t>
      </w:r>
      <w:r>
        <w:t>pursuant</w:t>
      </w:r>
      <w:r>
        <w:rPr>
          <w:spacing w:val="-2"/>
        </w:rPr>
        <w:t xml:space="preserve"> </w:t>
      </w:r>
      <w:r>
        <w:t>to</w:t>
      </w:r>
      <w:r>
        <w:rPr>
          <w:spacing w:val="-3"/>
        </w:rPr>
        <w:t xml:space="preserve"> </w:t>
      </w:r>
      <w:r>
        <w:t>the</w:t>
      </w:r>
      <w:r>
        <w:rPr>
          <w:spacing w:val="-4"/>
        </w:rPr>
        <w:t xml:space="preserve"> </w:t>
      </w:r>
      <w:r>
        <w:t>Food</w:t>
      </w:r>
      <w:r>
        <w:rPr>
          <w:spacing w:val="-7"/>
        </w:rPr>
        <w:t xml:space="preserve"> </w:t>
      </w:r>
      <w:r>
        <w:t>Standards</w:t>
      </w:r>
      <w:r>
        <w:rPr>
          <w:spacing w:val="-5"/>
        </w:rPr>
        <w:t xml:space="preserve"> </w:t>
      </w:r>
      <w:r>
        <w:t>Australia</w:t>
      </w:r>
      <w:r>
        <w:rPr>
          <w:spacing w:val="-2"/>
        </w:rPr>
        <w:t xml:space="preserve"> </w:t>
      </w:r>
      <w:r>
        <w:t>New</w:t>
      </w:r>
      <w:r>
        <w:rPr>
          <w:spacing w:val="-3"/>
        </w:rPr>
        <w:t xml:space="preserve"> </w:t>
      </w:r>
      <w:r>
        <w:t>Zealand Act 1991</w:t>
      </w:r>
      <w:r>
        <w:rPr>
          <w:spacing w:val="-3"/>
        </w:rPr>
        <w:t xml:space="preserve"> </w:t>
      </w:r>
      <w:r>
        <w:t>(Australia) or the Sale of Food Act (Singapore)</w:t>
      </w:r>
      <w:r>
        <w:rPr>
          <w:spacing w:val="-3"/>
        </w:rPr>
        <w:t xml:space="preserve"> </w:t>
      </w:r>
      <w:r>
        <w:t>or the respective successor Act.</w:t>
      </w:r>
    </w:p>
    <w:p w14:paraId="4175DD32" w14:textId="77777777" w:rsidR="00DD6D20" w:rsidRPr="009A6B22" w:rsidRDefault="00DD6D20" w:rsidP="004A4772">
      <w:pPr>
        <w:pStyle w:val="Heading4"/>
      </w:pPr>
      <w:r w:rsidRPr="009A6B22">
        <w:t>Obligations</w:t>
      </w:r>
    </w:p>
    <w:p w14:paraId="44AD0418" w14:textId="77777777" w:rsidR="00DD6D20" w:rsidRPr="000B0FB0" w:rsidRDefault="00DD6D20" w:rsidP="004A4772">
      <w:pPr>
        <w:pStyle w:val="ListParagraph1"/>
        <w:numPr>
          <w:ilvl w:val="1"/>
          <w:numId w:val="4"/>
        </w:numPr>
        <w:spacing w:after="280"/>
        <w:ind w:left="709" w:hanging="709"/>
        <w:rPr>
          <w:u w:val="single"/>
        </w:rPr>
      </w:pPr>
      <w:r w:rsidRPr="000B0FB0">
        <w:rPr>
          <w:u w:val="single"/>
        </w:rPr>
        <w:t>Determination of Equivalence</w:t>
      </w:r>
    </w:p>
    <w:p w14:paraId="04583330" w14:textId="55525745" w:rsidR="00DD6D20" w:rsidRDefault="00DD6D20" w:rsidP="00D06483">
      <w:pPr>
        <w:pStyle w:val="ListParagraph"/>
        <w:numPr>
          <w:ilvl w:val="2"/>
          <w:numId w:val="6"/>
        </w:numPr>
        <w:spacing w:before="90" w:after="280"/>
        <w:ind w:left="709" w:right="255" w:hanging="709"/>
      </w:pPr>
      <w:r>
        <w:t>A</w:t>
      </w:r>
      <w:r w:rsidRPr="000B0FB0">
        <w:t xml:space="preserve"> </w:t>
      </w:r>
      <w:r>
        <w:t>Party</w:t>
      </w:r>
      <w:r w:rsidRPr="000B0FB0">
        <w:t xml:space="preserve"> </w:t>
      </w:r>
      <w:r>
        <w:t>shall</w:t>
      </w:r>
      <w:r w:rsidRPr="000B0FB0">
        <w:t xml:space="preserve"> </w:t>
      </w:r>
      <w:r>
        <w:t>accept</w:t>
      </w:r>
      <w:r w:rsidRPr="000B0FB0">
        <w:t xml:space="preserve"> </w:t>
      </w:r>
      <w:r>
        <w:t>a</w:t>
      </w:r>
      <w:r w:rsidRPr="000B0FB0">
        <w:t xml:space="preserve"> </w:t>
      </w:r>
      <w:r>
        <w:t>food</w:t>
      </w:r>
      <w:r w:rsidRPr="000B0FB0">
        <w:t xml:space="preserve"> </w:t>
      </w:r>
      <w:r>
        <w:t>standard</w:t>
      </w:r>
      <w:r w:rsidRPr="000B0FB0">
        <w:t xml:space="preserve"> </w:t>
      </w:r>
      <w:r>
        <w:t>of the</w:t>
      </w:r>
      <w:r w:rsidRPr="000B0FB0">
        <w:t xml:space="preserve"> </w:t>
      </w:r>
      <w:r>
        <w:t>other</w:t>
      </w:r>
      <w:r w:rsidRPr="000B0FB0">
        <w:t xml:space="preserve"> </w:t>
      </w:r>
      <w:r>
        <w:t>Party as equivalent,</w:t>
      </w:r>
      <w:r w:rsidRPr="000B0FB0">
        <w:t xml:space="preserve"> </w:t>
      </w:r>
      <w:r>
        <w:t>even if that standard differs from its own, or from</w:t>
      </w:r>
      <w:r w:rsidRPr="000B0FB0">
        <w:t xml:space="preserve"> </w:t>
      </w:r>
      <w:r>
        <w:t>those</w:t>
      </w:r>
      <w:r w:rsidRPr="000B0FB0">
        <w:t xml:space="preserve"> </w:t>
      </w:r>
      <w:r>
        <w:t>used</w:t>
      </w:r>
      <w:r w:rsidRPr="000B0FB0">
        <w:t xml:space="preserve"> </w:t>
      </w:r>
      <w:r>
        <w:t>by</w:t>
      </w:r>
      <w:r w:rsidRPr="000B0FB0">
        <w:t xml:space="preserve"> </w:t>
      </w:r>
      <w:r>
        <w:t>other</w:t>
      </w:r>
      <w:r w:rsidRPr="000B0FB0">
        <w:t xml:space="preserve"> </w:t>
      </w:r>
      <w:r>
        <w:t>countries trading in the same food product, if the exporting Party objectively demonstrates to the importing Party that its food standard achieves the purposes</w:t>
      </w:r>
      <w:r w:rsidRPr="000B0FB0">
        <w:t xml:space="preserve"> </w:t>
      </w:r>
      <w:r>
        <w:t>of</w:t>
      </w:r>
      <w:r w:rsidRPr="000B0FB0">
        <w:t xml:space="preserve"> </w:t>
      </w:r>
      <w:r>
        <w:t>the importing Party’s food standard.</w:t>
      </w:r>
    </w:p>
    <w:p w14:paraId="76E6FBAC" w14:textId="54EB3A95" w:rsidR="00DD6D20" w:rsidRDefault="00DD6D20" w:rsidP="00AA7589">
      <w:pPr>
        <w:pStyle w:val="ListParagraph"/>
        <w:numPr>
          <w:ilvl w:val="2"/>
          <w:numId w:val="6"/>
        </w:numPr>
        <w:spacing w:before="1" w:after="280"/>
        <w:ind w:left="709" w:right="88" w:hanging="709"/>
      </w:pPr>
      <w:r>
        <w:t xml:space="preserve">The Parties shall follow the procedures for determining equivalence of sanitary measures and technical regulations set down by the relevant WTO bodies and the Codex Alimentarius Commission, as amended from time to </w:t>
      </w:r>
      <w:r w:rsidRPr="000B0FB0">
        <w:t>time.</w:t>
      </w:r>
    </w:p>
    <w:p w14:paraId="5EE12E6A" w14:textId="53232AB7" w:rsidR="00DD6D20" w:rsidRDefault="00DD6D20" w:rsidP="004A4772">
      <w:pPr>
        <w:pStyle w:val="ListParagraph"/>
        <w:numPr>
          <w:ilvl w:val="2"/>
          <w:numId w:val="6"/>
        </w:numPr>
        <w:tabs>
          <w:tab w:val="left" w:pos="709"/>
        </w:tabs>
        <w:spacing w:after="280" w:line="242" w:lineRule="auto"/>
        <w:ind w:left="709" w:right="-227" w:hanging="709"/>
        <w:jc w:val="left"/>
      </w:pPr>
      <w:r>
        <w:t>The</w:t>
      </w:r>
      <w:r w:rsidRPr="000B0FB0">
        <w:t xml:space="preserve"> </w:t>
      </w:r>
      <w:r>
        <w:t>determination</w:t>
      </w:r>
      <w:r w:rsidRPr="000B0FB0">
        <w:t xml:space="preserve"> </w:t>
      </w:r>
      <w:r>
        <w:t>of</w:t>
      </w:r>
      <w:r w:rsidRPr="000B0FB0">
        <w:t xml:space="preserve"> </w:t>
      </w:r>
      <w:r>
        <w:t>equivalence of</w:t>
      </w:r>
      <w:r w:rsidRPr="000B0FB0">
        <w:t xml:space="preserve"> </w:t>
      </w:r>
      <w:r>
        <w:t>food</w:t>
      </w:r>
      <w:r w:rsidRPr="000B0FB0">
        <w:t xml:space="preserve"> </w:t>
      </w:r>
      <w:r>
        <w:t>standards may</w:t>
      </w:r>
      <w:r w:rsidRPr="000B0FB0">
        <w:t xml:space="preserve"> </w:t>
      </w:r>
      <w:r>
        <w:t>include</w:t>
      </w:r>
      <w:r w:rsidRPr="000B0FB0">
        <w:t xml:space="preserve"> </w:t>
      </w:r>
      <w:r w:rsidR="004A4772">
        <w:t>c</w:t>
      </w:r>
      <w:r>
        <w:t>onsideration of conformity assessment procedures.</w:t>
      </w:r>
    </w:p>
    <w:p w14:paraId="48B12C71" w14:textId="072A7D62" w:rsidR="00DD6D20" w:rsidRDefault="00DD6D20" w:rsidP="004A4772">
      <w:pPr>
        <w:pStyle w:val="ListParagraph"/>
        <w:numPr>
          <w:ilvl w:val="2"/>
          <w:numId w:val="6"/>
        </w:numPr>
        <w:spacing w:after="280"/>
        <w:ind w:left="652" w:right="57" w:hanging="709"/>
      </w:pPr>
      <w:r>
        <w:t>Compliance</w:t>
      </w:r>
      <w:r w:rsidRPr="000B0FB0">
        <w:t xml:space="preserve"> </w:t>
      </w:r>
      <w:r>
        <w:t>by</w:t>
      </w:r>
      <w:r w:rsidRPr="000B0FB0">
        <w:t xml:space="preserve"> </w:t>
      </w:r>
      <w:r>
        <w:t>a food</w:t>
      </w:r>
      <w:r w:rsidRPr="000B0FB0">
        <w:t xml:space="preserve"> </w:t>
      </w:r>
      <w:r>
        <w:t>product</w:t>
      </w:r>
      <w:r w:rsidRPr="000B0FB0">
        <w:t xml:space="preserve"> </w:t>
      </w:r>
      <w:r>
        <w:t>with</w:t>
      </w:r>
      <w:r w:rsidRPr="000B0FB0">
        <w:t xml:space="preserve"> </w:t>
      </w:r>
      <w:r>
        <w:t>a food</w:t>
      </w:r>
      <w:r w:rsidRPr="000B0FB0">
        <w:t xml:space="preserve"> </w:t>
      </w:r>
      <w:r>
        <w:t>standard</w:t>
      </w:r>
      <w:r w:rsidRPr="000B0FB0">
        <w:t xml:space="preserve"> </w:t>
      </w:r>
      <w:r>
        <w:t>that has</w:t>
      </w:r>
      <w:r w:rsidRPr="000B0FB0">
        <w:t xml:space="preserve"> </w:t>
      </w:r>
      <w:r>
        <w:t>been</w:t>
      </w:r>
      <w:r w:rsidRPr="000B0FB0">
        <w:t xml:space="preserve"> </w:t>
      </w:r>
      <w:r>
        <w:t>accepted</w:t>
      </w:r>
      <w:r w:rsidRPr="000B0FB0">
        <w:t xml:space="preserve"> </w:t>
      </w:r>
      <w:r>
        <w:t>as equivalent to a food standard of the importing Party shall</w:t>
      </w:r>
      <w:r w:rsidRPr="000B0FB0">
        <w:t xml:space="preserve"> </w:t>
      </w:r>
      <w:r>
        <w:t>not</w:t>
      </w:r>
      <w:r w:rsidRPr="000B0FB0">
        <w:t xml:space="preserve"> </w:t>
      </w:r>
      <w:r>
        <w:t>remove</w:t>
      </w:r>
      <w:r w:rsidRPr="000B0FB0">
        <w:t xml:space="preserve"> </w:t>
      </w:r>
      <w:r>
        <w:t xml:space="preserve">the </w:t>
      </w:r>
      <w:r w:rsidR="004A4772">
        <w:br/>
      </w:r>
      <w:r>
        <w:t>need for that product to comply with any other relevant mandatory requirements of the importing Party.</w:t>
      </w:r>
    </w:p>
    <w:p w14:paraId="176A57EE" w14:textId="3F6208F2" w:rsidR="00DD6D20" w:rsidRDefault="00DD6D20" w:rsidP="00100A08">
      <w:pPr>
        <w:pStyle w:val="ListParagraph"/>
        <w:numPr>
          <w:ilvl w:val="2"/>
          <w:numId w:val="6"/>
        </w:numPr>
        <w:spacing w:before="1" w:after="280" w:line="242" w:lineRule="auto"/>
        <w:ind w:left="709" w:right="-28" w:hanging="709"/>
      </w:pPr>
      <w:r>
        <w:t>The regulatory</w:t>
      </w:r>
      <w:r w:rsidRPr="000B0FB0">
        <w:t xml:space="preserve"> </w:t>
      </w:r>
      <w:r>
        <w:t>authorities designated by</w:t>
      </w:r>
      <w:r w:rsidRPr="000B0FB0">
        <w:t xml:space="preserve"> </w:t>
      </w:r>
      <w:r>
        <w:t>the Parties to determine and</w:t>
      </w:r>
      <w:r w:rsidRPr="000B0FB0">
        <w:t xml:space="preserve"> </w:t>
      </w:r>
      <w:r>
        <w:t>accept equivalence of food standards are listed in the Schedule to this Annex.</w:t>
      </w:r>
    </w:p>
    <w:p w14:paraId="7A9CBA93" w14:textId="77777777" w:rsidR="00DD6D20" w:rsidRPr="003C6FE0" w:rsidRDefault="00DD6D20" w:rsidP="00100A08">
      <w:pPr>
        <w:pStyle w:val="ListParagraph1"/>
        <w:numPr>
          <w:ilvl w:val="1"/>
          <w:numId w:val="4"/>
        </w:numPr>
        <w:spacing w:after="280"/>
        <w:ind w:left="709" w:right="-28" w:hanging="709"/>
        <w:rPr>
          <w:u w:val="single"/>
        </w:rPr>
      </w:pPr>
      <w:r>
        <w:rPr>
          <w:u w:val="single"/>
        </w:rPr>
        <w:t>Conformity</w:t>
      </w:r>
      <w:r w:rsidRPr="003C6FE0">
        <w:rPr>
          <w:u w:val="single"/>
        </w:rPr>
        <w:t xml:space="preserve"> assessment</w:t>
      </w:r>
    </w:p>
    <w:p w14:paraId="6B615461" w14:textId="76603430" w:rsidR="004A6A1F" w:rsidRDefault="00DD6D20" w:rsidP="00100A08">
      <w:pPr>
        <w:pStyle w:val="ListParagraph"/>
        <w:numPr>
          <w:ilvl w:val="2"/>
          <w:numId w:val="5"/>
        </w:numPr>
        <w:spacing w:before="90" w:after="280"/>
        <w:ind w:left="709" w:right="-28" w:hanging="709"/>
      </w:pPr>
      <w:r>
        <w:t xml:space="preserve">Regulatory authorities designated by the Parties shall </w:t>
      </w:r>
      <w:proofErr w:type="gramStart"/>
      <w:r>
        <w:t>enter into</w:t>
      </w:r>
      <w:proofErr w:type="gramEnd"/>
      <w:r w:rsidRPr="003C6FE0">
        <w:t xml:space="preserve"> </w:t>
      </w:r>
      <w:r>
        <w:t>conformity assessment arrangements for the purpose of ensuring that</w:t>
      </w:r>
      <w:r w:rsidRPr="003C6FE0">
        <w:t xml:space="preserve"> </w:t>
      </w:r>
      <w:r>
        <w:t>food</w:t>
      </w:r>
      <w:r w:rsidRPr="003C6FE0">
        <w:t xml:space="preserve"> </w:t>
      </w:r>
      <w:r>
        <w:t>products exported</w:t>
      </w:r>
      <w:r w:rsidRPr="003C6FE0">
        <w:t xml:space="preserve"> </w:t>
      </w:r>
      <w:r>
        <w:t>by a</w:t>
      </w:r>
      <w:r w:rsidRPr="003C6FE0">
        <w:t xml:space="preserve"> </w:t>
      </w:r>
      <w:r>
        <w:t>Party under</w:t>
      </w:r>
      <w:r w:rsidRPr="003C6FE0">
        <w:t xml:space="preserve"> </w:t>
      </w:r>
      <w:r>
        <w:t>this</w:t>
      </w:r>
      <w:r w:rsidRPr="003C6FE0">
        <w:t xml:space="preserve"> </w:t>
      </w:r>
      <w:r>
        <w:t>Agreement meet the food standards of</w:t>
      </w:r>
      <w:r w:rsidRPr="003C6FE0">
        <w:t xml:space="preserve"> </w:t>
      </w:r>
      <w:r>
        <w:t>the exporting Party that are accepted as equivalent by the importing Party.</w:t>
      </w:r>
    </w:p>
    <w:p w14:paraId="63BF1809" w14:textId="77777777" w:rsidR="004A6A1F" w:rsidRDefault="004A6A1F">
      <w:pPr>
        <w:spacing w:after="0"/>
        <w:ind w:firstLine="0"/>
        <w:jc w:val="left"/>
      </w:pPr>
      <w:r>
        <w:br w:type="page"/>
      </w:r>
    </w:p>
    <w:p w14:paraId="65026FC8" w14:textId="77777777" w:rsidR="004A6A1F" w:rsidRDefault="004A6A1F" w:rsidP="00100A08">
      <w:pPr>
        <w:pStyle w:val="ListParagraph"/>
        <w:numPr>
          <w:ilvl w:val="2"/>
          <w:numId w:val="5"/>
        </w:numPr>
        <w:tabs>
          <w:tab w:val="left" w:pos="709"/>
        </w:tabs>
        <w:spacing w:before="107"/>
        <w:ind w:left="709" w:right="-57" w:hanging="709"/>
      </w:pPr>
      <w:r>
        <w:lastRenderedPageBreak/>
        <w:t>Subject</w:t>
      </w:r>
      <w:r>
        <w:rPr>
          <w:spacing w:val="-12"/>
        </w:rPr>
        <w:t xml:space="preserve"> </w:t>
      </w:r>
      <w:r>
        <w:t>to</w:t>
      </w:r>
      <w:r>
        <w:rPr>
          <w:spacing w:val="-8"/>
        </w:rPr>
        <w:t xml:space="preserve"> </w:t>
      </w:r>
      <w:r>
        <w:t>compliance</w:t>
      </w:r>
      <w:r>
        <w:rPr>
          <w:spacing w:val="-11"/>
        </w:rPr>
        <w:t xml:space="preserve"> </w:t>
      </w:r>
      <w:r>
        <w:t>with</w:t>
      </w:r>
      <w:r>
        <w:rPr>
          <w:spacing w:val="-14"/>
        </w:rPr>
        <w:t xml:space="preserve"> </w:t>
      </w:r>
      <w:r>
        <w:t>relevant</w:t>
      </w:r>
      <w:r>
        <w:rPr>
          <w:spacing w:val="-2"/>
        </w:rPr>
        <w:t xml:space="preserve"> </w:t>
      </w:r>
      <w:r>
        <w:t>conformity</w:t>
      </w:r>
      <w:r>
        <w:rPr>
          <w:spacing w:val="-15"/>
        </w:rPr>
        <w:t xml:space="preserve"> </w:t>
      </w:r>
      <w:r>
        <w:t>assessment</w:t>
      </w:r>
      <w:r>
        <w:rPr>
          <w:spacing w:val="-5"/>
        </w:rPr>
        <w:t xml:space="preserve"> </w:t>
      </w:r>
      <w:r>
        <w:t>arrangements,</w:t>
      </w:r>
      <w:r>
        <w:rPr>
          <w:spacing w:val="-12"/>
        </w:rPr>
        <w:t xml:space="preserve"> </w:t>
      </w:r>
      <w:r>
        <w:t>the importing</w:t>
      </w:r>
      <w:r>
        <w:rPr>
          <w:spacing w:val="-5"/>
        </w:rPr>
        <w:t xml:space="preserve"> </w:t>
      </w:r>
      <w:r>
        <w:t>Party</w:t>
      </w:r>
      <w:r>
        <w:rPr>
          <w:spacing w:val="-15"/>
        </w:rPr>
        <w:t xml:space="preserve"> </w:t>
      </w:r>
      <w:r>
        <w:t>shall</w:t>
      </w:r>
      <w:r>
        <w:rPr>
          <w:spacing w:val="-10"/>
        </w:rPr>
        <w:t xml:space="preserve"> </w:t>
      </w:r>
      <w:r>
        <w:t>recognise</w:t>
      </w:r>
      <w:r>
        <w:rPr>
          <w:spacing w:val="-6"/>
        </w:rPr>
        <w:t xml:space="preserve"> </w:t>
      </w:r>
      <w:r>
        <w:t>the</w:t>
      </w:r>
      <w:r>
        <w:rPr>
          <w:spacing w:val="-7"/>
        </w:rPr>
        <w:t xml:space="preserve"> </w:t>
      </w:r>
      <w:r>
        <w:t>conformity</w:t>
      </w:r>
      <w:r>
        <w:rPr>
          <w:spacing w:val="-11"/>
        </w:rPr>
        <w:t xml:space="preserve"> </w:t>
      </w:r>
      <w:r>
        <w:t>assessment certificates, issued and/or endorsed by the exporting Party, that demonstrate compliance with food standards that are accepted as equivalent to food standards of the importing Party.</w:t>
      </w:r>
    </w:p>
    <w:p w14:paraId="43C9E760" w14:textId="7830CAA4" w:rsidR="004A6A1F" w:rsidRDefault="004A6A1F" w:rsidP="00D06483">
      <w:pPr>
        <w:pStyle w:val="ListParagraph"/>
        <w:numPr>
          <w:ilvl w:val="2"/>
          <w:numId w:val="5"/>
        </w:numPr>
        <w:tabs>
          <w:tab w:val="left" w:pos="709"/>
        </w:tabs>
        <w:spacing w:before="107"/>
        <w:ind w:left="709" w:right="73" w:hanging="709"/>
      </w:pPr>
      <w:r>
        <w:t>Where</w:t>
      </w:r>
      <w:r w:rsidRPr="00E36144">
        <w:t xml:space="preserve"> </w:t>
      </w:r>
      <w:r>
        <w:t>the</w:t>
      </w:r>
      <w:r w:rsidRPr="00E36144">
        <w:t xml:space="preserve"> </w:t>
      </w:r>
      <w:r>
        <w:t>importing</w:t>
      </w:r>
      <w:r w:rsidRPr="00E36144">
        <w:t xml:space="preserve"> </w:t>
      </w:r>
      <w:r>
        <w:t>Party identifies</w:t>
      </w:r>
      <w:r w:rsidRPr="00E36144">
        <w:t xml:space="preserve"> </w:t>
      </w:r>
      <w:r>
        <w:t>or</w:t>
      </w:r>
      <w:r w:rsidRPr="00E36144">
        <w:t xml:space="preserve"> </w:t>
      </w:r>
      <w:r>
        <w:t>suspects</w:t>
      </w:r>
      <w:r w:rsidRPr="00E36144">
        <w:t xml:space="preserve"> </w:t>
      </w:r>
      <w:r>
        <w:t>that</w:t>
      </w:r>
      <w:r w:rsidRPr="00E36144">
        <w:t xml:space="preserve"> </w:t>
      </w:r>
      <w:r>
        <w:t>food</w:t>
      </w:r>
      <w:r w:rsidRPr="00E36144">
        <w:t xml:space="preserve"> </w:t>
      </w:r>
      <w:r>
        <w:t>products,</w:t>
      </w:r>
      <w:r w:rsidRPr="00E36144">
        <w:t xml:space="preserve"> </w:t>
      </w:r>
      <w:r>
        <w:t>in</w:t>
      </w:r>
      <w:r w:rsidRPr="00E36144">
        <w:t xml:space="preserve"> </w:t>
      </w:r>
      <w:r>
        <w:t>respect of the manufacture of which a conformity assessment</w:t>
      </w:r>
      <w:r w:rsidRPr="00E36144">
        <w:t xml:space="preserve"> </w:t>
      </w:r>
      <w:r>
        <w:t>certificate</w:t>
      </w:r>
      <w:r w:rsidRPr="00E36144">
        <w:t xml:space="preserve"> </w:t>
      </w:r>
      <w:r>
        <w:t>has</w:t>
      </w:r>
      <w:r w:rsidRPr="00E36144">
        <w:t xml:space="preserve"> </w:t>
      </w:r>
      <w:r>
        <w:t>been issued and/or endorsed under 3.2.2, do not comply with its relevant mandatory</w:t>
      </w:r>
      <w:r w:rsidRPr="00E36144">
        <w:t xml:space="preserve"> </w:t>
      </w:r>
      <w:r>
        <w:t>requirements, the importing Party may implement measures to ensure</w:t>
      </w:r>
      <w:r w:rsidRPr="00E36144">
        <w:t xml:space="preserve"> </w:t>
      </w:r>
      <w:r>
        <w:t>its</w:t>
      </w:r>
      <w:r w:rsidRPr="00E36144">
        <w:t xml:space="preserve"> </w:t>
      </w:r>
      <w:r>
        <w:t>appropriate</w:t>
      </w:r>
      <w:r w:rsidRPr="00E36144">
        <w:t xml:space="preserve"> </w:t>
      </w:r>
      <w:r>
        <w:t>level</w:t>
      </w:r>
      <w:r w:rsidRPr="00E36144">
        <w:t xml:space="preserve"> </w:t>
      </w:r>
      <w:r>
        <w:t>of</w:t>
      </w:r>
      <w:r w:rsidRPr="00E36144">
        <w:t xml:space="preserve"> </w:t>
      </w:r>
      <w:r>
        <w:t>sanitary</w:t>
      </w:r>
      <w:r w:rsidRPr="00E36144">
        <w:t xml:space="preserve"> </w:t>
      </w:r>
      <w:r>
        <w:t>protection</w:t>
      </w:r>
      <w:r w:rsidRPr="00E36144">
        <w:t xml:space="preserve"> </w:t>
      </w:r>
      <w:r>
        <w:t>or</w:t>
      </w:r>
      <w:r w:rsidRPr="00E36144">
        <w:t xml:space="preserve"> </w:t>
      </w:r>
      <w:r>
        <w:t>regulatory</w:t>
      </w:r>
      <w:r w:rsidRPr="00E36144">
        <w:t xml:space="preserve"> </w:t>
      </w:r>
      <w:r>
        <w:t>objectives are achieved.</w:t>
      </w:r>
    </w:p>
    <w:p w14:paraId="1E7706A4" w14:textId="77777777" w:rsidR="004A6A1F" w:rsidRDefault="004A6A1F" w:rsidP="00100A08">
      <w:pPr>
        <w:pStyle w:val="ListParagraph"/>
        <w:numPr>
          <w:ilvl w:val="2"/>
          <w:numId w:val="5"/>
        </w:numPr>
        <w:tabs>
          <w:tab w:val="left" w:pos="709"/>
        </w:tabs>
        <w:spacing w:before="107" w:after="480"/>
        <w:ind w:left="709" w:right="-57" w:hanging="709"/>
      </w:pPr>
      <w:r>
        <w:t>The regulatory</w:t>
      </w:r>
      <w:r w:rsidRPr="00E36144">
        <w:t xml:space="preserve"> </w:t>
      </w:r>
      <w:r>
        <w:t>authorities designated by</w:t>
      </w:r>
      <w:r w:rsidRPr="00E36144">
        <w:t xml:space="preserve"> </w:t>
      </w:r>
      <w:r>
        <w:t xml:space="preserve">the Parties to </w:t>
      </w:r>
      <w:proofErr w:type="gramStart"/>
      <w:r>
        <w:t>enter into</w:t>
      </w:r>
      <w:proofErr w:type="gramEnd"/>
      <w:r w:rsidRPr="00E36144">
        <w:t xml:space="preserve"> </w:t>
      </w:r>
      <w:r>
        <w:t xml:space="preserve">arrangements on conformity assessment of food products are listed in the Schedule to this </w:t>
      </w:r>
      <w:r w:rsidRPr="00E36144">
        <w:t>Annex.</w:t>
      </w:r>
    </w:p>
    <w:p w14:paraId="46156CB8" w14:textId="77777777" w:rsidR="00E36144" w:rsidRDefault="004A6A1F" w:rsidP="00D50931">
      <w:pPr>
        <w:pStyle w:val="Heading4"/>
      </w:pPr>
      <w:r w:rsidRPr="00E36144">
        <w:t>Changes to Food Standards</w:t>
      </w:r>
    </w:p>
    <w:p w14:paraId="4E26BB09" w14:textId="77777777" w:rsidR="00E36144" w:rsidRPr="00E36144" w:rsidRDefault="004A6A1F" w:rsidP="00100A08">
      <w:pPr>
        <w:pStyle w:val="ListParagraph"/>
        <w:numPr>
          <w:ilvl w:val="1"/>
          <w:numId w:val="4"/>
        </w:numPr>
        <w:tabs>
          <w:tab w:val="left" w:pos="952"/>
        </w:tabs>
        <w:spacing w:after="280"/>
        <w:ind w:left="709" w:right="-57" w:hanging="709"/>
      </w:pPr>
      <w:r w:rsidRPr="00E36144">
        <w:t>In addition to the notification requirements in Article 8.1 of Chapter 5 (Technical</w:t>
      </w:r>
      <w:r w:rsidRPr="00E36144">
        <w:rPr>
          <w:spacing w:val="-10"/>
        </w:rPr>
        <w:t xml:space="preserve"> </w:t>
      </w:r>
      <w:r w:rsidRPr="00E36144">
        <w:t>Regulations</w:t>
      </w:r>
      <w:r w:rsidRPr="00E36144">
        <w:rPr>
          <w:spacing w:val="-7"/>
        </w:rPr>
        <w:t xml:space="preserve"> </w:t>
      </w:r>
      <w:r w:rsidRPr="00E36144">
        <w:t>and</w:t>
      </w:r>
      <w:r w:rsidRPr="00E36144">
        <w:rPr>
          <w:spacing w:val="-6"/>
        </w:rPr>
        <w:t xml:space="preserve"> </w:t>
      </w:r>
      <w:r w:rsidRPr="00E36144">
        <w:t>Sanitary</w:t>
      </w:r>
      <w:r w:rsidRPr="00E36144">
        <w:rPr>
          <w:spacing w:val="-15"/>
        </w:rPr>
        <w:t xml:space="preserve"> </w:t>
      </w:r>
      <w:r w:rsidRPr="00E36144">
        <w:t>and</w:t>
      </w:r>
      <w:r w:rsidRPr="00E36144">
        <w:rPr>
          <w:spacing w:val="-6"/>
        </w:rPr>
        <w:t xml:space="preserve"> </w:t>
      </w:r>
      <w:r w:rsidRPr="00E36144">
        <w:t>Phytosanitary</w:t>
      </w:r>
      <w:r w:rsidRPr="00E36144">
        <w:rPr>
          <w:spacing w:val="-15"/>
        </w:rPr>
        <w:t xml:space="preserve"> </w:t>
      </w:r>
      <w:r w:rsidRPr="00E36144">
        <w:t>Measures),</w:t>
      </w:r>
      <w:r w:rsidRPr="00E36144">
        <w:rPr>
          <w:spacing w:val="-5"/>
        </w:rPr>
        <w:t xml:space="preserve"> </w:t>
      </w:r>
      <w:r w:rsidRPr="00E36144">
        <w:t>each</w:t>
      </w:r>
      <w:r w:rsidRPr="00E36144">
        <w:rPr>
          <w:spacing w:val="-11"/>
        </w:rPr>
        <w:t xml:space="preserve"> </w:t>
      </w:r>
      <w:r w:rsidRPr="00E36144">
        <w:t>Party shall</w:t>
      </w:r>
      <w:r w:rsidRPr="00E36144">
        <w:rPr>
          <w:spacing w:val="40"/>
        </w:rPr>
        <w:t xml:space="preserve"> </w:t>
      </w:r>
      <w:r w:rsidRPr="00E36144">
        <w:t>notify</w:t>
      </w:r>
      <w:r w:rsidRPr="00E36144">
        <w:rPr>
          <w:spacing w:val="40"/>
        </w:rPr>
        <w:t xml:space="preserve"> </w:t>
      </w:r>
      <w:r w:rsidRPr="00E36144">
        <w:t>the other Party</w:t>
      </w:r>
      <w:r w:rsidRPr="00E36144">
        <w:rPr>
          <w:spacing w:val="-5"/>
        </w:rPr>
        <w:t xml:space="preserve"> </w:t>
      </w:r>
      <w:r w:rsidRPr="00E36144">
        <w:t>of</w:t>
      </w:r>
      <w:r w:rsidRPr="00E36144">
        <w:rPr>
          <w:spacing w:val="40"/>
        </w:rPr>
        <w:t xml:space="preserve"> </w:t>
      </w:r>
      <w:r w:rsidRPr="00E36144">
        <w:t>any</w:t>
      </w:r>
      <w:r w:rsidRPr="00E36144">
        <w:rPr>
          <w:spacing w:val="-5"/>
        </w:rPr>
        <w:t xml:space="preserve"> </w:t>
      </w:r>
      <w:r w:rsidRPr="00E36144">
        <w:t>proposed changes to its food standards at least 60 working days before the changes come into effect, unless considerations of public health and safety warrant more urgent action. For urgent</w:t>
      </w:r>
      <w:r w:rsidRPr="00E36144">
        <w:rPr>
          <w:spacing w:val="-15"/>
        </w:rPr>
        <w:t xml:space="preserve"> </w:t>
      </w:r>
      <w:r w:rsidRPr="00E36144">
        <w:t>action,</w:t>
      </w:r>
      <w:r w:rsidRPr="00E36144">
        <w:rPr>
          <w:spacing w:val="-15"/>
        </w:rPr>
        <w:t xml:space="preserve"> </w:t>
      </w:r>
      <w:r w:rsidRPr="00E36144">
        <w:t>such</w:t>
      </w:r>
      <w:r w:rsidRPr="00E36144">
        <w:rPr>
          <w:spacing w:val="-15"/>
        </w:rPr>
        <w:t xml:space="preserve"> </w:t>
      </w:r>
      <w:r w:rsidRPr="00E36144">
        <w:t>notification</w:t>
      </w:r>
      <w:r w:rsidRPr="00E36144">
        <w:rPr>
          <w:spacing w:val="-15"/>
        </w:rPr>
        <w:t xml:space="preserve"> </w:t>
      </w:r>
      <w:r w:rsidRPr="00E36144">
        <w:t>shall</w:t>
      </w:r>
      <w:r w:rsidRPr="00E36144">
        <w:rPr>
          <w:spacing w:val="-15"/>
        </w:rPr>
        <w:t xml:space="preserve"> </w:t>
      </w:r>
      <w:r w:rsidRPr="00E36144">
        <w:t>be</w:t>
      </w:r>
      <w:r w:rsidRPr="00E36144">
        <w:rPr>
          <w:spacing w:val="-15"/>
        </w:rPr>
        <w:t xml:space="preserve"> </w:t>
      </w:r>
      <w:r w:rsidRPr="00E36144">
        <w:t>provided</w:t>
      </w:r>
      <w:r w:rsidRPr="00E36144">
        <w:rPr>
          <w:spacing w:val="-15"/>
        </w:rPr>
        <w:t xml:space="preserve"> </w:t>
      </w:r>
      <w:r w:rsidRPr="00E36144">
        <w:t>to</w:t>
      </w:r>
      <w:r w:rsidRPr="00E36144">
        <w:rPr>
          <w:spacing w:val="-15"/>
        </w:rPr>
        <w:t xml:space="preserve"> </w:t>
      </w:r>
      <w:r w:rsidRPr="00E36144">
        <w:t>the</w:t>
      </w:r>
      <w:r w:rsidRPr="00E36144">
        <w:rPr>
          <w:spacing w:val="-15"/>
        </w:rPr>
        <w:t xml:space="preserve"> </w:t>
      </w:r>
      <w:r w:rsidRPr="00E36144">
        <w:t>exporting</w:t>
      </w:r>
      <w:r w:rsidRPr="00E36144">
        <w:rPr>
          <w:spacing w:val="-15"/>
        </w:rPr>
        <w:t xml:space="preserve"> </w:t>
      </w:r>
      <w:r w:rsidRPr="00E36144">
        <w:t>Party</w:t>
      </w:r>
      <w:r w:rsidRPr="00E36144">
        <w:rPr>
          <w:spacing w:val="-15"/>
        </w:rPr>
        <w:t xml:space="preserve"> </w:t>
      </w:r>
      <w:r w:rsidRPr="00E36144">
        <w:t>at</w:t>
      </w:r>
      <w:r w:rsidRPr="00E36144">
        <w:rPr>
          <w:spacing w:val="-13"/>
        </w:rPr>
        <w:t xml:space="preserve"> </w:t>
      </w:r>
      <w:r w:rsidRPr="00E36144">
        <w:t>least one working day before the changes enter into force.</w:t>
      </w:r>
    </w:p>
    <w:p w14:paraId="0B935065" w14:textId="255F254D" w:rsidR="004A6A1F" w:rsidRDefault="004A6A1F" w:rsidP="00100A08">
      <w:pPr>
        <w:pStyle w:val="ListParagraph"/>
        <w:numPr>
          <w:ilvl w:val="1"/>
          <w:numId w:val="4"/>
        </w:numPr>
        <w:tabs>
          <w:tab w:val="left" w:pos="952"/>
        </w:tabs>
        <w:spacing w:after="480"/>
        <w:ind w:left="709" w:right="-57" w:hanging="709"/>
      </w:pPr>
      <w:r w:rsidRPr="00E36144">
        <w:t>If a food standard of one Party, which has been accepted by the other Party as</w:t>
      </w:r>
      <w:r w:rsidRPr="00E36144">
        <w:rPr>
          <w:spacing w:val="-2"/>
        </w:rPr>
        <w:t xml:space="preserve"> </w:t>
      </w:r>
      <w:r w:rsidRPr="00E36144">
        <w:t>equivalent,</w:t>
      </w:r>
      <w:r w:rsidRPr="00E36144">
        <w:rPr>
          <w:spacing w:val="-2"/>
        </w:rPr>
        <w:t xml:space="preserve"> </w:t>
      </w:r>
      <w:r w:rsidRPr="00E36144">
        <w:t>is</w:t>
      </w:r>
      <w:r w:rsidRPr="00E36144">
        <w:rPr>
          <w:spacing w:val="-2"/>
        </w:rPr>
        <w:t xml:space="preserve"> </w:t>
      </w:r>
      <w:r w:rsidRPr="00E36144">
        <w:t>changed,</w:t>
      </w:r>
      <w:r w:rsidRPr="00E36144">
        <w:rPr>
          <w:spacing w:val="-2"/>
        </w:rPr>
        <w:t xml:space="preserve"> </w:t>
      </w:r>
      <w:r w:rsidRPr="00E36144">
        <w:t>the</w:t>
      </w:r>
      <w:r w:rsidRPr="00E36144">
        <w:rPr>
          <w:spacing w:val="-2"/>
        </w:rPr>
        <w:t xml:space="preserve"> </w:t>
      </w:r>
      <w:r w:rsidRPr="00E36144">
        <w:t>first Party</w:t>
      </w:r>
      <w:r w:rsidRPr="00E36144">
        <w:rPr>
          <w:spacing w:val="-10"/>
        </w:rPr>
        <w:t xml:space="preserve"> </w:t>
      </w:r>
      <w:r w:rsidRPr="00E36144">
        <w:t>shall</w:t>
      </w:r>
      <w:r w:rsidRPr="00E36144">
        <w:rPr>
          <w:spacing w:val="-9"/>
        </w:rPr>
        <w:t xml:space="preserve"> </w:t>
      </w:r>
      <w:r w:rsidRPr="00E36144">
        <w:t>advise</w:t>
      </w:r>
      <w:r w:rsidRPr="00E36144">
        <w:rPr>
          <w:spacing w:val="-6"/>
        </w:rPr>
        <w:t xml:space="preserve"> </w:t>
      </w:r>
      <w:r w:rsidRPr="00E36144">
        <w:t>the</w:t>
      </w:r>
      <w:r w:rsidRPr="00E36144">
        <w:rPr>
          <w:spacing w:val="27"/>
        </w:rPr>
        <w:t xml:space="preserve"> </w:t>
      </w:r>
      <w:r w:rsidRPr="00E36144">
        <w:t>second</w:t>
      </w:r>
      <w:r w:rsidRPr="00E36144">
        <w:rPr>
          <w:spacing w:val="27"/>
        </w:rPr>
        <w:t xml:space="preserve"> </w:t>
      </w:r>
      <w:r w:rsidRPr="00E36144">
        <w:t>Party of this</w:t>
      </w:r>
      <w:r>
        <w:t xml:space="preserve"> change and</w:t>
      </w:r>
      <w:r w:rsidRPr="00E36144">
        <w:rPr>
          <w:spacing w:val="40"/>
        </w:rPr>
        <w:t xml:space="preserve"> </w:t>
      </w:r>
      <w:r>
        <w:t>seek</w:t>
      </w:r>
      <w:r w:rsidRPr="00E36144">
        <w:rPr>
          <w:spacing w:val="40"/>
        </w:rPr>
        <w:t xml:space="preserve"> </w:t>
      </w:r>
      <w:r>
        <w:t>advice</w:t>
      </w:r>
      <w:r w:rsidRPr="00E36144">
        <w:rPr>
          <w:spacing w:val="40"/>
        </w:rPr>
        <w:t xml:space="preserve"> </w:t>
      </w:r>
      <w:r>
        <w:t>as to</w:t>
      </w:r>
      <w:r w:rsidRPr="00E36144">
        <w:rPr>
          <w:spacing w:val="40"/>
        </w:rPr>
        <w:t xml:space="preserve"> </w:t>
      </w:r>
      <w:r>
        <w:t>whether the acceptance of equivalence will need to be determined again.</w:t>
      </w:r>
    </w:p>
    <w:p w14:paraId="552D5F40" w14:textId="12A6E087" w:rsidR="009315A6" w:rsidRDefault="004A6A1F" w:rsidP="00D50931">
      <w:pPr>
        <w:pStyle w:val="Heading4"/>
      </w:pPr>
      <w:r w:rsidRPr="009315A6">
        <w:t>Technical Cooperation and Information Exchange</w:t>
      </w:r>
    </w:p>
    <w:p w14:paraId="581D0C1D" w14:textId="092ED2A5" w:rsidR="009315A6" w:rsidRDefault="004A6A1F" w:rsidP="00D06483">
      <w:pPr>
        <w:pStyle w:val="ListParagraph"/>
        <w:numPr>
          <w:ilvl w:val="1"/>
          <w:numId w:val="4"/>
        </w:numPr>
        <w:spacing w:after="280" w:line="242" w:lineRule="auto"/>
        <w:ind w:left="709" w:right="241" w:hanging="709"/>
      </w:pPr>
      <w:r>
        <w:t>The</w:t>
      </w:r>
      <w:r w:rsidRPr="009315A6">
        <w:t xml:space="preserve"> </w:t>
      </w:r>
      <w:r>
        <w:t>Parties</w:t>
      </w:r>
      <w:r w:rsidRPr="009315A6">
        <w:t xml:space="preserve"> </w:t>
      </w:r>
      <w:r>
        <w:t>shall</w:t>
      </w:r>
      <w:r w:rsidRPr="009315A6">
        <w:t xml:space="preserve"> </w:t>
      </w:r>
      <w:r>
        <w:t>exchange</w:t>
      </w:r>
      <w:r w:rsidRPr="009315A6">
        <w:t xml:space="preserve"> </w:t>
      </w:r>
      <w:r>
        <w:t>information</w:t>
      </w:r>
      <w:r w:rsidRPr="009315A6">
        <w:t xml:space="preserve"> </w:t>
      </w:r>
      <w:r>
        <w:t>on</w:t>
      </w:r>
      <w:r w:rsidRPr="009315A6">
        <w:t xml:space="preserve"> </w:t>
      </w:r>
      <w:r>
        <w:t>matters</w:t>
      </w:r>
      <w:r w:rsidRPr="009315A6">
        <w:t xml:space="preserve"> </w:t>
      </w:r>
      <w:r>
        <w:t>concerning relevant food products, food standards and conformity assessment procedures.</w:t>
      </w:r>
    </w:p>
    <w:p w14:paraId="70523E87" w14:textId="77777777" w:rsidR="009315A6" w:rsidRDefault="004A6A1F" w:rsidP="00100A08">
      <w:pPr>
        <w:pStyle w:val="ListParagraph"/>
        <w:numPr>
          <w:ilvl w:val="1"/>
          <w:numId w:val="4"/>
        </w:numPr>
        <w:spacing w:after="280" w:line="242" w:lineRule="auto"/>
        <w:ind w:left="709" w:right="-57" w:hanging="709"/>
      </w:pPr>
      <w:r>
        <w:t>The Parties shall explore opportunities for joint technical cooperation programmes with a view to developing a joint work programme, consistent with the provisions of Chapter 5 (Technical Regulations and</w:t>
      </w:r>
      <w:r w:rsidRPr="009315A6">
        <w:t xml:space="preserve"> </w:t>
      </w:r>
      <w:r>
        <w:t>Sanitary</w:t>
      </w:r>
      <w:r w:rsidRPr="009315A6">
        <w:t xml:space="preserve"> </w:t>
      </w:r>
      <w:r>
        <w:t>and Phytosanitary Measures).</w:t>
      </w:r>
    </w:p>
    <w:p w14:paraId="4C8BB88F" w14:textId="224868D9" w:rsidR="009315A6" w:rsidRDefault="004A6A1F" w:rsidP="00D06483">
      <w:pPr>
        <w:pStyle w:val="ListParagraph"/>
        <w:numPr>
          <w:ilvl w:val="1"/>
          <w:numId w:val="4"/>
        </w:numPr>
        <w:spacing w:after="280" w:line="237" w:lineRule="auto"/>
        <w:ind w:left="709" w:right="-11" w:hanging="709"/>
      </w:pPr>
      <w:r>
        <w:t>The Parties shall exchange information on emergency recalls of food products</w:t>
      </w:r>
      <w:r w:rsidRPr="009315A6">
        <w:t xml:space="preserve"> </w:t>
      </w:r>
      <w:r>
        <w:t>and</w:t>
      </w:r>
      <w:r w:rsidRPr="009315A6">
        <w:t xml:space="preserve"> </w:t>
      </w:r>
      <w:r>
        <w:t>shall</w:t>
      </w:r>
      <w:r w:rsidRPr="009315A6">
        <w:t xml:space="preserve"> </w:t>
      </w:r>
      <w:r>
        <w:t>identify</w:t>
      </w:r>
      <w:r w:rsidRPr="009315A6">
        <w:t xml:space="preserve"> </w:t>
      </w:r>
      <w:r>
        <w:t>in</w:t>
      </w:r>
      <w:r w:rsidRPr="009315A6">
        <w:t xml:space="preserve"> </w:t>
      </w:r>
      <w:r>
        <w:t>the</w:t>
      </w:r>
      <w:r w:rsidRPr="009315A6">
        <w:t xml:space="preserve"> </w:t>
      </w:r>
      <w:r>
        <w:t>Schedule</w:t>
      </w:r>
      <w:r w:rsidRPr="009315A6">
        <w:t xml:space="preserve"> </w:t>
      </w:r>
      <w:r>
        <w:t>contact</w:t>
      </w:r>
      <w:r w:rsidRPr="009315A6">
        <w:t xml:space="preserve"> </w:t>
      </w:r>
      <w:r>
        <w:t>points</w:t>
      </w:r>
      <w:r w:rsidRPr="009315A6">
        <w:t xml:space="preserve"> </w:t>
      </w:r>
      <w:r>
        <w:t>for</w:t>
      </w:r>
      <w:r w:rsidRPr="009315A6">
        <w:t xml:space="preserve"> </w:t>
      </w:r>
      <w:r>
        <w:t>this</w:t>
      </w:r>
      <w:r w:rsidRPr="009315A6">
        <w:t xml:space="preserve"> </w:t>
      </w:r>
      <w:r>
        <w:t>information.</w:t>
      </w:r>
    </w:p>
    <w:p w14:paraId="387552A5" w14:textId="2D399F5F" w:rsidR="00491E59" w:rsidRDefault="004A6A1F" w:rsidP="00D06483">
      <w:pPr>
        <w:pStyle w:val="ListParagraph"/>
        <w:numPr>
          <w:ilvl w:val="1"/>
          <w:numId w:val="4"/>
        </w:numPr>
        <w:spacing w:after="280" w:line="237" w:lineRule="auto"/>
        <w:ind w:left="709" w:right="171" w:hanging="709"/>
      </w:pPr>
      <w:r>
        <w:t>The</w:t>
      </w:r>
      <w:r w:rsidRPr="009315A6">
        <w:t xml:space="preserve"> </w:t>
      </w:r>
      <w:r>
        <w:t>Parties</w:t>
      </w:r>
      <w:r w:rsidRPr="009315A6">
        <w:t xml:space="preserve"> </w:t>
      </w:r>
      <w:r>
        <w:t>shall</w:t>
      </w:r>
      <w:r w:rsidRPr="009315A6">
        <w:t xml:space="preserve"> </w:t>
      </w:r>
      <w:r>
        <w:t>establish</w:t>
      </w:r>
      <w:r w:rsidRPr="009315A6">
        <w:t xml:space="preserve"> </w:t>
      </w:r>
      <w:r>
        <w:t>contact</w:t>
      </w:r>
      <w:r w:rsidRPr="009315A6">
        <w:t xml:space="preserve"> </w:t>
      </w:r>
      <w:r>
        <w:t>points</w:t>
      </w:r>
      <w:r w:rsidRPr="009315A6">
        <w:t xml:space="preserve"> </w:t>
      </w:r>
      <w:r>
        <w:t>for</w:t>
      </w:r>
      <w:r w:rsidRPr="009315A6">
        <w:t xml:space="preserve"> </w:t>
      </w:r>
      <w:r>
        <w:t>the</w:t>
      </w:r>
      <w:r w:rsidRPr="009315A6">
        <w:t xml:space="preserve"> </w:t>
      </w:r>
      <w:r>
        <w:t>exchange</w:t>
      </w:r>
      <w:r w:rsidRPr="009315A6">
        <w:t xml:space="preserve"> </w:t>
      </w:r>
      <w:r>
        <w:t>of</w:t>
      </w:r>
      <w:r w:rsidRPr="009315A6">
        <w:t xml:space="preserve"> </w:t>
      </w:r>
      <w:r>
        <w:t>information, as</w:t>
      </w:r>
      <w:r w:rsidRPr="009315A6">
        <w:rPr>
          <w:spacing w:val="40"/>
        </w:rPr>
        <w:t xml:space="preserve"> </w:t>
      </w:r>
      <w:r>
        <w:t>appropriate,</w:t>
      </w:r>
      <w:r w:rsidRPr="009315A6">
        <w:rPr>
          <w:spacing w:val="40"/>
        </w:rPr>
        <w:t xml:space="preserve"> </w:t>
      </w:r>
      <w:r>
        <w:t>and</w:t>
      </w:r>
      <w:r w:rsidRPr="009315A6">
        <w:rPr>
          <w:spacing w:val="40"/>
        </w:rPr>
        <w:t xml:space="preserve"> </w:t>
      </w:r>
      <w:r>
        <w:t>shall</w:t>
      </w:r>
      <w:r w:rsidRPr="009315A6">
        <w:rPr>
          <w:spacing w:val="40"/>
        </w:rPr>
        <w:t xml:space="preserve"> </w:t>
      </w:r>
      <w:r>
        <w:t>identify</w:t>
      </w:r>
      <w:r w:rsidRPr="009315A6">
        <w:rPr>
          <w:spacing w:val="40"/>
        </w:rPr>
        <w:t xml:space="preserve"> </w:t>
      </w:r>
      <w:r>
        <w:t>in</w:t>
      </w:r>
      <w:r w:rsidRPr="009315A6">
        <w:rPr>
          <w:spacing w:val="40"/>
        </w:rPr>
        <w:t xml:space="preserve"> </w:t>
      </w:r>
      <w:r>
        <w:t>the</w:t>
      </w:r>
      <w:r w:rsidRPr="009315A6">
        <w:rPr>
          <w:spacing w:val="40"/>
        </w:rPr>
        <w:t xml:space="preserve"> </w:t>
      </w:r>
      <w:r>
        <w:t>Schedule</w:t>
      </w:r>
      <w:r w:rsidRPr="009315A6">
        <w:rPr>
          <w:spacing w:val="40"/>
        </w:rPr>
        <w:t xml:space="preserve"> </w:t>
      </w:r>
      <w:r>
        <w:t>contact</w:t>
      </w:r>
      <w:r w:rsidRPr="009315A6">
        <w:rPr>
          <w:spacing w:val="40"/>
        </w:rPr>
        <w:t xml:space="preserve"> </w:t>
      </w:r>
      <w:r>
        <w:t>points</w:t>
      </w:r>
      <w:r w:rsidRPr="009315A6">
        <w:rPr>
          <w:spacing w:val="40"/>
        </w:rPr>
        <w:t xml:space="preserve"> </w:t>
      </w:r>
      <w:r>
        <w:t>for</w:t>
      </w:r>
      <w:r w:rsidRPr="009315A6">
        <w:rPr>
          <w:spacing w:val="40"/>
        </w:rPr>
        <w:t xml:space="preserve"> </w:t>
      </w:r>
      <w:r>
        <w:t>thi</w:t>
      </w:r>
      <w:r w:rsidR="00491E59">
        <w:t xml:space="preserve">s </w:t>
      </w:r>
    </w:p>
    <w:p w14:paraId="2AADEA6A" w14:textId="77777777" w:rsidR="00491E59" w:rsidRDefault="00491E59">
      <w:pPr>
        <w:spacing w:after="0"/>
        <w:ind w:firstLine="0"/>
        <w:jc w:val="left"/>
      </w:pPr>
      <w:r>
        <w:br w:type="page"/>
      </w:r>
    </w:p>
    <w:p w14:paraId="48A995D6" w14:textId="07F059B3" w:rsidR="004977AE" w:rsidRDefault="004977AE" w:rsidP="00491E59">
      <w:pPr>
        <w:pStyle w:val="ListParagraph"/>
        <w:spacing w:after="280" w:line="237" w:lineRule="auto"/>
        <w:ind w:left="709" w:right="114" w:firstLine="0"/>
      </w:pPr>
      <w:r>
        <w:lastRenderedPageBreak/>
        <w:t>information,</w:t>
      </w:r>
      <w:r w:rsidRPr="00491E59">
        <w:rPr>
          <w:spacing w:val="6"/>
        </w:rPr>
        <w:t xml:space="preserve"> </w:t>
      </w:r>
      <w:r>
        <w:t>in</w:t>
      </w:r>
      <w:r w:rsidRPr="00491E59">
        <w:rPr>
          <w:spacing w:val="-5"/>
        </w:rPr>
        <w:t xml:space="preserve"> </w:t>
      </w:r>
      <w:r>
        <w:t>relation</w:t>
      </w:r>
      <w:r w:rsidRPr="00491E59">
        <w:rPr>
          <w:spacing w:val="-6"/>
        </w:rPr>
        <w:t xml:space="preserve"> </w:t>
      </w:r>
      <w:r>
        <w:t>to</w:t>
      </w:r>
      <w:r w:rsidRPr="00491E59">
        <w:rPr>
          <w:spacing w:val="-4"/>
        </w:rPr>
        <w:t xml:space="preserve"> </w:t>
      </w:r>
      <w:r>
        <w:t>the</w:t>
      </w:r>
      <w:r w:rsidRPr="00491E59">
        <w:rPr>
          <w:spacing w:val="4"/>
        </w:rPr>
        <w:t xml:space="preserve"> </w:t>
      </w:r>
      <w:r w:rsidRPr="00491E59">
        <w:rPr>
          <w:spacing w:val="-2"/>
        </w:rPr>
        <w:t>following:</w:t>
      </w:r>
    </w:p>
    <w:p w14:paraId="12F5E55A" w14:textId="77777777" w:rsidR="004977AE" w:rsidRDefault="004977AE" w:rsidP="00AA7589">
      <w:pPr>
        <w:pStyle w:val="ListParagraph1a"/>
        <w:numPr>
          <w:ilvl w:val="0"/>
          <w:numId w:val="8"/>
        </w:numPr>
        <w:ind w:left="1276" w:hanging="567"/>
      </w:pPr>
      <w:r>
        <w:t>development</w:t>
      </w:r>
      <w:r w:rsidRPr="00491E59">
        <w:rPr>
          <w:spacing w:val="-6"/>
        </w:rPr>
        <w:t xml:space="preserve"> </w:t>
      </w:r>
      <w:r>
        <w:t>of</w:t>
      </w:r>
      <w:r w:rsidRPr="00491E59">
        <w:rPr>
          <w:spacing w:val="-13"/>
        </w:rPr>
        <w:t xml:space="preserve"> </w:t>
      </w:r>
      <w:r>
        <w:t>new food</w:t>
      </w:r>
      <w:r w:rsidRPr="00491E59">
        <w:rPr>
          <w:spacing w:val="-9"/>
        </w:rPr>
        <w:t xml:space="preserve"> </w:t>
      </w:r>
      <w:proofErr w:type="gramStart"/>
      <w:r w:rsidRPr="00491E59">
        <w:rPr>
          <w:spacing w:val="-2"/>
        </w:rPr>
        <w:t>standards;</w:t>
      </w:r>
      <w:proofErr w:type="gramEnd"/>
    </w:p>
    <w:p w14:paraId="20E3CF1F" w14:textId="77777777" w:rsidR="004977AE" w:rsidRDefault="004977AE" w:rsidP="00AA7589">
      <w:pPr>
        <w:pStyle w:val="ListParagraph1a"/>
        <w:numPr>
          <w:ilvl w:val="0"/>
          <w:numId w:val="8"/>
        </w:numPr>
        <w:ind w:left="1276" w:hanging="567"/>
      </w:pPr>
      <w:r>
        <w:t>changes</w:t>
      </w:r>
      <w:r w:rsidRPr="00491E59">
        <w:rPr>
          <w:spacing w:val="-7"/>
        </w:rPr>
        <w:t xml:space="preserve"> </w:t>
      </w:r>
      <w:r>
        <w:t>to existing</w:t>
      </w:r>
      <w:r w:rsidRPr="00491E59">
        <w:rPr>
          <w:spacing w:val="-1"/>
        </w:rPr>
        <w:t xml:space="preserve"> </w:t>
      </w:r>
      <w:r>
        <w:t>food</w:t>
      </w:r>
      <w:r w:rsidRPr="00491E59">
        <w:rPr>
          <w:spacing w:val="-8"/>
        </w:rPr>
        <w:t xml:space="preserve"> </w:t>
      </w:r>
      <w:proofErr w:type="gramStart"/>
      <w:r w:rsidRPr="00491E59">
        <w:rPr>
          <w:spacing w:val="-2"/>
        </w:rPr>
        <w:t>standards;</w:t>
      </w:r>
      <w:proofErr w:type="gramEnd"/>
    </w:p>
    <w:p w14:paraId="79BA865C" w14:textId="77777777" w:rsidR="004977AE" w:rsidRDefault="004977AE" w:rsidP="00AA7589">
      <w:pPr>
        <w:pStyle w:val="ListParagraph1a"/>
        <w:numPr>
          <w:ilvl w:val="0"/>
          <w:numId w:val="8"/>
        </w:numPr>
        <w:ind w:left="1276" w:hanging="567"/>
      </w:pPr>
      <w:r>
        <w:t>food</w:t>
      </w:r>
      <w:r w:rsidRPr="00491E59">
        <w:rPr>
          <w:spacing w:val="-6"/>
        </w:rPr>
        <w:t xml:space="preserve"> </w:t>
      </w:r>
      <w:r>
        <w:t>product</w:t>
      </w:r>
      <w:r w:rsidRPr="00491E59">
        <w:rPr>
          <w:spacing w:val="-6"/>
        </w:rPr>
        <w:t xml:space="preserve"> </w:t>
      </w:r>
      <w:r>
        <w:t>safety</w:t>
      </w:r>
      <w:r w:rsidRPr="00491E59">
        <w:rPr>
          <w:spacing w:val="-9"/>
        </w:rPr>
        <w:t xml:space="preserve"> </w:t>
      </w:r>
      <w:proofErr w:type="gramStart"/>
      <w:r w:rsidRPr="00491E59">
        <w:rPr>
          <w:spacing w:val="-2"/>
        </w:rPr>
        <w:t>information;</w:t>
      </w:r>
      <w:proofErr w:type="gramEnd"/>
    </w:p>
    <w:p w14:paraId="2FA9CBCA" w14:textId="77777777" w:rsidR="004977AE" w:rsidRDefault="004977AE" w:rsidP="00AA7589">
      <w:pPr>
        <w:pStyle w:val="ListParagraph1a"/>
        <w:numPr>
          <w:ilvl w:val="0"/>
          <w:numId w:val="8"/>
        </w:numPr>
        <w:ind w:left="1276" w:hanging="567"/>
      </w:pPr>
      <w:r>
        <w:t>risk</w:t>
      </w:r>
      <w:r w:rsidRPr="00491E59">
        <w:rPr>
          <w:spacing w:val="-5"/>
        </w:rPr>
        <w:t xml:space="preserve"> </w:t>
      </w:r>
      <w:r>
        <w:t>assessments</w:t>
      </w:r>
      <w:r w:rsidRPr="00491E59">
        <w:rPr>
          <w:spacing w:val="-4"/>
        </w:rPr>
        <w:t xml:space="preserve"> </w:t>
      </w:r>
      <w:r>
        <w:t>of</w:t>
      </w:r>
      <w:r w:rsidRPr="00491E59">
        <w:rPr>
          <w:spacing w:val="-10"/>
        </w:rPr>
        <w:t xml:space="preserve"> </w:t>
      </w:r>
      <w:r>
        <w:t>food</w:t>
      </w:r>
      <w:r w:rsidRPr="00491E59">
        <w:rPr>
          <w:spacing w:val="-6"/>
        </w:rPr>
        <w:t xml:space="preserve"> </w:t>
      </w:r>
      <w:r>
        <w:t>products;</w:t>
      </w:r>
      <w:r w:rsidRPr="00491E59">
        <w:rPr>
          <w:spacing w:val="-7"/>
        </w:rPr>
        <w:t xml:space="preserve"> </w:t>
      </w:r>
      <w:r w:rsidRPr="00491E59">
        <w:rPr>
          <w:spacing w:val="-5"/>
        </w:rPr>
        <w:t>and</w:t>
      </w:r>
    </w:p>
    <w:p w14:paraId="183C13EA" w14:textId="77777777" w:rsidR="004977AE" w:rsidRDefault="004977AE" w:rsidP="00100A08">
      <w:pPr>
        <w:pStyle w:val="ListParagraph1a"/>
        <w:numPr>
          <w:ilvl w:val="0"/>
          <w:numId w:val="8"/>
        </w:numPr>
        <w:ind w:left="1276" w:right="-28" w:hanging="567"/>
      </w:pPr>
      <w:r>
        <w:t>any</w:t>
      </w:r>
      <w:r w:rsidRPr="00491E59">
        <w:rPr>
          <w:spacing w:val="31"/>
        </w:rPr>
        <w:t xml:space="preserve"> </w:t>
      </w:r>
      <w:r>
        <w:t>internal</w:t>
      </w:r>
      <w:r w:rsidRPr="00491E59">
        <w:rPr>
          <w:spacing w:val="25"/>
        </w:rPr>
        <w:t xml:space="preserve"> </w:t>
      </w:r>
      <w:r>
        <w:t>guidelines</w:t>
      </w:r>
      <w:r w:rsidRPr="00491E59">
        <w:rPr>
          <w:spacing w:val="32"/>
        </w:rPr>
        <w:t xml:space="preserve"> </w:t>
      </w:r>
      <w:r>
        <w:t>relevant</w:t>
      </w:r>
      <w:r w:rsidRPr="00491E59">
        <w:rPr>
          <w:spacing w:val="2"/>
        </w:rPr>
        <w:t xml:space="preserve"> </w:t>
      </w:r>
      <w:r>
        <w:t>to</w:t>
      </w:r>
      <w:r w:rsidRPr="00491E59">
        <w:rPr>
          <w:spacing w:val="-5"/>
        </w:rPr>
        <w:t xml:space="preserve"> </w:t>
      </w:r>
      <w:r>
        <w:t>the</w:t>
      </w:r>
      <w:r w:rsidRPr="00491E59">
        <w:rPr>
          <w:spacing w:val="-4"/>
        </w:rPr>
        <w:t xml:space="preserve"> </w:t>
      </w:r>
      <w:r>
        <w:t>determination</w:t>
      </w:r>
      <w:r w:rsidRPr="00491E59">
        <w:rPr>
          <w:spacing w:val="26"/>
        </w:rPr>
        <w:t xml:space="preserve"> </w:t>
      </w:r>
      <w:r>
        <w:t>of</w:t>
      </w:r>
      <w:r w:rsidRPr="00491E59">
        <w:rPr>
          <w:spacing w:val="-9"/>
        </w:rPr>
        <w:t xml:space="preserve"> </w:t>
      </w:r>
      <w:r w:rsidRPr="00491E59">
        <w:rPr>
          <w:spacing w:val="-2"/>
        </w:rPr>
        <w:t>equivalence.</w:t>
      </w:r>
    </w:p>
    <w:p w14:paraId="21841D0E" w14:textId="77777777" w:rsidR="004977AE" w:rsidRDefault="004977AE" w:rsidP="00100A08">
      <w:pPr>
        <w:pStyle w:val="ListParagraph"/>
        <w:numPr>
          <w:ilvl w:val="1"/>
          <w:numId w:val="4"/>
        </w:numPr>
        <w:spacing w:after="480" w:line="237" w:lineRule="auto"/>
        <w:ind w:left="709" w:right="-28" w:hanging="709"/>
      </w:pPr>
      <w:r>
        <w:t>The Parties shall seek to improve communications between them in matters relevant to the development of</w:t>
      </w:r>
      <w:r w:rsidRPr="00491E59">
        <w:t xml:space="preserve"> </w:t>
      </w:r>
      <w:r>
        <w:t>domestic food</w:t>
      </w:r>
      <w:r w:rsidRPr="00491E59">
        <w:t xml:space="preserve"> </w:t>
      </w:r>
      <w:r>
        <w:t>standards</w:t>
      </w:r>
      <w:r w:rsidRPr="00491E59">
        <w:t xml:space="preserve"> </w:t>
      </w:r>
      <w:r>
        <w:t>and</w:t>
      </w:r>
      <w:r w:rsidRPr="00491E59">
        <w:t xml:space="preserve"> </w:t>
      </w:r>
      <w:r>
        <w:t>the</w:t>
      </w:r>
      <w:r w:rsidRPr="00491E59">
        <w:t xml:space="preserve"> </w:t>
      </w:r>
      <w:r>
        <w:t>development of international standards and guidelines through the Codex Alimentarius Commission, and the relevant WTO Committees.</w:t>
      </w:r>
    </w:p>
    <w:p w14:paraId="2B8B90A8" w14:textId="77777777" w:rsidR="004977AE" w:rsidRPr="00491E59" w:rsidRDefault="004977AE" w:rsidP="00D50931">
      <w:pPr>
        <w:pStyle w:val="Heading4"/>
      </w:pPr>
      <w:r w:rsidRPr="00491E59">
        <w:t>Review of Annex and Change of Regulatory Authorities</w:t>
      </w:r>
    </w:p>
    <w:p w14:paraId="44C6D1B4" w14:textId="77777777" w:rsidR="004977AE" w:rsidRDefault="004977AE" w:rsidP="00100A08">
      <w:pPr>
        <w:pStyle w:val="ListParagraph"/>
        <w:numPr>
          <w:ilvl w:val="1"/>
          <w:numId w:val="4"/>
        </w:numPr>
        <w:spacing w:after="280" w:line="242" w:lineRule="auto"/>
        <w:ind w:left="709" w:right="-28" w:hanging="709"/>
      </w:pPr>
      <w:r>
        <w:t>The Parties agree to undertake a review of the operation of this Sectoral Annex 24 months after the coming into force of this Sectoral Annex.</w:t>
      </w:r>
    </w:p>
    <w:p w14:paraId="19E761DE" w14:textId="682B70CA" w:rsidR="005E27B6" w:rsidRDefault="004977AE" w:rsidP="00100A08">
      <w:pPr>
        <w:pStyle w:val="ListParagraph"/>
        <w:numPr>
          <w:ilvl w:val="1"/>
          <w:numId w:val="4"/>
        </w:numPr>
        <w:spacing w:after="280" w:line="242" w:lineRule="auto"/>
        <w:ind w:left="709" w:right="-28" w:hanging="709"/>
        <w:rPr>
          <w:spacing w:val="-2"/>
        </w:rPr>
      </w:pPr>
      <w:r>
        <w:t xml:space="preserve">Each Party shall inform the other Party in writing of any change in its regulatory authorities responsible for the implementation of this Sectoral </w:t>
      </w:r>
      <w:r>
        <w:rPr>
          <w:spacing w:val="-2"/>
        </w:rPr>
        <w:t>Annex.</w:t>
      </w:r>
    </w:p>
    <w:p w14:paraId="6592D98F" w14:textId="77777777" w:rsidR="005E27B6" w:rsidRDefault="005E27B6">
      <w:pPr>
        <w:spacing w:after="0"/>
        <w:ind w:firstLine="0"/>
        <w:jc w:val="left"/>
        <w:rPr>
          <w:spacing w:val="-2"/>
        </w:rPr>
      </w:pPr>
      <w:r>
        <w:rPr>
          <w:spacing w:val="-2"/>
        </w:rPr>
        <w:br w:type="page"/>
      </w:r>
    </w:p>
    <w:p w14:paraId="1DCE8DF7" w14:textId="77777777" w:rsidR="005E27B6" w:rsidRPr="00F14498" w:rsidRDefault="005E27B6" w:rsidP="00100A08">
      <w:pPr>
        <w:pStyle w:val="Heading3"/>
        <w:spacing w:after="480"/>
        <w:ind w:right="-170"/>
        <w:jc w:val="both"/>
        <w:rPr>
          <w:i w:val="0"/>
          <w:iCs w:val="0"/>
        </w:rPr>
      </w:pPr>
      <w:r w:rsidRPr="00F14498">
        <w:rPr>
          <w:i w:val="0"/>
          <w:iCs w:val="0"/>
        </w:rPr>
        <w:lastRenderedPageBreak/>
        <w:t>SCHEDULE: DESIGNATED REGULATORY AUTHORITIES AND CONTACT POINTS FOR DETERMINATION OF EQUIVALENCE OF FOOD STANDARDS, PURSUANT TO 3.1.5</w:t>
      </w:r>
    </w:p>
    <w:p w14:paraId="7A903980" w14:textId="77777777" w:rsidR="005E27B6" w:rsidRDefault="005E27B6" w:rsidP="009A37B2">
      <w:pPr>
        <w:ind w:firstLine="0"/>
      </w:pPr>
      <w:r>
        <w:t>For</w:t>
      </w:r>
      <w:r w:rsidRPr="009A37B2">
        <w:t xml:space="preserve"> Singapore:</w:t>
      </w:r>
    </w:p>
    <w:p w14:paraId="7AAD6EBC" w14:textId="77777777" w:rsidR="005E27B6" w:rsidRDefault="005E27B6" w:rsidP="009A37B2">
      <w:pPr>
        <w:spacing w:after="0"/>
      </w:pPr>
      <w:r>
        <w:t>Agri-Food</w:t>
      </w:r>
      <w:r w:rsidRPr="009A37B2">
        <w:t xml:space="preserve"> </w:t>
      </w:r>
      <w:r>
        <w:t>and</w:t>
      </w:r>
      <w:r w:rsidRPr="009A37B2">
        <w:t xml:space="preserve"> </w:t>
      </w:r>
      <w:r>
        <w:t>Veterinary</w:t>
      </w:r>
      <w:r w:rsidRPr="009A37B2">
        <w:t xml:space="preserve"> </w:t>
      </w:r>
      <w:r>
        <w:t>Authority</w:t>
      </w:r>
      <w:r w:rsidRPr="009A37B2">
        <w:t xml:space="preserve"> </w:t>
      </w:r>
      <w:r>
        <w:t>of</w:t>
      </w:r>
      <w:r w:rsidRPr="009A37B2">
        <w:t xml:space="preserve"> Singapore</w:t>
      </w:r>
    </w:p>
    <w:p w14:paraId="434188C4" w14:textId="77777777" w:rsidR="00751097" w:rsidRDefault="005E27B6" w:rsidP="009A37B2">
      <w:pPr>
        <w:spacing w:after="0"/>
      </w:pPr>
      <w:r>
        <w:t>JEM</w:t>
      </w:r>
      <w:r w:rsidRPr="009A37B2">
        <w:t xml:space="preserve"> </w:t>
      </w:r>
      <w:r>
        <w:t>Office</w:t>
      </w:r>
      <w:r w:rsidRPr="009A37B2">
        <w:t xml:space="preserve"> </w:t>
      </w:r>
      <w:r>
        <w:t>Tower,</w:t>
      </w:r>
      <w:r w:rsidRPr="009A37B2">
        <w:t xml:space="preserve"> </w:t>
      </w:r>
      <w:r>
        <w:t>52</w:t>
      </w:r>
      <w:r w:rsidRPr="009A37B2">
        <w:t xml:space="preserve"> </w:t>
      </w:r>
      <w:r>
        <w:t>Jurong Gateway</w:t>
      </w:r>
      <w:r w:rsidRPr="009A37B2">
        <w:t xml:space="preserve"> </w:t>
      </w:r>
      <w:r>
        <w:t>Road</w:t>
      </w:r>
      <w:r w:rsidRPr="009A37B2">
        <w:t xml:space="preserve"> </w:t>
      </w:r>
      <w:r>
        <w:t>#14-01Singapore</w:t>
      </w:r>
      <w:r w:rsidRPr="009A37B2">
        <w:t xml:space="preserve"> </w:t>
      </w:r>
      <w:r>
        <w:t xml:space="preserve">608550 </w:t>
      </w:r>
    </w:p>
    <w:p w14:paraId="6A7E24AB" w14:textId="58334DEE" w:rsidR="005E27B6" w:rsidRDefault="005E27B6" w:rsidP="009A37B2">
      <w:pPr>
        <w:spacing w:after="0"/>
      </w:pPr>
      <w:r w:rsidRPr="009A37B2">
        <w:t>Fax:</w:t>
      </w:r>
      <w:r w:rsidR="00751097" w:rsidRPr="009A37B2">
        <w:t xml:space="preserve"> </w:t>
      </w:r>
      <w:r>
        <w:t>(65) 6334 1831</w:t>
      </w:r>
    </w:p>
    <w:p w14:paraId="63F7D9D2" w14:textId="1291539C" w:rsidR="00751097" w:rsidRDefault="00751097" w:rsidP="009A37B2">
      <w:pPr>
        <w:spacing w:after="0"/>
      </w:pPr>
      <w:r w:rsidRPr="00751097">
        <w:t>Email:</w:t>
      </w:r>
      <w:r w:rsidRPr="009A37B2">
        <w:t xml:space="preserve"> </w:t>
      </w:r>
      <w:r w:rsidRPr="00751097">
        <w:t>AVA_Email@ava.gov.sg</w:t>
      </w:r>
    </w:p>
    <w:p w14:paraId="0451B66D" w14:textId="366C3704" w:rsidR="005E27B6" w:rsidRPr="009A37B2" w:rsidRDefault="005E27B6" w:rsidP="009A37B2">
      <w:pPr>
        <w:spacing w:after="0"/>
        <w:rPr>
          <w:u w:val="single"/>
        </w:rPr>
      </w:pPr>
      <w:r w:rsidRPr="009A37B2">
        <w:rPr>
          <w:u w:val="single"/>
        </w:rPr>
        <w:t>Designated position:</w:t>
      </w:r>
      <w:r w:rsidR="00751097" w:rsidRPr="009A37B2">
        <w:rPr>
          <w:u w:val="single"/>
        </w:rPr>
        <w:t xml:space="preserve"> </w:t>
      </w:r>
    </w:p>
    <w:p w14:paraId="5A591940" w14:textId="77777777" w:rsidR="00751097" w:rsidRDefault="005E27B6" w:rsidP="009A37B2">
      <w:r>
        <w:t>Director-General,</w:t>
      </w:r>
      <w:r w:rsidRPr="009A37B2">
        <w:t xml:space="preserve"> </w:t>
      </w:r>
      <w:r>
        <w:t>Agri-Food</w:t>
      </w:r>
      <w:r w:rsidRPr="009A37B2">
        <w:t xml:space="preserve"> </w:t>
      </w:r>
      <w:r>
        <w:t>and</w:t>
      </w:r>
      <w:r w:rsidRPr="009A37B2">
        <w:t xml:space="preserve"> </w:t>
      </w:r>
      <w:r>
        <w:t>Veterinary</w:t>
      </w:r>
      <w:r w:rsidRPr="009A37B2">
        <w:t xml:space="preserve"> </w:t>
      </w:r>
      <w:r>
        <w:t xml:space="preserve">Services </w:t>
      </w:r>
    </w:p>
    <w:p w14:paraId="4DD02234" w14:textId="2183DA44" w:rsidR="005E27B6" w:rsidRDefault="005E27B6" w:rsidP="009A37B2">
      <w:pPr>
        <w:ind w:firstLine="0"/>
      </w:pPr>
      <w:r>
        <w:t>For Australia:</w:t>
      </w:r>
    </w:p>
    <w:p w14:paraId="0ED2BEC5" w14:textId="77777777" w:rsidR="00AA7589" w:rsidRDefault="005E27B6" w:rsidP="009A37B2">
      <w:pPr>
        <w:spacing w:after="0"/>
      </w:pPr>
      <w:r>
        <w:t>Department</w:t>
      </w:r>
      <w:r w:rsidRPr="009A37B2">
        <w:t xml:space="preserve"> </w:t>
      </w:r>
      <w:r>
        <w:t>of</w:t>
      </w:r>
      <w:r w:rsidRPr="009A37B2">
        <w:t xml:space="preserve"> </w:t>
      </w:r>
      <w:r>
        <w:t>Agriculture</w:t>
      </w:r>
      <w:r w:rsidRPr="009A37B2">
        <w:t xml:space="preserve"> </w:t>
      </w:r>
      <w:r>
        <w:t>and</w:t>
      </w:r>
      <w:r w:rsidRPr="009A37B2">
        <w:t xml:space="preserve"> </w:t>
      </w:r>
      <w:r>
        <w:t>Water</w:t>
      </w:r>
      <w:r w:rsidRPr="009A37B2">
        <w:t xml:space="preserve"> </w:t>
      </w:r>
      <w:r>
        <w:t xml:space="preserve">Resources </w:t>
      </w:r>
    </w:p>
    <w:p w14:paraId="44BCFDFB" w14:textId="29E344CA" w:rsidR="005E27B6" w:rsidRDefault="005E27B6" w:rsidP="009A37B2">
      <w:pPr>
        <w:spacing w:after="0"/>
      </w:pPr>
      <w:r>
        <w:t>GPO Box 858</w:t>
      </w:r>
    </w:p>
    <w:p w14:paraId="3ABD8D7A" w14:textId="77777777" w:rsidR="00AA7589" w:rsidRDefault="005E27B6" w:rsidP="009A37B2">
      <w:pPr>
        <w:spacing w:after="0"/>
      </w:pPr>
      <w:r>
        <w:t>Canberra</w:t>
      </w:r>
      <w:r w:rsidRPr="009A37B2">
        <w:t xml:space="preserve"> </w:t>
      </w:r>
      <w:r>
        <w:t>ACT</w:t>
      </w:r>
      <w:r w:rsidRPr="009A37B2">
        <w:t xml:space="preserve"> </w:t>
      </w:r>
      <w:r>
        <w:t xml:space="preserve">2601 </w:t>
      </w:r>
    </w:p>
    <w:p w14:paraId="13BD2404" w14:textId="45ED46AF" w:rsidR="00751097" w:rsidRPr="009A37B2" w:rsidRDefault="005E27B6" w:rsidP="009A37B2">
      <w:pPr>
        <w:spacing w:after="0"/>
      </w:pPr>
      <w:r w:rsidRPr="009A37B2">
        <w:t xml:space="preserve">Australia </w:t>
      </w:r>
    </w:p>
    <w:p w14:paraId="21685EE7" w14:textId="0A91BAEF" w:rsidR="005E27B6" w:rsidRPr="00DF5109" w:rsidRDefault="005E27B6" w:rsidP="009A37B2">
      <w:pPr>
        <w:spacing w:after="0"/>
        <w:rPr>
          <w:u w:val="single"/>
        </w:rPr>
      </w:pPr>
      <w:r w:rsidRPr="00DF5109">
        <w:rPr>
          <w:u w:val="single"/>
        </w:rPr>
        <w:t>Designated position:</w:t>
      </w:r>
    </w:p>
    <w:p w14:paraId="3C0D79CB" w14:textId="77777777" w:rsidR="005E27B6" w:rsidRDefault="005E27B6" w:rsidP="009A37B2">
      <w:pPr>
        <w:spacing w:after="480"/>
      </w:pPr>
      <w:r>
        <w:t>First</w:t>
      </w:r>
      <w:r w:rsidRPr="009A37B2">
        <w:t xml:space="preserve"> </w:t>
      </w:r>
      <w:r>
        <w:t>Assistant</w:t>
      </w:r>
      <w:r w:rsidRPr="009A37B2">
        <w:t xml:space="preserve"> </w:t>
      </w:r>
      <w:r>
        <w:t>Secretary,</w:t>
      </w:r>
      <w:r w:rsidRPr="009A37B2">
        <w:t xml:space="preserve"> </w:t>
      </w:r>
      <w:r>
        <w:t>Exports</w:t>
      </w:r>
      <w:r w:rsidRPr="009A37B2">
        <w:t xml:space="preserve"> Division</w:t>
      </w:r>
    </w:p>
    <w:p w14:paraId="15807F24" w14:textId="77777777" w:rsidR="005E27B6" w:rsidRPr="00751097" w:rsidRDefault="005E27B6" w:rsidP="00100A08">
      <w:pPr>
        <w:pStyle w:val="Heading3"/>
        <w:spacing w:after="480"/>
        <w:ind w:right="-170"/>
        <w:jc w:val="both"/>
        <w:rPr>
          <w:i w:val="0"/>
          <w:iCs w:val="0"/>
        </w:rPr>
      </w:pPr>
      <w:r w:rsidRPr="00751097">
        <w:rPr>
          <w:i w:val="0"/>
          <w:iCs w:val="0"/>
        </w:rPr>
        <w:t>FOR NEGOTIATION OF CONFORMITY ASSESSMENT ARRANGEMENTS IN RELATION TO FOOD STANDARDS, PURSUANT TO 3.2.4</w:t>
      </w:r>
    </w:p>
    <w:p w14:paraId="20367068" w14:textId="77777777" w:rsidR="005E27B6" w:rsidRDefault="005E27B6" w:rsidP="009A37B2">
      <w:pPr>
        <w:ind w:firstLine="0"/>
      </w:pPr>
      <w:r>
        <w:t>For</w:t>
      </w:r>
      <w:r w:rsidRPr="009A37B2">
        <w:t xml:space="preserve"> Singapore:</w:t>
      </w:r>
    </w:p>
    <w:p w14:paraId="36FC7879" w14:textId="77777777" w:rsidR="005E27B6" w:rsidRDefault="005E27B6" w:rsidP="00DF5109">
      <w:pPr>
        <w:spacing w:after="0"/>
      </w:pPr>
      <w:r>
        <w:t>Agri-Food</w:t>
      </w:r>
      <w:r w:rsidRPr="00DF5109">
        <w:t xml:space="preserve"> </w:t>
      </w:r>
      <w:r>
        <w:t>and</w:t>
      </w:r>
      <w:r w:rsidRPr="00DF5109">
        <w:t xml:space="preserve"> </w:t>
      </w:r>
      <w:r>
        <w:t>Veterinary</w:t>
      </w:r>
      <w:r w:rsidRPr="00DF5109">
        <w:t xml:space="preserve"> </w:t>
      </w:r>
      <w:r>
        <w:t>Authority</w:t>
      </w:r>
      <w:r w:rsidRPr="00DF5109">
        <w:t xml:space="preserve"> </w:t>
      </w:r>
      <w:r>
        <w:t>of</w:t>
      </w:r>
      <w:r w:rsidRPr="00DF5109">
        <w:t xml:space="preserve"> Singapore</w:t>
      </w:r>
    </w:p>
    <w:p w14:paraId="0CC8A653" w14:textId="77777777" w:rsidR="00AA7589" w:rsidRDefault="005E27B6" w:rsidP="00DF5109">
      <w:pPr>
        <w:spacing w:after="0"/>
      </w:pPr>
      <w:r>
        <w:t>JEM</w:t>
      </w:r>
      <w:r w:rsidRPr="00DF5109">
        <w:t xml:space="preserve"> </w:t>
      </w:r>
      <w:r>
        <w:t>Office</w:t>
      </w:r>
      <w:r w:rsidRPr="00DF5109">
        <w:t xml:space="preserve"> </w:t>
      </w:r>
      <w:r>
        <w:t>Tower,</w:t>
      </w:r>
      <w:r w:rsidRPr="00DF5109">
        <w:t xml:space="preserve"> </w:t>
      </w:r>
      <w:r>
        <w:t>52</w:t>
      </w:r>
      <w:r w:rsidRPr="00DF5109">
        <w:t xml:space="preserve"> </w:t>
      </w:r>
      <w:r>
        <w:t>Jurong Gateway</w:t>
      </w:r>
      <w:r w:rsidRPr="00DF5109">
        <w:t xml:space="preserve"> </w:t>
      </w:r>
      <w:r>
        <w:t>Road</w:t>
      </w:r>
      <w:r w:rsidRPr="00DF5109">
        <w:t xml:space="preserve"> </w:t>
      </w:r>
      <w:r>
        <w:t>#14-01</w:t>
      </w:r>
      <w:r w:rsidRPr="00DF5109">
        <w:t xml:space="preserve"> </w:t>
      </w:r>
      <w:r>
        <w:t>Singapore</w:t>
      </w:r>
      <w:r w:rsidRPr="00DF5109">
        <w:t xml:space="preserve"> </w:t>
      </w:r>
      <w:r>
        <w:t xml:space="preserve">608550 </w:t>
      </w:r>
    </w:p>
    <w:p w14:paraId="0EA67946" w14:textId="1995396C" w:rsidR="005E27B6" w:rsidRDefault="005E27B6" w:rsidP="00DF5109">
      <w:pPr>
        <w:spacing w:after="0"/>
      </w:pPr>
      <w:r w:rsidRPr="00DF5109">
        <w:t>Fax:</w:t>
      </w:r>
      <w:r w:rsidR="00AA7589">
        <w:t xml:space="preserve"> </w:t>
      </w:r>
      <w:r>
        <w:t>(65) 6334 1831</w:t>
      </w:r>
    </w:p>
    <w:p w14:paraId="35C1B174" w14:textId="77777777" w:rsidR="00AA7589" w:rsidRDefault="00D50931" w:rsidP="00DF5109">
      <w:pPr>
        <w:spacing w:after="0"/>
      </w:pPr>
      <w:hyperlink r:id="rId8">
        <w:r w:rsidR="005E27B6">
          <w:t>Email:</w:t>
        </w:r>
        <w:r w:rsidR="005E27B6" w:rsidRPr="00DF5109">
          <w:t xml:space="preserve"> </w:t>
        </w:r>
        <w:r w:rsidR="005E27B6">
          <w:t>AVA_Email@ava.gov.sg</w:t>
        </w:r>
      </w:hyperlink>
      <w:r w:rsidR="005E27B6">
        <w:t xml:space="preserve"> </w:t>
      </w:r>
    </w:p>
    <w:p w14:paraId="23873891" w14:textId="08A17993" w:rsidR="005E27B6" w:rsidRPr="00DF5109" w:rsidRDefault="005E27B6" w:rsidP="00DF5109">
      <w:pPr>
        <w:spacing w:after="0"/>
        <w:rPr>
          <w:u w:val="single"/>
        </w:rPr>
      </w:pPr>
      <w:r w:rsidRPr="00DF5109">
        <w:rPr>
          <w:u w:val="single"/>
        </w:rPr>
        <w:t>Designated position:</w:t>
      </w:r>
    </w:p>
    <w:p w14:paraId="678A9A52" w14:textId="77777777" w:rsidR="00751097" w:rsidRDefault="005E27B6" w:rsidP="00DF5109">
      <w:r>
        <w:t>Director-General,</w:t>
      </w:r>
      <w:r w:rsidRPr="00DF5109">
        <w:t xml:space="preserve"> </w:t>
      </w:r>
      <w:r>
        <w:t>Agri-Food</w:t>
      </w:r>
      <w:r w:rsidRPr="00DF5109">
        <w:t xml:space="preserve"> </w:t>
      </w:r>
      <w:r>
        <w:t>and</w:t>
      </w:r>
      <w:r w:rsidRPr="00DF5109">
        <w:t xml:space="preserve"> </w:t>
      </w:r>
      <w:r>
        <w:t>Veterinary</w:t>
      </w:r>
      <w:r w:rsidRPr="00DF5109">
        <w:t xml:space="preserve"> </w:t>
      </w:r>
      <w:r>
        <w:t xml:space="preserve">Services </w:t>
      </w:r>
    </w:p>
    <w:p w14:paraId="1591C6C1" w14:textId="5A1B61FA" w:rsidR="005E27B6" w:rsidRDefault="005E27B6" w:rsidP="00DF5109">
      <w:pPr>
        <w:ind w:firstLine="0"/>
      </w:pPr>
      <w:r>
        <w:t>For Australia:</w:t>
      </w:r>
    </w:p>
    <w:p w14:paraId="3366713D" w14:textId="77777777" w:rsidR="00AA7589" w:rsidRDefault="005E27B6" w:rsidP="009A37B2">
      <w:pPr>
        <w:spacing w:after="0"/>
      </w:pPr>
      <w:r>
        <w:t>Department</w:t>
      </w:r>
      <w:r w:rsidRPr="00DF5109">
        <w:t xml:space="preserve"> </w:t>
      </w:r>
      <w:r>
        <w:t>of</w:t>
      </w:r>
      <w:r w:rsidRPr="00DF5109">
        <w:t xml:space="preserve"> </w:t>
      </w:r>
      <w:r>
        <w:t>Agriculture</w:t>
      </w:r>
      <w:r w:rsidRPr="00DF5109">
        <w:t xml:space="preserve"> </w:t>
      </w:r>
      <w:r>
        <w:t>and</w:t>
      </w:r>
      <w:r w:rsidRPr="00DF5109">
        <w:t xml:space="preserve"> </w:t>
      </w:r>
      <w:r>
        <w:t>Water</w:t>
      </w:r>
      <w:r w:rsidRPr="00DF5109">
        <w:t xml:space="preserve"> </w:t>
      </w:r>
      <w:r>
        <w:t xml:space="preserve">Resources </w:t>
      </w:r>
    </w:p>
    <w:p w14:paraId="148296CF" w14:textId="62C179B1" w:rsidR="005E27B6" w:rsidRDefault="005E27B6" w:rsidP="009A37B2">
      <w:pPr>
        <w:spacing w:after="0"/>
      </w:pPr>
      <w:r>
        <w:t>GPO Box 858</w:t>
      </w:r>
    </w:p>
    <w:p w14:paraId="0F3CC877" w14:textId="77777777" w:rsidR="00AA7589" w:rsidRDefault="005E27B6" w:rsidP="009A37B2">
      <w:pPr>
        <w:spacing w:after="0"/>
      </w:pPr>
      <w:r>
        <w:t>Canberra</w:t>
      </w:r>
      <w:r w:rsidRPr="00DF5109">
        <w:t xml:space="preserve"> </w:t>
      </w:r>
      <w:r>
        <w:t>ACT</w:t>
      </w:r>
      <w:r w:rsidRPr="00DF5109">
        <w:t xml:space="preserve"> </w:t>
      </w:r>
      <w:r>
        <w:t xml:space="preserve">2601 </w:t>
      </w:r>
    </w:p>
    <w:p w14:paraId="010A1724" w14:textId="7B268156" w:rsidR="00AA7589" w:rsidRPr="00DF5109" w:rsidRDefault="005E27B6" w:rsidP="009A37B2">
      <w:pPr>
        <w:spacing w:after="0"/>
      </w:pPr>
      <w:r w:rsidRPr="00DF5109">
        <w:t xml:space="preserve">Australia </w:t>
      </w:r>
    </w:p>
    <w:p w14:paraId="70E03B9E" w14:textId="7C130740" w:rsidR="005E27B6" w:rsidRPr="00DF5109" w:rsidRDefault="005E27B6" w:rsidP="009A37B2">
      <w:pPr>
        <w:spacing w:after="0"/>
        <w:rPr>
          <w:u w:val="single"/>
        </w:rPr>
      </w:pPr>
      <w:r w:rsidRPr="00DF5109">
        <w:rPr>
          <w:u w:val="single"/>
        </w:rPr>
        <w:t>Designated position:</w:t>
      </w:r>
    </w:p>
    <w:p w14:paraId="655C13FB" w14:textId="7080E5D9" w:rsidR="009A37B2" w:rsidRPr="00DF5109" w:rsidRDefault="005E27B6" w:rsidP="009A37B2">
      <w:pPr>
        <w:spacing w:after="0"/>
      </w:pPr>
      <w:r>
        <w:t>First</w:t>
      </w:r>
      <w:r w:rsidRPr="00DF5109">
        <w:t xml:space="preserve"> </w:t>
      </w:r>
      <w:r>
        <w:t>Assistant</w:t>
      </w:r>
      <w:r w:rsidRPr="00DF5109">
        <w:t xml:space="preserve"> </w:t>
      </w:r>
      <w:r>
        <w:t>Secretary,</w:t>
      </w:r>
      <w:r w:rsidRPr="00DF5109">
        <w:t xml:space="preserve"> </w:t>
      </w:r>
      <w:r>
        <w:t>Exports</w:t>
      </w:r>
      <w:r w:rsidRPr="00DF5109">
        <w:t xml:space="preserve"> Division</w:t>
      </w:r>
    </w:p>
    <w:p w14:paraId="1BFE9AFD" w14:textId="77777777" w:rsidR="009A37B2" w:rsidRDefault="009A37B2">
      <w:pPr>
        <w:spacing w:after="0"/>
        <w:ind w:firstLine="0"/>
        <w:jc w:val="left"/>
        <w:rPr>
          <w:spacing w:val="-2"/>
        </w:rPr>
      </w:pPr>
      <w:r>
        <w:rPr>
          <w:spacing w:val="-2"/>
        </w:rPr>
        <w:br w:type="page"/>
      </w:r>
    </w:p>
    <w:p w14:paraId="118C97C8" w14:textId="74A622FD" w:rsidR="009A37B2" w:rsidRPr="009A37B2" w:rsidRDefault="009A37B2" w:rsidP="00E00D58">
      <w:pPr>
        <w:pStyle w:val="Heading3"/>
        <w:spacing w:after="480"/>
        <w:ind w:right="255"/>
        <w:jc w:val="both"/>
        <w:rPr>
          <w:i w:val="0"/>
          <w:iCs w:val="0"/>
        </w:rPr>
      </w:pPr>
      <w:r w:rsidRPr="009A37B2">
        <w:rPr>
          <w:i w:val="0"/>
          <w:iCs w:val="0"/>
        </w:rPr>
        <w:lastRenderedPageBreak/>
        <w:t>FOR EMERGENCY FOOD RECALL INFORMATION, PURSUANT TO</w:t>
      </w:r>
      <w:r w:rsidR="00E00D58">
        <w:rPr>
          <w:i w:val="0"/>
          <w:iCs w:val="0"/>
        </w:rPr>
        <w:t xml:space="preserve"> </w:t>
      </w:r>
      <w:r w:rsidRPr="009A37B2">
        <w:rPr>
          <w:i w:val="0"/>
          <w:iCs w:val="0"/>
        </w:rPr>
        <w:t>5.3</w:t>
      </w:r>
    </w:p>
    <w:p w14:paraId="0BB88C5D" w14:textId="77777777" w:rsidR="009A37B2" w:rsidRDefault="009A37B2" w:rsidP="003467BA">
      <w:pPr>
        <w:ind w:firstLine="0"/>
      </w:pPr>
      <w:r>
        <w:t>For</w:t>
      </w:r>
      <w:r>
        <w:rPr>
          <w:spacing w:val="1"/>
        </w:rPr>
        <w:t xml:space="preserve"> </w:t>
      </w:r>
      <w:r>
        <w:t>Singapore:</w:t>
      </w:r>
    </w:p>
    <w:p w14:paraId="4E046CD9" w14:textId="77777777" w:rsidR="009A37B2" w:rsidRDefault="009A37B2" w:rsidP="00DF5109">
      <w:pPr>
        <w:spacing w:after="0"/>
      </w:pPr>
      <w:r>
        <w:t>Agri-Food</w:t>
      </w:r>
      <w:r w:rsidRPr="00DF5109">
        <w:t xml:space="preserve"> </w:t>
      </w:r>
      <w:r>
        <w:t>and</w:t>
      </w:r>
      <w:r w:rsidRPr="00DF5109">
        <w:t xml:space="preserve"> </w:t>
      </w:r>
      <w:r>
        <w:t>Veterinary</w:t>
      </w:r>
      <w:r w:rsidRPr="00DF5109">
        <w:t xml:space="preserve"> </w:t>
      </w:r>
      <w:r>
        <w:t>Authority</w:t>
      </w:r>
      <w:r w:rsidRPr="00DF5109">
        <w:t xml:space="preserve"> </w:t>
      </w:r>
      <w:r>
        <w:t>of</w:t>
      </w:r>
      <w:r w:rsidRPr="00DF5109">
        <w:t xml:space="preserve"> Singapore</w:t>
      </w:r>
    </w:p>
    <w:p w14:paraId="46ECEF18" w14:textId="77777777" w:rsidR="00DF5109" w:rsidRDefault="009A37B2" w:rsidP="00DF5109">
      <w:pPr>
        <w:spacing w:after="0"/>
      </w:pPr>
      <w:r>
        <w:t>JEM</w:t>
      </w:r>
      <w:r w:rsidRPr="00DF5109">
        <w:t xml:space="preserve"> </w:t>
      </w:r>
      <w:r>
        <w:t>Office</w:t>
      </w:r>
      <w:r w:rsidRPr="00DF5109">
        <w:t xml:space="preserve"> </w:t>
      </w:r>
      <w:r>
        <w:t>Tower,</w:t>
      </w:r>
      <w:r w:rsidRPr="00DF5109">
        <w:t xml:space="preserve"> </w:t>
      </w:r>
      <w:r>
        <w:t>52</w:t>
      </w:r>
      <w:r w:rsidRPr="00DF5109">
        <w:t xml:space="preserve"> </w:t>
      </w:r>
      <w:r>
        <w:t>Jurong Gateway</w:t>
      </w:r>
      <w:r w:rsidRPr="00DF5109">
        <w:t xml:space="preserve"> </w:t>
      </w:r>
      <w:r>
        <w:t>Road</w:t>
      </w:r>
      <w:r w:rsidRPr="00DF5109">
        <w:t xml:space="preserve"> </w:t>
      </w:r>
      <w:r>
        <w:t>#14-01Singapore</w:t>
      </w:r>
      <w:r w:rsidRPr="00DF5109">
        <w:t xml:space="preserve"> </w:t>
      </w:r>
      <w:r>
        <w:t xml:space="preserve">608550 </w:t>
      </w:r>
    </w:p>
    <w:p w14:paraId="1AD0AD2E" w14:textId="5F4DCE37" w:rsidR="009A37B2" w:rsidRDefault="009A37B2" w:rsidP="00DF5109">
      <w:pPr>
        <w:spacing w:after="0"/>
      </w:pPr>
      <w:r w:rsidRPr="00DF5109">
        <w:t>Fax:</w:t>
      </w:r>
      <w:r w:rsidR="00DF5109">
        <w:t xml:space="preserve"> </w:t>
      </w:r>
      <w:r>
        <w:t>(65) 6334 1831</w:t>
      </w:r>
    </w:p>
    <w:p w14:paraId="4DCA58E6" w14:textId="77777777" w:rsidR="00DF5109" w:rsidRDefault="00D50931" w:rsidP="00DF5109">
      <w:pPr>
        <w:spacing w:after="0"/>
      </w:pPr>
      <w:hyperlink r:id="rId9">
        <w:r w:rsidR="009A37B2">
          <w:t>Email:</w:t>
        </w:r>
        <w:r w:rsidR="009A37B2" w:rsidRPr="00DF5109">
          <w:t xml:space="preserve"> </w:t>
        </w:r>
        <w:r w:rsidR="009A37B2">
          <w:t>AVA_Email@ava.gov.sg</w:t>
        </w:r>
      </w:hyperlink>
      <w:r w:rsidR="009A37B2">
        <w:t xml:space="preserve"> </w:t>
      </w:r>
    </w:p>
    <w:p w14:paraId="52908A36" w14:textId="0A9D40C4" w:rsidR="009A37B2" w:rsidRPr="00DF5109" w:rsidRDefault="009A37B2" w:rsidP="00DF5109">
      <w:pPr>
        <w:spacing w:after="0"/>
        <w:rPr>
          <w:u w:val="single"/>
        </w:rPr>
      </w:pPr>
      <w:r w:rsidRPr="00DF5109">
        <w:rPr>
          <w:u w:val="single"/>
        </w:rPr>
        <w:t>Designated position:</w:t>
      </w:r>
    </w:p>
    <w:p w14:paraId="3CE2F105" w14:textId="77777777" w:rsidR="00DF5109" w:rsidRDefault="009A37B2" w:rsidP="00DF5109">
      <w:r>
        <w:t>Director-General,</w:t>
      </w:r>
      <w:r w:rsidRPr="00DF5109">
        <w:t xml:space="preserve"> </w:t>
      </w:r>
      <w:r>
        <w:t>Agri-Food</w:t>
      </w:r>
      <w:r w:rsidRPr="00DF5109">
        <w:t xml:space="preserve"> </w:t>
      </w:r>
      <w:r>
        <w:t>and</w:t>
      </w:r>
      <w:r w:rsidRPr="00DF5109">
        <w:t xml:space="preserve"> </w:t>
      </w:r>
      <w:r>
        <w:t>Veterinary</w:t>
      </w:r>
      <w:r w:rsidRPr="00DF5109">
        <w:t xml:space="preserve"> </w:t>
      </w:r>
      <w:r>
        <w:t xml:space="preserve">Services </w:t>
      </w:r>
    </w:p>
    <w:p w14:paraId="0E1324EB" w14:textId="1F0C7B4D" w:rsidR="009A37B2" w:rsidRDefault="009A37B2" w:rsidP="003467BA">
      <w:pPr>
        <w:ind w:firstLine="0"/>
      </w:pPr>
      <w:r>
        <w:t>For Australia:</w:t>
      </w:r>
    </w:p>
    <w:p w14:paraId="552658A2" w14:textId="77777777" w:rsidR="0073404A" w:rsidRDefault="009A37B2" w:rsidP="00DF5109">
      <w:pPr>
        <w:spacing w:after="0"/>
      </w:pPr>
      <w:r>
        <w:t>Food</w:t>
      </w:r>
      <w:r w:rsidRPr="00DF5109">
        <w:t xml:space="preserve"> </w:t>
      </w:r>
      <w:r>
        <w:t>Standards</w:t>
      </w:r>
      <w:r w:rsidRPr="00DF5109">
        <w:t xml:space="preserve"> </w:t>
      </w:r>
      <w:r>
        <w:t>Australia</w:t>
      </w:r>
      <w:r w:rsidRPr="00DF5109">
        <w:t xml:space="preserve"> </w:t>
      </w:r>
      <w:r>
        <w:t>New</w:t>
      </w:r>
      <w:r w:rsidRPr="00DF5109">
        <w:t xml:space="preserve"> </w:t>
      </w:r>
      <w:r>
        <w:t xml:space="preserve">Zealand </w:t>
      </w:r>
    </w:p>
    <w:p w14:paraId="0F7C030C" w14:textId="60CDE064" w:rsidR="009A37B2" w:rsidRDefault="009A37B2" w:rsidP="00DF5109">
      <w:pPr>
        <w:spacing w:after="0"/>
      </w:pPr>
      <w:r>
        <w:t>PO Box 5423</w:t>
      </w:r>
    </w:p>
    <w:p w14:paraId="4E6E1957" w14:textId="77777777" w:rsidR="0073404A" w:rsidRDefault="009A37B2" w:rsidP="00DF5109">
      <w:pPr>
        <w:spacing w:after="0"/>
      </w:pPr>
      <w:r>
        <w:t>Kingston</w:t>
      </w:r>
      <w:r w:rsidRPr="00DF5109">
        <w:t xml:space="preserve"> </w:t>
      </w:r>
      <w:r>
        <w:t>ACT</w:t>
      </w:r>
      <w:r w:rsidRPr="00DF5109">
        <w:t xml:space="preserve"> </w:t>
      </w:r>
      <w:r>
        <w:t xml:space="preserve">2604 </w:t>
      </w:r>
    </w:p>
    <w:p w14:paraId="238D9544" w14:textId="3B2325CE" w:rsidR="009A37B2" w:rsidRDefault="009A37B2" w:rsidP="00DF5109">
      <w:pPr>
        <w:spacing w:after="0"/>
      </w:pPr>
      <w:r w:rsidRPr="00DF5109">
        <w:t>Australia</w:t>
      </w:r>
    </w:p>
    <w:p w14:paraId="5FE4E050" w14:textId="70CEFFB6" w:rsidR="00DF5109" w:rsidRDefault="009A37B2" w:rsidP="00DF5109">
      <w:pPr>
        <w:spacing w:after="0"/>
      </w:pPr>
      <w:r>
        <w:t>Email:</w:t>
      </w:r>
      <w:r w:rsidRPr="00DF5109">
        <w:t xml:space="preserve"> </w:t>
      </w:r>
      <w:hyperlink r:id="rId10">
        <w:r>
          <w:t>food.recalls@foodstandards.gov.au</w:t>
        </w:r>
      </w:hyperlink>
    </w:p>
    <w:p w14:paraId="09A40422" w14:textId="5F050D87" w:rsidR="009A37B2" w:rsidRDefault="009A37B2" w:rsidP="00DF5109">
      <w:pPr>
        <w:spacing w:after="0"/>
      </w:pPr>
      <w:r w:rsidRPr="00DF5109">
        <w:rPr>
          <w:u w:val="single"/>
        </w:rPr>
        <w:t>Designated position:</w:t>
      </w:r>
    </w:p>
    <w:p w14:paraId="743F4931" w14:textId="77777777" w:rsidR="009A37B2" w:rsidRDefault="009A37B2" w:rsidP="00DF5109">
      <w:pPr>
        <w:spacing w:after="480"/>
      </w:pPr>
      <w:r>
        <w:t>Food</w:t>
      </w:r>
      <w:r w:rsidRPr="00DF5109">
        <w:t xml:space="preserve"> </w:t>
      </w:r>
      <w:r>
        <w:t>Recall</w:t>
      </w:r>
      <w:r w:rsidRPr="00DF5109">
        <w:t xml:space="preserve"> Officer</w:t>
      </w:r>
    </w:p>
    <w:p w14:paraId="2D4923F5" w14:textId="77777777" w:rsidR="009A37B2" w:rsidRPr="009A37B2" w:rsidRDefault="009A37B2" w:rsidP="009A37B2">
      <w:pPr>
        <w:pStyle w:val="Heading3"/>
        <w:spacing w:after="480"/>
        <w:jc w:val="both"/>
        <w:rPr>
          <w:i w:val="0"/>
          <w:iCs w:val="0"/>
        </w:rPr>
      </w:pPr>
      <w:r w:rsidRPr="009A37B2">
        <w:rPr>
          <w:i w:val="0"/>
          <w:iCs w:val="0"/>
        </w:rPr>
        <w:t>FOR EXCHANGE OF INFORMATION, PURSUANT TO 5.4</w:t>
      </w:r>
    </w:p>
    <w:p w14:paraId="021CB7C8" w14:textId="77777777" w:rsidR="009A37B2" w:rsidRDefault="009A37B2" w:rsidP="003467BA">
      <w:pPr>
        <w:ind w:firstLine="0"/>
      </w:pPr>
      <w:r>
        <w:t>For</w:t>
      </w:r>
      <w:r w:rsidRPr="00DF5109">
        <w:t xml:space="preserve"> Singapore:</w:t>
      </w:r>
    </w:p>
    <w:p w14:paraId="34E08818" w14:textId="77777777" w:rsidR="009A37B2" w:rsidRDefault="009A37B2" w:rsidP="00DF5109">
      <w:pPr>
        <w:spacing w:after="0"/>
      </w:pPr>
      <w:r>
        <w:t>Agri-Food</w:t>
      </w:r>
      <w:r w:rsidRPr="00DF5109">
        <w:t xml:space="preserve"> </w:t>
      </w:r>
      <w:r>
        <w:t>and</w:t>
      </w:r>
      <w:r w:rsidRPr="00DF5109">
        <w:t xml:space="preserve"> </w:t>
      </w:r>
      <w:r>
        <w:t>Veterinary</w:t>
      </w:r>
      <w:r w:rsidRPr="00DF5109">
        <w:t xml:space="preserve"> </w:t>
      </w:r>
      <w:r>
        <w:t>Authority</w:t>
      </w:r>
      <w:r w:rsidRPr="00DF5109">
        <w:t xml:space="preserve"> </w:t>
      </w:r>
      <w:r>
        <w:t>of</w:t>
      </w:r>
      <w:r w:rsidRPr="00DF5109">
        <w:t xml:space="preserve"> Singapore</w:t>
      </w:r>
    </w:p>
    <w:p w14:paraId="1407E2EC" w14:textId="77777777" w:rsidR="00DF5109" w:rsidRDefault="009A37B2" w:rsidP="00DF5109">
      <w:pPr>
        <w:spacing w:after="0"/>
      </w:pPr>
      <w:r>
        <w:t>JEM</w:t>
      </w:r>
      <w:r w:rsidRPr="00DF5109">
        <w:t xml:space="preserve"> </w:t>
      </w:r>
      <w:r>
        <w:t>Office</w:t>
      </w:r>
      <w:r w:rsidRPr="00DF5109">
        <w:t xml:space="preserve"> </w:t>
      </w:r>
      <w:r>
        <w:t>Tower,</w:t>
      </w:r>
      <w:r w:rsidRPr="00DF5109">
        <w:t xml:space="preserve"> </w:t>
      </w:r>
      <w:r>
        <w:t>52</w:t>
      </w:r>
      <w:r w:rsidRPr="00DF5109">
        <w:t xml:space="preserve"> </w:t>
      </w:r>
      <w:r>
        <w:t>Jurong Gateway</w:t>
      </w:r>
      <w:r w:rsidRPr="00DF5109">
        <w:t xml:space="preserve"> </w:t>
      </w:r>
      <w:r>
        <w:t>Road</w:t>
      </w:r>
      <w:r w:rsidRPr="00DF5109">
        <w:t xml:space="preserve"> </w:t>
      </w:r>
      <w:r>
        <w:t>#14-01Singapore</w:t>
      </w:r>
      <w:r w:rsidRPr="00DF5109">
        <w:t xml:space="preserve"> </w:t>
      </w:r>
      <w:r>
        <w:t xml:space="preserve">608550 </w:t>
      </w:r>
    </w:p>
    <w:p w14:paraId="24D1D4A4" w14:textId="48F31E97" w:rsidR="009A37B2" w:rsidRDefault="009A37B2" w:rsidP="00DF5109">
      <w:pPr>
        <w:spacing w:after="0"/>
      </w:pPr>
      <w:r w:rsidRPr="00DF5109">
        <w:t>Fax:</w:t>
      </w:r>
      <w:r w:rsidR="00DF5109">
        <w:t xml:space="preserve"> </w:t>
      </w:r>
      <w:r>
        <w:t>(65) 6334 1831</w:t>
      </w:r>
    </w:p>
    <w:p w14:paraId="60CAC2DC" w14:textId="77777777" w:rsidR="00DF5109" w:rsidRDefault="00D50931" w:rsidP="00DF5109">
      <w:pPr>
        <w:spacing w:after="0"/>
      </w:pPr>
      <w:hyperlink r:id="rId11">
        <w:r w:rsidR="009A37B2">
          <w:t>Email:</w:t>
        </w:r>
        <w:r w:rsidR="009A37B2" w:rsidRPr="00DF5109">
          <w:t xml:space="preserve"> </w:t>
        </w:r>
        <w:r w:rsidR="009A37B2">
          <w:t>AVA_Email@ava.gov.sg</w:t>
        </w:r>
      </w:hyperlink>
      <w:r w:rsidR="009A37B2">
        <w:t xml:space="preserve"> </w:t>
      </w:r>
    </w:p>
    <w:p w14:paraId="20D75BD7" w14:textId="31E95E13" w:rsidR="009A37B2" w:rsidRDefault="009A37B2" w:rsidP="00DF5109">
      <w:pPr>
        <w:spacing w:after="0"/>
      </w:pPr>
      <w:r w:rsidRPr="00DF5109">
        <w:t>Designated position:</w:t>
      </w:r>
    </w:p>
    <w:p w14:paraId="09C1CE6D" w14:textId="77777777" w:rsidR="00DF5109" w:rsidRDefault="009A37B2" w:rsidP="00DF5109">
      <w:r>
        <w:t>Director-General,</w:t>
      </w:r>
      <w:r w:rsidRPr="00DF5109">
        <w:t xml:space="preserve"> </w:t>
      </w:r>
      <w:r>
        <w:t>Agri-Food</w:t>
      </w:r>
      <w:r w:rsidRPr="00DF5109">
        <w:t xml:space="preserve"> </w:t>
      </w:r>
      <w:r>
        <w:t>and</w:t>
      </w:r>
      <w:r w:rsidRPr="00DF5109">
        <w:t xml:space="preserve"> </w:t>
      </w:r>
      <w:r>
        <w:t>Veterinary</w:t>
      </w:r>
      <w:r w:rsidRPr="00DF5109">
        <w:t xml:space="preserve"> </w:t>
      </w:r>
      <w:r>
        <w:t xml:space="preserve">Services </w:t>
      </w:r>
    </w:p>
    <w:p w14:paraId="00EB0CCB" w14:textId="6A7E48F5" w:rsidR="009A37B2" w:rsidRDefault="009A37B2" w:rsidP="003467BA">
      <w:pPr>
        <w:ind w:firstLine="0"/>
      </w:pPr>
      <w:r>
        <w:t>For Australia:</w:t>
      </w:r>
    </w:p>
    <w:p w14:paraId="32DBDAD6" w14:textId="77777777" w:rsidR="0073404A" w:rsidRDefault="009A37B2" w:rsidP="00DF5109">
      <w:pPr>
        <w:spacing w:after="0"/>
        <w:jc w:val="left"/>
      </w:pPr>
      <w:r>
        <w:t>Food</w:t>
      </w:r>
      <w:r w:rsidRPr="00DF5109">
        <w:t xml:space="preserve"> </w:t>
      </w:r>
      <w:r>
        <w:t>Standards</w:t>
      </w:r>
      <w:r w:rsidRPr="00DF5109">
        <w:t xml:space="preserve"> </w:t>
      </w:r>
      <w:r>
        <w:t>Australia</w:t>
      </w:r>
      <w:r w:rsidRPr="00DF5109">
        <w:t xml:space="preserve"> </w:t>
      </w:r>
      <w:r>
        <w:t>New</w:t>
      </w:r>
      <w:r w:rsidRPr="00DF5109">
        <w:t xml:space="preserve"> </w:t>
      </w:r>
      <w:r>
        <w:t xml:space="preserve">Zealand </w:t>
      </w:r>
    </w:p>
    <w:p w14:paraId="54567860" w14:textId="143791AA" w:rsidR="009A37B2" w:rsidRDefault="009A37B2" w:rsidP="00DF5109">
      <w:pPr>
        <w:spacing w:after="0"/>
        <w:jc w:val="left"/>
      </w:pPr>
      <w:r>
        <w:t>PO Box 5423</w:t>
      </w:r>
    </w:p>
    <w:p w14:paraId="0588811D" w14:textId="77777777" w:rsidR="0073404A" w:rsidRDefault="009A37B2" w:rsidP="00DF5109">
      <w:pPr>
        <w:spacing w:after="0"/>
        <w:jc w:val="left"/>
      </w:pPr>
      <w:r>
        <w:t>Kingston</w:t>
      </w:r>
      <w:r w:rsidRPr="00DF5109">
        <w:t xml:space="preserve"> </w:t>
      </w:r>
      <w:r>
        <w:t>ACT</w:t>
      </w:r>
      <w:r w:rsidRPr="00DF5109">
        <w:t xml:space="preserve"> </w:t>
      </w:r>
      <w:r>
        <w:t xml:space="preserve">2604 </w:t>
      </w:r>
    </w:p>
    <w:p w14:paraId="1454D04C" w14:textId="3767006F" w:rsidR="009A37B2" w:rsidRDefault="009A37B2" w:rsidP="00DF5109">
      <w:pPr>
        <w:spacing w:after="0"/>
        <w:jc w:val="left"/>
      </w:pPr>
      <w:r w:rsidRPr="00DF5109">
        <w:t>Australia</w:t>
      </w:r>
    </w:p>
    <w:p w14:paraId="0E4F5333" w14:textId="77777777" w:rsidR="0073404A" w:rsidRDefault="009A37B2" w:rsidP="00DF5109">
      <w:pPr>
        <w:spacing w:after="0"/>
        <w:ind w:left="709" w:firstLine="11"/>
        <w:jc w:val="left"/>
      </w:pPr>
      <w:r>
        <w:t>Email:</w:t>
      </w:r>
      <w:r w:rsidRPr="00DF5109">
        <w:t xml:space="preserve"> </w:t>
      </w:r>
      <w:hyperlink r:id="rId12">
        <w:r>
          <w:t>standards.management@foodstandards.gov.au</w:t>
        </w:r>
      </w:hyperlink>
      <w:r>
        <w:t xml:space="preserve"> </w:t>
      </w:r>
    </w:p>
    <w:p w14:paraId="14C7B540" w14:textId="0803A14A" w:rsidR="009A37B2" w:rsidRDefault="009A37B2" w:rsidP="00DF5109">
      <w:pPr>
        <w:spacing w:after="0"/>
        <w:ind w:left="709" w:firstLine="11"/>
        <w:jc w:val="left"/>
      </w:pPr>
      <w:r>
        <w:t xml:space="preserve">Internet site: </w:t>
      </w:r>
      <w:hyperlink r:id="rId13">
        <w:r>
          <w:t>www.foodstandards.gov.au</w:t>
        </w:r>
      </w:hyperlink>
    </w:p>
    <w:p w14:paraId="4C811039" w14:textId="77777777" w:rsidR="009A37B2" w:rsidRPr="0073404A" w:rsidRDefault="009A37B2" w:rsidP="00DF5109">
      <w:pPr>
        <w:spacing w:after="0"/>
        <w:jc w:val="left"/>
        <w:rPr>
          <w:u w:val="single"/>
        </w:rPr>
      </w:pPr>
      <w:r w:rsidRPr="0073404A">
        <w:rPr>
          <w:u w:val="single"/>
        </w:rPr>
        <w:t>Designated position:</w:t>
      </w:r>
    </w:p>
    <w:p w14:paraId="0E58287C" w14:textId="77777777" w:rsidR="009A37B2" w:rsidRDefault="009A37B2" w:rsidP="00DF5109">
      <w:pPr>
        <w:spacing w:after="0"/>
        <w:jc w:val="left"/>
      </w:pPr>
      <w:r>
        <w:t>Standards</w:t>
      </w:r>
      <w:r w:rsidRPr="00DF5109">
        <w:t xml:space="preserve"> </w:t>
      </w:r>
      <w:r>
        <w:t>Management</w:t>
      </w:r>
      <w:r w:rsidRPr="00DF5109">
        <w:t xml:space="preserve"> Officer</w:t>
      </w:r>
    </w:p>
    <w:sectPr w:rsidR="009A37B2" w:rsidSect="004851AF">
      <w:footerReference w:type="default" r:id="rId14"/>
      <w:pgSz w:w="11910" w:h="16840"/>
      <w:pgMar w:top="1338" w:right="1987" w:bottom="1242" w:left="1871" w:header="0" w:footer="7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3E8D6C68" w:rsidR="00B25E2A" w:rsidRPr="00AD2B0D" w:rsidRDefault="00126AA1" w:rsidP="0046437F">
        <w:pPr>
          <w:pStyle w:val="Footer"/>
          <w:ind w:firstLine="0"/>
          <w:jc w:val="center"/>
        </w:pPr>
        <w:r>
          <w:t>ANNEX</w:t>
        </w:r>
        <w:r>
          <w:rPr>
            <w:spacing w:val="-3"/>
          </w:rPr>
          <w:t xml:space="preserve"> </w:t>
        </w:r>
        <w:r>
          <w:t>5A</w:t>
        </w:r>
        <w:r>
          <w:rPr>
            <w:spacing w:val="-6"/>
          </w:rPr>
          <w:t xml:space="preserve"> </w:t>
        </w:r>
        <w:r>
          <w:t>–</w:t>
        </w:r>
        <w:r>
          <w:rPr>
            <w:spacing w:val="-1"/>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2D974A0D" w14:textId="24A0F2F7" w:rsidR="00126AA1" w:rsidRDefault="00126AA1" w:rsidP="00E00D58">
      <w:pPr>
        <w:pStyle w:val="FootnoteText"/>
        <w:spacing w:after="480"/>
        <w:ind w:firstLine="0"/>
      </w:pPr>
      <w:r>
        <w:rPr>
          <w:rStyle w:val="FootnoteReference"/>
        </w:rPr>
        <w:footnoteRef/>
      </w:r>
      <w:r>
        <w:t xml:space="preserve"> For</w:t>
      </w:r>
      <w:r>
        <w:rPr>
          <w:spacing w:val="-3"/>
        </w:rPr>
        <w:t xml:space="preserve"> </w:t>
      </w:r>
      <w:r>
        <w:t>the</w:t>
      </w:r>
      <w:r>
        <w:rPr>
          <w:spacing w:val="-10"/>
        </w:rPr>
        <w:t xml:space="preserve"> </w:t>
      </w:r>
      <w:r>
        <w:t>avoidance</w:t>
      </w:r>
      <w:r>
        <w:rPr>
          <w:spacing w:val="-5"/>
        </w:rPr>
        <w:t xml:space="preserve"> </w:t>
      </w:r>
      <w:r>
        <w:t>of</w:t>
      </w:r>
      <w:r>
        <w:rPr>
          <w:spacing w:val="-6"/>
        </w:rPr>
        <w:t xml:space="preserve"> </w:t>
      </w:r>
      <w:r>
        <w:t>doubt,</w:t>
      </w:r>
      <w:r>
        <w:rPr>
          <w:spacing w:val="-1"/>
        </w:rPr>
        <w:t xml:space="preserve"> </w:t>
      </w:r>
      <w:r>
        <w:t>this</w:t>
      </w:r>
      <w:r>
        <w:rPr>
          <w:spacing w:val="-3"/>
        </w:rPr>
        <w:t xml:space="preserve"> </w:t>
      </w:r>
      <w:r>
        <w:t>Sectoral</w:t>
      </w:r>
      <w:r>
        <w:rPr>
          <w:spacing w:val="-5"/>
        </w:rPr>
        <w:t xml:space="preserve"> </w:t>
      </w:r>
      <w:r>
        <w:t>Annex</w:t>
      </w:r>
      <w:r>
        <w:rPr>
          <w:spacing w:val="-7"/>
        </w:rPr>
        <w:t xml:space="preserve"> </w:t>
      </w:r>
      <w:r>
        <w:t>shall</w:t>
      </w:r>
      <w:r>
        <w:rPr>
          <w:spacing w:val="-9"/>
        </w:rPr>
        <w:t xml:space="preserve"> </w:t>
      </w:r>
      <w:r>
        <w:t>not</w:t>
      </w:r>
      <w:r>
        <w:rPr>
          <w:spacing w:val="-5"/>
        </w:rPr>
        <w:t xml:space="preserve"> </w:t>
      </w:r>
      <w:r>
        <w:t>apply</w:t>
      </w:r>
      <w:r>
        <w:rPr>
          <w:spacing w:val="-12"/>
        </w:rPr>
        <w:t xml:space="preserve"> </w:t>
      </w:r>
      <w:r>
        <w:t>to</w:t>
      </w:r>
      <w:r>
        <w:rPr>
          <w:spacing w:val="-7"/>
        </w:rPr>
        <w:t xml:space="preserve"> </w:t>
      </w:r>
      <w:r>
        <w:t>transhipped</w:t>
      </w:r>
      <w:r>
        <w:rPr>
          <w:spacing w:val="-7"/>
        </w:rPr>
        <w:t xml:space="preserve"> </w:t>
      </w:r>
      <w:r>
        <w:rPr>
          <w:spacing w:val="-2"/>
        </w:rPr>
        <w:t>goods.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770"/>
    <w:multiLevelType w:val="multilevel"/>
    <w:tmpl w:val="3AE0357E"/>
    <w:lvl w:ilvl="0">
      <w:start w:val="3"/>
      <w:numFmt w:val="decimal"/>
      <w:lvlText w:val="%1"/>
      <w:lvlJc w:val="left"/>
      <w:pPr>
        <w:ind w:left="961" w:hanging="721"/>
      </w:pPr>
      <w:rPr>
        <w:rFonts w:hint="default"/>
        <w:lang w:val="en-AU" w:eastAsia="en-US" w:bidi="ar-SA"/>
      </w:rPr>
    </w:lvl>
    <w:lvl w:ilvl="1">
      <w:start w:val="1"/>
      <w:numFmt w:val="decimal"/>
      <w:lvlText w:val="%1.%2"/>
      <w:lvlJc w:val="left"/>
      <w:pPr>
        <w:ind w:left="961" w:hanging="721"/>
      </w:pPr>
      <w:rPr>
        <w:rFonts w:hint="default"/>
        <w:lang w:val="en-AU" w:eastAsia="en-US" w:bidi="ar-SA"/>
      </w:rPr>
    </w:lvl>
    <w:lvl w:ilvl="2">
      <w:start w:val="1"/>
      <w:numFmt w:val="decimal"/>
      <w:lvlText w:val="%1.%2.%3"/>
      <w:lvlJc w:val="left"/>
      <w:pPr>
        <w:ind w:left="961" w:hanging="721"/>
      </w:pPr>
      <w:rPr>
        <w:rFonts w:ascii="Times New Roman" w:eastAsia="Times New Roman" w:hAnsi="Times New Roman" w:cs="Times New Roman" w:hint="default"/>
        <w:b w:val="0"/>
        <w:bCs w:val="0"/>
        <w:i w:val="0"/>
        <w:iCs w:val="0"/>
        <w:w w:val="100"/>
        <w:sz w:val="24"/>
        <w:szCs w:val="24"/>
        <w:lang w:val="en-AU" w:eastAsia="en-US" w:bidi="ar-SA"/>
      </w:rPr>
    </w:lvl>
    <w:lvl w:ilvl="3">
      <w:numFmt w:val="bullet"/>
      <w:lvlText w:val="•"/>
      <w:lvlJc w:val="left"/>
      <w:pPr>
        <w:ind w:left="3235" w:hanging="721"/>
      </w:pPr>
      <w:rPr>
        <w:rFonts w:hint="default"/>
        <w:lang w:val="en-AU" w:eastAsia="en-US" w:bidi="ar-SA"/>
      </w:rPr>
    </w:lvl>
    <w:lvl w:ilvl="4">
      <w:numFmt w:val="bullet"/>
      <w:lvlText w:val="•"/>
      <w:lvlJc w:val="left"/>
      <w:pPr>
        <w:ind w:left="3993" w:hanging="721"/>
      </w:pPr>
      <w:rPr>
        <w:rFonts w:hint="default"/>
        <w:lang w:val="en-AU" w:eastAsia="en-US" w:bidi="ar-SA"/>
      </w:rPr>
    </w:lvl>
    <w:lvl w:ilvl="5">
      <w:numFmt w:val="bullet"/>
      <w:lvlText w:val="•"/>
      <w:lvlJc w:val="left"/>
      <w:pPr>
        <w:ind w:left="4752" w:hanging="721"/>
      </w:pPr>
      <w:rPr>
        <w:rFonts w:hint="default"/>
        <w:lang w:val="en-AU" w:eastAsia="en-US" w:bidi="ar-SA"/>
      </w:rPr>
    </w:lvl>
    <w:lvl w:ilvl="6">
      <w:numFmt w:val="bullet"/>
      <w:lvlText w:val="•"/>
      <w:lvlJc w:val="left"/>
      <w:pPr>
        <w:ind w:left="5510" w:hanging="721"/>
      </w:pPr>
      <w:rPr>
        <w:rFonts w:hint="default"/>
        <w:lang w:val="en-AU" w:eastAsia="en-US" w:bidi="ar-SA"/>
      </w:rPr>
    </w:lvl>
    <w:lvl w:ilvl="7">
      <w:numFmt w:val="bullet"/>
      <w:lvlText w:val="•"/>
      <w:lvlJc w:val="left"/>
      <w:pPr>
        <w:ind w:left="6268" w:hanging="721"/>
      </w:pPr>
      <w:rPr>
        <w:rFonts w:hint="default"/>
        <w:lang w:val="en-AU" w:eastAsia="en-US" w:bidi="ar-SA"/>
      </w:rPr>
    </w:lvl>
    <w:lvl w:ilvl="8">
      <w:numFmt w:val="bullet"/>
      <w:lvlText w:val="•"/>
      <w:lvlJc w:val="left"/>
      <w:pPr>
        <w:ind w:left="7027" w:hanging="721"/>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43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87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646" w:hanging="721"/>
      </w:pPr>
      <w:rPr>
        <w:rFonts w:hint="default"/>
        <w:lang w:val="en-AU" w:eastAsia="en-US" w:bidi="ar-SA"/>
      </w:rPr>
    </w:lvl>
    <w:lvl w:ilvl="3" w:tplc="0FA0E544">
      <w:numFmt w:val="bullet"/>
      <w:lvlText w:val="•"/>
      <w:lvlJc w:val="left"/>
      <w:pPr>
        <w:ind w:left="4422" w:hanging="721"/>
      </w:pPr>
      <w:rPr>
        <w:rFonts w:hint="default"/>
        <w:lang w:val="en-AU" w:eastAsia="en-US" w:bidi="ar-SA"/>
      </w:rPr>
    </w:lvl>
    <w:lvl w:ilvl="4" w:tplc="E8FA4744">
      <w:numFmt w:val="bullet"/>
      <w:lvlText w:val="•"/>
      <w:lvlJc w:val="left"/>
      <w:pPr>
        <w:ind w:left="5198" w:hanging="721"/>
      </w:pPr>
      <w:rPr>
        <w:rFonts w:hint="default"/>
        <w:lang w:val="en-AU" w:eastAsia="en-US" w:bidi="ar-SA"/>
      </w:rPr>
    </w:lvl>
    <w:lvl w:ilvl="5" w:tplc="7856EDA0">
      <w:numFmt w:val="bullet"/>
      <w:lvlText w:val="•"/>
      <w:lvlJc w:val="left"/>
      <w:pPr>
        <w:ind w:left="5974" w:hanging="721"/>
      </w:pPr>
      <w:rPr>
        <w:rFonts w:hint="default"/>
        <w:lang w:val="en-AU" w:eastAsia="en-US" w:bidi="ar-SA"/>
      </w:rPr>
    </w:lvl>
    <w:lvl w:ilvl="6" w:tplc="A6E429BE">
      <w:numFmt w:val="bullet"/>
      <w:lvlText w:val="•"/>
      <w:lvlJc w:val="left"/>
      <w:pPr>
        <w:ind w:left="6750" w:hanging="721"/>
      </w:pPr>
      <w:rPr>
        <w:rFonts w:hint="default"/>
        <w:lang w:val="en-AU" w:eastAsia="en-US" w:bidi="ar-SA"/>
      </w:rPr>
    </w:lvl>
    <w:lvl w:ilvl="7" w:tplc="D898BC5E">
      <w:numFmt w:val="bullet"/>
      <w:lvlText w:val="•"/>
      <w:lvlJc w:val="left"/>
      <w:pPr>
        <w:ind w:left="7526" w:hanging="721"/>
      </w:pPr>
      <w:rPr>
        <w:rFonts w:hint="default"/>
        <w:lang w:val="en-AU" w:eastAsia="en-US" w:bidi="ar-SA"/>
      </w:rPr>
    </w:lvl>
    <w:lvl w:ilvl="8" w:tplc="0C98A972">
      <w:numFmt w:val="bullet"/>
      <w:lvlText w:val="•"/>
      <w:lvlJc w:val="left"/>
      <w:pPr>
        <w:ind w:left="8302" w:hanging="721"/>
      </w:pPr>
      <w:rPr>
        <w:rFonts w:hint="default"/>
        <w:lang w:val="en-AU" w:eastAsia="en-US" w:bidi="ar-SA"/>
      </w:rPr>
    </w:lvl>
  </w:abstractNum>
  <w:abstractNum w:abstractNumId="3" w15:restartNumberingAfterBreak="0">
    <w:nsid w:val="2B6E64C6"/>
    <w:multiLevelType w:val="multilevel"/>
    <w:tmpl w:val="9A3ECFFC"/>
    <w:lvl w:ilvl="0">
      <w:start w:val="2"/>
      <w:numFmt w:val="decimal"/>
      <w:lvlText w:val="%1"/>
      <w:lvlJc w:val="left"/>
      <w:pPr>
        <w:ind w:left="240" w:hanging="557"/>
      </w:pPr>
      <w:rPr>
        <w:rFonts w:hint="default"/>
        <w:lang w:val="en-AU" w:eastAsia="en-US" w:bidi="ar-SA"/>
      </w:rPr>
    </w:lvl>
    <w:lvl w:ilvl="1">
      <w:start w:val="1"/>
      <w:numFmt w:val="decimal"/>
      <w:lvlText w:val="%1.%2"/>
      <w:lvlJc w:val="left"/>
      <w:pPr>
        <w:ind w:left="240" w:hanging="557"/>
      </w:pPr>
      <w:rPr>
        <w:rFonts w:hint="default"/>
        <w:lang w:val="en-AU" w:eastAsia="en-US" w:bidi="ar-SA"/>
      </w:rPr>
    </w:lvl>
    <w:lvl w:ilvl="2">
      <w:start w:val="1"/>
      <w:numFmt w:val="decimal"/>
      <w:lvlText w:val="%1.%2.%3"/>
      <w:lvlJc w:val="left"/>
      <w:pPr>
        <w:ind w:left="240" w:hanging="557"/>
      </w:pPr>
      <w:rPr>
        <w:rFonts w:ascii="Times New Roman" w:eastAsia="Times New Roman" w:hAnsi="Times New Roman" w:cs="Times New Roman" w:hint="default"/>
        <w:b w:val="0"/>
        <w:bCs w:val="0"/>
        <w:i w:val="0"/>
        <w:iCs w:val="0"/>
        <w:w w:val="100"/>
        <w:sz w:val="24"/>
        <w:szCs w:val="24"/>
        <w:lang w:val="en-AU" w:eastAsia="en-US" w:bidi="ar-SA"/>
      </w:rPr>
    </w:lvl>
    <w:lvl w:ilvl="3">
      <w:numFmt w:val="bullet"/>
      <w:lvlText w:val="•"/>
      <w:lvlJc w:val="left"/>
      <w:pPr>
        <w:ind w:left="2731" w:hanging="557"/>
      </w:pPr>
      <w:rPr>
        <w:rFonts w:hint="default"/>
        <w:lang w:val="en-AU" w:eastAsia="en-US" w:bidi="ar-SA"/>
      </w:rPr>
    </w:lvl>
    <w:lvl w:ilvl="4">
      <w:numFmt w:val="bullet"/>
      <w:lvlText w:val="•"/>
      <w:lvlJc w:val="left"/>
      <w:pPr>
        <w:ind w:left="3561" w:hanging="557"/>
      </w:pPr>
      <w:rPr>
        <w:rFonts w:hint="default"/>
        <w:lang w:val="en-AU" w:eastAsia="en-US" w:bidi="ar-SA"/>
      </w:rPr>
    </w:lvl>
    <w:lvl w:ilvl="5">
      <w:numFmt w:val="bullet"/>
      <w:lvlText w:val="•"/>
      <w:lvlJc w:val="left"/>
      <w:pPr>
        <w:ind w:left="4392" w:hanging="557"/>
      </w:pPr>
      <w:rPr>
        <w:rFonts w:hint="default"/>
        <w:lang w:val="en-AU" w:eastAsia="en-US" w:bidi="ar-SA"/>
      </w:rPr>
    </w:lvl>
    <w:lvl w:ilvl="6">
      <w:numFmt w:val="bullet"/>
      <w:lvlText w:val="•"/>
      <w:lvlJc w:val="left"/>
      <w:pPr>
        <w:ind w:left="5222" w:hanging="557"/>
      </w:pPr>
      <w:rPr>
        <w:rFonts w:hint="default"/>
        <w:lang w:val="en-AU" w:eastAsia="en-US" w:bidi="ar-SA"/>
      </w:rPr>
    </w:lvl>
    <w:lvl w:ilvl="7">
      <w:numFmt w:val="bullet"/>
      <w:lvlText w:val="•"/>
      <w:lvlJc w:val="left"/>
      <w:pPr>
        <w:ind w:left="6052" w:hanging="557"/>
      </w:pPr>
      <w:rPr>
        <w:rFonts w:hint="default"/>
        <w:lang w:val="en-AU" w:eastAsia="en-US" w:bidi="ar-SA"/>
      </w:rPr>
    </w:lvl>
    <w:lvl w:ilvl="8">
      <w:numFmt w:val="bullet"/>
      <w:lvlText w:val="•"/>
      <w:lvlJc w:val="left"/>
      <w:pPr>
        <w:ind w:left="6883" w:hanging="557"/>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3B630028"/>
    <w:multiLevelType w:val="multilevel"/>
    <w:tmpl w:val="8EB42400"/>
    <w:lvl w:ilvl="0">
      <w:start w:val="1"/>
      <w:numFmt w:val="decimal"/>
      <w:pStyle w:val="Heading4"/>
      <w:lvlText w:val="%1."/>
      <w:lvlJc w:val="left"/>
      <w:pPr>
        <w:ind w:left="961" w:hanging="721"/>
      </w:pPr>
      <w:rPr>
        <w:rFonts w:ascii="Times New Roman" w:eastAsia="Times New Roman" w:hAnsi="Times New Roman" w:cs="Times New Roman" w:hint="default"/>
        <w:b/>
        <w:bCs/>
        <w:i w:val="0"/>
        <w:iCs w:val="0"/>
        <w:w w:val="100"/>
        <w:sz w:val="24"/>
        <w:szCs w:val="24"/>
        <w:lang w:val="en-AU" w:eastAsia="en-US" w:bidi="ar-SA"/>
      </w:rPr>
    </w:lvl>
    <w:lvl w:ilvl="1">
      <w:start w:val="1"/>
      <w:numFmt w:val="decimal"/>
      <w:lvlText w:val="%1.%2"/>
      <w:lvlJc w:val="left"/>
      <w:pPr>
        <w:ind w:left="961" w:hanging="721"/>
      </w:pPr>
      <w:rPr>
        <w:rFonts w:ascii="Times New Roman" w:eastAsia="Times New Roman" w:hAnsi="Times New Roman" w:cs="Times New Roman" w:hint="default"/>
        <w:b w:val="0"/>
        <w:bCs w:val="0"/>
        <w:i w:val="0"/>
        <w:iCs w:val="0"/>
        <w:w w:val="100"/>
        <w:sz w:val="24"/>
        <w:szCs w:val="24"/>
        <w:lang w:val="en-AU" w:eastAsia="en-US" w:bidi="ar-SA"/>
      </w:rPr>
    </w:lvl>
    <w:lvl w:ilvl="2">
      <w:start w:val="1"/>
      <w:numFmt w:val="lowerLetter"/>
      <w:lvlText w:val="(%3)"/>
      <w:lvlJc w:val="left"/>
      <w:pPr>
        <w:ind w:left="961" w:hanging="702"/>
      </w:pPr>
      <w:rPr>
        <w:rFonts w:ascii="Times New Roman" w:eastAsia="Times New Roman" w:hAnsi="Times New Roman" w:cs="Times New Roman" w:hint="default"/>
        <w:b w:val="0"/>
        <w:bCs w:val="0"/>
        <w:i w:val="0"/>
        <w:iCs w:val="0"/>
        <w:spacing w:val="-1"/>
        <w:w w:val="99"/>
        <w:sz w:val="24"/>
        <w:szCs w:val="24"/>
        <w:lang w:val="en-AU" w:eastAsia="en-US" w:bidi="ar-SA"/>
      </w:rPr>
    </w:lvl>
    <w:lvl w:ilvl="3">
      <w:numFmt w:val="bullet"/>
      <w:lvlText w:val="•"/>
      <w:lvlJc w:val="left"/>
      <w:pPr>
        <w:ind w:left="2398" w:hanging="702"/>
      </w:pPr>
      <w:rPr>
        <w:rFonts w:hint="default"/>
        <w:lang w:val="en-AU" w:eastAsia="en-US" w:bidi="ar-SA"/>
      </w:rPr>
    </w:lvl>
    <w:lvl w:ilvl="4">
      <w:numFmt w:val="bullet"/>
      <w:lvlText w:val="•"/>
      <w:lvlJc w:val="left"/>
      <w:pPr>
        <w:ind w:left="3276" w:hanging="702"/>
      </w:pPr>
      <w:rPr>
        <w:rFonts w:hint="default"/>
        <w:lang w:val="en-AU" w:eastAsia="en-US" w:bidi="ar-SA"/>
      </w:rPr>
    </w:lvl>
    <w:lvl w:ilvl="5">
      <w:numFmt w:val="bullet"/>
      <w:lvlText w:val="•"/>
      <w:lvlJc w:val="left"/>
      <w:pPr>
        <w:ind w:left="4154" w:hanging="702"/>
      </w:pPr>
      <w:rPr>
        <w:rFonts w:hint="default"/>
        <w:lang w:val="en-AU" w:eastAsia="en-US" w:bidi="ar-SA"/>
      </w:rPr>
    </w:lvl>
    <w:lvl w:ilvl="6">
      <w:numFmt w:val="bullet"/>
      <w:lvlText w:val="•"/>
      <w:lvlJc w:val="left"/>
      <w:pPr>
        <w:ind w:left="5032" w:hanging="702"/>
      </w:pPr>
      <w:rPr>
        <w:rFonts w:hint="default"/>
        <w:lang w:val="en-AU" w:eastAsia="en-US" w:bidi="ar-SA"/>
      </w:rPr>
    </w:lvl>
    <w:lvl w:ilvl="7">
      <w:numFmt w:val="bullet"/>
      <w:lvlText w:val="•"/>
      <w:lvlJc w:val="left"/>
      <w:pPr>
        <w:ind w:left="5910" w:hanging="702"/>
      </w:pPr>
      <w:rPr>
        <w:rFonts w:hint="default"/>
        <w:lang w:val="en-AU" w:eastAsia="en-US" w:bidi="ar-SA"/>
      </w:rPr>
    </w:lvl>
    <w:lvl w:ilvl="8">
      <w:numFmt w:val="bullet"/>
      <w:lvlText w:val="•"/>
      <w:lvlJc w:val="left"/>
      <w:pPr>
        <w:ind w:left="6788" w:hanging="702"/>
      </w:pPr>
      <w:rPr>
        <w:rFonts w:hint="default"/>
        <w:lang w:val="en-AU" w:eastAsia="en-US" w:bidi="ar-SA"/>
      </w:rPr>
    </w:lvl>
  </w:abstractNum>
  <w:abstractNum w:abstractNumId="6" w15:restartNumberingAfterBreak="0">
    <w:nsid w:val="6202444C"/>
    <w:multiLevelType w:val="multilevel"/>
    <w:tmpl w:val="B5B6C006"/>
    <w:lvl w:ilvl="0">
      <w:start w:val="3"/>
      <w:numFmt w:val="decimal"/>
      <w:lvlText w:val="%1"/>
      <w:lvlJc w:val="left"/>
      <w:pPr>
        <w:ind w:left="961" w:hanging="721"/>
      </w:pPr>
      <w:rPr>
        <w:rFonts w:hint="default"/>
        <w:lang w:val="en-AU" w:eastAsia="en-US" w:bidi="ar-SA"/>
      </w:rPr>
    </w:lvl>
    <w:lvl w:ilvl="1">
      <w:start w:val="2"/>
      <w:numFmt w:val="decimal"/>
      <w:lvlText w:val="%1.%2"/>
      <w:lvlJc w:val="left"/>
      <w:pPr>
        <w:ind w:left="961" w:hanging="721"/>
      </w:pPr>
      <w:rPr>
        <w:rFonts w:hint="default"/>
        <w:lang w:val="en-AU" w:eastAsia="en-US" w:bidi="ar-SA"/>
      </w:rPr>
    </w:lvl>
    <w:lvl w:ilvl="2">
      <w:start w:val="1"/>
      <w:numFmt w:val="decimal"/>
      <w:lvlText w:val="%1.%2.%3"/>
      <w:lvlJc w:val="left"/>
      <w:pPr>
        <w:ind w:left="961" w:hanging="721"/>
      </w:pPr>
      <w:rPr>
        <w:rFonts w:ascii="Times New Roman" w:eastAsia="Times New Roman" w:hAnsi="Times New Roman" w:cs="Times New Roman" w:hint="default"/>
        <w:b w:val="0"/>
        <w:bCs w:val="0"/>
        <w:i w:val="0"/>
        <w:iCs w:val="0"/>
        <w:w w:val="100"/>
        <w:sz w:val="24"/>
        <w:szCs w:val="24"/>
        <w:lang w:val="en-AU" w:eastAsia="en-US" w:bidi="ar-SA"/>
      </w:rPr>
    </w:lvl>
    <w:lvl w:ilvl="3">
      <w:numFmt w:val="bullet"/>
      <w:lvlText w:val="•"/>
      <w:lvlJc w:val="left"/>
      <w:pPr>
        <w:ind w:left="3235" w:hanging="721"/>
      </w:pPr>
      <w:rPr>
        <w:rFonts w:hint="default"/>
        <w:lang w:val="en-AU" w:eastAsia="en-US" w:bidi="ar-SA"/>
      </w:rPr>
    </w:lvl>
    <w:lvl w:ilvl="4">
      <w:numFmt w:val="bullet"/>
      <w:lvlText w:val="•"/>
      <w:lvlJc w:val="left"/>
      <w:pPr>
        <w:ind w:left="3993" w:hanging="721"/>
      </w:pPr>
      <w:rPr>
        <w:rFonts w:hint="default"/>
        <w:lang w:val="en-AU" w:eastAsia="en-US" w:bidi="ar-SA"/>
      </w:rPr>
    </w:lvl>
    <w:lvl w:ilvl="5">
      <w:numFmt w:val="bullet"/>
      <w:lvlText w:val="•"/>
      <w:lvlJc w:val="left"/>
      <w:pPr>
        <w:ind w:left="4752" w:hanging="721"/>
      </w:pPr>
      <w:rPr>
        <w:rFonts w:hint="default"/>
        <w:lang w:val="en-AU" w:eastAsia="en-US" w:bidi="ar-SA"/>
      </w:rPr>
    </w:lvl>
    <w:lvl w:ilvl="6">
      <w:numFmt w:val="bullet"/>
      <w:lvlText w:val="•"/>
      <w:lvlJc w:val="left"/>
      <w:pPr>
        <w:ind w:left="5510" w:hanging="721"/>
      </w:pPr>
      <w:rPr>
        <w:rFonts w:hint="default"/>
        <w:lang w:val="en-AU" w:eastAsia="en-US" w:bidi="ar-SA"/>
      </w:rPr>
    </w:lvl>
    <w:lvl w:ilvl="7">
      <w:numFmt w:val="bullet"/>
      <w:lvlText w:val="•"/>
      <w:lvlJc w:val="left"/>
      <w:pPr>
        <w:ind w:left="6268" w:hanging="721"/>
      </w:pPr>
      <w:rPr>
        <w:rFonts w:hint="default"/>
        <w:lang w:val="en-AU" w:eastAsia="en-US" w:bidi="ar-SA"/>
      </w:rPr>
    </w:lvl>
    <w:lvl w:ilvl="8">
      <w:numFmt w:val="bullet"/>
      <w:lvlText w:val="•"/>
      <w:lvlJc w:val="left"/>
      <w:pPr>
        <w:ind w:left="7027" w:hanging="721"/>
      </w:pPr>
      <w:rPr>
        <w:rFonts w:hint="default"/>
        <w:lang w:val="en-AU" w:eastAsia="en-US" w:bidi="ar-SA"/>
      </w:rPr>
    </w:lvl>
  </w:abstractNum>
  <w:num w:numId="1" w16cid:durableId="2114855007">
    <w:abstractNumId w:val="1"/>
  </w:num>
  <w:num w:numId="2" w16cid:durableId="467941177">
    <w:abstractNumId w:val="2"/>
  </w:num>
  <w:num w:numId="3" w16cid:durableId="1107507213">
    <w:abstractNumId w:val="4"/>
  </w:num>
  <w:num w:numId="4" w16cid:durableId="1894391911">
    <w:abstractNumId w:val="5"/>
  </w:num>
  <w:num w:numId="5" w16cid:durableId="1728608837">
    <w:abstractNumId w:val="6"/>
  </w:num>
  <w:num w:numId="6" w16cid:durableId="1918635367">
    <w:abstractNumId w:val="0"/>
  </w:num>
  <w:num w:numId="7" w16cid:durableId="1662193082">
    <w:abstractNumId w:val="3"/>
  </w:num>
  <w:num w:numId="8" w16cid:durableId="2086297991">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459E"/>
    <w:rsid w:val="0002304F"/>
    <w:rsid w:val="00043157"/>
    <w:rsid w:val="000460EF"/>
    <w:rsid w:val="000A6A10"/>
    <w:rsid w:val="000B0FB0"/>
    <w:rsid w:val="000B378E"/>
    <w:rsid w:val="000B798A"/>
    <w:rsid w:val="000D72B1"/>
    <w:rsid w:val="000E0519"/>
    <w:rsid w:val="000E3A06"/>
    <w:rsid w:val="000E684B"/>
    <w:rsid w:val="00100A08"/>
    <w:rsid w:val="001111BF"/>
    <w:rsid w:val="00116E51"/>
    <w:rsid w:val="00126AA1"/>
    <w:rsid w:val="00222ED2"/>
    <w:rsid w:val="002549DC"/>
    <w:rsid w:val="00297AD2"/>
    <w:rsid w:val="002B404D"/>
    <w:rsid w:val="002B7EF9"/>
    <w:rsid w:val="002C19F3"/>
    <w:rsid w:val="0032168E"/>
    <w:rsid w:val="003467BA"/>
    <w:rsid w:val="003A03B7"/>
    <w:rsid w:val="003C6FE0"/>
    <w:rsid w:val="004016B6"/>
    <w:rsid w:val="00410445"/>
    <w:rsid w:val="00430A96"/>
    <w:rsid w:val="0045038C"/>
    <w:rsid w:val="0046437F"/>
    <w:rsid w:val="00473F0E"/>
    <w:rsid w:val="004851AF"/>
    <w:rsid w:val="00491E59"/>
    <w:rsid w:val="004977AE"/>
    <w:rsid w:val="004A4772"/>
    <w:rsid w:val="004A6A1F"/>
    <w:rsid w:val="004B3DE8"/>
    <w:rsid w:val="004E4CE2"/>
    <w:rsid w:val="004F47B1"/>
    <w:rsid w:val="00506E46"/>
    <w:rsid w:val="0051524E"/>
    <w:rsid w:val="00532742"/>
    <w:rsid w:val="00542CCA"/>
    <w:rsid w:val="00552D09"/>
    <w:rsid w:val="005B7139"/>
    <w:rsid w:val="005E27B6"/>
    <w:rsid w:val="005F78C4"/>
    <w:rsid w:val="00604579"/>
    <w:rsid w:val="00621307"/>
    <w:rsid w:val="00625487"/>
    <w:rsid w:val="0066044E"/>
    <w:rsid w:val="00660BA9"/>
    <w:rsid w:val="00665084"/>
    <w:rsid w:val="00697317"/>
    <w:rsid w:val="006A43E8"/>
    <w:rsid w:val="006F02C8"/>
    <w:rsid w:val="0073404A"/>
    <w:rsid w:val="00741225"/>
    <w:rsid w:val="00751097"/>
    <w:rsid w:val="00756ED0"/>
    <w:rsid w:val="00765484"/>
    <w:rsid w:val="007A79DE"/>
    <w:rsid w:val="007C0BB0"/>
    <w:rsid w:val="007F777F"/>
    <w:rsid w:val="0080461C"/>
    <w:rsid w:val="008343E4"/>
    <w:rsid w:val="00857CBA"/>
    <w:rsid w:val="009035ED"/>
    <w:rsid w:val="0092384E"/>
    <w:rsid w:val="009315A6"/>
    <w:rsid w:val="00933A67"/>
    <w:rsid w:val="00955A74"/>
    <w:rsid w:val="00970509"/>
    <w:rsid w:val="00971B8C"/>
    <w:rsid w:val="009A37B2"/>
    <w:rsid w:val="009A4584"/>
    <w:rsid w:val="009A6B22"/>
    <w:rsid w:val="009F10AB"/>
    <w:rsid w:val="00A0470C"/>
    <w:rsid w:val="00A06998"/>
    <w:rsid w:val="00A172F4"/>
    <w:rsid w:val="00A567BD"/>
    <w:rsid w:val="00A768A1"/>
    <w:rsid w:val="00A8766A"/>
    <w:rsid w:val="00A9717F"/>
    <w:rsid w:val="00AA2FF8"/>
    <w:rsid w:val="00AA6055"/>
    <w:rsid w:val="00AA7589"/>
    <w:rsid w:val="00AB1AA9"/>
    <w:rsid w:val="00AD2B0D"/>
    <w:rsid w:val="00AE548D"/>
    <w:rsid w:val="00B05366"/>
    <w:rsid w:val="00B25E2A"/>
    <w:rsid w:val="00BB7129"/>
    <w:rsid w:val="00BD3938"/>
    <w:rsid w:val="00C07241"/>
    <w:rsid w:val="00C4363E"/>
    <w:rsid w:val="00C819B9"/>
    <w:rsid w:val="00CA69D1"/>
    <w:rsid w:val="00CC3C90"/>
    <w:rsid w:val="00CE2A8E"/>
    <w:rsid w:val="00D06483"/>
    <w:rsid w:val="00D37000"/>
    <w:rsid w:val="00D50931"/>
    <w:rsid w:val="00D65CFB"/>
    <w:rsid w:val="00D93FD9"/>
    <w:rsid w:val="00DD0C73"/>
    <w:rsid w:val="00DD6D20"/>
    <w:rsid w:val="00DF5109"/>
    <w:rsid w:val="00DF6F0F"/>
    <w:rsid w:val="00E00D58"/>
    <w:rsid w:val="00E24807"/>
    <w:rsid w:val="00E36144"/>
    <w:rsid w:val="00E513D7"/>
    <w:rsid w:val="00E74936"/>
    <w:rsid w:val="00E80442"/>
    <w:rsid w:val="00F03652"/>
    <w:rsid w:val="00F14498"/>
    <w:rsid w:val="00F31F88"/>
    <w:rsid w:val="00F541BD"/>
    <w:rsid w:val="00F56811"/>
    <w:rsid w:val="00F76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00459E"/>
    <w:pPr>
      <w:spacing w:before="78" w:after="480"/>
      <w:ind w:firstLine="0"/>
      <w:jc w:val="center"/>
      <w:outlineLvl w:val="0"/>
    </w:pPr>
    <w:rPr>
      <w:b/>
      <w:bCs/>
      <w:w w:val="95"/>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ListParagraph"/>
    <w:next w:val="Normal"/>
    <w:link w:val="Heading4Char"/>
    <w:uiPriority w:val="9"/>
    <w:unhideWhenUsed/>
    <w:qFormat/>
    <w:rsid w:val="004A4772"/>
    <w:pPr>
      <w:numPr>
        <w:numId w:val="4"/>
      </w:numPr>
      <w:ind w:left="680" w:hanging="6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4A4772"/>
    <w:pPr>
      <w:numPr>
        <w:numId w:val="2"/>
      </w:numPr>
      <w:ind w:left="1531" w:right="45" w:hanging="68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4A4772"/>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4A4772"/>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751097"/>
    <w:rPr>
      <w:color w:val="0000FF" w:themeColor="hyperlink"/>
      <w:u w:val="single"/>
    </w:rPr>
  </w:style>
  <w:style w:type="character" w:styleId="UnresolvedMention">
    <w:name w:val="Unresolved Mention"/>
    <w:basedOn w:val="DefaultParagraphFont"/>
    <w:uiPriority w:val="99"/>
    <w:semiHidden/>
    <w:unhideWhenUsed/>
    <w:rsid w:val="00751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VA_Email@ava.gov.sg" TargetMode="External"/><Relationship Id="rId13" Type="http://schemas.openxmlformats.org/officeDocument/2006/relationships/hyperlink" Target="http://www.foodstandard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ards.management@foodstandard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A_Email@ava.gov.s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od.recalls@foodstandards.gov.au" TargetMode="External"/><Relationship Id="rId4" Type="http://schemas.openxmlformats.org/officeDocument/2006/relationships/settings" Target="settings.xml"/><Relationship Id="rId9" Type="http://schemas.openxmlformats.org/officeDocument/2006/relationships/hyperlink" Target="mailto:AVA_Email@ava.gov.s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SAFTA Annexes - 5-A: Sectoral Annex on Food Products</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- 5-A: Sectoral Annex on Food Products</dc:title>
  <dc:creator>DFAT</dc:creator>
  <cp:lastModifiedBy>Embellish Creative - Linda Needs</cp:lastModifiedBy>
  <cp:revision>3</cp:revision>
  <cp:lastPrinted>2022-06-03T02:34:00Z</cp:lastPrinted>
  <dcterms:created xsi:type="dcterms:W3CDTF">2022-06-17T04:02:00Z</dcterms:created>
  <dcterms:modified xsi:type="dcterms:W3CDTF">2022-06-17T04:12:00Z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