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76977174" w:displacedByCustomXml="next"/>
    <w:sdt>
      <w:sdtPr>
        <w:rPr>
          <w:rFonts w:asciiTheme="minorHAnsi" w:eastAsiaTheme="minorHAnsi" w:hAnsiTheme="minorHAnsi" w:cstheme="minorBidi"/>
          <w:color w:val="auto"/>
          <w:kern w:val="0"/>
          <w:sz w:val="22"/>
          <w:szCs w:val="22"/>
          <w:lang w:val="en-US"/>
          <w14:ligatures w14:val="none"/>
        </w:rPr>
        <w:id w:val="344678655"/>
        <w:docPartObj>
          <w:docPartGallery w:val="Cover Pages"/>
          <w:docPartUnique/>
        </w:docPartObj>
      </w:sdtPr>
      <w:sdtEndPr>
        <w:rPr>
          <w:rFonts w:eastAsiaTheme="minorEastAsia"/>
        </w:rPr>
      </w:sdtEndPr>
      <w:sdtContent>
        <w:bookmarkEnd w:id="0" w:displacedByCustomXml="prev"/>
        <w:p w14:paraId="2E5ACE62" w14:textId="0958F730" w:rsidR="00B049AA" w:rsidRPr="003D4B91" w:rsidRDefault="004827D3" w:rsidP="006831F1">
          <w:pPr>
            <w:pStyle w:val="Heading1"/>
            <w:spacing w:before="960" w:after="120"/>
            <w:rPr>
              <w:rFonts w:asciiTheme="minorHAnsi" w:eastAsiaTheme="minorHAnsi" w:hAnsiTheme="minorHAnsi" w:cstheme="minorBidi"/>
              <w:color w:val="auto"/>
              <w:sz w:val="22"/>
              <w:szCs w:val="22"/>
            </w:rPr>
          </w:pPr>
          <w:r w:rsidRPr="003D4B91">
            <w:rPr>
              <w:sz w:val="32"/>
              <w:szCs w:val="32"/>
            </w:rPr>
            <w:t>Resilient Urban Centres and Surrounds (RUCaS)</w:t>
          </w:r>
        </w:p>
        <w:p w14:paraId="48969F96" w14:textId="0F06FC60" w:rsidR="004827D3" w:rsidRPr="00ED1E2C" w:rsidRDefault="00B920AB" w:rsidP="00ED1E2C">
          <w:pPr>
            <w:pStyle w:val="Title"/>
          </w:pPr>
          <w:r w:rsidRPr="00ED1E2C">
            <w:t>Independent End of Program Evaluation</w:t>
          </w:r>
        </w:p>
        <w:p w14:paraId="45810443" w14:textId="77777777" w:rsidR="00F24C71" w:rsidRPr="003D4B91" w:rsidRDefault="00F24C71" w:rsidP="00C8484C">
          <w:pPr>
            <w:spacing w:before="480" w:after="120"/>
          </w:pPr>
          <w:r>
            <w:rPr>
              <w:rFonts w:asciiTheme="majorHAnsi" w:eastAsiaTheme="majorEastAsia" w:hAnsiTheme="majorHAnsi" w:cstheme="majorBidi"/>
              <w:color w:val="124F1A" w:themeColor="accent3" w:themeShade="BF"/>
              <w:sz w:val="44"/>
              <w:szCs w:val="44"/>
            </w:rPr>
            <w:t>Final</w:t>
          </w:r>
          <w:r w:rsidRPr="003D4B91">
            <w:rPr>
              <w:rFonts w:asciiTheme="majorHAnsi" w:eastAsiaTheme="majorEastAsia" w:hAnsiTheme="majorHAnsi" w:cstheme="majorBidi"/>
              <w:color w:val="124F1A" w:themeColor="accent3" w:themeShade="BF"/>
              <w:sz w:val="44"/>
              <w:szCs w:val="44"/>
            </w:rPr>
            <w:t xml:space="preserve"> Report</w:t>
          </w:r>
        </w:p>
        <w:p w14:paraId="2BCB1705" w14:textId="73C430F2" w:rsidR="004827D3" w:rsidRPr="003D4B91" w:rsidRDefault="004827D3" w:rsidP="00C8484C">
          <w:pPr>
            <w:pStyle w:val="NoSpacing"/>
            <w:spacing w:before="480" w:after="120" w:line="259" w:lineRule="auto"/>
            <w:rPr>
              <w:color w:val="124F1A" w:themeColor="accent3" w:themeShade="BF"/>
              <w:sz w:val="32"/>
              <w:szCs w:val="32"/>
            </w:rPr>
          </w:pPr>
          <w:r>
            <w:rPr>
              <w:color w:val="124F1A" w:themeColor="accent3" w:themeShade="BF"/>
              <w:sz w:val="32"/>
              <w:szCs w:val="32"/>
            </w:rPr>
            <w:t>March</w:t>
          </w:r>
          <w:r w:rsidRPr="003D4B91">
            <w:rPr>
              <w:color w:val="124F1A" w:themeColor="accent3" w:themeShade="BF"/>
              <w:sz w:val="32"/>
              <w:szCs w:val="32"/>
            </w:rPr>
            <w:t xml:space="preserve"> 2026</w:t>
          </w:r>
        </w:p>
        <w:p w14:paraId="139B7D95" w14:textId="342A692F" w:rsidR="00ED0197" w:rsidRPr="003D4B91" w:rsidRDefault="002E70DD" w:rsidP="00C8484C">
          <w:pPr>
            <w:pStyle w:val="TOCHeading"/>
            <w:spacing w:before="480"/>
            <w:rPr>
              <w:noProof/>
            </w:rPr>
          </w:pPr>
          <w:r w:rsidRPr="003D4B91">
            <w:rPr>
              <w:noProof/>
            </w:rPr>
            <w:drawing>
              <wp:inline distT="0" distB="0" distL="0" distR="0" wp14:anchorId="24E571CA" wp14:editId="114B234F">
                <wp:extent cx="4514850" cy="1710701"/>
                <wp:effectExtent l="0" t="0" r="0" b="3810"/>
                <wp:docPr id="960235863" name="Picture 1" descr="A collage of nine photographs documenting field survey and site inspection of waterway and nearby facilities such as canal, pond, and drainage system bordered by vegetation, roads, buildings, and infrastructu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235863" name="Picture 1" descr="A collage of nine photographs documenting field survey and site inspection of waterway and nearby facilities such as canal, pond, and drainage system bordered by vegetation, roads, buildings, and infrastructure. "/>
                        <pic:cNvPicPr/>
                      </pic:nvPicPr>
                      <pic:blipFill rotWithShape="1">
                        <a:blip r:embed="rId9"/>
                        <a:srcRect b="32637"/>
                        <a:stretch>
                          <a:fillRect/>
                        </a:stretch>
                      </pic:blipFill>
                      <pic:spPr bwMode="auto">
                        <a:xfrm>
                          <a:off x="0" y="0"/>
                          <a:ext cx="4537476" cy="1719274"/>
                        </a:xfrm>
                        <a:prstGeom prst="rect">
                          <a:avLst/>
                        </a:prstGeom>
                        <a:ln>
                          <a:noFill/>
                        </a:ln>
                        <a:extLst>
                          <a:ext uri="{53640926-AAD7-44D8-BBD7-CCE9431645EC}">
                            <a14:shadowObscured xmlns:a14="http://schemas.microsoft.com/office/drawing/2010/main"/>
                          </a:ext>
                        </a:extLst>
                      </pic:spPr>
                    </pic:pic>
                  </a:graphicData>
                </a:graphic>
              </wp:inline>
            </w:drawing>
          </w:r>
        </w:p>
        <w:p w14:paraId="315D7D5D" w14:textId="2508E8AA" w:rsidR="002F0A26" w:rsidRPr="00BF1D3C" w:rsidRDefault="002F0A26" w:rsidP="0076178F">
          <w:pPr>
            <w:pStyle w:val="NoSpacing"/>
            <w:spacing w:before="600"/>
            <w:rPr>
              <w:b/>
              <w:bCs/>
              <w:color w:val="124F1A" w:themeColor="accent3" w:themeShade="BF"/>
              <w:sz w:val="28"/>
              <w:szCs w:val="28"/>
            </w:rPr>
          </w:pPr>
          <w:r w:rsidRPr="00BF1D3C">
            <w:rPr>
              <w:b/>
              <w:bCs/>
              <w:color w:val="124F1A" w:themeColor="accent3" w:themeShade="BF"/>
              <w:sz w:val="28"/>
              <w:szCs w:val="28"/>
            </w:rPr>
            <w:t>FH Designs Pty Ltd</w:t>
          </w:r>
        </w:p>
        <w:p w14:paraId="6A9F2669" w14:textId="77777777" w:rsidR="002F0A26" w:rsidRPr="00D45322" w:rsidRDefault="002F0A26" w:rsidP="00876833">
          <w:pPr>
            <w:pStyle w:val="NoSpacing"/>
            <w:spacing w:line="259" w:lineRule="auto"/>
            <w:rPr>
              <w:color w:val="124F1A" w:themeColor="accent3" w:themeShade="BF"/>
              <w:sz w:val="24"/>
              <w:szCs w:val="24"/>
            </w:rPr>
          </w:pPr>
          <w:r w:rsidRPr="00D45322">
            <w:rPr>
              <w:color w:val="124F1A" w:themeColor="accent3" w:themeShade="BF"/>
              <w:sz w:val="24"/>
              <w:szCs w:val="24"/>
            </w:rPr>
            <w:t>Dr Naomi Francis</w:t>
          </w:r>
        </w:p>
        <w:p w14:paraId="76916AE0" w14:textId="77777777" w:rsidR="002F0A26" w:rsidRPr="00D45322" w:rsidRDefault="002F0A26" w:rsidP="00876833">
          <w:pPr>
            <w:pStyle w:val="NoSpacing"/>
            <w:spacing w:line="259" w:lineRule="auto"/>
            <w:rPr>
              <w:color w:val="124F1A" w:themeColor="accent3" w:themeShade="BF"/>
              <w:sz w:val="24"/>
              <w:szCs w:val="24"/>
            </w:rPr>
          </w:pPr>
          <w:r w:rsidRPr="00D45322">
            <w:rPr>
              <w:color w:val="124F1A" w:themeColor="accent3" w:themeShade="BF"/>
              <w:sz w:val="24"/>
              <w:szCs w:val="24"/>
            </w:rPr>
            <w:t>Dr Leandra Rhodes-Dicker</w:t>
          </w:r>
        </w:p>
        <w:p w14:paraId="21FA1586" w14:textId="61D3C280" w:rsidR="002E70DD" w:rsidRPr="00EA1CAE" w:rsidRDefault="002F0A26" w:rsidP="00EA1CAE">
          <w:pPr>
            <w:pStyle w:val="NoSpacing"/>
            <w:spacing w:after="2880" w:line="259" w:lineRule="auto"/>
            <w:rPr>
              <w:color w:val="124F1A" w:themeColor="accent3" w:themeShade="BF"/>
              <w:sz w:val="24"/>
              <w:szCs w:val="24"/>
            </w:rPr>
          </w:pPr>
          <w:proofErr w:type="spellStart"/>
          <w:r w:rsidRPr="00D45322">
            <w:rPr>
              <w:color w:val="124F1A" w:themeColor="accent3" w:themeShade="BF"/>
              <w:sz w:val="24"/>
              <w:szCs w:val="24"/>
            </w:rPr>
            <w:t>Mrs</w:t>
          </w:r>
          <w:proofErr w:type="spellEnd"/>
          <w:r w:rsidRPr="00D45322">
            <w:rPr>
              <w:color w:val="124F1A" w:themeColor="accent3" w:themeShade="BF"/>
              <w:sz w:val="24"/>
              <w:szCs w:val="24"/>
            </w:rPr>
            <w:t xml:space="preserve"> </w:t>
          </w:r>
          <w:proofErr w:type="spellStart"/>
          <w:r w:rsidRPr="00D45322">
            <w:rPr>
              <w:color w:val="124F1A" w:themeColor="accent3" w:themeShade="BF"/>
              <w:sz w:val="24"/>
              <w:szCs w:val="24"/>
            </w:rPr>
            <w:t>Phaylin</w:t>
          </w:r>
          <w:proofErr w:type="spellEnd"/>
          <w:r w:rsidRPr="00D45322">
            <w:rPr>
              <w:color w:val="124F1A" w:themeColor="accent3" w:themeShade="BF"/>
              <w:sz w:val="24"/>
              <w:szCs w:val="24"/>
            </w:rPr>
            <w:t xml:space="preserve"> </w:t>
          </w:r>
          <w:proofErr w:type="spellStart"/>
          <w:r w:rsidRPr="00D45322">
            <w:rPr>
              <w:color w:val="124F1A" w:themeColor="accent3" w:themeShade="BF"/>
              <w:sz w:val="24"/>
              <w:szCs w:val="24"/>
            </w:rPr>
            <w:t>Bounmanyvone</w:t>
          </w:r>
          <w:proofErr w:type="spellEnd"/>
        </w:p>
      </w:sdtContent>
    </w:sdt>
    <w:tbl>
      <w:tblPr>
        <w:tblStyle w:val="TableGrid"/>
        <w:tblW w:w="7366" w:type="dxa"/>
        <w:tblLook w:val="0080" w:firstRow="0" w:lastRow="0" w:firstColumn="1" w:lastColumn="0" w:noHBand="0" w:noVBand="0"/>
      </w:tblPr>
      <w:tblGrid>
        <w:gridCol w:w="2405"/>
        <w:gridCol w:w="4961"/>
      </w:tblGrid>
      <w:tr w:rsidR="00BC5E1C" w:rsidRPr="003D4B91" w14:paraId="671A240C" w14:textId="77777777" w:rsidTr="00BC5E1C">
        <w:tc>
          <w:tcPr>
            <w:tcW w:w="2405" w:type="dxa"/>
          </w:tcPr>
          <w:p w14:paraId="01A97EA2" w14:textId="77777777" w:rsidR="00BC5E1C" w:rsidRPr="00A460AA" w:rsidRDefault="00BC5E1C" w:rsidP="00BC5E1C">
            <w:pPr>
              <w:pStyle w:val="InvestmentSummaryBox"/>
              <w:framePr w:hSpace="0" w:wrap="auto" w:vAnchor="margin" w:hAnchor="text" w:yAlign="inline"/>
              <w:rPr>
                <w:b/>
                <w:bCs/>
                <w:color w:val="000000" w:themeColor="text1"/>
              </w:rPr>
            </w:pPr>
            <w:r w:rsidRPr="00BC5E1C">
              <w:rPr>
                <w:b/>
                <w:bCs/>
                <w:color w:val="000000" w:themeColor="text1"/>
              </w:rPr>
              <w:lastRenderedPageBreak/>
              <w:t>Document attribute</w:t>
            </w:r>
          </w:p>
        </w:tc>
        <w:tc>
          <w:tcPr>
            <w:tcW w:w="4961" w:type="dxa"/>
          </w:tcPr>
          <w:p w14:paraId="5E6BC2B9" w14:textId="77777777" w:rsidR="00BC5E1C" w:rsidRPr="00BC5E1C" w:rsidRDefault="00BC5E1C" w:rsidP="00BC5E1C">
            <w:pPr>
              <w:pStyle w:val="Version"/>
              <w:rPr>
                <w:rFonts w:ascii="Calibri" w:hAnsi="Calibri" w:cs="Calibri"/>
                <w:b/>
                <w:bCs/>
                <w:sz w:val="22"/>
                <w:szCs w:val="22"/>
              </w:rPr>
            </w:pPr>
            <w:r w:rsidRPr="00BC5E1C">
              <w:rPr>
                <w:rFonts w:ascii="Calibri" w:hAnsi="Calibri" w:cs="Calibri"/>
                <w:b/>
                <w:bCs/>
              </w:rPr>
              <w:t>Details</w:t>
            </w:r>
          </w:p>
        </w:tc>
      </w:tr>
      <w:tr w:rsidR="00BC5E1C" w:rsidRPr="003D4B91" w14:paraId="615E546E" w14:textId="77777777" w:rsidTr="00BC5E1C">
        <w:tc>
          <w:tcPr>
            <w:tcW w:w="2405" w:type="dxa"/>
          </w:tcPr>
          <w:p w14:paraId="70E5DACA" w14:textId="77777777" w:rsidR="00BC5E1C" w:rsidRPr="00A460AA" w:rsidRDefault="00BC5E1C" w:rsidP="00BC5E1C">
            <w:pPr>
              <w:pStyle w:val="InvestmentSummaryBox"/>
              <w:framePr w:hSpace="0" w:wrap="auto" w:vAnchor="margin" w:hAnchor="text" w:yAlign="inline"/>
              <w:rPr>
                <w:b/>
                <w:bCs/>
                <w:color w:val="000000" w:themeColor="text1"/>
              </w:rPr>
            </w:pPr>
            <w:bookmarkStart w:id="1" w:name="_Toc168780398"/>
            <w:bookmarkStart w:id="2" w:name="_Toc169625290"/>
            <w:bookmarkStart w:id="3" w:name="_Toc169627606"/>
            <w:bookmarkStart w:id="4" w:name="_Toc170734334"/>
            <w:bookmarkStart w:id="5" w:name="_Toc171335235"/>
            <w:bookmarkStart w:id="6" w:name="_Toc171667246"/>
            <w:bookmarkStart w:id="7" w:name="_Toc176977175"/>
            <w:r w:rsidRPr="00A460AA">
              <w:rPr>
                <w:b/>
                <w:bCs/>
                <w:color w:val="000000" w:themeColor="text1"/>
              </w:rPr>
              <w:t>Document:</w:t>
            </w:r>
            <w:bookmarkEnd w:id="1"/>
            <w:bookmarkEnd w:id="2"/>
            <w:bookmarkEnd w:id="3"/>
            <w:bookmarkEnd w:id="4"/>
            <w:bookmarkEnd w:id="5"/>
            <w:bookmarkEnd w:id="6"/>
            <w:bookmarkEnd w:id="7"/>
          </w:p>
        </w:tc>
        <w:tc>
          <w:tcPr>
            <w:tcW w:w="4961" w:type="dxa"/>
          </w:tcPr>
          <w:p w14:paraId="3D076FF1" w14:textId="77777777" w:rsidR="00BC5E1C" w:rsidRPr="003D4B91" w:rsidRDefault="00BC5E1C" w:rsidP="00BC5E1C">
            <w:pPr>
              <w:pStyle w:val="Version"/>
              <w:jc w:val="left"/>
              <w:rPr>
                <w:rFonts w:ascii="Calibri" w:hAnsi="Calibri" w:cs="Calibri"/>
              </w:rPr>
            </w:pPr>
            <w:r w:rsidRPr="003D4B91">
              <w:rPr>
                <w:rFonts w:ascii="Calibri" w:hAnsi="Calibri" w:cs="Calibri"/>
                <w:sz w:val="22"/>
                <w:szCs w:val="22"/>
              </w:rPr>
              <w:t>EOPE: Resilient Urban Centres and Surrounds (</w:t>
            </w:r>
            <w:proofErr w:type="spellStart"/>
            <w:r w:rsidRPr="003D4B91">
              <w:rPr>
                <w:rFonts w:ascii="Calibri" w:hAnsi="Calibri" w:cs="Calibri"/>
                <w:sz w:val="22"/>
                <w:szCs w:val="22"/>
              </w:rPr>
              <w:t>RUCaS</w:t>
            </w:r>
            <w:proofErr w:type="spellEnd"/>
            <w:r w:rsidRPr="003D4B91">
              <w:rPr>
                <w:rFonts w:ascii="Calibri" w:hAnsi="Calibri" w:cs="Calibri"/>
                <w:sz w:val="22"/>
                <w:szCs w:val="22"/>
              </w:rPr>
              <w:t>)</w:t>
            </w:r>
          </w:p>
        </w:tc>
      </w:tr>
      <w:tr w:rsidR="00BC5E1C" w:rsidRPr="003D4B91" w14:paraId="2180CACD" w14:textId="77777777" w:rsidTr="00BC5E1C">
        <w:tc>
          <w:tcPr>
            <w:tcW w:w="2405" w:type="dxa"/>
          </w:tcPr>
          <w:p w14:paraId="7AD9DEAB" w14:textId="77777777" w:rsidR="00BC5E1C" w:rsidRPr="00A460AA" w:rsidRDefault="00BC5E1C" w:rsidP="00BC5E1C">
            <w:pPr>
              <w:pStyle w:val="InvestmentSummaryBox"/>
              <w:framePr w:hSpace="0" w:wrap="auto" w:vAnchor="margin" w:hAnchor="text" w:yAlign="inline"/>
              <w:rPr>
                <w:b/>
                <w:bCs/>
                <w:color w:val="000000" w:themeColor="text1"/>
              </w:rPr>
            </w:pPr>
            <w:bookmarkStart w:id="8" w:name="_Toc168780399"/>
            <w:bookmarkStart w:id="9" w:name="_Toc169625291"/>
            <w:bookmarkStart w:id="10" w:name="_Toc169627607"/>
            <w:bookmarkStart w:id="11" w:name="_Toc170734335"/>
            <w:bookmarkStart w:id="12" w:name="_Toc171335236"/>
            <w:bookmarkStart w:id="13" w:name="_Toc171667247"/>
            <w:bookmarkStart w:id="14" w:name="_Toc176977176"/>
            <w:r w:rsidRPr="00A460AA">
              <w:rPr>
                <w:b/>
                <w:bCs/>
                <w:color w:val="000000" w:themeColor="text1"/>
              </w:rPr>
              <w:t>Version:</w:t>
            </w:r>
            <w:bookmarkEnd w:id="8"/>
            <w:bookmarkEnd w:id="9"/>
            <w:bookmarkEnd w:id="10"/>
            <w:bookmarkEnd w:id="11"/>
            <w:bookmarkEnd w:id="12"/>
            <w:bookmarkEnd w:id="13"/>
            <w:bookmarkEnd w:id="14"/>
          </w:p>
        </w:tc>
        <w:tc>
          <w:tcPr>
            <w:tcW w:w="4961" w:type="dxa"/>
          </w:tcPr>
          <w:p w14:paraId="134036BE" w14:textId="77777777" w:rsidR="00BC5E1C" w:rsidRPr="003D4B91" w:rsidRDefault="00BC5E1C" w:rsidP="00BC5E1C">
            <w:pPr>
              <w:pStyle w:val="Version"/>
              <w:jc w:val="left"/>
              <w:rPr>
                <w:rFonts w:ascii="Calibri" w:hAnsi="Calibri" w:cs="Calibri"/>
                <w:sz w:val="22"/>
                <w:szCs w:val="22"/>
              </w:rPr>
            </w:pPr>
            <w:r>
              <w:rPr>
                <w:rFonts w:ascii="Calibri" w:hAnsi="Calibri" w:cs="Calibri"/>
                <w:sz w:val="22"/>
                <w:szCs w:val="22"/>
              </w:rPr>
              <w:t>2</w:t>
            </w:r>
            <w:r w:rsidRPr="003D4B91">
              <w:rPr>
                <w:rFonts w:ascii="Calibri" w:hAnsi="Calibri" w:cs="Calibri"/>
                <w:sz w:val="22"/>
                <w:szCs w:val="22"/>
              </w:rPr>
              <w:t>.</w:t>
            </w:r>
            <w:r>
              <w:rPr>
                <w:rFonts w:ascii="Calibri" w:hAnsi="Calibri" w:cs="Calibri"/>
                <w:sz w:val="22"/>
                <w:szCs w:val="22"/>
              </w:rPr>
              <w:t>2</w:t>
            </w:r>
            <w:r w:rsidRPr="003D4B91">
              <w:rPr>
                <w:rFonts w:ascii="Calibri" w:hAnsi="Calibri" w:cs="Calibri"/>
                <w:sz w:val="22"/>
                <w:szCs w:val="22"/>
              </w:rPr>
              <w:t xml:space="preserve"> (</w:t>
            </w:r>
            <w:r>
              <w:rPr>
                <w:rFonts w:ascii="Calibri" w:hAnsi="Calibri" w:cs="Calibri"/>
                <w:sz w:val="22"/>
                <w:szCs w:val="22"/>
              </w:rPr>
              <w:t>Final</w:t>
            </w:r>
            <w:r w:rsidRPr="003D4B91">
              <w:rPr>
                <w:rFonts w:ascii="Calibri" w:hAnsi="Calibri" w:cs="Calibri"/>
                <w:sz w:val="22"/>
                <w:szCs w:val="22"/>
              </w:rPr>
              <w:t>)</w:t>
            </w:r>
          </w:p>
        </w:tc>
      </w:tr>
      <w:tr w:rsidR="00BC5E1C" w:rsidRPr="003D4B91" w14:paraId="109670EA" w14:textId="77777777" w:rsidTr="00BC5E1C">
        <w:tc>
          <w:tcPr>
            <w:tcW w:w="2405" w:type="dxa"/>
          </w:tcPr>
          <w:p w14:paraId="64F0E1A7" w14:textId="77777777" w:rsidR="00BC5E1C" w:rsidRPr="00A460AA" w:rsidRDefault="00BC5E1C" w:rsidP="00BC5E1C">
            <w:pPr>
              <w:pStyle w:val="InvestmentSummaryBox"/>
              <w:framePr w:hSpace="0" w:wrap="auto" w:vAnchor="margin" w:hAnchor="text" w:yAlign="inline"/>
              <w:rPr>
                <w:b/>
                <w:bCs/>
                <w:color w:val="000000" w:themeColor="text1"/>
              </w:rPr>
            </w:pPr>
            <w:bookmarkStart w:id="15" w:name="_Toc168780400"/>
            <w:bookmarkStart w:id="16" w:name="_Toc169625292"/>
            <w:bookmarkStart w:id="17" w:name="_Toc169627608"/>
            <w:bookmarkStart w:id="18" w:name="_Toc170734336"/>
            <w:bookmarkStart w:id="19" w:name="_Toc171335237"/>
            <w:bookmarkStart w:id="20" w:name="_Toc171667248"/>
            <w:bookmarkStart w:id="21" w:name="_Toc176977177"/>
            <w:r w:rsidRPr="00A460AA">
              <w:rPr>
                <w:b/>
                <w:bCs/>
                <w:color w:val="000000" w:themeColor="text1"/>
              </w:rPr>
              <w:t>Client:</w:t>
            </w:r>
            <w:bookmarkEnd w:id="15"/>
            <w:bookmarkEnd w:id="16"/>
            <w:bookmarkEnd w:id="17"/>
            <w:bookmarkEnd w:id="18"/>
            <w:bookmarkEnd w:id="19"/>
            <w:bookmarkEnd w:id="20"/>
            <w:bookmarkEnd w:id="21"/>
          </w:p>
        </w:tc>
        <w:tc>
          <w:tcPr>
            <w:tcW w:w="4961" w:type="dxa"/>
          </w:tcPr>
          <w:p w14:paraId="080DB2F1" w14:textId="77777777" w:rsidR="00BC5E1C" w:rsidRPr="003D4B91" w:rsidRDefault="00BC5E1C" w:rsidP="00BC5E1C">
            <w:pPr>
              <w:pStyle w:val="Clientname"/>
              <w:jc w:val="left"/>
              <w:rPr>
                <w:rFonts w:ascii="Calibri" w:hAnsi="Calibri" w:cs="Calibri"/>
                <w:sz w:val="22"/>
                <w:szCs w:val="22"/>
              </w:rPr>
            </w:pPr>
            <w:r w:rsidRPr="003D4B91">
              <w:rPr>
                <w:rFonts w:ascii="Calibri" w:hAnsi="Calibri" w:cs="Calibri"/>
                <w:sz w:val="22"/>
                <w:szCs w:val="22"/>
              </w:rPr>
              <w:t>Department of Foreign Affairs and Trade (DFAT)</w:t>
            </w:r>
          </w:p>
        </w:tc>
      </w:tr>
      <w:tr w:rsidR="00BC5E1C" w:rsidRPr="003D4B91" w14:paraId="36C1CF84" w14:textId="77777777" w:rsidTr="00BC5E1C">
        <w:tc>
          <w:tcPr>
            <w:tcW w:w="2405" w:type="dxa"/>
          </w:tcPr>
          <w:p w14:paraId="76767EAC" w14:textId="77777777" w:rsidR="00BC5E1C" w:rsidRPr="00A460AA" w:rsidRDefault="00BC5E1C" w:rsidP="00BC5E1C">
            <w:pPr>
              <w:pStyle w:val="InvestmentSummaryBox"/>
              <w:framePr w:hSpace="0" w:wrap="auto" w:vAnchor="margin" w:hAnchor="text" w:yAlign="inline"/>
              <w:rPr>
                <w:b/>
                <w:bCs/>
                <w:color w:val="000000" w:themeColor="text1"/>
              </w:rPr>
            </w:pPr>
            <w:bookmarkStart w:id="22" w:name="_Toc168780401"/>
            <w:bookmarkStart w:id="23" w:name="_Toc169625293"/>
            <w:bookmarkStart w:id="24" w:name="_Toc169627609"/>
            <w:bookmarkStart w:id="25" w:name="_Toc170734337"/>
            <w:bookmarkStart w:id="26" w:name="_Toc171335238"/>
            <w:bookmarkStart w:id="27" w:name="_Toc171667249"/>
            <w:bookmarkStart w:id="28" w:name="_Toc176977178"/>
            <w:r w:rsidRPr="00A460AA">
              <w:rPr>
                <w:b/>
                <w:bCs/>
                <w:color w:val="000000" w:themeColor="text1"/>
              </w:rPr>
              <w:t>Contractor:</w:t>
            </w:r>
            <w:bookmarkEnd w:id="22"/>
            <w:bookmarkEnd w:id="23"/>
            <w:bookmarkEnd w:id="24"/>
            <w:bookmarkEnd w:id="25"/>
            <w:bookmarkEnd w:id="26"/>
            <w:bookmarkEnd w:id="27"/>
            <w:bookmarkEnd w:id="28"/>
          </w:p>
        </w:tc>
        <w:tc>
          <w:tcPr>
            <w:tcW w:w="4961" w:type="dxa"/>
          </w:tcPr>
          <w:p w14:paraId="3AE67922" w14:textId="77777777" w:rsidR="00BC5E1C" w:rsidRPr="003D4B91" w:rsidRDefault="00BC5E1C" w:rsidP="00BC5E1C">
            <w:pPr>
              <w:spacing w:before="120" w:after="120"/>
              <w:rPr>
                <w:rFonts w:ascii="Calibri" w:hAnsi="Calibri" w:cs="Calibri"/>
              </w:rPr>
            </w:pPr>
            <w:r w:rsidRPr="003D4B91">
              <w:rPr>
                <w:rFonts w:ascii="Calibri" w:hAnsi="Calibri" w:cs="Calibri"/>
              </w:rPr>
              <w:t>FH Designs Pty Ltd</w:t>
            </w:r>
          </w:p>
        </w:tc>
      </w:tr>
      <w:tr w:rsidR="00BC5E1C" w:rsidRPr="003D4B91" w14:paraId="2ABA62EF" w14:textId="77777777" w:rsidTr="00BC5E1C">
        <w:tc>
          <w:tcPr>
            <w:tcW w:w="2405" w:type="dxa"/>
          </w:tcPr>
          <w:p w14:paraId="4442BD57" w14:textId="77777777" w:rsidR="00BC5E1C" w:rsidRPr="00A460AA" w:rsidRDefault="00BC5E1C" w:rsidP="00BC5E1C">
            <w:pPr>
              <w:pStyle w:val="InvestmentSummaryBox"/>
              <w:framePr w:hSpace="0" w:wrap="auto" w:vAnchor="margin" w:hAnchor="text" w:yAlign="inline"/>
              <w:rPr>
                <w:b/>
                <w:bCs/>
                <w:color w:val="000000" w:themeColor="text1"/>
              </w:rPr>
            </w:pPr>
            <w:bookmarkStart w:id="29" w:name="_Toc168780402"/>
            <w:bookmarkStart w:id="30" w:name="_Toc169625294"/>
            <w:bookmarkStart w:id="31" w:name="_Toc169627610"/>
            <w:bookmarkStart w:id="32" w:name="_Toc170734338"/>
            <w:bookmarkStart w:id="33" w:name="_Toc171335239"/>
            <w:bookmarkStart w:id="34" w:name="_Toc171667250"/>
            <w:bookmarkStart w:id="35" w:name="_Toc176977179"/>
            <w:r w:rsidRPr="00A460AA">
              <w:rPr>
                <w:b/>
                <w:bCs/>
                <w:color w:val="000000" w:themeColor="text1"/>
              </w:rPr>
              <w:t>Review Team:</w:t>
            </w:r>
            <w:bookmarkEnd w:id="29"/>
            <w:bookmarkEnd w:id="30"/>
            <w:bookmarkEnd w:id="31"/>
            <w:bookmarkEnd w:id="32"/>
            <w:bookmarkEnd w:id="33"/>
            <w:bookmarkEnd w:id="34"/>
            <w:bookmarkEnd w:id="35"/>
          </w:p>
        </w:tc>
        <w:tc>
          <w:tcPr>
            <w:tcW w:w="4961" w:type="dxa"/>
          </w:tcPr>
          <w:p w14:paraId="4F6689E5" w14:textId="77777777" w:rsidR="00BC5E1C" w:rsidRPr="003D4B91" w:rsidRDefault="00BC5E1C" w:rsidP="00BC5E1C">
            <w:pPr>
              <w:pStyle w:val="Version"/>
              <w:contextualSpacing/>
              <w:jc w:val="left"/>
              <w:rPr>
                <w:rFonts w:ascii="Calibri" w:hAnsi="Calibri" w:cs="Calibri"/>
                <w:sz w:val="22"/>
                <w:szCs w:val="22"/>
              </w:rPr>
            </w:pPr>
            <w:r w:rsidRPr="003D4B91">
              <w:rPr>
                <w:rFonts w:ascii="Calibri" w:hAnsi="Calibri" w:cs="Calibri"/>
                <w:sz w:val="22"/>
                <w:szCs w:val="22"/>
              </w:rPr>
              <w:t>Dr Naomi Francis</w:t>
            </w:r>
          </w:p>
          <w:p w14:paraId="2BC5077C" w14:textId="77777777" w:rsidR="00BC5E1C" w:rsidRPr="003D4B91" w:rsidRDefault="00BC5E1C" w:rsidP="00BC5E1C">
            <w:pPr>
              <w:pStyle w:val="Version"/>
              <w:contextualSpacing/>
              <w:jc w:val="left"/>
              <w:rPr>
                <w:rFonts w:ascii="Calibri" w:hAnsi="Calibri" w:cs="Calibri"/>
                <w:sz w:val="22"/>
                <w:szCs w:val="22"/>
              </w:rPr>
            </w:pPr>
            <w:r w:rsidRPr="003D4B91">
              <w:rPr>
                <w:rFonts w:ascii="Calibri" w:hAnsi="Calibri" w:cs="Calibri"/>
                <w:sz w:val="22"/>
                <w:szCs w:val="22"/>
              </w:rPr>
              <w:t>Dr Leandra Rhodes-Dicker</w:t>
            </w:r>
          </w:p>
          <w:p w14:paraId="40BCEC19" w14:textId="77777777" w:rsidR="00BC5E1C" w:rsidRPr="003D4B91" w:rsidRDefault="00BC5E1C" w:rsidP="00BC5E1C">
            <w:pPr>
              <w:pStyle w:val="Version"/>
              <w:contextualSpacing/>
              <w:jc w:val="left"/>
              <w:rPr>
                <w:rFonts w:ascii="Calibri" w:hAnsi="Calibri" w:cs="Calibri"/>
              </w:rPr>
            </w:pPr>
            <w:r w:rsidRPr="003D4B91">
              <w:rPr>
                <w:rFonts w:ascii="Calibri" w:hAnsi="Calibri" w:cs="Calibri"/>
                <w:sz w:val="22"/>
                <w:szCs w:val="22"/>
              </w:rPr>
              <w:t xml:space="preserve">Mrs </w:t>
            </w:r>
            <w:proofErr w:type="spellStart"/>
            <w:r w:rsidRPr="003D4B91">
              <w:rPr>
                <w:rFonts w:ascii="Calibri" w:hAnsi="Calibri" w:cs="Calibri"/>
                <w:sz w:val="22"/>
                <w:szCs w:val="22"/>
              </w:rPr>
              <w:t>Phaylin</w:t>
            </w:r>
            <w:proofErr w:type="spellEnd"/>
            <w:r w:rsidRPr="003D4B91">
              <w:rPr>
                <w:rFonts w:ascii="Calibri" w:hAnsi="Calibri" w:cs="Calibri"/>
                <w:sz w:val="22"/>
                <w:szCs w:val="22"/>
              </w:rPr>
              <w:t xml:space="preserve"> </w:t>
            </w:r>
            <w:proofErr w:type="spellStart"/>
            <w:r w:rsidRPr="003D4B91">
              <w:rPr>
                <w:rFonts w:ascii="Calibri" w:hAnsi="Calibri" w:cs="Calibri"/>
                <w:sz w:val="22"/>
                <w:szCs w:val="22"/>
              </w:rPr>
              <w:t>Bounmanyvone</w:t>
            </w:r>
            <w:proofErr w:type="spellEnd"/>
          </w:p>
        </w:tc>
      </w:tr>
      <w:tr w:rsidR="00BC5E1C" w:rsidRPr="003D4B91" w14:paraId="356BDA21" w14:textId="77777777" w:rsidTr="00BC5E1C">
        <w:tc>
          <w:tcPr>
            <w:tcW w:w="2405" w:type="dxa"/>
          </w:tcPr>
          <w:p w14:paraId="4B723B39" w14:textId="77777777" w:rsidR="00BC5E1C" w:rsidRPr="00A460AA" w:rsidRDefault="00BC5E1C" w:rsidP="00BC5E1C">
            <w:pPr>
              <w:pStyle w:val="InvestmentSummaryBox"/>
              <w:framePr w:hSpace="0" w:wrap="auto" w:vAnchor="margin" w:hAnchor="text" w:yAlign="inline"/>
              <w:rPr>
                <w:b/>
                <w:bCs/>
                <w:color w:val="000000" w:themeColor="text1"/>
              </w:rPr>
            </w:pPr>
            <w:bookmarkStart w:id="36" w:name="_Toc168780403"/>
            <w:bookmarkStart w:id="37" w:name="_Toc169625295"/>
            <w:bookmarkStart w:id="38" w:name="_Toc169627611"/>
            <w:bookmarkStart w:id="39" w:name="_Toc170734339"/>
            <w:bookmarkStart w:id="40" w:name="_Toc171335240"/>
            <w:bookmarkStart w:id="41" w:name="_Toc171667251"/>
            <w:bookmarkStart w:id="42" w:name="_Toc176977180"/>
            <w:r w:rsidRPr="00A460AA">
              <w:rPr>
                <w:b/>
                <w:bCs/>
                <w:color w:val="000000" w:themeColor="text1"/>
              </w:rPr>
              <w:t>Date:</w:t>
            </w:r>
            <w:bookmarkEnd w:id="36"/>
            <w:bookmarkEnd w:id="37"/>
            <w:bookmarkEnd w:id="38"/>
            <w:bookmarkEnd w:id="39"/>
            <w:bookmarkEnd w:id="40"/>
            <w:bookmarkEnd w:id="41"/>
            <w:bookmarkEnd w:id="42"/>
          </w:p>
        </w:tc>
        <w:tc>
          <w:tcPr>
            <w:tcW w:w="4961" w:type="dxa"/>
          </w:tcPr>
          <w:p w14:paraId="7856CFB9" w14:textId="77777777" w:rsidR="00BC5E1C" w:rsidRPr="003D4B91" w:rsidRDefault="00BC5E1C" w:rsidP="00BC5E1C">
            <w:pPr>
              <w:spacing w:before="120" w:after="120"/>
              <w:rPr>
                <w:rFonts w:ascii="Calibri" w:hAnsi="Calibri" w:cs="Calibri"/>
              </w:rPr>
            </w:pPr>
            <w:r>
              <w:rPr>
                <w:rFonts w:ascii="Calibri" w:hAnsi="Calibri" w:cs="Calibri"/>
              </w:rPr>
              <w:t>31 March</w:t>
            </w:r>
            <w:r w:rsidRPr="003D4B91">
              <w:rPr>
                <w:rFonts w:ascii="Calibri" w:hAnsi="Calibri" w:cs="Calibri"/>
              </w:rPr>
              <w:t xml:space="preserve"> 2026</w:t>
            </w:r>
          </w:p>
        </w:tc>
      </w:tr>
    </w:tbl>
    <w:p w14:paraId="7934C81F" w14:textId="77777777" w:rsidR="00917837" w:rsidRDefault="00917837" w:rsidP="003E1E06">
      <w:pPr>
        <w:pStyle w:val="Bodytxt"/>
        <w:rPr>
          <w:lang w:val="en-GB"/>
        </w:rPr>
      </w:pPr>
    </w:p>
    <w:p w14:paraId="469B96E4" w14:textId="1BD29898" w:rsidR="003E1E06" w:rsidRPr="003D4B91" w:rsidRDefault="003E1E06" w:rsidP="003E1E06">
      <w:pPr>
        <w:pStyle w:val="Bodytxt"/>
        <w:rPr>
          <w:lang w:val="en-GB"/>
        </w:rPr>
      </w:pPr>
      <w:r w:rsidRPr="003D4B91">
        <w:rPr>
          <w:lang w:val="en-GB"/>
        </w:rPr>
        <w:t xml:space="preserve">This document is the property of </w:t>
      </w:r>
      <w:r w:rsidRPr="003D4B91">
        <w:rPr>
          <w:lang w:val="en-GB"/>
        </w:rPr>
        <w:fldChar w:fldCharType="begin"/>
      </w:r>
      <w:r w:rsidRPr="003D4B91">
        <w:rPr>
          <w:lang w:val="en-GB"/>
        </w:rPr>
        <w:instrText xml:space="preserve"> STYLEREF  "Client name"  \* MERGEFORMAT </w:instrText>
      </w:r>
      <w:r w:rsidRPr="003D4B91">
        <w:rPr>
          <w:lang w:val="en-GB"/>
        </w:rPr>
        <w:fldChar w:fldCharType="separate"/>
      </w:r>
      <w:r w:rsidR="007007C5">
        <w:rPr>
          <w:noProof/>
          <w:lang w:val="en-GB"/>
        </w:rPr>
        <w:t>Department of Foreign Affairs and Trade (DFAT)</w:t>
      </w:r>
      <w:r w:rsidRPr="003D4B91">
        <w:rPr>
          <w:lang w:val="en-GB"/>
        </w:rPr>
        <w:fldChar w:fldCharType="end"/>
      </w:r>
      <w:r w:rsidRPr="003D4B91">
        <w:rPr>
          <w:lang w:val="en-GB"/>
        </w:rPr>
        <w:t xml:space="preserve">.  </w:t>
      </w:r>
    </w:p>
    <w:p w14:paraId="59F88271" w14:textId="77777777" w:rsidR="003E1E06" w:rsidRPr="003D4B91" w:rsidRDefault="003E1E06" w:rsidP="003E1E06">
      <w:pPr>
        <w:pStyle w:val="Bodytxt"/>
        <w:rPr>
          <w:lang w:val="en-GB"/>
        </w:rPr>
      </w:pPr>
      <w:r w:rsidRPr="003D4B91">
        <w:rPr>
          <w:lang w:val="en-GB"/>
        </w:rPr>
        <w:t>It is permissible to copy and use any of the material in this report provided that the source is appropriately acknowledged.  Further information is available from:</w:t>
      </w:r>
    </w:p>
    <w:p w14:paraId="692909D1" w14:textId="77777777" w:rsidR="007D1363" w:rsidRPr="00A5084A" w:rsidRDefault="007D1363" w:rsidP="00A5084A">
      <w:pPr>
        <w:pStyle w:val="Bodytxt"/>
        <w:ind w:left="2880"/>
        <w:jc w:val="left"/>
        <w:rPr>
          <w:b/>
        </w:rPr>
      </w:pPr>
      <w:r w:rsidRPr="00A5084A">
        <w:rPr>
          <w:b/>
        </w:rPr>
        <w:t>Ben Furmage</w:t>
      </w:r>
      <w:r w:rsidRPr="00A5084A">
        <w:rPr>
          <w:b/>
        </w:rPr>
        <w:br/>
        <w:t>Chief Executive Officer</w:t>
      </w:r>
    </w:p>
    <w:p w14:paraId="1ABD6C65" w14:textId="77777777" w:rsidR="007D1363" w:rsidRPr="00A5084A" w:rsidRDefault="007D1363" w:rsidP="00A5084A">
      <w:pPr>
        <w:pStyle w:val="Bodytxt"/>
        <w:ind w:left="2880"/>
        <w:contextualSpacing/>
        <w:jc w:val="left"/>
        <w:rPr>
          <w:bCs/>
        </w:rPr>
      </w:pPr>
      <w:r w:rsidRPr="00A5084A">
        <w:rPr>
          <w:bCs/>
        </w:rPr>
        <w:t>Water Sensitive Cities Australia</w:t>
      </w:r>
      <w:r w:rsidRPr="00A5084A">
        <w:rPr>
          <w:bCs/>
        </w:rPr>
        <w:br/>
        <w:t>Monash University</w:t>
      </w:r>
    </w:p>
    <w:p w14:paraId="737BEEAE" w14:textId="77777777" w:rsidR="007D1363" w:rsidRPr="00A5084A" w:rsidRDefault="007D1363" w:rsidP="00A5084A">
      <w:pPr>
        <w:pStyle w:val="Bodytxt"/>
        <w:ind w:left="2880"/>
        <w:contextualSpacing/>
        <w:jc w:val="left"/>
        <w:rPr>
          <w:bCs/>
        </w:rPr>
      </w:pPr>
      <w:r w:rsidRPr="00A5084A">
        <w:rPr>
          <w:bCs/>
        </w:rPr>
        <w:t>Caulfield Campus</w:t>
      </w:r>
    </w:p>
    <w:p w14:paraId="666A7496" w14:textId="4EB43C59" w:rsidR="007D1363" w:rsidRPr="00A5084A" w:rsidRDefault="007D1363" w:rsidP="00A5084A">
      <w:pPr>
        <w:pStyle w:val="Bodytxt"/>
        <w:ind w:left="2880"/>
        <w:contextualSpacing/>
        <w:jc w:val="left"/>
        <w:rPr>
          <w:bCs/>
        </w:rPr>
      </w:pPr>
      <w:r w:rsidRPr="00A5084A">
        <w:rPr>
          <w:bCs/>
        </w:rPr>
        <w:t>Building G, 900 Dandenong Rd</w:t>
      </w:r>
    </w:p>
    <w:p w14:paraId="1D077A48" w14:textId="19759E49" w:rsidR="007D1363" w:rsidRPr="00A5084A" w:rsidRDefault="007D1363" w:rsidP="00A5084A">
      <w:pPr>
        <w:pStyle w:val="Bodytxt"/>
        <w:ind w:left="2880"/>
        <w:contextualSpacing/>
        <w:jc w:val="left"/>
        <w:rPr>
          <w:bCs/>
        </w:rPr>
      </w:pPr>
      <w:r w:rsidRPr="00A5084A">
        <w:rPr>
          <w:bCs/>
        </w:rPr>
        <w:t>Caulfield East, Vic 3145, Australia</w:t>
      </w:r>
      <w:r w:rsidRPr="00A5084A">
        <w:rPr>
          <w:bCs/>
        </w:rPr>
        <w:br/>
      </w:r>
      <w:r w:rsidRPr="00A5084A">
        <w:rPr>
          <w:bCs/>
        </w:rPr>
        <w:br/>
        <w:t>M: +61 0417 588 725</w:t>
      </w:r>
      <w:r w:rsidRPr="00A5084A">
        <w:rPr>
          <w:bCs/>
        </w:rPr>
        <w:br/>
        <w:t>E: </w:t>
      </w:r>
      <w:hyperlink r:id="rId10" w:history="1">
        <w:r w:rsidRPr="00A5084A">
          <w:rPr>
            <w:rStyle w:val="Hyperlink"/>
            <w:bCs/>
          </w:rPr>
          <w:t>ben.furmage@monash.edu</w:t>
        </w:r>
      </w:hyperlink>
    </w:p>
    <w:p w14:paraId="34895DC2" w14:textId="77777777" w:rsidR="003E1E06" w:rsidRPr="003D4B91" w:rsidRDefault="003E1E06" w:rsidP="007D1363">
      <w:pPr>
        <w:pStyle w:val="Bodytxt"/>
        <w:rPr>
          <w:lang w:val="en-GB"/>
        </w:rPr>
      </w:pPr>
    </w:p>
    <w:p w14:paraId="14DEB027" w14:textId="2D9223ED" w:rsidR="003E1E06" w:rsidRPr="003D4B91" w:rsidRDefault="003E1E06" w:rsidP="003E1E06">
      <w:pPr>
        <w:pStyle w:val="Bodytxt"/>
        <w:rPr>
          <w:lang w:val="en-GB"/>
        </w:rPr>
      </w:pPr>
      <w:r w:rsidRPr="003D4B91">
        <w:rPr>
          <w:lang w:val="en-GB"/>
        </w:rPr>
        <w:t xml:space="preserve">© </w:t>
      </w:r>
      <w:r w:rsidRPr="003D4B91">
        <w:rPr>
          <w:lang w:val="en-GB"/>
        </w:rPr>
        <w:fldChar w:fldCharType="begin"/>
      </w:r>
      <w:r w:rsidRPr="003D4B91">
        <w:rPr>
          <w:lang w:val="en-GB"/>
        </w:rPr>
        <w:instrText xml:space="preserve"> STYLEREF  "Client name"  \* MERGEFORMAT </w:instrText>
      </w:r>
      <w:r w:rsidRPr="003D4B91">
        <w:rPr>
          <w:lang w:val="en-GB"/>
        </w:rPr>
        <w:fldChar w:fldCharType="separate"/>
      </w:r>
      <w:r w:rsidR="007007C5">
        <w:rPr>
          <w:noProof/>
          <w:lang w:val="en-GB"/>
        </w:rPr>
        <w:t>Department of Foreign Affairs and Trade (DFAT)</w:t>
      </w:r>
      <w:r w:rsidRPr="003D4B91">
        <w:rPr>
          <w:lang w:val="en-GB"/>
        </w:rPr>
        <w:fldChar w:fldCharType="end"/>
      </w:r>
      <w:r w:rsidRPr="003D4B91">
        <w:rPr>
          <w:lang w:val="en-GB"/>
        </w:rPr>
        <w:t xml:space="preserve"> 20</w:t>
      </w:r>
      <w:r w:rsidR="00221E68" w:rsidRPr="003D4B91">
        <w:rPr>
          <w:lang w:val="en-GB"/>
        </w:rPr>
        <w:t>2</w:t>
      </w:r>
      <w:r w:rsidR="00BF3A24" w:rsidRPr="003D4B91">
        <w:rPr>
          <w:lang w:val="en-GB"/>
        </w:rPr>
        <w:t>6</w:t>
      </w:r>
    </w:p>
    <w:p w14:paraId="1372DA59" w14:textId="6DE3C16A" w:rsidR="00A673C6" w:rsidRPr="003D4B91" w:rsidRDefault="00A673C6">
      <w:r w:rsidRPr="003D4B91">
        <w:br w:type="page"/>
      </w:r>
    </w:p>
    <w:p w14:paraId="7631CBF9" w14:textId="656FBFE3" w:rsidR="00B33CB7" w:rsidRPr="003D4B91" w:rsidRDefault="00B33CB7" w:rsidP="00BF1A87">
      <w:pPr>
        <w:pStyle w:val="Heading1"/>
      </w:pPr>
      <w:bookmarkStart w:id="43" w:name="_Toc168780404"/>
      <w:bookmarkStart w:id="44" w:name="_Toc169625296"/>
      <w:bookmarkStart w:id="45" w:name="_Toc169627612"/>
      <w:bookmarkStart w:id="46" w:name="_Toc170734340"/>
      <w:bookmarkStart w:id="47" w:name="_Toc171335241"/>
      <w:bookmarkStart w:id="48" w:name="_Toc171667252"/>
      <w:bookmarkStart w:id="49" w:name="_Toc176977181"/>
      <w:bookmarkStart w:id="50" w:name="_Toc225951839"/>
      <w:r w:rsidRPr="003D4B91">
        <w:lastRenderedPageBreak/>
        <w:t>Investment summary</w:t>
      </w:r>
      <w:bookmarkEnd w:id="43"/>
      <w:bookmarkEnd w:id="44"/>
      <w:bookmarkEnd w:id="45"/>
      <w:bookmarkEnd w:id="46"/>
      <w:bookmarkEnd w:id="47"/>
      <w:bookmarkEnd w:id="48"/>
      <w:bookmarkEnd w:id="49"/>
      <w:bookmarkEnd w:id="50"/>
    </w:p>
    <w:tbl>
      <w:tblPr>
        <w:tblpPr w:leftFromText="180" w:rightFromText="180" w:vertAnchor="text" w:horzAnchor="margin" w:tblpXSpec="center" w:tblpY="312"/>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83"/>
        <w:gridCol w:w="5592"/>
      </w:tblGrid>
      <w:tr w:rsidR="00BC5E1C" w:rsidRPr="00826245" w14:paraId="62594231" w14:textId="77777777" w:rsidTr="00DD668B">
        <w:trPr>
          <w:trHeight w:val="268"/>
        </w:trPr>
        <w:tc>
          <w:tcPr>
            <w:tcW w:w="2483" w:type="dxa"/>
            <w:shd w:val="clear" w:color="auto" w:fill="FFFFFF" w:themeFill="background1"/>
            <w:vAlign w:val="center"/>
          </w:tcPr>
          <w:p w14:paraId="714468F5" w14:textId="239E94C9" w:rsidR="00BC5E1C" w:rsidRPr="00A92CB4" w:rsidRDefault="00BC5E1C" w:rsidP="00BC5E1C">
            <w:pPr>
              <w:pStyle w:val="InvestmentSummaryBox"/>
              <w:framePr w:hSpace="0" w:wrap="auto" w:vAnchor="margin" w:hAnchor="text" w:yAlign="inline"/>
              <w:spacing w:line="240" w:lineRule="auto"/>
              <w:rPr>
                <w:b/>
                <w:bCs/>
                <w:color w:val="000000" w:themeColor="text1"/>
              </w:rPr>
            </w:pPr>
            <w:r w:rsidRPr="00BC5E1C">
              <w:rPr>
                <w:b/>
                <w:bCs/>
                <w:color w:val="000000" w:themeColor="text1"/>
              </w:rPr>
              <w:t>Investment attribute</w:t>
            </w:r>
          </w:p>
        </w:tc>
        <w:tc>
          <w:tcPr>
            <w:tcW w:w="5592" w:type="dxa"/>
            <w:vAlign w:val="center"/>
          </w:tcPr>
          <w:p w14:paraId="687B6EDF" w14:textId="5CFA2009" w:rsidR="00BC5E1C" w:rsidRPr="00BC5E1C" w:rsidRDefault="00BC5E1C" w:rsidP="00BC5E1C">
            <w:pPr>
              <w:spacing w:after="0" w:line="240" w:lineRule="auto"/>
              <w:jc w:val="center"/>
              <w:rPr>
                <w:rFonts w:ascii="Calibri" w:hAnsi="Calibri" w:cs="Calibri"/>
                <w:b/>
                <w:bCs/>
                <w:color w:val="000000" w:themeColor="text1"/>
              </w:rPr>
            </w:pPr>
            <w:r w:rsidRPr="00BC5E1C">
              <w:rPr>
                <w:rFonts w:ascii="Calibri" w:hAnsi="Calibri" w:cs="Calibri"/>
                <w:b/>
                <w:bCs/>
                <w:color w:val="000000" w:themeColor="text1"/>
              </w:rPr>
              <w:t>Details</w:t>
            </w:r>
          </w:p>
        </w:tc>
      </w:tr>
      <w:tr w:rsidR="0043573C" w:rsidRPr="00826245" w14:paraId="55BDAA41" w14:textId="77777777" w:rsidTr="00DD668B">
        <w:trPr>
          <w:trHeight w:val="268"/>
        </w:trPr>
        <w:tc>
          <w:tcPr>
            <w:tcW w:w="2483" w:type="dxa"/>
            <w:shd w:val="clear" w:color="auto" w:fill="FFFFFF" w:themeFill="background1"/>
            <w:vAlign w:val="center"/>
          </w:tcPr>
          <w:p w14:paraId="60E42EFB" w14:textId="77777777" w:rsidR="0043573C" w:rsidRPr="00A92CB4" w:rsidRDefault="0043573C" w:rsidP="003F5741">
            <w:pPr>
              <w:pStyle w:val="InvestmentSummaryBox"/>
              <w:framePr w:hSpace="0" w:wrap="auto" w:vAnchor="margin" w:hAnchor="text" w:yAlign="inline"/>
              <w:spacing w:line="240" w:lineRule="auto"/>
              <w:rPr>
                <w:b/>
                <w:bCs/>
                <w:color w:val="000000" w:themeColor="text1"/>
              </w:rPr>
            </w:pPr>
            <w:bookmarkStart w:id="51" w:name="_Toc168780405"/>
            <w:bookmarkStart w:id="52" w:name="_Toc169625297"/>
            <w:bookmarkStart w:id="53" w:name="_Toc169627613"/>
            <w:bookmarkStart w:id="54" w:name="_Toc170734341"/>
            <w:bookmarkStart w:id="55" w:name="_Toc171335242"/>
            <w:bookmarkStart w:id="56" w:name="_Toc171667253"/>
            <w:bookmarkStart w:id="57" w:name="_Toc176977182"/>
            <w:r w:rsidRPr="00A92CB4">
              <w:rPr>
                <w:b/>
                <w:bCs/>
                <w:color w:val="000000" w:themeColor="text1"/>
              </w:rPr>
              <w:t>Investment Name</w:t>
            </w:r>
            <w:bookmarkEnd w:id="51"/>
            <w:bookmarkEnd w:id="52"/>
            <w:bookmarkEnd w:id="53"/>
            <w:bookmarkEnd w:id="54"/>
            <w:bookmarkEnd w:id="55"/>
            <w:bookmarkEnd w:id="56"/>
            <w:bookmarkEnd w:id="57"/>
          </w:p>
        </w:tc>
        <w:tc>
          <w:tcPr>
            <w:tcW w:w="5592" w:type="dxa"/>
            <w:vAlign w:val="center"/>
          </w:tcPr>
          <w:p w14:paraId="2CEB30D8" w14:textId="7E0789CE" w:rsidR="0043573C" w:rsidRPr="00826245" w:rsidRDefault="00BF3A24" w:rsidP="003F5741">
            <w:pPr>
              <w:spacing w:after="0" w:line="240" w:lineRule="auto"/>
              <w:jc w:val="center"/>
              <w:rPr>
                <w:rFonts w:ascii="Calibri" w:hAnsi="Calibri" w:cs="Calibri"/>
                <w:color w:val="000000" w:themeColor="text1"/>
              </w:rPr>
            </w:pPr>
            <w:r w:rsidRPr="00826245">
              <w:rPr>
                <w:rFonts w:ascii="Calibri" w:hAnsi="Calibri" w:cs="Calibri"/>
                <w:color w:val="000000" w:themeColor="text1"/>
              </w:rPr>
              <w:t>Resilient Urban Centres and Surrounds (RUCaS)</w:t>
            </w:r>
          </w:p>
        </w:tc>
      </w:tr>
      <w:tr w:rsidR="0043573C" w:rsidRPr="00826245" w14:paraId="713C626A" w14:textId="77777777" w:rsidTr="00DD668B">
        <w:trPr>
          <w:trHeight w:val="588"/>
        </w:trPr>
        <w:tc>
          <w:tcPr>
            <w:tcW w:w="2483" w:type="dxa"/>
            <w:shd w:val="clear" w:color="auto" w:fill="FFFFFF" w:themeFill="background1"/>
            <w:vAlign w:val="center"/>
          </w:tcPr>
          <w:p w14:paraId="68396D02" w14:textId="6FAEEB7A" w:rsidR="0043573C" w:rsidRPr="00A92CB4" w:rsidRDefault="00BF3A24" w:rsidP="003F5741">
            <w:pPr>
              <w:pStyle w:val="InvestmentSummaryBox"/>
              <w:framePr w:hSpace="0" w:wrap="auto" w:vAnchor="margin" w:hAnchor="text" w:yAlign="inline"/>
              <w:spacing w:line="240" w:lineRule="auto"/>
              <w:rPr>
                <w:b/>
                <w:bCs/>
                <w:color w:val="000000" w:themeColor="text1"/>
              </w:rPr>
            </w:pPr>
            <w:r w:rsidRPr="00A92CB4">
              <w:rPr>
                <w:b/>
                <w:bCs/>
                <w:color w:val="000000" w:themeColor="text1"/>
              </w:rPr>
              <w:t>DFAT Complex Grant Agreement Number</w:t>
            </w:r>
          </w:p>
        </w:tc>
        <w:tc>
          <w:tcPr>
            <w:tcW w:w="5592" w:type="dxa"/>
            <w:vAlign w:val="center"/>
          </w:tcPr>
          <w:p w14:paraId="7E17C70E" w14:textId="32BB4468" w:rsidR="0043573C" w:rsidRPr="00826245" w:rsidRDefault="00BF3A24" w:rsidP="003F5741">
            <w:pPr>
              <w:spacing w:after="0" w:line="240" w:lineRule="auto"/>
              <w:jc w:val="center"/>
              <w:rPr>
                <w:rFonts w:ascii="Calibri" w:hAnsi="Calibri" w:cs="Calibri"/>
                <w:color w:val="000000" w:themeColor="text1"/>
              </w:rPr>
            </w:pPr>
            <w:r w:rsidRPr="00826245">
              <w:rPr>
                <w:rFonts w:ascii="Calibri" w:hAnsi="Calibri" w:cs="Calibri"/>
                <w:color w:val="000000" w:themeColor="text1"/>
              </w:rPr>
              <w:t>77394</w:t>
            </w:r>
          </w:p>
        </w:tc>
      </w:tr>
      <w:tr w:rsidR="0064626D" w:rsidRPr="00826245" w14:paraId="2469C56F" w14:textId="77777777" w:rsidTr="00DD668B">
        <w:trPr>
          <w:trHeight w:val="472"/>
        </w:trPr>
        <w:tc>
          <w:tcPr>
            <w:tcW w:w="2483" w:type="dxa"/>
            <w:shd w:val="clear" w:color="auto" w:fill="FFFFFF" w:themeFill="background1"/>
            <w:vAlign w:val="center"/>
          </w:tcPr>
          <w:p w14:paraId="6FA40BAA" w14:textId="28FFCA24" w:rsidR="0064626D" w:rsidRPr="00A92CB4" w:rsidRDefault="0064626D" w:rsidP="003F5741">
            <w:pPr>
              <w:pStyle w:val="InvestmentSummaryBox"/>
              <w:framePr w:hSpace="0" w:wrap="auto" w:vAnchor="margin" w:hAnchor="text" w:yAlign="inline"/>
              <w:spacing w:line="240" w:lineRule="auto"/>
              <w:rPr>
                <w:b/>
                <w:bCs/>
                <w:color w:val="000000" w:themeColor="text1"/>
              </w:rPr>
            </w:pPr>
            <w:bookmarkStart w:id="58" w:name="_Toc168780407"/>
            <w:bookmarkStart w:id="59" w:name="_Toc169625299"/>
            <w:bookmarkStart w:id="60" w:name="_Toc169627615"/>
            <w:bookmarkStart w:id="61" w:name="_Toc170734343"/>
            <w:bookmarkStart w:id="62" w:name="_Toc171335244"/>
            <w:bookmarkStart w:id="63" w:name="_Toc171667255"/>
            <w:bookmarkStart w:id="64" w:name="_Toc176977184"/>
            <w:r w:rsidRPr="00A92CB4">
              <w:rPr>
                <w:b/>
                <w:bCs/>
                <w:color w:val="000000" w:themeColor="text1"/>
              </w:rPr>
              <w:t>Commencement date</w:t>
            </w:r>
            <w:bookmarkEnd w:id="58"/>
            <w:bookmarkEnd w:id="59"/>
            <w:bookmarkEnd w:id="60"/>
            <w:bookmarkEnd w:id="61"/>
            <w:bookmarkEnd w:id="62"/>
            <w:bookmarkEnd w:id="63"/>
            <w:bookmarkEnd w:id="64"/>
          </w:p>
        </w:tc>
        <w:tc>
          <w:tcPr>
            <w:tcW w:w="5592" w:type="dxa"/>
            <w:vAlign w:val="center"/>
          </w:tcPr>
          <w:p w14:paraId="0360675B" w14:textId="77FA9DFE" w:rsidR="0064626D" w:rsidRPr="00826245" w:rsidRDefault="0064626D" w:rsidP="003F5741">
            <w:pPr>
              <w:spacing w:after="0" w:line="240" w:lineRule="auto"/>
              <w:jc w:val="center"/>
              <w:rPr>
                <w:rFonts w:ascii="Calibri" w:hAnsi="Calibri" w:cs="Calibri"/>
                <w:color w:val="000000" w:themeColor="text1"/>
              </w:rPr>
            </w:pPr>
            <w:r w:rsidRPr="00826245">
              <w:rPr>
                <w:rFonts w:ascii="Calibri" w:hAnsi="Calibri" w:cs="Calibri"/>
                <w:color w:val="000000" w:themeColor="text1"/>
              </w:rPr>
              <w:t>14 March 2022</w:t>
            </w:r>
          </w:p>
        </w:tc>
      </w:tr>
      <w:tr w:rsidR="0064626D" w:rsidRPr="00826245" w14:paraId="464853F9" w14:textId="77777777" w:rsidTr="0064626D">
        <w:tc>
          <w:tcPr>
            <w:tcW w:w="2483" w:type="dxa"/>
            <w:shd w:val="clear" w:color="auto" w:fill="FFFFFF" w:themeFill="background1"/>
            <w:vAlign w:val="center"/>
          </w:tcPr>
          <w:p w14:paraId="46DC55D2" w14:textId="648C0E16" w:rsidR="0064626D" w:rsidRPr="00A92CB4" w:rsidRDefault="0064626D" w:rsidP="003F5741">
            <w:pPr>
              <w:pStyle w:val="InvestmentSummaryBox"/>
              <w:framePr w:hSpace="0" w:wrap="auto" w:vAnchor="margin" w:hAnchor="text" w:yAlign="inline"/>
              <w:spacing w:line="240" w:lineRule="auto"/>
              <w:rPr>
                <w:b/>
                <w:bCs/>
                <w:color w:val="000000" w:themeColor="text1"/>
              </w:rPr>
            </w:pPr>
            <w:bookmarkStart w:id="65" w:name="_Toc168780408"/>
            <w:bookmarkStart w:id="66" w:name="_Toc169625300"/>
            <w:bookmarkStart w:id="67" w:name="_Toc169627616"/>
            <w:bookmarkStart w:id="68" w:name="_Toc170734344"/>
            <w:bookmarkStart w:id="69" w:name="_Toc171335245"/>
            <w:bookmarkStart w:id="70" w:name="_Toc171667256"/>
            <w:bookmarkStart w:id="71" w:name="_Toc176977185"/>
            <w:r w:rsidRPr="00A92CB4">
              <w:rPr>
                <w:b/>
                <w:bCs/>
                <w:color w:val="000000" w:themeColor="text1"/>
              </w:rPr>
              <w:t>Completion date</w:t>
            </w:r>
            <w:bookmarkEnd w:id="65"/>
            <w:bookmarkEnd w:id="66"/>
            <w:bookmarkEnd w:id="67"/>
            <w:bookmarkEnd w:id="68"/>
            <w:bookmarkEnd w:id="69"/>
            <w:bookmarkEnd w:id="70"/>
            <w:bookmarkEnd w:id="71"/>
          </w:p>
        </w:tc>
        <w:tc>
          <w:tcPr>
            <w:tcW w:w="5592" w:type="dxa"/>
            <w:vAlign w:val="center"/>
          </w:tcPr>
          <w:p w14:paraId="0DD52DBD" w14:textId="6C0542B9" w:rsidR="0064626D" w:rsidRPr="00826245" w:rsidRDefault="0064626D" w:rsidP="003F5741">
            <w:pPr>
              <w:spacing w:after="0" w:line="240" w:lineRule="auto"/>
              <w:jc w:val="center"/>
              <w:rPr>
                <w:rFonts w:ascii="Calibri" w:hAnsi="Calibri" w:cs="Calibri"/>
                <w:color w:val="000000" w:themeColor="text1"/>
              </w:rPr>
            </w:pPr>
            <w:r w:rsidRPr="00826245">
              <w:rPr>
                <w:rFonts w:ascii="Calibri" w:hAnsi="Calibri" w:cs="Calibri"/>
                <w:color w:val="000000" w:themeColor="text1"/>
              </w:rPr>
              <w:t>30 April 2026</w:t>
            </w:r>
          </w:p>
        </w:tc>
      </w:tr>
      <w:tr w:rsidR="0064626D" w:rsidRPr="00826245" w14:paraId="1D82CFF7" w14:textId="77777777" w:rsidTr="0064626D">
        <w:tc>
          <w:tcPr>
            <w:tcW w:w="2483" w:type="dxa"/>
            <w:shd w:val="clear" w:color="auto" w:fill="FFFFFF" w:themeFill="background1"/>
            <w:vAlign w:val="center"/>
          </w:tcPr>
          <w:p w14:paraId="710D8CCA" w14:textId="77777777" w:rsidR="0064626D" w:rsidRPr="00A92CB4" w:rsidRDefault="0064626D" w:rsidP="003F5741">
            <w:pPr>
              <w:pStyle w:val="InvestmentSummaryBox"/>
              <w:framePr w:hSpace="0" w:wrap="auto" w:vAnchor="margin" w:hAnchor="text" w:yAlign="inline"/>
              <w:spacing w:line="240" w:lineRule="auto"/>
              <w:rPr>
                <w:b/>
                <w:bCs/>
                <w:color w:val="000000" w:themeColor="text1"/>
              </w:rPr>
            </w:pPr>
            <w:bookmarkStart w:id="72" w:name="_Toc168780409"/>
            <w:bookmarkStart w:id="73" w:name="_Toc169625301"/>
            <w:bookmarkStart w:id="74" w:name="_Toc169627617"/>
            <w:bookmarkStart w:id="75" w:name="_Toc170734345"/>
            <w:bookmarkStart w:id="76" w:name="_Toc171335246"/>
            <w:bookmarkStart w:id="77" w:name="_Toc171667257"/>
            <w:bookmarkStart w:id="78" w:name="_Toc176977186"/>
            <w:r w:rsidRPr="00A92CB4">
              <w:rPr>
                <w:b/>
                <w:bCs/>
                <w:color w:val="000000" w:themeColor="text1"/>
              </w:rPr>
              <w:t>Total Australian dollars</w:t>
            </w:r>
            <w:bookmarkEnd w:id="72"/>
            <w:bookmarkEnd w:id="73"/>
            <w:bookmarkEnd w:id="74"/>
            <w:bookmarkEnd w:id="75"/>
            <w:bookmarkEnd w:id="76"/>
            <w:bookmarkEnd w:id="77"/>
            <w:bookmarkEnd w:id="78"/>
          </w:p>
        </w:tc>
        <w:tc>
          <w:tcPr>
            <w:tcW w:w="5592" w:type="dxa"/>
            <w:vAlign w:val="center"/>
          </w:tcPr>
          <w:p w14:paraId="2FDF1DB1" w14:textId="4E9802F8" w:rsidR="0064626D" w:rsidRPr="0064626D" w:rsidRDefault="0064626D" w:rsidP="003F5741">
            <w:pPr>
              <w:spacing w:after="0" w:line="240" w:lineRule="auto"/>
              <w:jc w:val="center"/>
              <w:rPr>
                <w:rFonts w:ascii="Calibri" w:hAnsi="Calibri" w:cs="Calibri"/>
                <w:bCs/>
                <w:color w:val="000000" w:themeColor="text1"/>
              </w:rPr>
            </w:pPr>
            <w:r w:rsidRPr="0064626D">
              <w:rPr>
                <w:rFonts w:ascii="Calibri" w:hAnsi="Calibri" w:cs="Calibri"/>
                <w:bCs/>
                <w:color w:val="000000" w:themeColor="text1"/>
              </w:rPr>
              <w:t>AUD7,000,000.00</w:t>
            </w:r>
          </w:p>
        </w:tc>
      </w:tr>
      <w:tr w:rsidR="0064626D" w:rsidRPr="00826245" w14:paraId="2F80D8DD" w14:textId="77777777" w:rsidTr="0064626D">
        <w:tc>
          <w:tcPr>
            <w:tcW w:w="2483" w:type="dxa"/>
            <w:shd w:val="clear" w:color="auto" w:fill="FFFFFF" w:themeFill="background1"/>
            <w:vAlign w:val="center"/>
          </w:tcPr>
          <w:p w14:paraId="4767751B" w14:textId="77777777" w:rsidR="0064626D" w:rsidRPr="00A92CB4" w:rsidRDefault="0064626D" w:rsidP="003F5741">
            <w:pPr>
              <w:pStyle w:val="InvestmentSummaryBox"/>
              <w:framePr w:hSpace="0" w:wrap="auto" w:vAnchor="margin" w:hAnchor="text" w:yAlign="inline"/>
              <w:spacing w:line="240" w:lineRule="auto"/>
              <w:rPr>
                <w:b/>
                <w:bCs/>
                <w:color w:val="000000" w:themeColor="text1"/>
              </w:rPr>
            </w:pPr>
            <w:bookmarkStart w:id="79" w:name="_Toc168780411"/>
            <w:bookmarkStart w:id="80" w:name="_Toc169625302"/>
            <w:bookmarkStart w:id="81" w:name="_Toc169627618"/>
            <w:bookmarkStart w:id="82" w:name="_Toc170734346"/>
            <w:bookmarkStart w:id="83" w:name="_Toc171335247"/>
            <w:bookmarkStart w:id="84" w:name="_Toc171667258"/>
            <w:bookmarkStart w:id="85" w:name="_Toc176977187"/>
            <w:r w:rsidRPr="00A92CB4">
              <w:rPr>
                <w:b/>
                <w:bCs/>
                <w:color w:val="000000" w:themeColor="text1"/>
              </w:rPr>
              <w:t>Implementing Partner(s)</w:t>
            </w:r>
            <w:bookmarkEnd w:id="79"/>
            <w:bookmarkEnd w:id="80"/>
            <w:bookmarkEnd w:id="81"/>
            <w:bookmarkEnd w:id="82"/>
            <w:bookmarkEnd w:id="83"/>
            <w:bookmarkEnd w:id="84"/>
            <w:bookmarkEnd w:id="85"/>
          </w:p>
        </w:tc>
        <w:tc>
          <w:tcPr>
            <w:tcW w:w="5592" w:type="dxa"/>
            <w:vAlign w:val="center"/>
          </w:tcPr>
          <w:p w14:paraId="3C53EC7F" w14:textId="3011B1F6" w:rsidR="0064626D" w:rsidRPr="00826245" w:rsidRDefault="0064626D" w:rsidP="003F5741">
            <w:pPr>
              <w:spacing w:after="0" w:line="240" w:lineRule="auto"/>
              <w:jc w:val="center"/>
              <w:rPr>
                <w:rFonts w:ascii="Calibri" w:hAnsi="Calibri" w:cs="Calibri"/>
                <w:color w:val="000000" w:themeColor="text1"/>
              </w:rPr>
            </w:pPr>
            <w:r w:rsidRPr="00826245">
              <w:rPr>
                <w:rFonts w:ascii="Calibri" w:hAnsi="Calibri" w:cs="Calibri"/>
                <w:color w:val="000000" w:themeColor="text1"/>
              </w:rPr>
              <w:t>Water Sensitive Cities Australia (WSCA)</w:t>
            </w:r>
          </w:p>
          <w:p w14:paraId="67046AC4" w14:textId="62CF45D2" w:rsidR="0064626D" w:rsidRPr="00826245" w:rsidRDefault="0064626D" w:rsidP="003F5741">
            <w:pPr>
              <w:spacing w:after="0" w:line="240" w:lineRule="auto"/>
              <w:jc w:val="center"/>
              <w:rPr>
                <w:rFonts w:ascii="Calibri" w:hAnsi="Calibri" w:cs="Calibri"/>
                <w:color w:val="000000" w:themeColor="text1"/>
              </w:rPr>
            </w:pPr>
            <w:r w:rsidRPr="00826245">
              <w:rPr>
                <w:rFonts w:ascii="Calibri" w:hAnsi="Calibri" w:cs="Calibri"/>
                <w:color w:val="000000" w:themeColor="text1"/>
              </w:rPr>
              <w:t>International Centre for Environmental Management (ICEM)</w:t>
            </w:r>
          </w:p>
        </w:tc>
      </w:tr>
      <w:tr w:rsidR="0064626D" w:rsidRPr="00826245" w14:paraId="24872B98" w14:textId="77777777" w:rsidTr="0064626D">
        <w:tc>
          <w:tcPr>
            <w:tcW w:w="2483" w:type="dxa"/>
            <w:shd w:val="clear" w:color="auto" w:fill="FFFFFF" w:themeFill="background1"/>
            <w:vAlign w:val="center"/>
          </w:tcPr>
          <w:p w14:paraId="7D0C7331" w14:textId="77777777" w:rsidR="0064626D" w:rsidRPr="00A92CB4" w:rsidRDefault="0064626D" w:rsidP="003F5741">
            <w:pPr>
              <w:pStyle w:val="InvestmentSummaryBox"/>
              <w:framePr w:hSpace="0" w:wrap="auto" w:vAnchor="margin" w:hAnchor="text" w:yAlign="inline"/>
              <w:spacing w:line="240" w:lineRule="auto"/>
              <w:rPr>
                <w:b/>
                <w:bCs/>
                <w:color w:val="000000" w:themeColor="text1"/>
              </w:rPr>
            </w:pPr>
            <w:bookmarkStart w:id="86" w:name="_Toc168780412"/>
            <w:bookmarkStart w:id="87" w:name="_Toc169625303"/>
            <w:bookmarkStart w:id="88" w:name="_Toc169627619"/>
            <w:bookmarkStart w:id="89" w:name="_Toc170734347"/>
            <w:bookmarkStart w:id="90" w:name="_Toc171335248"/>
            <w:bookmarkStart w:id="91" w:name="_Toc171667259"/>
            <w:bookmarkStart w:id="92" w:name="_Toc176977188"/>
            <w:r w:rsidRPr="00A92CB4">
              <w:rPr>
                <w:b/>
                <w:bCs/>
                <w:color w:val="000000" w:themeColor="text1"/>
              </w:rPr>
              <w:t>Country/Region</w:t>
            </w:r>
            <w:bookmarkEnd w:id="86"/>
            <w:bookmarkEnd w:id="87"/>
            <w:bookmarkEnd w:id="88"/>
            <w:bookmarkEnd w:id="89"/>
            <w:bookmarkEnd w:id="90"/>
            <w:bookmarkEnd w:id="91"/>
            <w:bookmarkEnd w:id="92"/>
          </w:p>
        </w:tc>
        <w:tc>
          <w:tcPr>
            <w:tcW w:w="5592" w:type="dxa"/>
            <w:vAlign w:val="center"/>
          </w:tcPr>
          <w:p w14:paraId="61AC27FE" w14:textId="2B8529FB" w:rsidR="0064626D" w:rsidRPr="00826245" w:rsidRDefault="0064626D" w:rsidP="003F5741">
            <w:pPr>
              <w:spacing w:after="0" w:line="240" w:lineRule="auto"/>
              <w:jc w:val="center"/>
              <w:rPr>
                <w:rFonts w:ascii="Calibri" w:hAnsi="Calibri" w:cs="Calibri"/>
                <w:color w:val="000000" w:themeColor="text1"/>
              </w:rPr>
            </w:pPr>
            <w:r w:rsidRPr="00826245">
              <w:rPr>
                <w:rFonts w:ascii="Calibri" w:hAnsi="Calibri" w:cs="Calibri"/>
                <w:color w:val="000000" w:themeColor="text1"/>
              </w:rPr>
              <w:t>Thailand, Lao PDR, Cambodia, Viet Nam (Mekong)</w:t>
            </w:r>
          </w:p>
        </w:tc>
      </w:tr>
      <w:tr w:rsidR="0064626D" w:rsidRPr="00826245" w14:paraId="35A44A13" w14:textId="77777777" w:rsidTr="0064626D">
        <w:tc>
          <w:tcPr>
            <w:tcW w:w="2483" w:type="dxa"/>
            <w:shd w:val="clear" w:color="auto" w:fill="FFFFFF" w:themeFill="background1"/>
            <w:vAlign w:val="center"/>
          </w:tcPr>
          <w:p w14:paraId="70A02468" w14:textId="77777777" w:rsidR="0064626D" w:rsidRPr="00A92CB4" w:rsidRDefault="0064626D" w:rsidP="003F5741">
            <w:pPr>
              <w:pStyle w:val="InvestmentSummaryBox"/>
              <w:framePr w:hSpace="0" w:wrap="auto" w:vAnchor="margin" w:hAnchor="text" w:yAlign="inline"/>
              <w:spacing w:line="240" w:lineRule="auto"/>
              <w:rPr>
                <w:b/>
                <w:bCs/>
                <w:color w:val="000000" w:themeColor="text1"/>
              </w:rPr>
            </w:pPr>
            <w:bookmarkStart w:id="93" w:name="_Toc168780413"/>
            <w:bookmarkStart w:id="94" w:name="_Toc169625304"/>
            <w:bookmarkStart w:id="95" w:name="_Toc169627620"/>
            <w:bookmarkStart w:id="96" w:name="_Toc170734348"/>
            <w:bookmarkStart w:id="97" w:name="_Toc171335249"/>
            <w:bookmarkStart w:id="98" w:name="_Toc171667260"/>
            <w:bookmarkStart w:id="99" w:name="_Toc176977189"/>
            <w:r w:rsidRPr="00A92CB4">
              <w:rPr>
                <w:b/>
                <w:bCs/>
                <w:color w:val="000000" w:themeColor="text1"/>
              </w:rPr>
              <w:t>Primary Sector</w:t>
            </w:r>
            <w:bookmarkEnd w:id="93"/>
            <w:bookmarkEnd w:id="94"/>
            <w:bookmarkEnd w:id="95"/>
            <w:bookmarkEnd w:id="96"/>
            <w:bookmarkEnd w:id="97"/>
            <w:bookmarkEnd w:id="98"/>
            <w:bookmarkEnd w:id="99"/>
          </w:p>
        </w:tc>
        <w:tc>
          <w:tcPr>
            <w:tcW w:w="5592" w:type="dxa"/>
            <w:vAlign w:val="center"/>
          </w:tcPr>
          <w:p w14:paraId="4AA1A0D8" w14:textId="56EE5097" w:rsidR="0064626D" w:rsidRPr="00826245" w:rsidRDefault="0064626D" w:rsidP="003F5741">
            <w:pPr>
              <w:spacing w:after="0" w:line="240" w:lineRule="auto"/>
              <w:jc w:val="center"/>
              <w:rPr>
                <w:rFonts w:ascii="Calibri" w:hAnsi="Calibri" w:cs="Calibri"/>
                <w:color w:val="000000" w:themeColor="text1"/>
              </w:rPr>
            </w:pPr>
            <w:r w:rsidRPr="00826245">
              <w:rPr>
                <w:rFonts w:ascii="Calibri" w:hAnsi="Calibri" w:cs="Calibri"/>
                <w:color w:val="000000" w:themeColor="text1"/>
              </w:rPr>
              <w:t>Urban planning, climate resilience</w:t>
            </w:r>
          </w:p>
        </w:tc>
      </w:tr>
    </w:tbl>
    <w:p w14:paraId="6132BD00" w14:textId="1E8AB767" w:rsidR="00602742" w:rsidRPr="003D4B91" w:rsidRDefault="00602742" w:rsidP="008A4889">
      <w:pPr>
        <w:pStyle w:val="Heading1"/>
        <w:jc w:val="both"/>
      </w:pPr>
      <w:bookmarkStart w:id="100" w:name="_Toc225951840"/>
      <w:r w:rsidRPr="003D4B91">
        <w:t>Acknowledgement</w:t>
      </w:r>
      <w:r w:rsidR="00341709" w:rsidRPr="003D4B91">
        <w:t>s</w:t>
      </w:r>
      <w:bookmarkEnd w:id="100"/>
    </w:p>
    <w:p w14:paraId="7252E3F0" w14:textId="536CF2A3" w:rsidR="00FB5AAB" w:rsidRPr="003D4B91" w:rsidRDefault="00602742" w:rsidP="008A4889">
      <w:pPr>
        <w:jc w:val="both"/>
      </w:pPr>
      <w:r w:rsidRPr="003D4B91">
        <w:t xml:space="preserve">This </w:t>
      </w:r>
      <w:r w:rsidR="00FB5AAB" w:rsidRPr="003D4B91">
        <w:t>end of program evaluation</w:t>
      </w:r>
      <w:r w:rsidRPr="003D4B91">
        <w:t xml:space="preserve"> was commissioned by </w:t>
      </w:r>
      <w:r w:rsidR="00FB5AAB" w:rsidRPr="003D4B91">
        <w:t>Water Sensitive Cities Australia (WSCA) and the International Centre for Environmental Management (ICEM) on behalf of DFAT post in Bangkok, Thailand—who managed this investment under the Mekong-Australia Partnership (MAP).</w:t>
      </w:r>
      <w:r w:rsidR="00FB5AAB" w:rsidRPr="003D4B91">
        <w:rPr>
          <w:rStyle w:val="FootnoteReference"/>
        </w:rPr>
        <w:footnoteReference w:id="1"/>
      </w:r>
      <w:r w:rsidR="00EA46EF" w:rsidRPr="003D4B91">
        <w:t xml:space="preserve"> </w:t>
      </w:r>
      <w:r w:rsidR="00FB5AAB" w:rsidRPr="003D4B91">
        <w:t>Kath</w:t>
      </w:r>
      <w:r w:rsidR="007D1363">
        <w:t>a</w:t>
      </w:r>
      <w:r w:rsidR="00FB5AAB" w:rsidRPr="003D4B91">
        <w:t>rine Cross and Smriti Venkatraman managed the evaluation and were critical to arranging fieldwork and relevant information. WSCA and ICEM staff in Thailand, Lao PDR, Cambodia and Viet Nam were key to facilitating field visits in each country.</w:t>
      </w:r>
    </w:p>
    <w:p w14:paraId="7D02B09F" w14:textId="687517A7" w:rsidR="000A7280" w:rsidRPr="003D4B91" w:rsidRDefault="000A7280" w:rsidP="008A4889">
      <w:pPr>
        <w:pStyle w:val="Heading1"/>
        <w:jc w:val="both"/>
      </w:pPr>
      <w:bookmarkStart w:id="101" w:name="_Toc225951841"/>
      <w:r w:rsidRPr="003D4B91">
        <w:t>Author details</w:t>
      </w:r>
      <w:bookmarkEnd w:id="101"/>
    </w:p>
    <w:p w14:paraId="143C787A" w14:textId="38DAF8BB" w:rsidR="001D5669" w:rsidRPr="003D4B91" w:rsidRDefault="001D5669" w:rsidP="008A4889">
      <w:pPr>
        <w:jc w:val="both"/>
      </w:pPr>
      <w:r w:rsidRPr="003D4B91">
        <w:rPr>
          <w:b/>
          <w:bCs/>
        </w:rPr>
        <w:t xml:space="preserve">Dr Naomi Francis </w:t>
      </w:r>
      <w:r w:rsidRPr="003D4B91">
        <w:t xml:space="preserve">(FH Designs Pty Ltd) </w:t>
      </w:r>
      <w:r w:rsidR="00243B13" w:rsidRPr="003D4B91">
        <w:t>has</w:t>
      </w:r>
      <w:r w:rsidR="00AF0DAD" w:rsidRPr="003D4B91">
        <w:t xml:space="preserve"> over</w:t>
      </w:r>
      <w:r w:rsidR="00243B13" w:rsidRPr="003D4B91">
        <w:t xml:space="preserve"> 10 years’ experience working as a researcher, engineer and educator in international </w:t>
      </w:r>
      <w:r w:rsidR="00FB5AAB" w:rsidRPr="003D4B91">
        <w:t xml:space="preserve">water management, </w:t>
      </w:r>
      <w:r w:rsidR="00243B13" w:rsidRPr="003D4B91">
        <w:t xml:space="preserve">water, sanitation and hygiene (WASH), gender </w:t>
      </w:r>
      <w:r w:rsidR="00FB5AAB" w:rsidRPr="003D4B91">
        <w:t>equality</w:t>
      </w:r>
      <w:r w:rsidR="00243B13" w:rsidRPr="003D4B91">
        <w:t xml:space="preserve">, </w:t>
      </w:r>
      <w:r w:rsidR="00FB5AAB" w:rsidRPr="003D4B91">
        <w:t>disability</w:t>
      </w:r>
      <w:r w:rsidR="00243B13" w:rsidRPr="003D4B91">
        <w:t xml:space="preserve"> and social inclusion (GEDSI)</w:t>
      </w:r>
      <w:r w:rsidR="00FB5AAB" w:rsidRPr="003D4B91">
        <w:t xml:space="preserve"> and</w:t>
      </w:r>
      <w:r w:rsidR="00243B13" w:rsidRPr="003D4B91">
        <w:t xml:space="preserve"> international development</w:t>
      </w:r>
      <w:r w:rsidR="00AF0DAD" w:rsidRPr="003D4B91">
        <w:t xml:space="preserve"> in countries across Africa, Asia and the Pacific</w:t>
      </w:r>
      <w:r w:rsidR="00243B13" w:rsidRPr="003D4B91">
        <w:t>.</w:t>
      </w:r>
    </w:p>
    <w:p w14:paraId="1F3C6539" w14:textId="2E0CC6F7" w:rsidR="001D5669" w:rsidRPr="003D4B91" w:rsidRDefault="00436B34" w:rsidP="008A4889">
      <w:pPr>
        <w:jc w:val="both"/>
      </w:pPr>
      <w:r w:rsidRPr="003D4B91">
        <w:rPr>
          <w:b/>
          <w:bCs/>
        </w:rPr>
        <w:t>Dr Leandra Rhodes-Dicker</w:t>
      </w:r>
      <w:r w:rsidRPr="003D4B91">
        <w:t xml:space="preserve"> has worked for 10 years as a practitioner and researcher in IWRM and environmental sustainability</w:t>
      </w:r>
      <w:r w:rsidR="00DF7ADA" w:rsidRPr="003D4B91">
        <w:t xml:space="preserve"> in countries across North America, Africa, Asia, and the Pacific. She has </w:t>
      </w:r>
      <w:r w:rsidRPr="003D4B91">
        <w:t xml:space="preserve">expertise in </w:t>
      </w:r>
      <w:r w:rsidR="008A32DA" w:rsidRPr="003D4B91">
        <w:t>WASH</w:t>
      </w:r>
      <w:r w:rsidRPr="003D4B91">
        <w:t>, NbS, and GEDSI.</w:t>
      </w:r>
      <w:r w:rsidR="008A32DA" w:rsidRPr="003D4B91">
        <w:t xml:space="preserve"> </w:t>
      </w:r>
      <w:r w:rsidR="00DF7ADA" w:rsidRPr="003D4B91">
        <w:t>Leandra</w:t>
      </w:r>
      <w:r w:rsidR="008A32DA" w:rsidRPr="003D4B91">
        <w:t xml:space="preserve"> is also an educator on the topics of ecohydrology and urban systems. </w:t>
      </w:r>
    </w:p>
    <w:p w14:paraId="6D05983F" w14:textId="1A1BE6E1" w:rsidR="00CE46A5" w:rsidRPr="003D4B91" w:rsidRDefault="00436B34">
      <w:pPr>
        <w:rPr>
          <w:rFonts w:asciiTheme="majorHAnsi" w:eastAsiaTheme="majorEastAsia" w:hAnsiTheme="majorHAnsi" w:cstheme="majorBidi"/>
          <w:color w:val="0F4761" w:themeColor="accent1" w:themeShade="BF"/>
          <w:sz w:val="40"/>
          <w:szCs w:val="40"/>
        </w:rPr>
      </w:pPr>
      <w:r w:rsidRPr="003D4B91">
        <w:rPr>
          <w:b/>
          <w:bCs/>
        </w:rPr>
        <w:t>M</w:t>
      </w:r>
      <w:r w:rsidR="00DD43BE">
        <w:rPr>
          <w:b/>
          <w:bCs/>
        </w:rPr>
        <w:t>r</w:t>
      </w:r>
      <w:r w:rsidRPr="003D4B91">
        <w:rPr>
          <w:b/>
          <w:bCs/>
        </w:rPr>
        <w:t>s Phaylin Bounmanyvone</w:t>
      </w:r>
      <w:r w:rsidRPr="003D4B91">
        <w:t xml:space="preserve"> is a highly experienced Environmental and Social Safeguards specialist with over 15 years of expertise in environmental impact assessment, climate-resilient urban planning, and sustainable resource management in the </w:t>
      </w:r>
      <w:r w:rsidR="00C7502A" w:rsidRPr="003D4B91">
        <w:t>Mekong subregion</w:t>
      </w:r>
      <w:r w:rsidRPr="003D4B91">
        <w:t xml:space="preserve">. </w:t>
      </w:r>
      <w:r w:rsidR="00EA46EF" w:rsidRPr="003D4B91">
        <w:t>She holds</w:t>
      </w:r>
      <w:r w:rsidRPr="003D4B91">
        <w:t xml:space="preserve"> a </w:t>
      </w:r>
      <w:r w:rsidRPr="003D4B91">
        <w:lastRenderedPageBreak/>
        <w:t>master’s degree in environmental engineering and management from the Asian Institute of Technology</w:t>
      </w:r>
      <w:r w:rsidR="00EA46EF" w:rsidRPr="003D4B91">
        <w:t>.</w:t>
      </w:r>
      <w:r w:rsidR="00CE46A5" w:rsidRPr="003D4B91">
        <w:br w:type="page"/>
      </w:r>
    </w:p>
    <w:p w14:paraId="181DF40D" w14:textId="476E497A" w:rsidR="003A2E7A" w:rsidRPr="003D4B91" w:rsidRDefault="003A2E7A" w:rsidP="003313BB">
      <w:pPr>
        <w:pStyle w:val="Heading1"/>
        <w:spacing w:before="0"/>
      </w:pPr>
      <w:bookmarkStart w:id="102" w:name="_Toc225951842"/>
      <w:r w:rsidRPr="003D4B91">
        <w:lastRenderedPageBreak/>
        <w:t xml:space="preserve">Table of </w:t>
      </w:r>
      <w:r w:rsidR="00286C2D" w:rsidRPr="003D4B91">
        <w:t>c</w:t>
      </w:r>
      <w:r w:rsidRPr="003D4B91">
        <w:t>ontents</w:t>
      </w:r>
      <w:bookmarkEnd w:id="102"/>
    </w:p>
    <w:sdt>
      <w:sdtPr>
        <w:rPr>
          <w:rFonts w:asciiTheme="minorHAnsi" w:eastAsiaTheme="minorHAnsi" w:hAnsiTheme="minorHAnsi" w:cstheme="minorBidi"/>
          <w:kern w:val="2"/>
          <w:sz w:val="22"/>
          <w:szCs w:val="22"/>
          <w14:ligatures w14:val="standardContextual"/>
        </w:rPr>
        <w:id w:val="-1139423389"/>
        <w:docPartObj>
          <w:docPartGallery w:val="Table of Contents"/>
          <w:docPartUnique/>
        </w:docPartObj>
      </w:sdtPr>
      <w:sdtEndPr>
        <w:rPr>
          <w:b/>
          <w:bCs/>
          <w:noProof/>
        </w:rPr>
      </w:sdtEndPr>
      <w:sdtContent>
        <w:p w14:paraId="12CB8444" w14:textId="23B86166" w:rsidR="007007C5" w:rsidRPr="007007C5" w:rsidRDefault="0043573C">
          <w:pPr>
            <w:pStyle w:val="TOC1"/>
            <w:tabs>
              <w:tab w:val="right" w:leader="dot" w:pos="9016"/>
            </w:tabs>
            <w:rPr>
              <w:rFonts w:asciiTheme="minorHAnsi" w:eastAsiaTheme="minorEastAsia" w:hAnsiTheme="minorHAnsi" w:cstheme="minorBidi"/>
              <w:noProof/>
              <w:kern w:val="2"/>
              <w:sz w:val="22"/>
              <w:szCs w:val="22"/>
              <w:lang w:eastAsia="en-AU"/>
              <w14:ligatures w14:val="standardContextual"/>
            </w:rPr>
          </w:pPr>
          <w:r w:rsidRPr="007007C5">
            <w:rPr>
              <w:rFonts w:asciiTheme="minorHAnsi" w:eastAsiaTheme="majorEastAsia" w:hAnsiTheme="minorHAnsi" w:cstheme="majorBidi"/>
              <w:color w:val="0F4761" w:themeColor="accent1" w:themeShade="BF"/>
              <w:sz w:val="22"/>
              <w:szCs w:val="22"/>
              <w:lang w:val="en-US"/>
            </w:rPr>
            <w:fldChar w:fldCharType="begin"/>
          </w:r>
          <w:r w:rsidRPr="007007C5">
            <w:rPr>
              <w:rFonts w:asciiTheme="minorHAnsi" w:hAnsiTheme="minorHAnsi"/>
              <w:sz w:val="22"/>
              <w:szCs w:val="22"/>
            </w:rPr>
            <w:instrText xml:space="preserve"> TOC \o "1-3" \h \z \u </w:instrText>
          </w:r>
          <w:r w:rsidRPr="007007C5">
            <w:rPr>
              <w:rFonts w:asciiTheme="minorHAnsi" w:eastAsiaTheme="majorEastAsia" w:hAnsiTheme="minorHAnsi" w:cstheme="majorBidi"/>
              <w:color w:val="0F4761" w:themeColor="accent1" w:themeShade="BF"/>
              <w:sz w:val="22"/>
              <w:szCs w:val="22"/>
              <w:lang w:val="en-US"/>
            </w:rPr>
            <w:fldChar w:fldCharType="separate"/>
          </w:r>
          <w:hyperlink w:anchor="_Toc225951839" w:history="1">
            <w:r w:rsidR="007007C5" w:rsidRPr="007007C5">
              <w:rPr>
                <w:rStyle w:val="Hyperlink"/>
                <w:rFonts w:asciiTheme="minorHAnsi" w:hAnsiTheme="minorHAnsi"/>
                <w:noProof/>
                <w:sz w:val="22"/>
                <w:szCs w:val="22"/>
              </w:rPr>
              <w:t>Investment summary</w:t>
            </w:r>
            <w:r w:rsidR="007007C5" w:rsidRPr="007007C5">
              <w:rPr>
                <w:rFonts w:asciiTheme="minorHAnsi" w:hAnsiTheme="minorHAnsi"/>
                <w:noProof/>
                <w:webHidden/>
                <w:sz w:val="22"/>
                <w:szCs w:val="22"/>
              </w:rPr>
              <w:tab/>
            </w:r>
            <w:r w:rsidR="007007C5" w:rsidRPr="007007C5">
              <w:rPr>
                <w:rFonts w:asciiTheme="minorHAnsi" w:hAnsiTheme="minorHAnsi"/>
                <w:noProof/>
                <w:webHidden/>
                <w:sz w:val="22"/>
                <w:szCs w:val="22"/>
              </w:rPr>
              <w:fldChar w:fldCharType="begin"/>
            </w:r>
            <w:r w:rsidR="007007C5" w:rsidRPr="007007C5">
              <w:rPr>
                <w:rFonts w:asciiTheme="minorHAnsi" w:hAnsiTheme="minorHAnsi"/>
                <w:noProof/>
                <w:webHidden/>
                <w:sz w:val="22"/>
                <w:szCs w:val="22"/>
              </w:rPr>
              <w:instrText xml:space="preserve"> PAGEREF _Toc225951839 \h </w:instrText>
            </w:r>
            <w:r w:rsidR="007007C5" w:rsidRPr="007007C5">
              <w:rPr>
                <w:rFonts w:asciiTheme="minorHAnsi" w:hAnsiTheme="minorHAnsi"/>
                <w:noProof/>
                <w:webHidden/>
                <w:sz w:val="22"/>
                <w:szCs w:val="22"/>
              </w:rPr>
            </w:r>
            <w:r w:rsidR="007007C5" w:rsidRPr="007007C5">
              <w:rPr>
                <w:rFonts w:asciiTheme="minorHAnsi" w:hAnsiTheme="minorHAnsi"/>
                <w:noProof/>
                <w:webHidden/>
                <w:sz w:val="22"/>
                <w:szCs w:val="22"/>
              </w:rPr>
              <w:fldChar w:fldCharType="separate"/>
            </w:r>
            <w:r w:rsidR="007007C5" w:rsidRPr="007007C5">
              <w:rPr>
                <w:rFonts w:asciiTheme="minorHAnsi" w:hAnsiTheme="minorHAnsi"/>
                <w:noProof/>
                <w:webHidden/>
                <w:sz w:val="22"/>
                <w:szCs w:val="22"/>
              </w:rPr>
              <w:t>ii</w:t>
            </w:r>
            <w:r w:rsidR="007007C5" w:rsidRPr="007007C5">
              <w:rPr>
                <w:rFonts w:asciiTheme="minorHAnsi" w:hAnsiTheme="minorHAnsi"/>
                <w:noProof/>
                <w:webHidden/>
                <w:sz w:val="22"/>
                <w:szCs w:val="22"/>
              </w:rPr>
              <w:fldChar w:fldCharType="end"/>
            </w:r>
          </w:hyperlink>
        </w:p>
        <w:p w14:paraId="249DD34F" w14:textId="28C1094D" w:rsidR="007007C5" w:rsidRPr="007007C5" w:rsidRDefault="007007C5">
          <w:pPr>
            <w:pStyle w:val="TOC1"/>
            <w:tabs>
              <w:tab w:val="right" w:leader="dot" w:pos="9016"/>
            </w:tabs>
            <w:rPr>
              <w:rFonts w:asciiTheme="minorHAnsi" w:eastAsiaTheme="minorEastAsia" w:hAnsiTheme="minorHAnsi" w:cstheme="minorBidi"/>
              <w:noProof/>
              <w:kern w:val="2"/>
              <w:sz w:val="22"/>
              <w:szCs w:val="22"/>
              <w:lang w:eastAsia="en-AU"/>
              <w14:ligatures w14:val="standardContextual"/>
            </w:rPr>
          </w:pPr>
          <w:hyperlink w:anchor="_Toc225951840" w:history="1">
            <w:r w:rsidRPr="007007C5">
              <w:rPr>
                <w:rStyle w:val="Hyperlink"/>
                <w:rFonts w:asciiTheme="minorHAnsi" w:hAnsiTheme="minorHAnsi"/>
                <w:noProof/>
                <w:sz w:val="22"/>
                <w:szCs w:val="22"/>
              </w:rPr>
              <w:t>Acknowledgements</w:t>
            </w:r>
            <w:r w:rsidRPr="007007C5">
              <w:rPr>
                <w:rFonts w:asciiTheme="minorHAnsi" w:hAnsiTheme="minorHAnsi"/>
                <w:noProof/>
                <w:webHidden/>
                <w:sz w:val="22"/>
                <w:szCs w:val="22"/>
              </w:rPr>
              <w:tab/>
            </w:r>
            <w:r w:rsidRPr="007007C5">
              <w:rPr>
                <w:rFonts w:asciiTheme="minorHAnsi" w:hAnsiTheme="minorHAnsi"/>
                <w:noProof/>
                <w:webHidden/>
                <w:sz w:val="22"/>
                <w:szCs w:val="22"/>
              </w:rPr>
              <w:fldChar w:fldCharType="begin"/>
            </w:r>
            <w:r w:rsidRPr="007007C5">
              <w:rPr>
                <w:rFonts w:asciiTheme="minorHAnsi" w:hAnsiTheme="minorHAnsi"/>
                <w:noProof/>
                <w:webHidden/>
                <w:sz w:val="22"/>
                <w:szCs w:val="22"/>
              </w:rPr>
              <w:instrText xml:space="preserve"> PAGEREF _Toc225951840 \h </w:instrText>
            </w:r>
            <w:r w:rsidRPr="007007C5">
              <w:rPr>
                <w:rFonts w:asciiTheme="minorHAnsi" w:hAnsiTheme="minorHAnsi"/>
                <w:noProof/>
                <w:webHidden/>
                <w:sz w:val="22"/>
                <w:szCs w:val="22"/>
              </w:rPr>
            </w:r>
            <w:r w:rsidRPr="007007C5">
              <w:rPr>
                <w:rFonts w:asciiTheme="minorHAnsi" w:hAnsiTheme="minorHAnsi"/>
                <w:noProof/>
                <w:webHidden/>
                <w:sz w:val="22"/>
                <w:szCs w:val="22"/>
              </w:rPr>
              <w:fldChar w:fldCharType="separate"/>
            </w:r>
            <w:r w:rsidRPr="007007C5">
              <w:rPr>
                <w:rFonts w:asciiTheme="minorHAnsi" w:hAnsiTheme="minorHAnsi"/>
                <w:noProof/>
                <w:webHidden/>
                <w:sz w:val="22"/>
                <w:szCs w:val="22"/>
              </w:rPr>
              <w:t>ii</w:t>
            </w:r>
            <w:r w:rsidRPr="007007C5">
              <w:rPr>
                <w:rFonts w:asciiTheme="minorHAnsi" w:hAnsiTheme="minorHAnsi"/>
                <w:noProof/>
                <w:webHidden/>
                <w:sz w:val="22"/>
                <w:szCs w:val="22"/>
              </w:rPr>
              <w:fldChar w:fldCharType="end"/>
            </w:r>
          </w:hyperlink>
        </w:p>
        <w:p w14:paraId="55C056CA" w14:textId="489C2B84" w:rsidR="007007C5" w:rsidRPr="007007C5" w:rsidRDefault="007007C5">
          <w:pPr>
            <w:pStyle w:val="TOC1"/>
            <w:tabs>
              <w:tab w:val="right" w:leader="dot" w:pos="9016"/>
            </w:tabs>
            <w:rPr>
              <w:rFonts w:asciiTheme="minorHAnsi" w:eastAsiaTheme="minorEastAsia" w:hAnsiTheme="minorHAnsi" w:cstheme="minorBidi"/>
              <w:noProof/>
              <w:kern w:val="2"/>
              <w:sz w:val="22"/>
              <w:szCs w:val="22"/>
              <w:lang w:eastAsia="en-AU"/>
              <w14:ligatures w14:val="standardContextual"/>
            </w:rPr>
          </w:pPr>
          <w:hyperlink w:anchor="_Toc225951841" w:history="1">
            <w:r w:rsidRPr="007007C5">
              <w:rPr>
                <w:rStyle w:val="Hyperlink"/>
                <w:rFonts w:asciiTheme="minorHAnsi" w:hAnsiTheme="minorHAnsi"/>
                <w:noProof/>
                <w:sz w:val="22"/>
                <w:szCs w:val="22"/>
              </w:rPr>
              <w:t>Author details</w:t>
            </w:r>
            <w:r w:rsidRPr="007007C5">
              <w:rPr>
                <w:rFonts w:asciiTheme="minorHAnsi" w:hAnsiTheme="minorHAnsi"/>
                <w:noProof/>
                <w:webHidden/>
                <w:sz w:val="22"/>
                <w:szCs w:val="22"/>
              </w:rPr>
              <w:tab/>
            </w:r>
            <w:r w:rsidRPr="007007C5">
              <w:rPr>
                <w:rFonts w:asciiTheme="minorHAnsi" w:hAnsiTheme="minorHAnsi"/>
                <w:noProof/>
                <w:webHidden/>
                <w:sz w:val="22"/>
                <w:szCs w:val="22"/>
              </w:rPr>
              <w:fldChar w:fldCharType="begin"/>
            </w:r>
            <w:r w:rsidRPr="007007C5">
              <w:rPr>
                <w:rFonts w:asciiTheme="minorHAnsi" w:hAnsiTheme="minorHAnsi"/>
                <w:noProof/>
                <w:webHidden/>
                <w:sz w:val="22"/>
                <w:szCs w:val="22"/>
              </w:rPr>
              <w:instrText xml:space="preserve"> PAGEREF _Toc225951841 \h </w:instrText>
            </w:r>
            <w:r w:rsidRPr="007007C5">
              <w:rPr>
                <w:rFonts w:asciiTheme="minorHAnsi" w:hAnsiTheme="minorHAnsi"/>
                <w:noProof/>
                <w:webHidden/>
                <w:sz w:val="22"/>
                <w:szCs w:val="22"/>
              </w:rPr>
            </w:r>
            <w:r w:rsidRPr="007007C5">
              <w:rPr>
                <w:rFonts w:asciiTheme="minorHAnsi" w:hAnsiTheme="minorHAnsi"/>
                <w:noProof/>
                <w:webHidden/>
                <w:sz w:val="22"/>
                <w:szCs w:val="22"/>
              </w:rPr>
              <w:fldChar w:fldCharType="separate"/>
            </w:r>
            <w:r w:rsidRPr="007007C5">
              <w:rPr>
                <w:rFonts w:asciiTheme="minorHAnsi" w:hAnsiTheme="minorHAnsi"/>
                <w:noProof/>
                <w:webHidden/>
                <w:sz w:val="22"/>
                <w:szCs w:val="22"/>
              </w:rPr>
              <w:t>ii</w:t>
            </w:r>
            <w:r w:rsidRPr="007007C5">
              <w:rPr>
                <w:rFonts w:asciiTheme="minorHAnsi" w:hAnsiTheme="minorHAnsi"/>
                <w:noProof/>
                <w:webHidden/>
                <w:sz w:val="22"/>
                <w:szCs w:val="22"/>
              </w:rPr>
              <w:fldChar w:fldCharType="end"/>
            </w:r>
          </w:hyperlink>
        </w:p>
        <w:p w14:paraId="4ECE5C19" w14:textId="300C4BA5" w:rsidR="007007C5" w:rsidRPr="007007C5" w:rsidRDefault="007007C5">
          <w:pPr>
            <w:pStyle w:val="TOC1"/>
            <w:tabs>
              <w:tab w:val="right" w:leader="dot" w:pos="9016"/>
            </w:tabs>
            <w:rPr>
              <w:rFonts w:asciiTheme="minorHAnsi" w:eastAsiaTheme="minorEastAsia" w:hAnsiTheme="minorHAnsi" w:cstheme="minorBidi"/>
              <w:noProof/>
              <w:kern w:val="2"/>
              <w:sz w:val="22"/>
              <w:szCs w:val="22"/>
              <w:lang w:eastAsia="en-AU"/>
              <w14:ligatures w14:val="standardContextual"/>
            </w:rPr>
          </w:pPr>
          <w:hyperlink w:anchor="_Toc225951842" w:history="1">
            <w:r w:rsidRPr="007007C5">
              <w:rPr>
                <w:rStyle w:val="Hyperlink"/>
                <w:rFonts w:asciiTheme="minorHAnsi" w:hAnsiTheme="minorHAnsi"/>
                <w:noProof/>
                <w:sz w:val="22"/>
                <w:szCs w:val="22"/>
              </w:rPr>
              <w:t>Table of contents</w:t>
            </w:r>
            <w:r w:rsidRPr="007007C5">
              <w:rPr>
                <w:rFonts w:asciiTheme="minorHAnsi" w:hAnsiTheme="minorHAnsi"/>
                <w:noProof/>
                <w:webHidden/>
                <w:sz w:val="22"/>
                <w:szCs w:val="22"/>
              </w:rPr>
              <w:tab/>
            </w:r>
            <w:r w:rsidRPr="007007C5">
              <w:rPr>
                <w:rFonts w:asciiTheme="minorHAnsi" w:hAnsiTheme="minorHAnsi"/>
                <w:noProof/>
                <w:webHidden/>
                <w:sz w:val="22"/>
                <w:szCs w:val="22"/>
              </w:rPr>
              <w:fldChar w:fldCharType="begin"/>
            </w:r>
            <w:r w:rsidRPr="007007C5">
              <w:rPr>
                <w:rFonts w:asciiTheme="minorHAnsi" w:hAnsiTheme="minorHAnsi"/>
                <w:noProof/>
                <w:webHidden/>
                <w:sz w:val="22"/>
                <w:szCs w:val="22"/>
              </w:rPr>
              <w:instrText xml:space="preserve"> PAGEREF _Toc225951842 \h </w:instrText>
            </w:r>
            <w:r w:rsidRPr="007007C5">
              <w:rPr>
                <w:rFonts w:asciiTheme="minorHAnsi" w:hAnsiTheme="minorHAnsi"/>
                <w:noProof/>
                <w:webHidden/>
                <w:sz w:val="22"/>
                <w:szCs w:val="22"/>
              </w:rPr>
            </w:r>
            <w:r w:rsidRPr="007007C5">
              <w:rPr>
                <w:rFonts w:asciiTheme="minorHAnsi" w:hAnsiTheme="minorHAnsi"/>
                <w:noProof/>
                <w:webHidden/>
                <w:sz w:val="22"/>
                <w:szCs w:val="22"/>
              </w:rPr>
              <w:fldChar w:fldCharType="separate"/>
            </w:r>
            <w:r w:rsidRPr="007007C5">
              <w:rPr>
                <w:rFonts w:asciiTheme="minorHAnsi" w:hAnsiTheme="minorHAnsi"/>
                <w:noProof/>
                <w:webHidden/>
                <w:sz w:val="22"/>
                <w:szCs w:val="22"/>
              </w:rPr>
              <w:t>iii</w:t>
            </w:r>
            <w:r w:rsidRPr="007007C5">
              <w:rPr>
                <w:rFonts w:asciiTheme="minorHAnsi" w:hAnsiTheme="minorHAnsi"/>
                <w:noProof/>
                <w:webHidden/>
                <w:sz w:val="22"/>
                <w:szCs w:val="22"/>
              </w:rPr>
              <w:fldChar w:fldCharType="end"/>
            </w:r>
          </w:hyperlink>
        </w:p>
        <w:p w14:paraId="5DB00751" w14:textId="4C89A143" w:rsidR="007007C5" w:rsidRPr="007007C5" w:rsidRDefault="007007C5">
          <w:pPr>
            <w:pStyle w:val="TOC1"/>
            <w:tabs>
              <w:tab w:val="right" w:leader="dot" w:pos="9016"/>
            </w:tabs>
            <w:rPr>
              <w:rFonts w:asciiTheme="minorHAnsi" w:eastAsiaTheme="minorEastAsia" w:hAnsiTheme="minorHAnsi" w:cstheme="minorBidi"/>
              <w:noProof/>
              <w:kern w:val="2"/>
              <w:sz w:val="22"/>
              <w:szCs w:val="22"/>
              <w:lang w:eastAsia="en-AU"/>
              <w14:ligatures w14:val="standardContextual"/>
            </w:rPr>
          </w:pPr>
          <w:hyperlink w:anchor="_Toc225951843" w:history="1">
            <w:r w:rsidRPr="007007C5">
              <w:rPr>
                <w:rStyle w:val="Hyperlink"/>
                <w:rFonts w:asciiTheme="minorHAnsi" w:hAnsiTheme="minorHAnsi"/>
                <w:noProof/>
                <w:sz w:val="22"/>
                <w:szCs w:val="22"/>
              </w:rPr>
              <w:t>Table of acronyms</w:t>
            </w:r>
            <w:r w:rsidRPr="007007C5">
              <w:rPr>
                <w:rFonts w:asciiTheme="minorHAnsi" w:hAnsiTheme="minorHAnsi"/>
                <w:noProof/>
                <w:webHidden/>
                <w:sz w:val="22"/>
                <w:szCs w:val="22"/>
              </w:rPr>
              <w:tab/>
            </w:r>
            <w:r w:rsidRPr="007007C5">
              <w:rPr>
                <w:rFonts w:asciiTheme="minorHAnsi" w:hAnsiTheme="minorHAnsi"/>
                <w:noProof/>
                <w:webHidden/>
                <w:sz w:val="22"/>
                <w:szCs w:val="22"/>
              </w:rPr>
              <w:fldChar w:fldCharType="begin"/>
            </w:r>
            <w:r w:rsidRPr="007007C5">
              <w:rPr>
                <w:rFonts w:asciiTheme="minorHAnsi" w:hAnsiTheme="minorHAnsi"/>
                <w:noProof/>
                <w:webHidden/>
                <w:sz w:val="22"/>
                <w:szCs w:val="22"/>
              </w:rPr>
              <w:instrText xml:space="preserve"> PAGEREF _Toc225951843 \h </w:instrText>
            </w:r>
            <w:r w:rsidRPr="007007C5">
              <w:rPr>
                <w:rFonts w:asciiTheme="minorHAnsi" w:hAnsiTheme="minorHAnsi"/>
                <w:noProof/>
                <w:webHidden/>
                <w:sz w:val="22"/>
                <w:szCs w:val="22"/>
              </w:rPr>
            </w:r>
            <w:r w:rsidRPr="007007C5">
              <w:rPr>
                <w:rFonts w:asciiTheme="minorHAnsi" w:hAnsiTheme="minorHAnsi"/>
                <w:noProof/>
                <w:webHidden/>
                <w:sz w:val="22"/>
                <w:szCs w:val="22"/>
              </w:rPr>
              <w:fldChar w:fldCharType="separate"/>
            </w:r>
            <w:r w:rsidRPr="007007C5">
              <w:rPr>
                <w:rFonts w:asciiTheme="minorHAnsi" w:hAnsiTheme="minorHAnsi"/>
                <w:noProof/>
                <w:webHidden/>
                <w:sz w:val="22"/>
                <w:szCs w:val="22"/>
              </w:rPr>
              <w:t>iv</w:t>
            </w:r>
            <w:r w:rsidRPr="007007C5">
              <w:rPr>
                <w:rFonts w:asciiTheme="minorHAnsi" w:hAnsiTheme="minorHAnsi"/>
                <w:noProof/>
                <w:webHidden/>
                <w:sz w:val="22"/>
                <w:szCs w:val="22"/>
              </w:rPr>
              <w:fldChar w:fldCharType="end"/>
            </w:r>
          </w:hyperlink>
        </w:p>
        <w:p w14:paraId="45159F45" w14:textId="299C453B" w:rsidR="007007C5" w:rsidRPr="007007C5" w:rsidRDefault="007007C5">
          <w:pPr>
            <w:pStyle w:val="TOC1"/>
            <w:tabs>
              <w:tab w:val="right" w:leader="dot" w:pos="9016"/>
            </w:tabs>
            <w:rPr>
              <w:rFonts w:asciiTheme="minorHAnsi" w:eastAsiaTheme="minorEastAsia" w:hAnsiTheme="minorHAnsi" w:cstheme="minorBidi"/>
              <w:noProof/>
              <w:kern w:val="2"/>
              <w:sz w:val="22"/>
              <w:szCs w:val="22"/>
              <w:lang w:eastAsia="en-AU"/>
              <w14:ligatures w14:val="standardContextual"/>
            </w:rPr>
          </w:pPr>
          <w:hyperlink w:anchor="_Toc225951844" w:history="1">
            <w:r w:rsidRPr="007007C5">
              <w:rPr>
                <w:rStyle w:val="Hyperlink"/>
                <w:rFonts w:asciiTheme="minorHAnsi" w:hAnsiTheme="minorHAnsi"/>
                <w:noProof/>
                <w:sz w:val="22"/>
                <w:szCs w:val="22"/>
              </w:rPr>
              <w:t>Executive summary</w:t>
            </w:r>
            <w:r w:rsidRPr="007007C5">
              <w:rPr>
                <w:rFonts w:asciiTheme="minorHAnsi" w:hAnsiTheme="minorHAnsi"/>
                <w:noProof/>
                <w:webHidden/>
                <w:sz w:val="22"/>
                <w:szCs w:val="22"/>
              </w:rPr>
              <w:tab/>
            </w:r>
            <w:r w:rsidRPr="007007C5">
              <w:rPr>
                <w:rFonts w:asciiTheme="minorHAnsi" w:hAnsiTheme="minorHAnsi"/>
                <w:noProof/>
                <w:webHidden/>
                <w:sz w:val="22"/>
                <w:szCs w:val="22"/>
              </w:rPr>
              <w:fldChar w:fldCharType="begin"/>
            </w:r>
            <w:r w:rsidRPr="007007C5">
              <w:rPr>
                <w:rFonts w:asciiTheme="minorHAnsi" w:hAnsiTheme="minorHAnsi"/>
                <w:noProof/>
                <w:webHidden/>
                <w:sz w:val="22"/>
                <w:szCs w:val="22"/>
              </w:rPr>
              <w:instrText xml:space="preserve"> PAGEREF _Toc225951844 \h </w:instrText>
            </w:r>
            <w:r w:rsidRPr="007007C5">
              <w:rPr>
                <w:rFonts w:asciiTheme="minorHAnsi" w:hAnsiTheme="minorHAnsi"/>
                <w:noProof/>
                <w:webHidden/>
                <w:sz w:val="22"/>
                <w:szCs w:val="22"/>
              </w:rPr>
            </w:r>
            <w:r w:rsidRPr="007007C5">
              <w:rPr>
                <w:rFonts w:asciiTheme="minorHAnsi" w:hAnsiTheme="minorHAnsi"/>
                <w:noProof/>
                <w:webHidden/>
                <w:sz w:val="22"/>
                <w:szCs w:val="22"/>
              </w:rPr>
              <w:fldChar w:fldCharType="separate"/>
            </w:r>
            <w:r w:rsidRPr="007007C5">
              <w:rPr>
                <w:rFonts w:asciiTheme="minorHAnsi" w:hAnsiTheme="minorHAnsi"/>
                <w:noProof/>
                <w:webHidden/>
                <w:sz w:val="22"/>
                <w:szCs w:val="22"/>
              </w:rPr>
              <w:t>v</w:t>
            </w:r>
            <w:r w:rsidRPr="007007C5">
              <w:rPr>
                <w:rFonts w:asciiTheme="minorHAnsi" w:hAnsiTheme="minorHAnsi"/>
                <w:noProof/>
                <w:webHidden/>
                <w:sz w:val="22"/>
                <w:szCs w:val="22"/>
              </w:rPr>
              <w:fldChar w:fldCharType="end"/>
            </w:r>
          </w:hyperlink>
        </w:p>
        <w:p w14:paraId="698BE2AB" w14:textId="2ECDD585" w:rsidR="007007C5" w:rsidRPr="007007C5" w:rsidRDefault="007007C5">
          <w:pPr>
            <w:pStyle w:val="TOC1"/>
            <w:tabs>
              <w:tab w:val="right" w:leader="dot" w:pos="9016"/>
            </w:tabs>
            <w:rPr>
              <w:rFonts w:asciiTheme="minorHAnsi" w:eastAsiaTheme="minorEastAsia" w:hAnsiTheme="minorHAnsi" w:cstheme="minorBidi"/>
              <w:noProof/>
              <w:kern w:val="2"/>
              <w:sz w:val="22"/>
              <w:szCs w:val="22"/>
              <w:lang w:eastAsia="en-AU"/>
              <w14:ligatures w14:val="standardContextual"/>
            </w:rPr>
          </w:pPr>
          <w:hyperlink w:anchor="_Toc225951845" w:history="1">
            <w:r w:rsidRPr="007007C5">
              <w:rPr>
                <w:rStyle w:val="Hyperlink"/>
                <w:rFonts w:asciiTheme="minorHAnsi" w:hAnsiTheme="minorHAnsi"/>
                <w:noProof/>
                <w:sz w:val="22"/>
                <w:szCs w:val="22"/>
              </w:rPr>
              <w:t>Consolidated recommendations</w:t>
            </w:r>
            <w:r w:rsidRPr="007007C5">
              <w:rPr>
                <w:rFonts w:asciiTheme="minorHAnsi" w:hAnsiTheme="minorHAnsi"/>
                <w:noProof/>
                <w:webHidden/>
                <w:sz w:val="22"/>
                <w:szCs w:val="22"/>
              </w:rPr>
              <w:tab/>
            </w:r>
            <w:r w:rsidRPr="007007C5">
              <w:rPr>
                <w:rFonts w:asciiTheme="minorHAnsi" w:hAnsiTheme="minorHAnsi"/>
                <w:noProof/>
                <w:webHidden/>
                <w:sz w:val="22"/>
                <w:szCs w:val="22"/>
              </w:rPr>
              <w:fldChar w:fldCharType="begin"/>
            </w:r>
            <w:r w:rsidRPr="007007C5">
              <w:rPr>
                <w:rFonts w:asciiTheme="minorHAnsi" w:hAnsiTheme="minorHAnsi"/>
                <w:noProof/>
                <w:webHidden/>
                <w:sz w:val="22"/>
                <w:szCs w:val="22"/>
              </w:rPr>
              <w:instrText xml:space="preserve"> PAGEREF _Toc225951845 \h </w:instrText>
            </w:r>
            <w:r w:rsidRPr="007007C5">
              <w:rPr>
                <w:rFonts w:asciiTheme="minorHAnsi" w:hAnsiTheme="minorHAnsi"/>
                <w:noProof/>
                <w:webHidden/>
                <w:sz w:val="22"/>
                <w:szCs w:val="22"/>
              </w:rPr>
            </w:r>
            <w:r w:rsidRPr="007007C5">
              <w:rPr>
                <w:rFonts w:asciiTheme="minorHAnsi" w:hAnsiTheme="minorHAnsi"/>
                <w:noProof/>
                <w:webHidden/>
                <w:sz w:val="22"/>
                <w:szCs w:val="22"/>
              </w:rPr>
              <w:fldChar w:fldCharType="separate"/>
            </w:r>
            <w:r w:rsidRPr="007007C5">
              <w:rPr>
                <w:rFonts w:asciiTheme="minorHAnsi" w:hAnsiTheme="minorHAnsi"/>
                <w:noProof/>
                <w:webHidden/>
                <w:sz w:val="22"/>
                <w:szCs w:val="22"/>
              </w:rPr>
              <w:t>x</w:t>
            </w:r>
            <w:r w:rsidRPr="007007C5">
              <w:rPr>
                <w:rFonts w:asciiTheme="minorHAnsi" w:hAnsiTheme="minorHAnsi"/>
                <w:noProof/>
                <w:webHidden/>
                <w:sz w:val="22"/>
                <w:szCs w:val="22"/>
              </w:rPr>
              <w:fldChar w:fldCharType="end"/>
            </w:r>
          </w:hyperlink>
        </w:p>
        <w:p w14:paraId="3683BAB3" w14:textId="7089633E" w:rsidR="007007C5" w:rsidRPr="007007C5" w:rsidRDefault="007007C5">
          <w:pPr>
            <w:pStyle w:val="TOC1"/>
            <w:tabs>
              <w:tab w:val="left" w:pos="720"/>
              <w:tab w:val="right" w:leader="dot" w:pos="9016"/>
            </w:tabs>
            <w:rPr>
              <w:rFonts w:asciiTheme="minorHAnsi" w:eastAsiaTheme="minorEastAsia" w:hAnsiTheme="minorHAnsi" w:cstheme="minorBidi"/>
              <w:noProof/>
              <w:kern w:val="2"/>
              <w:sz w:val="22"/>
              <w:szCs w:val="22"/>
              <w:lang w:eastAsia="en-AU"/>
              <w14:ligatures w14:val="standardContextual"/>
            </w:rPr>
          </w:pPr>
          <w:hyperlink w:anchor="_Toc225951846" w:history="1">
            <w:r w:rsidRPr="007007C5">
              <w:rPr>
                <w:rStyle w:val="Hyperlink"/>
                <w:rFonts w:asciiTheme="minorHAnsi" w:hAnsiTheme="minorHAnsi"/>
                <w:noProof/>
                <w:sz w:val="22"/>
                <w:szCs w:val="22"/>
              </w:rPr>
              <w:t>1.</w:t>
            </w:r>
            <w:r w:rsidRPr="007007C5">
              <w:rPr>
                <w:rFonts w:asciiTheme="minorHAnsi" w:eastAsiaTheme="minorEastAsia" w:hAnsiTheme="minorHAnsi" w:cstheme="minorBidi"/>
                <w:noProof/>
                <w:kern w:val="2"/>
                <w:sz w:val="22"/>
                <w:szCs w:val="22"/>
                <w:lang w:eastAsia="en-AU"/>
                <w14:ligatures w14:val="standardContextual"/>
              </w:rPr>
              <w:tab/>
            </w:r>
            <w:r w:rsidRPr="007007C5">
              <w:rPr>
                <w:rStyle w:val="Hyperlink"/>
                <w:rFonts w:asciiTheme="minorHAnsi" w:hAnsiTheme="minorHAnsi"/>
                <w:noProof/>
                <w:sz w:val="22"/>
                <w:szCs w:val="22"/>
              </w:rPr>
              <w:t>Introduction</w:t>
            </w:r>
            <w:r w:rsidRPr="007007C5">
              <w:rPr>
                <w:rFonts w:asciiTheme="minorHAnsi" w:hAnsiTheme="minorHAnsi"/>
                <w:noProof/>
                <w:webHidden/>
                <w:sz w:val="22"/>
                <w:szCs w:val="22"/>
              </w:rPr>
              <w:tab/>
            </w:r>
            <w:r w:rsidRPr="007007C5">
              <w:rPr>
                <w:rFonts w:asciiTheme="minorHAnsi" w:hAnsiTheme="minorHAnsi"/>
                <w:noProof/>
                <w:webHidden/>
                <w:sz w:val="22"/>
                <w:szCs w:val="22"/>
              </w:rPr>
              <w:fldChar w:fldCharType="begin"/>
            </w:r>
            <w:r w:rsidRPr="007007C5">
              <w:rPr>
                <w:rFonts w:asciiTheme="minorHAnsi" w:hAnsiTheme="minorHAnsi"/>
                <w:noProof/>
                <w:webHidden/>
                <w:sz w:val="22"/>
                <w:szCs w:val="22"/>
              </w:rPr>
              <w:instrText xml:space="preserve"> PAGEREF _Toc225951846 \h </w:instrText>
            </w:r>
            <w:r w:rsidRPr="007007C5">
              <w:rPr>
                <w:rFonts w:asciiTheme="minorHAnsi" w:hAnsiTheme="minorHAnsi"/>
                <w:noProof/>
                <w:webHidden/>
                <w:sz w:val="22"/>
                <w:szCs w:val="22"/>
              </w:rPr>
            </w:r>
            <w:r w:rsidRPr="007007C5">
              <w:rPr>
                <w:rFonts w:asciiTheme="minorHAnsi" w:hAnsiTheme="minorHAnsi"/>
                <w:noProof/>
                <w:webHidden/>
                <w:sz w:val="22"/>
                <w:szCs w:val="22"/>
              </w:rPr>
              <w:fldChar w:fldCharType="separate"/>
            </w:r>
            <w:r w:rsidRPr="007007C5">
              <w:rPr>
                <w:rFonts w:asciiTheme="minorHAnsi" w:hAnsiTheme="minorHAnsi"/>
                <w:noProof/>
                <w:webHidden/>
                <w:sz w:val="22"/>
                <w:szCs w:val="22"/>
              </w:rPr>
              <w:t>1</w:t>
            </w:r>
            <w:r w:rsidRPr="007007C5">
              <w:rPr>
                <w:rFonts w:asciiTheme="minorHAnsi" w:hAnsiTheme="minorHAnsi"/>
                <w:noProof/>
                <w:webHidden/>
                <w:sz w:val="22"/>
                <w:szCs w:val="22"/>
              </w:rPr>
              <w:fldChar w:fldCharType="end"/>
            </w:r>
          </w:hyperlink>
        </w:p>
        <w:p w14:paraId="769E332D" w14:textId="63C6C145" w:rsidR="007007C5" w:rsidRPr="007007C5" w:rsidRDefault="007007C5">
          <w:pPr>
            <w:pStyle w:val="TOC2"/>
            <w:tabs>
              <w:tab w:val="left" w:pos="960"/>
              <w:tab w:val="right" w:leader="dot" w:pos="9016"/>
            </w:tabs>
            <w:rPr>
              <w:rFonts w:eastAsiaTheme="minorEastAsia"/>
              <w:noProof/>
              <w:lang w:eastAsia="en-AU"/>
            </w:rPr>
          </w:pPr>
          <w:hyperlink w:anchor="_Toc225951847" w:history="1">
            <w:r w:rsidRPr="007007C5">
              <w:rPr>
                <w:rStyle w:val="Hyperlink"/>
                <w:noProof/>
              </w:rPr>
              <w:t>1.1</w:t>
            </w:r>
            <w:r w:rsidRPr="007007C5">
              <w:rPr>
                <w:rFonts w:eastAsiaTheme="minorEastAsia"/>
                <w:noProof/>
                <w:lang w:eastAsia="en-AU"/>
              </w:rPr>
              <w:tab/>
            </w:r>
            <w:r w:rsidRPr="007007C5">
              <w:rPr>
                <w:rStyle w:val="Hyperlink"/>
                <w:noProof/>
              </w:rPr>
              <w:t>Synopsis</w:t>
            </w:r>
            <w:r w:rsidRPr="007007C5">
              <w:rPr>
                <w:noProof/>
                <w:webHidden/>
              </w:rPr>
              <w:tab/>
            </w:r>
            <w:r w:rsidRPr="007007C5">
              <w:rPr>
                <w:noProof/>
                <w:webHidden/>
              </w:rPr>
              <w:fldChar w:fldCharType="begin"/>
            </w:r>
            <w:r w:rsidRPr="007007C5">
              <w:rPr>
                <w:noProof/>
                <w:webHidden/>
              </w:rPr>
              <w:instrText xml:space="preserve"> PAGEREF _Toc225951847 \h </w:instrText>
            </w:r>
            <w:r w:rsidRPr="007007C5">
              <w:rPr>
                <w:noProof/>
                <w:webHidden/>
              </w:rPr>
            </w:r>
            <w:r w:rsidRPr="007007C5">
              <w:rPr>
                <w:noProof/>
                <w:webHidden/>
              </w:rPr>
              <w:fldChar w:fldCharType="separate"/>
            </w:r>
            <w:r w:rsidRPr="007007C5">
              <w:rPr>
                <w:noProof/>
                <w:webHidden/>
              </w:rPr>
              <w:t>1</w:t>
            </w:r>
            <w:r w:rsidRPr="007007C5">
              <w:rPr>
                <w:noProof/>
                <w:webHidden/>
              </w:rPr>
              <w:fldChar w:fldCharType="end"/>
            </w:r>
          </w:hyperlink>
        </w:p>
        <w:p w14:paraId="2E1E307F" w14:textId="791DCE3B" w:rsidR="007007C5" w:rsidRPr="007007C5" w:rsidRDefault="007007C5">
          <w:pPr>
            <w:pStyle w:val="TOC2"/>
            <w:tabs>
              <w:tab w:val="left" w:pos="960"/>
              <w:tab w:val="right" w:leader="dot" w:pos="9016"/>
            </w:tabs>
            <w:rPr>
              <w:rFonts w:eastAsiaTheme="minorEastAsia"/>
              <w:noProof/>
              <w:lang w:eastAsia="en-AU"/>
            </w:rPr>
          </w:pPr>
          <w:hyperlink w:anchor="_Toc225951848" w:history="1">
            <w:r w:rsidRPr="007007C5">
              <w:rPr>
                <w:rStyle w:val="Hyperlink"/>
                <w:noProof/>
              </w:rPr>
              <w:t>1.2</w:t>
            </w:r>
            <w:r w:rsidRPr="007007C5">
              <w:rPr>
                <w:rFonts w:eastAsiaTheme="minorEastAsia"/>
                <w:noProof/>
                <w:lang w:eastAsia="en-AU"/>
              </w:rPr>
              <w:tab/>
            </w:r>
            <w:r w:rsidRPr="007007C5">
              <w:rPr>
                <w:rStyle w:val="Hyperlink"/>
                <w:noProof/>
              </w:rPr>
              <w:t>Background and Context</w:t>
            </w:r>
            <w:r w:rsidRPr="007007C5">
              <w:rPr>
                <w:noProof/>
                <w:webHidden/>
              </w:rPr>
              <w:tab/>
            </w:r>
            <w:r w:rsidRPr="007007C5">
              <w:rPr>
                <w:noProof/>
                <w:webHidden/>
              </w:rPr>
              <w:fldChar w:fldCharType="begin"/>
            </w:r>
            <w:r w:rsidRPr="007007C5">
              <w:rPr>
                <w:noProof/>
                <w:webHidden/>
              </w:rPr>
              <w:instrText xml:space="preserve"> PAGEREF _Toc225951848 \h </w:instrText>
            </w:r>
            <w:r w:rsidRPr="007007C5">
              <w:rPr>
                <w:noProof/>
                <w:webHidden/>
              </w:rPr>
            </w:r>
            <w:r w:rsidRPr="007007C5">
              <w:rPr>
                <w:noProof/>
                <w:webHidden/>
              </w:rPr>
              <w:fldChar w:fldCharType="separate"/>
            </w:r>
            <w:r w:rsidRPr="007007C5">
              <w:rPr>
                <w:noProof/>
                <w:webHidden/>
              </w:rPr>
              <w:t>1</w:t>
            </w:r>
            <w:r w:rsidRPr="007007C5">
              <w:rPr>
                <w:noProof/>
                <w:webHidden/>
              </w:rPr>
              <w:fldChar w:fldCharType="end"/>
            </w:r>
          </w:hyperlink>
        </w:p>
        <w:p w14:paraId="57374862" w14:textId="7A644494" w:rsidR="007007C5" w:rsidRPr="007007C5" w:rsidRDefault="007007C5">
          <w:pPr>
            <w:pStyle w:val="TOC2"/>
            <w:tabs>
              <w:tab w:val="left" w:pos="960"/>
              <w:tab w:val="right" w:leader="dot" w:pos="9016"/>
            </w:tabs>
            <w:rPr>
              <w:rFonts w:eastAsiaTheme="minorEastAsia"/>
              <w:noProof/>
              <w:lang w:eastAsia="en-AU"/>
            </w:rPr>
          </w:pPr>
          <w:hyperlink w:anchor="_Toc225951849" w:history="1">
            <w:r w:rsidRPr="007007C5">
              <w:rPr>
                <w:rStyle w:val="Hyperlink"/>
                <w:noProof/>
              </w:rPr>
              <w:t>1.3</w:t>
            </w:r>
            <w:r w:rsidRPr="007007C5">
              <w:rPr>
                <w:rFonts w:eastAsiaTheme="minorEastAsia"/>
                <w:noProof/>
                <w:lang w:eastAsia="en-AU"/>
              </w:rPr>
              <w:tab/>
            </w:r>
            <w:r w:rsidRPr="007007C5">
              <w:rPr>
                <w:rStyle w:val="Hyperlink"/>
                <w:noProof/>
              </w:rPr>
              <w:t>Investment Overview</w:t>
            </w:r>
            <w:r w:rsidRPr="007007C5">
              <w:rPr>
                <w:noProof/>
                <w:webHidden/>
              </w:rPr>
              <w:tab/>
            </w:r>
            <w:r w:rsidRPr="007007C5">
              <w:rPr>
                <w:noProof/>
                <w:webHidden/>
              </w:rPr>
              <w:fldChar w:fldCharType="begin"/>
            </w:r>
            <w:r w:rsidRPr="007007C5">
              <w:rPr>
                <w:noProof/>
                <w:webHidden/>
              </w:rPr>
              <w:instrText xml:space="preserve"> PAGEREF _Toc225951849 \h </w:instrText>
            </w:r>
            <w:r w:rsidRPr="007007C5">
              <w:rPr>
                <w:noProof/>
                <w:webHidden/>
              </w:rPr>
            </w:r>
            <w:r w:rsidRPr="007007C5">
              <w:rPr>
                <w:noProof/>
                <w:webHidden/>
              </w:rPr>
              <w:fldChar w:fldCharType="separate"/>
            </w:r>
            <w:r w:rsidRPr="007007C5">
              <w:rPr>
                <w:noProof/>
                <w:webHidden/>
              </w:rPr>
              <w:t>2</w:t>
            </w:r>
            <w:r w:rsidRPr="007007C5">
              <w:rPr>
                <w:noProof/>
                <w:webHidden/>
              </w:rPr>
              <w:fldChar w:fldCharType="end"/>
            </w:r>
          </w:hyperlink>
        </w:p>
        <w:p w14:paraId="7EE0C60B" w14:textId="0944680D" w:rsidR="007007C5" w:rsidRPr="007007C5" w:rsidRDefault="007007C5">
          <w:pPr>
            <w:pStyle w:val="TOC1"/>
            <w:tabs>
              <w:tab w:val="left" w:pos="720"/>
              <w:tab w:val="right" w:leader="dot" w:pos="9016"/>
            </w:tabs>
            <w:rPr>
              <w:rFonts w:asciiTheme="minorHAnsi" w:eastAsiaTheme="minorEastAsia" w:hAnsiTheme="minorHAnsi" w:cstheme="minorBidi"/>
              <w:noProof/>
              <w:kern w:val="2"/>
              <w:sz w:val="22"/>
              <w:szCs w:val="22"/>
              <w:lang w:eastAsia="en-AU"/>
              <w14:ligatures w14:val="standardContextual"/>
            </w:rPr>
          </w:pPr>
          <w:hyperlink w:anchor="_Toc225951850" w:history="1">
            <w:r w:rsidRPr="007007C5">
              <w:rPr>
                <w:rStyle w:val="Hyperlink"/>
                <w:rFonts w:asciiTheme="minorHAnsi" w:hAnsiTheme="minorHAnsi"/>
                <w:noProof/>
                <w:sz w:val="22"/>
                <w:szCs w:val="22"/>
              </w:rPr>
              <w:t>2.</w:t>
            </w:r>
            <w:r w:rsidRPr="007007C5">
              <w:rPr>
                <w:rFonts w:asciiTheme="minorHAnsi" w:eastAsiaTheme="minorEastAsia" w:hAnsiTheme="minorHAnsi" w:cstheme="minorBidi"/>
                <w:noProof/>
                <w:kern w:val="2"/>
                <w:sz w:val="22"/>
                <w:szCs w:val="22"/>
                <w:lang w:eastAsia="en-AU"/>
                <w14:ligatures w14:val="standardContextual"/>
              </w:rPr>
              <w:tab/>
            </w:r>
            <w:r w:rsidRPr="007007C5">
              <w:rPr>
                <w:rStyle w:val="Hyperlink"/>
                <w:rFonts w:asciiTheme="minorHAnsi" w:hAnsiTheme="minorHAnsi"/>
                <w:noProof/>
                <w:sz w:val="22"/>
                <w:szCs w:val="22"/>
              </w:rPr>
              <w:t>Method</w:t>
            </w:r>
            <w:r w:rsidRPr="007007C5">
              <w:rPr>
                <w:rFonts w:asciiTheme="minorHAnsi" w:hAnsiTheme="minorHAnsi"/>
                <w:noProof/>
                <w:webHidden/>
                <w:sz w:val="22"/>
                <w:szCs w:val="22"/>
              </w:rPr>
              <w:tab/>
            </w:r>
            <w:r w:rsidRPr="007007C5">
              <w:rPr>
                <w:rFonts w:asciiTheme="minorHAnsi" w:hAnsiTheme="minorHAnsi"/>
                <w:noProof/>
                <w:webHidden/>
                <w:sz w:val="22"/>
                <w:szCs w:val="22"/>
              </w:rPr>
              <w:fldChar w:fldCharType="begin"/>
            </w:r>
            <w:r w:rsidRPr="007007C5">
              <w:rPr>
                <w:rFonts w:asciiTheme="minorHAnsi" w:hAnsiTheme="minorHAnsi"/>
                <w:noProof/>
                <w:webHidden/>
                <w:sz w:val="22"/>
                <w:szCs w:val="22"/>
              </w:rPr>
              <w:instrText xml:space="preserve"> PAGEREF _Toc225951850 \h </w:instrText>
            </w:r>
            <w:r w:rsidRPr="007007C5">
              <w:rPr>
                <w:rFonts w:asciiTheme="minorHAnsi" w:hAnsiTheme="minorHAnsi"/>
                <w:noProof/>
                <w:webHidden/>
                <w:sz w:val="22"/>
                <w:szCs w:val="22"/>
              </w:rPr>
            </w:r>
            <w:r w:rsidRPr="007007C5">
              <w:rPr>
                <w:rFonts w:asciiTheme="minorHAnsi" w:hAnsiTheme="minorHAnsi"/>
                <w:noProof/>
                <w:webHidden/>
                <w:sz w:val="22"/>
                <w:szCs w:val="22"/>
              </w:rPr>
              <w:fldChar w:fldCharType="separate"/>
            </w:r>
            <w:r w:rsidRPr="007007C5">
              <w:rPr>
                <w:rFonts w:asciiTheme="minorHAnsi" w:hAnsiTheme="minorHAnsi"/>
                <w:noProof/>
                <w:webHidden/>
                <w:sz w:val="22"/>
                <w:szCs w:val="22"/>
              </w:rPr>
              <w:t>4</w:t>
            </w:r>
            <w:r w:rsidRPr="007007C5">
              <w:rPr>
                <w:rFonts w:asciiTheme="minorHAnsi" w:hAnsiTheme="minorHAnsi"/>
                <w:noProof/>
                <w:webHidden/>
                <w:sz w:val="22"/>
                <w:szCs w:val="22"/>
              </w:rPr>
              <w:fldChar w:fldCharType="end"/>
            </w:r>
          </w:hyperlink>
        </w:p>
        <w:p w14:paraId="101A8A29" w14:textId="7B15715E" w:rsidR="007007C5" w:rsidRPr="007007C5" w:rsidRDefault="007007C5">
          <w:pPr>
            <w:pStyle w:val="TOC1"/>
            <w:tabs>
              <w:tab w:val="left" w:pos="720"/>
              <w:tab w:val="right" w:leader="dot" w:pos="9016"/>
            </w:tabs>
            <w:rPr>
              <w:rFonts w:asciiTheme="minorHAnsi" w:eastAsiaTheme="minorEastAsia" w:hAnsiTheme="minorHAnsi" w:cstheme="minorBidi"/>
              <w:noProof/>
              <w:kern w:val="2"/>
              <w:sz w:val="22"/>
              <w:szCs w:val="22"/>
              <w:lang w:eastAsia="en-AU"/>
              <w14:ligatures w14:val="standardContextual"/>
            </w:rPr>
          </w:pPr>
          <w:hyperlink w:anchor="_Toc225951851" w:history="1">
            <w:r w:rsidRPr="007007C5">
              <w:rPr>
                <w:rStyle w:val="Hyperlink"/>
                <w:rFonts w:asciiTheme="minorHAnsi" w:hAnsiTheme="minorHAnsi"/>
                <w:noProof/>
                <w:sz w:val="22"/>
                <w:szCs w:val="22"/>
              </w:rPr>
              <w:t>3.</w:t>
            </w:r>
            <w:r w:rsidRPr="007007C5">
              <w:rPr>
                <w:rFonts w:asciiTheme="minorHAnsi" w:eastAsiaTheme="minorEastAsia" w:hAnsiTheme="minorHAnsi" w:cstheme="minorBidi"/>
                <w:noProof/>
                <w:kern w:val="2"/>
                <w:sz w:val="22"/>
                <w:szCs w:val="22"/>
                <w:lang w:eastAsia="en-AU"/>
                <w14:ligatures w14:val="standardContextual"/>
              </w:rPr>
              <w:tab/>
            </w:r>
            <w:r w:rsidRPr="007007C5">
              <w:rPr>
                <w:rStyle w:val="Hyperlink"/>
                <w:rFonts w:asciiTheme="minorHAnsi" w:hAnsiTheme="minorHAnsi"/>
                <w:noProof/>
                <w:sz w:val="22"/>
                <w:szCs w:val="22"/>
              </w:rPr>
              <w:t>Findings</w:t>
            </w:r>
            <w:r w:rsidRPr="007007C5">
              <w:rPr>
                <w:rFonts w:asciiTheme="minorHAnsi" w:hAnsiTheme="minorHAnsi"/>
                <w:noProof/>
                <w:webHidden/>
                <w:sz w:val="22"/>
                <w:szCs w:val="22"/>
              </w:rPr>
              <w:tab/>
            </w:r>
            <w:r w:rsidRPr="007007C5">
              <w:rPr>
                <w:rFonts w:asciiTheme="minorHAnsi" w:hAnsiTheme="minorHAnsi"/>
                <w:noProof/>
                <w:webHidden/>
                <w:sz w:val="22"/>
                <w:szCs w:val="22"/>
              </w:rPr>
              <w:fldChar w:fldCharType="begin"/>
            </w:r>
            <w:r w:rsidRPr="007007C5">
              <w:rPr>
                <w:rFonts w:asciiTheme="minorHAnsi" w:hAnsiTheme="minorHAnsi"/>
                <w:noProof/>
                <w:webHidden/>
                <w:sz w:val="22"/>
                <w:szCs w:val="22"/>
              </w:rPr>
              <w:instrText xml:space="preserve"> PAGEREF _Toc225951851 \h </w:instrText>
            </w:r>
            <w:r w:rsidRPr="007007C5">
              <w:rPr>
                <w:rFonts w:asciiTheme="minorHAnsi" w:hAnsiTheme="minorHAnsi"/>
                <w:noProof/>
                <w:webHidden/>
                <w:sz w:val="22"/>
                <w:szCs w:val="22"/>
              </w:rPr>
            </w:r>
            <w:r w:rsidRPr="007007C5">
              <w:rPr>
                <w:rFonts w:asciiTheme="minorHAnsi" w:hAnsiTheme="minorHAnsi"/>
                <w:noProof/>
                <w:webHidden/>
                <w:sz w:val="22"/>
                <w:szCs w:val="22"/>
              </w:rPr>
              <w:fldChar w:fldCharType="separate"/>
            </w:r>
            <w:r w:rsidRPr="007007C5">
              <w:rPr>
                <w:rFonts w:asciiTheme="minorHAnsi" w:hAnsiTheme="minorHAnsi"/>
                <w:noProof/>
                <w:webHidden/>
                <w:sz w:val="22"/>
                <w:szCs w:val="22"/>
              </w:rPr>
              <w:t>5</w:t>
            </w:r>
            <w:r w:rsidRPr="007007C5">
              <w:rPr>
                <w:rFonts w:asciiTheme="minorHAnsi" w:hAnsiTheme="minorHAnsi"/>
                <w:noProof/>
                <w:webHidden/>
                <w:sz w:val="22"/>
                <w:szCs w:val="22"/>
              </w:rPr>
              <w:fldChar w:fldCharType="end"/>
            </w:r>
          </w:hyperlink>
        </w:p>
        <w:p w14:paraId="65330B9A" w14:textId="421BB290" w:rsidR="007007C5" w:rsidRPr="007007C5" w:rsidRDefault="007007C5">
          <w:pPr>
            <w:pStyle w:val="TOC2"/>
            <w:tabs>
              <w:tab w:val="left" w:pos="960"/>
              <w:tab w:val="right" w:leader="dot" w:pos="9016"/>
            </w:tabs>
            <w:rPr>
              <w:rFonts w:eastAsiaTheme="minorEastAsia"/>
              <w:noProof/>
              <w:lang w:eastAsia="en-AU"/>
            </w:rPr>
          </w:pPr>
          <w:hyperlink w:anchor="_Toc225951852" w:history="1">
            <w:r w:rsidRPr="007007C5">
              <w:rPr>
                <w:rStyle w:val="Hyperlink"/>
                <w:noProof/>
              </w:rPr>
              <w:t>3.1</w:t>
            </w:r>
            <w:r w:rsidRPr="007007C5">
              <w:rPr>
                <w:rFonts w:eastAsiaTheme="minorEastAsia"/>
                <w:noProof/>
                <w:lang w:eastAsia="en-AU"/>
              </w:rPr>
              <w:tab/>
            </w:r>
            <w:r w:rsidRPr="007007C5">
              <w:rPr>
                <w:rStyle w:val="Hyperlink"/>
                <w:noProof/>
              </w:rPr>
              <w:t>Outline of findings</w:t>
            </w:r>
            <w:r w:rsidRPr="007007C5">
              <w:rPr>
                <w:noProof/>
                <w:webHidden/>
              </w:rPr>
              <w:tab/>
            </w:r>
            <w:r w:rsidRPr="007007C5">
              <w:rPr>
                <w:noProof/>
                <w:webHidden/>
              </w:rPr>
              <w:fldChar w:fldCharType="begin"/>
            </w:r>
            <w:r w:rsidRPr="007007C5">
              <w:rPr>
                <w:noProof/>
                <w:webHidden/>
              </w:rPr>
              <w:instrText xml:space="preserve"> PAGEREF _Toc225951852 \h </w:instrText>
            </w:r>
            <w:r w:rsidRPr="007007C5">
              <w:rPr>
                <w:noProof/>
                <w:webHidden/>
              </w:rPr>
            </w:r>
            <w:r w:rsidRPr="007007C5">
              <w:rPr>
                <w:noProof/>
                <w:webHidden/>
              </w:rPr>
              <w:fldChar w:fldCharType="separate"/>
            </w:r>
            <w:r w:rsidRPr="007007C5">
              <w:rPr>
                <w:noProof/>
                <w:webHidden/>
              </w:rPr>
              <w:t>5</w:t>
            </w:r>
            <w:r w:rsidRPr="007007C5">
              <w:rPr>
                <w:noProof/>
                <w:webHidden/>
              </w:rPr>
              <w:fldChar w:fldCharType="end"/>
            </w:r>
          </w:hyperlink>
        </w:p>
        <w:p w14:paraId="72510270" w14:textId="381D6F51" w:rsidR="007007C5" w:rsidRPr="007007C5" w:rsidRDefault="007007C5">
          <w:pPr>
            <w:pStyle w:val="TOC2"/>
            <w:tabs>
              <w:tab w:val="left" w:pos="960"/>
              <w:tab w:val="right" w:leader="dot" w:pos="9016"/>
            </w:tabs>
            <w:rPr>
              <w:rFonts w:eastAsiaTheme="minorEastAsia"/>
              <w:noProof/>
              <w:lang w:eastAsia="en-AU"/>
            </w:rPr>
          </w:pPr>
          <w:hyperlink w:anchor="_Toc225951853" w:history="1">
            <w:r w:rsidRPr="007007C5">
              <w:rPr>
                <w:rStyle w:val="Hyperlink"/>
                <w:noProof/>
              </w:rPr>
              <w:t>3.2</w:t>
            </w:r>
            <w:r w:rsidRPr="007007C5">
              <w:rPr>
                <w:rFonts w:eastAsiaTheme="minorEastAsia"/>
                <w:noProof/>
                <w:lang w:eastAsia="en-AU"/>
              </w:rPr>
              <w:tab/>
            </w:r>
            <w:r w:rsidRPr="007007C5">
              <w:rPr>
                <w:rStyle w:val="Hyperlink"/>
                <w:noProof/>
              </w:rPr>
              <w:t>Overall assessment</w:t>
            </w:r>
            <w:r w:rsidRPr="007007C5">
              <w:rPr>
                <w:noProof/>
                <w:webHidden/>
              </w:rPr>
              <w:tab/>
            </w:r>
            <w:r w:rsidRPr="007007C5">
              <w:rPr>
                <w:noProof/>
                <w:webHidden/>
              </w:rPr>
              <w:fldChar w:fldCharType="begin"/>
            </w:r>
            <w:r w:rsidRPr="007007C5">
              <w:rPr>
                <w:noProof/>
                <w:webHidden/>
              </w:rPr>
              <w:instrText xml:space="preserve"> PAGEREF _Toc225951853 \h </w:instrText>
            </w:r>
            <w:r w:rsidRPr="007007C5">
              <w:rPr>
                <w:noProof/>
                <w:webHidden/>
              </w:rPr>
            </w:r>
            <w:r w:rsidRPr="007007C5">
              <w:rPr>
                <w:noProof/>
                <w:webHidden/>
              </w:rPr>
              <w:fldChar w:fldCharType="separate"/>
            </w:r>
            <w:r w:rsidRPr="007007C5">
              <w:rPr>
                <w:noProof/>
                <w:webHidden/>
              </w:rPr>
              <w:t>6</w:t>
            </w:r>
            <w:r w:rsidRPr="007007C5">
              <w:rPr>
                <w:noProof/>
                <w:webHidden/>
              </w:rPr>
              <w:fldChar w:fldCharType="end"/>
            </w:r>
          </w:hyperlink>
        </w:p>
        <w:p w14:paraId="28D76751" w14:textId="43F6104E" w:rsidR="007007C5" w:rsidRPr="007007C5" w:rsidRDefault="007007C5">
          <w:pPr>
            <w:pStyle w:val="TOC2"/>
            <w:tabs>
              <w:tab w:val="left" w:pos="960"/>
              <w:tab w:val="right" w:leader="dot" w:pos="9016"/>
            </w:tabs>
            <w:rPr>
              <w:rFonts w:eastAsiaTheme="minorEastAsia"/>
              <w:noProof/>
              <w:lang w:eastAsia="en-AU"/>
            </w:rPr>
          </w:pPr>
          <w:hyperlink w:anchor="_Toc225951854" w:history="1">
            <w:r w:rsidRPr="007007C5">
              <w:rPr>
                <w:rStyle w:val="Hyperlink"/>
                <w:noProof/>
              </w:rPr>
              <w:t>3.3</w:t>
            </w:r>
            <w:r w:rsidRPr="007007C5">
              <w:rPr>
                <w:rFonts w:eastAsiaTheme="minorEastAsia"/>
                <w:noProof/>
                <w:lang w:eastAsia="en-AU"/>
              </w:rPr>
              <w:tab/>
            </w:r>
            <w:r w:rsidRPr="007007C5">
              <w:rPr>
                <w:rStyle w:val="Hyperlink"/>
                <w:noProof/>
              </w:rPr>
              <w:t>Relevance</w:t>
            </w:r>
            <w:r w:rsidRPr="007007C5">
              <w:rPr>
                <w:noProof/>
                <w:webHidden/>
              </w:rPr>
              <w:tab/>
            </w:r>
            <w:r w:rsidRPr="007007C5">
              <w:rPr>
                <w:noProof/>
                <w:webHidden/>
              </w:rPr>
              <w:fldChar w:fldCharType="begin"/>
            </w:r>
            <w:r w:rsidRPr="007007C5">
              <w:rPr>
                <w:noProof/>
                <w:webHidden/>
              </w:rPr>
              <w:instrText xml:space="preserve"> PAGEREF _Toc225951854 \h </w:instrText>
            </w:r>
            <w:r w:rsidRPr="007007C5">
              <w:rPr>
                <w:noProof/>
                <w:webHidden/>
              </w:rPr>
            </w:r>
            <w:r w:rsidRPr="007007C5">
              <w:rPr>
                <w:noProof/>
                <w:webHidden/>
              </w:rPr>
              <w:fldChar w:fldCharType="separate"/>
            </w:r>
            <w:r w:rsidRPr="007007C5">
              <w:rPr>
                <w:noProof/>
                <w:webHidden/>
              </w:rPr>
              <w:t>7</w:t>
            </w:r>
            <w:r w:rsidRPr="007007C5">
              <w:rPr>
                <w:noProof/>
                <w:webHidden/>
              </w:rPr>
              <w:fldChar w:fldCharType="end"/>
            </w:r>
          </w:hyperlink>
        </w:p>
        <w:p w14:paraId="6AA3662A" w14:textId="0F08F02D" w:rsidR="007007C5" w:rsidRPr="007007C5" w:rsidRDefault="007007C5">
          <w:pPr>
            <w:pStyle w:val="TOC2"/>
            <w:tabs>
              <w:tab w:val="left" w:pos="960"/>
              <w:tab w:val="right" w:leader="dot" w:pos="9016"/>
            </w:tabs>
            <w:rPr>
              <w:rFonts w:eastAsiaTheme="minorEastAsia"/>
              <w:noProof/>
              <w:lang w:eastAsia="en-AU"/>
            </w:rPr>
          </w:pPr>
          <w:hyperlink w:anchor="_Toc225951855" w:history="1">
            <w:r w:rsidRPr="007007C5">
              <w:rPr>
                <w:rStyle w:val="Hyperlink"/>
                <w:noProof/>
              </w:rPr>
              <w:t>3.4</w:t>
            </w:r>
            <w:r w:rsidRPr="007007C5">
              <w:rPr>
                <w:rFonts w:eastAsiaTheme="minorEastAsia"/>
                <w:noProof/>
                <w:lang w:eastAsia="en-AU"/>
              </w:rPr>
              <w:tab/>
            </w:r>
            <w:r w:rsidRPr="007007C5">
              <w:rPr>
                <w:rStyle w:val="Hyperlink"/>
                <w:noProof/>
              </w:rPr>
              <w:t>Effectiveness – progress towards End-Of-Program Outcomes</w:t>
            </w:r>
            <w:r w:rsidRPr="007007C5">
              <w:rPr>
                <w:noProof/>
                <w:webHidden/>
              </w:rPr>
              <w:tab/>
            </w:r>
            <w:r w:rsidRPr="007007C5">
              <w:rPr>
                <w:noProof/>
                <w:webHidden/>
              </w:rPr>
              <w:fldChar w:fldCharType="begin"/>
            </w:r>
            <w:r w:rsidRPr="007007C5">
              <w:rPr>
                <w:noProof/>
                <w:webHidden/>
              </w:rPr>
              <w:instrText xml:space="preserve"> PAGEREF _Toc225951855 \h </w:instrText>
            </w:r>
            <w:r w:rsidRPr="007007C5">
              <w:rPr>
                <w:noProof/>
                <w:webHidden/>
              </w:rPr>
            </w:r>
            <w:r w:rsidRPr="007007C5">
              <w:rPr>
                <w:noProof/>
                <w:webHidden/>
              </w:rPr>
              <w:fldChar w:fldCharType="separate"/>
            </w:r>
            <w:r w:rsidRPr="007007C5">
              <w:rPr>
                <w:noProof/>
                <w:webHidden/>
              </w:rPr>
              <w:t>8</w:t>
            </w:r>
            <w:r w:rsidRPr="007007C5">
              <w:rPr>
                <w:noProof/>
                <w:webHidden/>
              </w:rPr>
              <w:fldChar w:fldCharType="end"/>
            </w:r>
          </w:hyperlink>
        </w:p>
        <w:p w14:paraId="19934E00" w14:textId="4C286276" w:rsidR="007007C5" w:rsidRPr="007007C5" w:rsidRDefault="007007C5">
          <w:pPr>
            <w:pStyle w:val="TOC3"/>
            <w:tabs>
              <w:tab w:val="right" w:leader="dot" w:pos="9016"/>
            </w:tabs>
            <w:rPr>
              <w:rFonts w:eastAsiaTheme="minorEastAsia"/>
              <w:noProof/>
              <w:lang w:eastAsia="en-AU"/>
            </w:rPr>
          </w:pPr>
          <w:hyperlink w:anchor="_Toc225951856" w:history="1">
            <w:r w:rsidRPr="007007C5">
              <w:rPr>
                <w:rStyle w:val="Hyperlink"/>
                <w:noProof/>
              </w:rPr>
              <w:t>EOPO 1 The value of hybrid NbS is accepted</w:t>
            </w:r>
            <w:r w:rsidRPr="007007C5">
              <w:rPr>
                <w:noProof/>
                <w:webHidden/>
              </w:rPr>
              <w:tab/>
            </w:r>
            <w:r w:rsidRPr="007007C5">
              <w:rPr>
                <w:noProof/>
                <w:webHidden/>
              </w:rPr>
              <w:fldChar w:fldCharType="begin"/>
            </w:r>
            <w:r w:rsidRPr="007007C5">
              <w:rPr>
                <w:noProof/>
                <w:webHidden/>
              </w:rPr>
              <w:instrText xml:space="preserve"> PAGEREF _Toc225951856 \h </w:instrText>
            </w:r>
            <w:r w:rsidRPr="007007C5">
              <w:rPr>
                <w:noProof/>
                <w:webHidden/>
              </w:rPr>
            </w:r>
            <w:r w:rsidRPr="007007C5">
              <w:rPr>
                <w:noProof/>
                <w:webHidden/>
              </w:rPr>
              <w:fldChar w:fldCharType="separate"/>
            </w:r>
            <w:r w:rsidRPr="007007C5">
              <w:rPr>
                <w:noProof/>
                <w:webHidden/>
              </w:rPr>
              <w:t>8</w:t>
            </w:r>
            <w:r w:rsidRPr="007007C5">
              <w:rPr>
                <w:noProof/>
                <w:webHidden/>
              </w:rPr>
              <w:fldChar w:fldCharType="end"/>
            </w:r>
          </w:hyperlink>
        </w:p>
        <w:p w14:paraId="43240953" w14:textId="374A8DC1" w:rsidR="007007C5" w:rsidRPr="007007C5" w:rsidRDefault="007007C5">
          <w:pPr>
            <w:pStyle w:val="TOC3"/>
            <w:tabs>
              <w:tab w:val="right" w:leader="dot" w:pos="9016"/>
            </w:tabs>
            <w:rPr>
              <w:rFonts w:eastAsiaTheme="minorEastAsia"/>
              <w:noProof/>
              <w:lang w:eastAsia="en-AU"/>
            </w:rPr>
          </w:pPr>
          <w:hyperlink w:anchor="_Toc225951857" w:history="1">
            <w:r w:rsidRPr="007007C5">
              <w:rPr>
                <w:rStyle w:val="Hyperlink"/>
                <w:noProof/>
              </w:rPr>
              <w:t>EOPO 2 Foundations for upscaling</w:t>
            </w:r>
            <w:r w:rsidRPr="007007C5">
              <w:rPr>
                <w:noProof/>
                <w:webHidden/>
              </w:rPr>
              <w:tab/>
            </w:r>
            <w:r w:rsidRPr="007007C5">
              <w:rPr>
                <w:noProof/>
                <w:webHidden/>
              </w:rPr>
              <w:fldChar w:fldCharType="begin"/>
            </w:r>
            <w:r w:rsidRPr="007007C5">
              <w:rPr>
                <w:noProof/>
                <w:webHidden/>
              </w:rPr>
              <w:instrText xml:space="preserve"> PAGEREF _Toc225951857 \h </w:instrText>
            </w:r>
            <w:r w:rsidRPr="007007C5">
              <w:rPr>
                <w:noProof/>
                <w:webHidden/>
              </w:rPr>
            </w:r>
            <w:r w:rsidRPr="007007C5">
              <w:rPr>
                <w:noProof/>
                <w:webHidden/>
              </w:rPr>
              <w:fldChar w:fldCharType="separate"/>
            </w:r>
            <w:r w:rsidRPr="007007C5">
              <w:rPr>
                <w:noProof/>
                <w:webHidden/>
              </w:rPr>
              <w:t>14</w:t>
            </w:r>
            <w:r w:rsidRPr="007007C5">
              <w:rPr>
                <w:noProof/>
                <w:webHidden/>
              </w:rPr>
              <w:fldChar w:fldCharType="end"/>
            </w:r>
          </w:hyperlink>
        </w:p>
        <w:p w14:paraId="58869F40" w14:textId="52CAAD7C" w:rsidR="007007C5" w:rsidRPr="007007C5" w:rsidRDefault="007007C5">
          <w:pPr>
            <w:pStyle w:val="TOC3"/>
            <w:tabs>
              <w:tab w:val="right" w:leader="dot" w:pos="9016"/>
            </w:tabs>
            <w:rPr>
              <w:rFonts w:eastAsiaTheme="minorEastAsia"/>
              <w:noProof/>
              <w:lang w:eastAsia="en-AU"/>
            </w:rPr>
          </w:pPr>
          <w:hyperlink w:anchor="_Toc225951858" w:history="1">
            <w:r w:rsidRPr="007007C5">
              <w:rPr>
                <w:rStyle w:val="Hyperlink"/>
                <w:noProof/>
              </w:rPr>
              <w:t>EOPO 3 Partnerships and capacity of NbS champions</w:t>
            </w:r>
            <w:r w:rsidRPr="007007C5">
              <w:rPr>
                <w:noProof/>
                <w:webHidden/>
              </w:rPr>
              <w:tab/>
            </w:r>
            <w:r w:rsidRPr="007007C5">
              <w:rPr>
                <w:noProof/>
                <w:webHidden/>
              </w:rPr>
              <w:fldChar w:fldCharType="begin"/>
            </w:r>
            <w:r w:rsidRPr="007007C5">
              <w:rPr>
                <w:noProof/>
                <w:webHidden/>
              </w:rPr>
              <w:instrText xml:space="preserve"> PAGEREF _Toc225951858 \h </w:instrText>
            </w:r>
            <w:r w:rsidRPr="007007C5">
              <w:rPr>
                <w:noProof/>
                <w:webHidden/>
              </w:rPr>
            </w:r>
            <w:r w:rsidRPr="007007C5">
              <w:rPr>
                <w:noProof/>
                <w:webHidden/>
              </w:rPr>
              <w:fldChar w:fldCharType="separate"/>
            </w:r>
            <w:r w:rsidRPr="007007C5">
              <w:rPr>
                <w:noProof/>
                <w:webHidden/>
              </w:rPr>
              <w:t>18</w:t>
            </w:r>
            <w:r w:rsidRPr="007007C5">
              <w:rPr>
                <w:noProof/>
                <w:webHidden/>
              </w:rPr>
              <w:fldChar w:fldCharType="end"/>
            </w:r>
          </w:hyperlink>
        </w:p>
        <w:p w14:paraId="3F983BE2" w14:textId="576C4E41" w:rsidR="007007C5" w:rsidRPr="007007C5" w:rsidRDefault="007007C5">
          <w:pPr>
            <w:pStyle w:val="TOC2"/>
            <w:tabs>
              <w:tab w:val="left" w:pos="960"/>
              <w:tab w:val="right" w:leader="dot" w:pos="9016"/>
            </w:tabs>
            <w:rPr>
              <w:rFonts w:eastAsiaTheme="minorEastAsia"/>
              <w:noProof/>
              <w:lang w:eastAsia="en-AU"/>
            </w:rPr>
          </w:pPr>
          <w:hyperlink w:anchor="_Toc225951859" w:history="1">
            <w:r w:rsidRPr="007007C5">
              <w:rPr>
                <w:rStyle w:val="Hyperlink"/>
                <w:noProof/>
              </w:rPr>
              <w:t>3.5</w:t>
            </w:r>
            <w:r w:rsidRPr="007007C5">
              <w:rPr>
                <w:rFonts w:eastAsiaTheme="minorEastAsia"/>
                <w:noProof/>
                <w:lang w:eastAsia="en-AU"/>
              </w:rPr>
              <w:tab/>
            </w:r>
            <w:r w:rsidRPr="007007C5">
              <w:rPr>
                <w:rStyle w:val="Hyperlink"/>
                <w:noProof/>
              </w:rPr>
              <w:t>GEDSI</w:t>
            </w:r>
            <w:r w:rsidRPr="007007C5">
              <w:rPr>
                <w:noProof/>
                <w:webHidden/>
              </w:rPr>
              <w:tab/>
            </w:r>
            <w:r w:rsidRPr="007007C5">
              <w:rPr>
                <w:noProof/>
                <w:webHidden/>
              </w:rPr>
              <w:fldChar w:fldCharType="begin"/>
            </w:r>
            <w:r w:rsidRPr="007007C5">
              <w:rPr>
                <w:noProof/>
                <w:webHidden/>
              </w:rPr>
              <w:instrText xml:space="preserve"> PAGEREF _Toc225951859 \h </w:instrText>
            </w:r>
            <w:r w:rsidRPr="007007C5">
              <w:rPr>
                <w:noProof/>
                <w:webHidden/>
              </w:rPr>
            </w:r>
            <w:r w:rsidRPr="007007C5">
              <w:rPr>
                <w:noProof/>
                <w:webHidden/>
              </w:rPr>
              <w:fldChar w:fldCharType="separate"/>
            </w:r>
            <w:r w:rsidRPr="007007C5">
              <w:rPr>
                <w:noProof/>
                <w:webHidden/>
              </w:rPr>
              <w:t>21</w:t>
            </w:r>
            <w:r w:rsidRPr="007007C5">
              <w:rPr>
                <w:noProof/>
                <w:webHidden/>
              </w:rPr>
              <w:fldChar w:fldCharType="end"/>
            </w:r>
          </w:hyperlink>
        </w:p>
        <w:p w14:paraId="4E3E1A94" w14:textId="1A1CB8A4" w:rsidR="007007C5" w:rsidRPr="007007C5" w:rsidRDefault="007007C5">
          <w:pPr>
            <w:pStyle w:val="TOC2"/>
            <w:tabs>
              <w:tab w:val="left" w:pos="960"/>
              <w:tab w:val="right" w:leader="dot" w:pos="9016"/>
            </w:tabs>
            <w:rPr>
              <w:rFonts w:eastAsiaTheme="minorEastAsia"/>
              <w:noProof/>
              <w:lang w:eastAsia="en-AU"/>
            </w:rPr>
          </w:pPr>
          <w:hyperlink w:anchor="_Toc225951860" w:history="1">
            <w:r w:rsidRPr="007007C5">
              <w:rPr>
                <w:rStyle w:val="Hyperlink"/>
                <w:noProof/>
              </w:rPr>
              <w:t>3.6</w:t>
            </w:r>
            <w:r w:rsidRPr="007007C5">
              <w:rPr>
                <w:rFonts w:eastAsiaTheme="minorEastAsia"/>
                <w:noProof/>
                <w:lang w:eastAsia="en-AU"/>
              </w:rPr>
              <w:tab/>
            </w:r>
            <w:r w:rsidRPr="007007C5">
              <w:rPr>
                <w:rStyle w:val="Hyperlink"/>
                <w:noProof/>
              </w:rPr>
              <w:t>Efficiency</w:t>
            </w:r>
            <w:r w:rsidRPr="007007C5">
              <w:rPr>
                <w:noProof/>
                <w:webHidden/>
              </w:rPr>
              <w:tab/>
            </w:r>
            <w:r w:rsidRPr="007007C5">
              <w:rPr>
                <w:noProof/>
                <w:webHidden/>
              </w:rPr>
              <w:fldChar w:fldCharType="begin"/>
            </w:r>
            <w:r w:rsidRPr="007007C5">
              <w:rPr>
                <w:noProof/>
                <w:webHidden/>
              </w:rPr>
              <w:instrText xml:space="preserve"> PAGEREF _Toc225951860 \h </w:instrText>
            </w:r>
            <w:r w:rsidRPr="007007C5">
              <w:rPr>
                <w:noProof/>
                <w:webHidden/>
              </w:rPr>
            </w:r>
            <w:r w:rsidRPr="007007C5">
              <w:rPr>
                <w:noProof/>
                <w:webHidden/>
              </w:rPr>
              <w:fldChar w:fldCharType="separate"/>
            </w:r>
            <w:r w:rsidRPr="007007C5">
              <w:rPr>
                <w:noProof/>
                <w:webHidden/>
              </w:rPr>
              <w:t>25</w:t>
            </w:r>
            <w:r w:rsidRPr="007007C5">
              <w:rPr>
                <w:noProof/>
                <w:webHidden/>
              </w:rPr>
              <w:fldChar w:fldCharType="end"/>
            </w:r>
          </w:hyperlink>
        </w:p>
        <w:p w14:paraId="3F8E7290" w14:textId="7DE11E3C" w:rsidR="007007C5" w:rsidRPr="007007C5" w:rsidRDefault="007007C5">
          <w:pPr>
            <w:pStyle w:val="TOC2"/>
            <w:tabs>
              <w:tab w:val="left" w:pos="960"/>
              <w:tab w:val="right" w:leader="dot" w:pos="9016"/>
            </w:tabs>
            <w:rPr>
              <w:rFonts w:eastAsiaTheme="minorEastAsia"/>
              <w:noProof/>
              <w:lang w:eastAsia="en-AU"/>
            </w:rPr>
          </w:pPr>
          <w:hyperlink w:anchor="_Toc225951861" w:history="1">
            <w:r w:rsidRPr="007007C5">
              <w:rPr>
                <w:rStyle w:val="Hyperlink"/>
                <w:noProof/>
              </w:rPr>
              <w:t>3.7</w:t>
            </w:r>
            <w:r w:rsidRPr="007007C5">
              <w:rPr>
                <w:rFonts w:eastAsiaTheme="minorEastAsia"/>
                <w:noProof/>
                <w:lang w:eastAsia="en-AU"/>
              </w:rPr>
              <w:tab/>
            </w:r>
            <w:r w:rsidRPr="007007C5">
              <w:rPr>
                <w:rStyle w:val="Hyperlink"/>
                <w:noProof/>
              </w:rPr>
              <w:t>Sustainability</w:t>
            </w:r>
            <w:r w:rsidRPr="007007C5">
              <w:rPr>
                <w:noProof/>
                <w:webHidden/>
              </w:rPr>
              <w:tab/>
            </w:r>
            <w:r w:rsidRPr="007007C5">
              <w:rPr>
                <w:noProof/>
                <w:webHidden/>
              </w:rPr>
              <w:fldChar w:fldCharType="begin"/>
            </w:r>
            <w:r w:rsidRPr="007007C5">
              <w:rPr>
                <w:noProof/>
                <w:webHidden/>
              </w:rPr>
              <w:instrText xml:space="preserve"> PAGEREF _Toc225951861 \h </w:instrText>
            </w:r>
            <w:r w:rsidRPr="007007C5">
              <w:rPr>
                <w:noProof/>
                <w:webHidden/>
              </w:rPr>
            </w:r>
            <w:r w:rsidRPr="007007C5">
              <w:rPr>
                <w:noProof/>
                <w:webHidden/>
              </w:rPr>
              <w:fldChar w:fldCharType="separate"/>
            </w:r>
            <w:r w:rsidRPr="007007C5">
              <w:rPr>
                <w:noProof/>
                <w:webHidden/>
              </w:rPr>
              <w:t>27</w:t>
            </w:r>
            <w:r w:rsidRPr="007007C5">
              <w:rPr>
                <w:noProof/>
                <w:webHidden/>
              </w:rPr>
              <w:fldChar w:fldCharType="end"/>
            </w:r>
          </w:hyperlink>
        </w:p>
        <w:p w14:paraId="56CDCD23" w14:textId="21345F48" w:rsidR="007007C5" w:rsidRPr="007007C5" w:rsidRDefault="007007C5">
          <w:pPr>
            <w:pStyle w:val="TOC3"/>
            <w:tabs>
              <w:tab w:val="right" w:leader="dot" w:pos="9016"/>
            </w:tabs>
            <w:rPr>
              <w:rFonts w:eastAsiaTheme="minorEastAsia"/>
              <w:noProof/>
              <w:lang w:eastAsia="en-AU"/>
            </w:rPr>
          </w:pPr>
          <w:hyperlink w:anchor="_Toc225951862" w:history="1">
            <w:r w:rsidRPr="007007C5">
              <w:rPr>
                <w:rStyle w:val="Hyperlink"/>
                <w:noProof/>
              </w:rPr>
              <w:t>Case studies</w:t>
            </w:r>
            <w:r w:rsidRPr="007007C5">
              <w:rPr>
                <w:noProof/>
                <w:webHidden/>
              </w:rPr>
              <w:tab/>
            </w:r>
            <w:r w:rsidRPr="007007C5">
              <w:rPr>
                <w:noProof/>
                <w:webHidden/>
              </w:rPr>
              <w:fldChar w:fldCharType="begin"/>
            </w:r>
            <w:r w:rsidRPr="007007C5">
              <w:rPr>
                <w:noProof/>
                <w:webHidden/>
              </w:rPr>
              <w:instrText xml:space="preserve"> PAGEREF _Toc225951862 \h </w:instrText>
            </w:r>
            <w:r w:rsidRPr="007007C5">
              <w:rPr>
                <w:noProof/>
                <w:webHidden/>
              </w:rPr>
            </w:r>
            <w:r w:rsidRPr="007007C5">
              <w:rPr>
                <w:noProof/>
                <w:webHidden/>
              </w:rPr>
              <w:fldChar w:fldCharType="separate"/>
            </w:r>
            <w:r w:rsidRPr="007007C5">
              <w:rPr>
                <w:noProof/>
                <w:webHidden/>
              </w:rPr>
              <w:t>28</w:t>
            </w:r>
            <w:r w:rsidRPr="007007C5">
              <w:rPr>
                <w:noProof/>
                <w:webHidden/>
              </w:rPr>
              <w:fldChar w:fldCharType="end"/>
            </w:r>
          </w:hyperlink>
        </w:p>
        <w:p w14:paraId="304394DA" w14:textId="1114C3A2" w:rsidR="007007C5" w:rsidRPr="007007C5" w:rsidRDefault="007007C5">
          <w:pPr>
            <w:pStyle w:val="TOC3"/>
            <w:tabs>
              <w:tab w:val="right" w:leader="dot" w:pos="9016"/>
            </w:tabs>
            <w:rPr>
              <w:rFonts w:eastAsiaTheme="minorEastAsia"/>
              <w:noProof/>
              <w:lang w:eastAsia="en-AU"/>
            </w:rPr>
          </w:pPr>
          <w:hyperlink w:anchor="_Toc225951863" w:history="1">
            <w:r w:rsidRPr="007007C5">
              <w:rPr>
                <w:rStyle w:val="Hyperlink"/>
                <w:noProof/>
              </w:rPr>
              <w:t>Technical Guidelines</w:t>
            </w:r>
            <w:r w:rsidRPr="007007C5">
              <w:rPr>
                <w:noProof/>
                <w:webHidden/>
              </w:rPr>
              <w:tab/>
            </w:r>
            <w:r w:rsidRPr="007007C5">
              <w:rPr>
                <w:noProof/>
                <w:webHidden/>
              </w:rPr>
              <w:fldChar w:fldCharType="begin"/>
            </w:r>
            <w:r w:rsidRPr="007007C5">
              <w:rPr>
                <w:noProof/>
                <w:webHidden/>
              </w:rPr>
              <w:instrText xml:space="preserve"> PAGEREF _Toc225951863 \h </w:instrText>
            </w:r>
            <w:r w:rsidRPr="007007C5">
              <w:rPr>
                <w:noProof/>
                <w:webHidden/>
              </w:rPr>
            </w:r>
            <w:r w:rsidRPr="007007C5">
              <w:rPr>
                <w:noProof/>
                <w:webHidden/>
              </w:rPr>
              <w:fldChar w:fldCharType="separate"/>
            </w:r>
            <w:r w:rsidRPr="007007C5">
              <w:rPr>
                <w:noProof/>
                <w:webHidden/>
              </w:rPr>
              <w:t>29</w:t>
            </w:r>
            <w:r w:rsidRPr="007007C5">
              <w:rPr>
                <w:noProof/>
                <w:webHidden/>
              </w:rPr>
              <w:fldChar w:fldCharType="end"/>
            </w:r>
          </w:hyperlink>
        </w:p>
        <w:p w14:paraId="2BB24092" w14:textId="2F38D191" w:rsidR="007007C5" w:rsidRPr="007007C5" w:rsidRDefault="007007C5">
          <w:pPr>
            <w:pStyle w:val="TOC3"/>
            <w:tabs>
              <w:tab w:val="right" w:leader="dot" w:pos="9016"/>
            </w:tabs>
            <w:rPr>
              <w:rFonts w:eastAsiaTheme="minorEastAsia"/>
              <w:noProof/>
              <w:lang w:eastAsia="en-AU"/>
            </w:rPr>
          </w:pPr>
          <w:hyperlink w:anchor="_Toc225951864" w:history="1">
            <w:r w:rsidRPr="007007C5">
              <w:rPr>
                <w:rStyle w:val="Hyperlink"/>
                <w:noProof/>
              </w:rPr>
              <w:t>Partnerships and Networks</w:t>
            </w:r>
            <w:r w:rsidRPr="007007C5">
              <w:rPr>
                <w:noProof/>
                <w:webHidden/>
              </w:rPr>
              <w:tab/>
            </w:r>
            <w:r w:rsidRPr="007007C5">
              <w:rPr>
                <w:noProof/>
                <w:webHidden/>
              </w:rPr>
              <w:fldChar w:fldCharType="begin"/>
            </w:r>
            <w:r w:rsidRPr="007007C5">
              <w:rPr>
                <w:noProof/>
                <w:webHidden/>
              </w:rPr>
              <w:instrText xml:space="preserve"> PAGEREF _Toc225951864 \h </w:instrText>
            </w:r>
            <w:r w:rsidRPr="007007C5">
              <w:rPr>
                <w:noProof/>
                <w:webHidden/>
              </w:rPr>
            </w:r>
            <w:r w:rsidRPr="007007C5">
              <w:rPr>
                <w:noProof/>
                <w:webHidden/>
              </w:rPr>
              <w:fldChar w:fldCharType="separate"/>
            </w:r>
            <w:r w:rsidRPr="007007C5">
              <w:rPr>
                <w:noProof/>
                <w:webHidden/>
              </w:rPr>
              <w:t>29</w:t>
            </w:r>
            <w:r w:rsidRPr="007007C5">
              <w:rPr>
                <w:noProof/>
                <w:webHidden/>
              </w:rPr>
              <w:fldChar w:fldCharType="end"/>
            </w:r>
          </w:hyperlink>
        </w:p>
        <w:p w14:paraId="7063DE8D" w14:textId="0D74B7EC" w:rsidR="007007C5" w:rsidRPr="007007C5" w:rsidRDefault="007007C5">
          <w:pPr>
            <w:pStyle w:val="TOC3"/>
            <w:tabs>
              <w:tab w:val="right" w:leader="dot" w:pos="9016"/>
            </w:tabs>
            <w:rPr>
              <w:rFonts w:eastAsiaTheme="minorEastAsia"/>
              <w:noProof/>
              <w:lang w:eastAsia="en-AU"/>
            </w:rPr>
          </w:pPr>
          <w:hyperlink w:anchor="_Toc225951865" w:history="1">
            <w:r w:rsidRPr="007007C5">
              <w:rPr>
                <w:rStyle w:val="Hyperlink"/>
                <w:noProof/>
              </w:rPr>
              <w:t>GEDSI</w:t>
            </w:r>
            <w:r w:rsidRPr="007007C5">
              <w:rPr>
                <w:noProof/>
                <w:webHidden/>
              </w:rPr>
              <w:tab/>
            </w:r>
            <w:r w:rsidRPr="007007C5">
              <w:rPr>
                <w:noProof/>
                <w:webHidden/>
              </w:rPr>
              <w:fldChar w:fldCharType="begin"/>
            </w:r>
            <w:r w:rsidRPr="007007C5">
              <w:rPr>
                <w:noProof/>
                <w:webHidden/>
              </w:rPr>
              <w:instrText xml:space="preserve"> PAGEREF _Toc225951865 \h </w:instrText>
            </w:r>
            <w:r w:rsidRPr="007007C5">
              <w:rPr>
                <w:noProof/>
                <w:webHidden/>
              </w:rPr>
            </w:r>
            <w:r w:rsidRPr="007007C5">
              <w:rPr>
                <w:noProof/>
                <w:webHidden/>
              </w:rPr>
              <w:fldChar w:fldCharType="separate"/>
            </w:r>
            <w:r w:rsidRPr="007007C5">
              <w:rPr>
                <w:noProof/>
                <w:webHidden/>
              </w:rPr>
              <w:t>29</w:t>
            </w:r>
            <w:r w:rsidRPr="007007C5">
              <w:rPr>
                <w:noProof/>
                <w:webHidden/>
              </w:rPr>
              <w:fldChar w:fldCharType="end"/>
            </w:r>
          </w:hyperlink>
        </w:p>
        <w:p w14:paraId="425DCC4C" w14:textId="5C12A517" w:rsidR="007007C5" w:rsidRPr="007007C5" w:rsidRDefault="007007C5">
          <w:pPr>
            <w:pStyle w:val="TOC1"/>
            <w:tabs>
              <w:tab w:val="left" w:pos="720"/>
              <w:tab w:val="right" w:leader="dot" w:pos="9016"/>
            </w:tabs>
            <w:rPr>
              <w:rFonts w:asciiTheme="minorHAnsi" w:eastAsiaTheme="minorEastAsia" w:hAnsiTheme="minorHAnsi" w:cstheme="minorBidi"/>
              <w:noProof/>
              <w:kern w:val="2"/>
              <w:sz w:val="22"/>
              <w:szCs w:val="22"/>
              <w:lang w:eastAsia="en-AU"/>
              <w14:ligatures w14:val="standardContextual"/>
            </w:rPr>
          </w:pPr>
          <w:hyperlink w:anchor="_Toc225951866" w:history="1">
            <w:r w:rsidRPr="007007C5">
              <w:rPr>
                <w:rStyle w:val="Hyperlink"/>
                <w:rFonts w:asciiTheme="minorHAnsi" w:hAnsiTheme="minorHAnsi"/>
                <w:noProof/>
                <w:sz w:val="22"/>
                <w:szCs w:val="22"/>
              </w:rPr>
              <w:t>4.</w:t>
            </w:r>
            <w:r w:rsidRPr="007007C5">
              <w:rPr>
                <w:rFonts w:asciiTheme="minorHAnsi" w:eastAsiaTheme="minorEastAsia" w:hAnsiTheme="minorHAnsi" w:cstheme="minorBidi"/>
                <w:noProof/>
                <w:kern w:val="2"/>
                <w:sz w:val="22"/>
                <w:szCs w:val="22"/>
                <w:lang w:eastAsia="en-AU"/>
                <w14:ligatures w14:val="standardContextual"/>
              </w:rPr>
              <w:tab/>
            </w:r>
            <w:r w:rsidRPr="007007C5">
              <w:rPr>
                <w:rStyle w:val="Hyperlink"/>
                <w:rFonts w:asciiTheme="minorHAnsi" w:hAnsiTheme="minorHAnsi"/>
                <w:noProof/>
                <w:sz w:val="22"/>
                <w:szCs w:val="22"/>
              </w:rPr>
              <w:t>Conclusion</w:t>
            </w:r>
            <w:r w:rsidRPr="007007C5">
              <w:rPr>
                <w:rFonts w:asciiTheme="minorHAnsi" w:hAnsiTheme="minorHAnsi"/>
                <w:noProof/>
                <w:webHidden/>
                <w:sz w:val="22"/>
                <w:szCs w:val="22"/>
              </w:rPr>
              <w:tab/>
            </w:r>
            <w:r w:rsidR="00B10235">
              <w:rPr>
                <w:rFonts w:asciiTheme="minorHAnsi" w:hAnsiTheme="minorHAnsi"/>
                <w:noProof/>
                <w:webHidden/>
                <w:sz w:val="22"/>
                <w:szCs w:val="22"/>
              </w:rPr>
              <w:t>29</w:t>
            </w:r>
          </w:hyperlink>
        </w:p>
        <w:p w14:paraId="237349DE" w14:textId="468E071A" w:rsidR="007007C5" w:rsidRPr="007007C5" w:rsidRDefault="007007C5">
          <w:pPr>
            <w:pStyle w:val="TOC1"/>
            <w:tabs>
              <w:tab w:val="right" w:leader="dot" w:pos="9016"/>
            </w:tabs>
            <w:rPr>
              <w:rFonts w:asciiTheme="minorHAnsi" w:eastAsiaTheme="minorEastAsia" w:hAnsiTheme="minorHAnsi" w:cstheme="minorBidi"/>
              <w:noProof/>
              <w:kern w:val="2"/>
              <w:sz w:val="22"/>
              <w:szCs w:val="22"/>
              <w:lang w:eastAsia="en-AU"/>
              <w14:ligatures w14:val="standardContextual"/>
            </w:rPr>
          </w:pPr>
          <w:hyperlink w:anchor="_Toc225951867" w:history="1">
            <w:r w:rsidRPr="007007C5">
              <w:rPr>
                <w:rStyle w:val="Hyperlink"/>
                <w:rFonts w:asciiTheme="minorHAnsi" w:hAnsiTheme="minorHAnsi"/>
                <w:noProof/>
                <w:sz w:val="22"/>
                <w:szCs w:val="22"/>
              </w:rPr>
              <w:t>Appendix A: RUCaS Updated MEL Framework</w:t>
            </w:r>
            <w:r w:rsidRPr="007007C5">
              <w:rPr>
                <w:rFonts w:asciiTheme="minorHAnsi" w:hAnsiTheme="minorHAnsi"/>
                <w:noProof/>
                <w:webHidden/>
                <w:sz w:val="22"/>
                <w:szCs w:val="22"/>
              </w:rPr>
              <w:tab/>
            </w:r>
            <w:r w:rsidRPr="007007C5">
              <w:rPr>
                <w:rFonts w:asciiTheme="minorHAnsi" w:hAnsiTheme="minorHAnsi"/>
                <w:noProof/>
                <w:webHidden/>
                <w:sz w:val="22"/>
                <w:szCs w:val="22"/>
              </w:rPr>
              <w:fldChar w:fldCharType="begin"/>
            </w:r>
            <w:r w:rsidRPr="007007C5">
              <w:rPr>
                <w:rFonts w:asciiTheme="minorHAnsi" w:hAnsiTheme="minorHAnsi"/>
                <w:noProof/>
                <w:webHidden/>
                <w:sz w:val="22"/>
                <w:szCs w:val="22"/>
              </w:rPr>
              <w:instrText xml:space="preserve"> PAGEREF _Toc225951867 \h </w:instrText>
            </w:r>
            <w:r w:rsidRPr="007007C5">
              <w:rPr>
                <w:rFonts w:asciiTheme="minorHAnsi" w:hAnsiTheme="minorHAnsi"/>
                <w:noProof/>
                <w:webHidden/>
                <w:sz w:val="22"/>
                <w:szCs w:val="22"/>
              </w:rPr>
            </w:r>
            <w:r w:rsidRPr="007007C5">
              <w:rPr>
                <w:rFonts w:asciiTheme="minorHAnsi" w:hAnsiTheme="minorHAnsi"/>
                <w:noProof/>
                <w:webHidden/>
                <w:sz w:val="22"/>
                <w:szCs w:val="22"/>
              </w:rPr>
              <w:fldChar w:fldCharType="separate"/>
            </w:r>
            <w:r w:rsidRPr="007007C5">
              <w:rPr>
                <w:rFonts w:asciiTheme="minorHAnsi" w:hAnsiTheme="minorHAnsi"/>
                <w:noProof/>
                <w:webHidden/>
                <w:sz w:val="22"/>
                <w:szCs w:val="22"/>
              </w:rPr>
              <w:t>3</w:t>
            </w:r>
            <w:r w:rsidR="00B10235">
              <w:rPr>
                <w:rFonts w:asciiTheme="minorHAnsi" w:hAnsiTheme="minorHAnsi"/>
                <w:noProof/>
                <w:webHidden/>
                <w:sz w:val="22"/>
                <w:szCs w:val="22"/>
              </w:rPr>
              <w:t>1</w:t>
            </w:r>
            <w:r w:rsidRPr="007007C5">
              <w:rPr>
                <w:rFonts w:asciiTheme="minorHAnsi" w:hAnsiTheme="minorHAnsi"/>
                <w:noProof/>
                <w:webHidden/>
                <w:sz w:val="22"/>
                <w:szCs w:val="22"/>
              </w:rPr>
              <w:fldChar w:fldCharType="end"/>
            </w:r>
          </w:hyperlink>
        </w:p>
        <w:p w14:paraId="18E57D5A" w14:textId="0311C802" w:rsidR="007007C5" w:rsidRPr="007007C5" w:rsidRDefault="007007C5">
          <w:pPr>
            <w:pStyle w:val="TOC1"/>
            <w:tabs>
              <w:tab w:val="right" w:leader="dot" w:pos="9016"/>
            </w:tabs>
            <w:rPr>
              <w:rFonts w:asciiTheme="minorHAnsi" w:eastAsiaTheme="minorEastAsia" w:hAnsiTheme="minorHAnsi" w:cstheme="minorBidi"/>
              <w:noProof/>
              <w:kern w:val="2"/>
              <w:sz w:val="22"/>
              <w:szCs w:val="22"/>
              <w:lang w:eastAsia="en-AU"/>
              <w14:ligatures w14:val="standardContextual"/>
            </w:rPr>
          </w:pPr>
          <w:hyperlink w:anchor="_Toc225951868" w:history="1">
            <w:r w:rsidRPr="007007C5">
              <w:rPr>
                <w:rStyle w:val="Hyperlink"/>
                <w:rFonts w:asciiTheme="minorHAnsi" w:hAnsiTheme="minorHAnsi"/>
                <w:noProof/>
                <w:sz w:val="22"/>
                <w:szCs w:val="22"/>
              </w:rPr>
              <w:t>Appendix B: Interviewees</w:t>
            </w:r>
            <w:r w:rsidRPr="007007C5">
              <w:rPr>
                <w:rFonts w:asciiTheme="minorHAnsi" w:hAnsiTheme="minorHAnsi"/>
                <w:noProof/>
                <w:webHidden/>
                <w:sz w:val="22"/>
                <w:szCs w:val="22"/>
              </w:rPr>
              <w:tab/>
            </w:r>
            <w:r w:rsidRPr="007007C5">
              <w:rPr>
                <w:rFonts w:asciiTheme="minorHAnsi" w:hAnsiTheme="minorHAnsi"/>
                <w:noProof/>
                <w:webHidden/>
                <w:sz w:val="22"/>
                <w:szCs w:val="22"/>
              </w:rPr>
              <w:fldChar w:fldCharType="begin"/>
            </w:r>
            <w:r w:rsidRPr="007007C5">
              <w:rPr>
                <w:rFonts w:asciiTheme="minorHAnsi" w:hAnsiTheme="minorHAnsi"/>
                <w:noProof/>
                <w:webHidden/>
                <w:sz w:val="22"/>
                <w:szCs w:val="22"/>
              </w:rPr>
              <w:instrText xml:space="preserve"> PAGEREF _Toc225951868 \h </w:instrText>
            </w:r>
            <w:r w:rsidRPr="007007C5">
              <w:rPr>
                <w:rFonts w:asciiTheme="minorHAnsi" w:hAnsiTheme="minorHAnsi"/>
                <w:noProof/>
                <w:webHidden/>
                <w:sz w:val="22"/>
                <w:szCs w:val="22"/>
              </w:rPr>
            </w:r>
            <w:r w:rsidRPr="007007C5">
              <w:rPr>
                <w:rFonts w:asciiTheme="minorHAnsi" w:hAnsiTheme="minorHAnsi"/>
                <w:noProof/>
                <w:webHidden/>
                <w:sz w:val="22"/>
                <w:szCs w:val="22"/>
              </w:rPr>
              <w:fldChar w:fldCharType="separate"/>
            </w:r>
            <w:r w:rsidRPr="007007C5">
              <w:rPr>
                <w:rFonts w:asciiTheme="minorHAnsi" w:hAnsiTheme="minorHAnsi"/>
                <w:noProof/>
                <w:webHidden/>
                <w:sz w:val="22"/>
                <w:szCs w:val="22"/>
              </w:rPr>
              <w:t>35</w:t>
            </w:r>
            <w:r w:rsidRPr="007007C5">
              <w:rPr>
                <w:rFonts w:asciiTheme="minorHAnsi" w:hAnsiTheme="minorHAnsi"/>
                <w:noProof/>
                <w:webHidden/>
                <w:sz w:val="22"/>
                <w:szCs w:val="22"/>
              </w:rPr>
              <w:fldChar w:fldCharType="end"/>
            </w:r>
          </w:hyperlink>
        </w:p>
        <w:p w14:paraId="3706A5E9" w14:textId="1CF5F561" w:rsidR="007007C5" w:rsidRPr="007007C5" w:rsidRDefault="007007C5">
          <w:pPr>
            <w:pStyle w:val="TOC1"/>
            <w:tabs>
              <w:tab w:val="right" w:leader="dot" w:pos="9016"/>
            </w:tabs>
            <w:rPr>
              <w:rFonts w:asciiTheme="minorHAnsi" w:eastAsiaTheme="minorEastAsia" w:hAnsiTheme="minorHAnsi" w:cstheme="minorBidi"/>
              <w:noProof/>
              <w:kern w:val="2"/>
              <w:sz w:val="22"/>
              <w:szCs w:val="22"/>
              <w:lang w:eastAsia="en-AU"/>
              <w14:ligatures w14:val="standardContextual"/>
            </w:rPr>
          </w:pPr>
          <w:hyperlink w:anchor="_Toc225951869" w:history="1">
            <w:r w:rsidRPr="007007C5">
              <w:rPr>
                <w:rStyle w:val="Hyperlink"/>
                <w:rFonts w:asciiTheme="minorHAnsi" w:hAnsiTheme="minorHAnsi"/>
                <w:noProof/>
                <w:sz w:val="22"/>
                <w:szCs w:val="22"/>
              </w:rPr>
              <w:t>Appendix C: Evaluation Matrix</w:t>
            </w:r>
            <w:r w:rsidRPr="007007C5">
              <w:rPr>
                <w:rFonts w:asciiTheme="minorHAnsi" w:hAnsiTheme="minorHAnsi"/>
                <w:noProof/>
                <w:webHidden/>
                <w:sz w:val="22"/>
                <w:szCs w:val="22"/>
              </w:rPr>
              <w:tab/>
            </w:r>
            <w:r w:rsidRPr="007007C5">
              <w:rPr>
                <w:rFonts w:asciiTheme="minorHAnsi" w:hAnsiTheme="minorHAnsi"/>
                <w:noProof/>
                <w:webHidden/>
                <w:sz w:val="22"/>
                <w:szCs w:val="22"/>
              </w:rPr>
              <w:fldChar w:fldCharType="begin"/>
            </w:r>
            <w:r w:rsidRPr="007007C5">
              <w:rPr>
                <w:rFonts w:asciiTheme="minorHAnsi" w:hAnsiTheme="minorHAnsi"/>
                <w:noProof/>
                <w:webHidden/>
                <w:sz w:val="22"/>
                <w:szCs w:val="22"/>
              </w:rPr>
              <w:instrText xml:space="preserve"> PAGEREF _Toc225951869 \h </w:instrText>
            </w:r>
            <w:r w:rsidRPr="007007C5">
              <w:rPr>
                <w:rFonts w:asciiTheme="minorHAnsi" w:hAnsiTheme="minorHAnsi"/>
                <w:noProof/>
                <w:webHidden/>
                <w:sz w:val="22"/>
                <w:szCs w:val="22"/>
              </w:rPr>
            </w:r>
            <w:r w:rsidRPr="007007C5">
              <w:rPr>
                <w:rFonts w:asciiTheme="minorHAnsi" w:hAnsiTheme="minorHAnsi"/>
                <w:noProof/>
                <w:webHidden/>
                <w:sz w:val="22"/>
                <w:szCs w:val="22"/>
              </w:rPr>
              <w:fldChar w:fldCharType="separate"/>
            </w:r>
            <w:r w:rsidRPr="007007C5">
              <w:rPr>
                <w:rFonts w:asciiTheme="minorHAnsi" w:hAnsiTheme="minorHAnsi"/>
                <w:noProof/>
                <w:webHidden/>
                <w:sz w:val="22"/>
                <w:szCs w:val="22"/>
              </w:rPr>
              <w:t>38</w:t>
            </w:r>
            <w:r w:rsidRPr="007007C5">
              <w:rPr>
                <w:rFonts w:asciiTheme="minorHAnsi" w:hAnsiTheme="minorHAnsi"/>
                <w:noProof/>
                <w:webHidden/>
                <w:sz w:val="22"/>
                <w:szCs w:val="22"/>
              </w:rPr>
              <w:fldChar w:fldCharType="end"/>
            </w:r>
          </w:hyperlink>
        </w:p>
        <w:p w14:paraId="1517A8AC" w14:textId="12A68057" w:rsidR="007007C5" w:rsidRPr="007007C5" w:rsidRDefault="007007C5">
          <w:pPr>
            <w:pStyle w:val="TOC1"/>
            <w:tabs>
              <w:tab w:val="right" w:leader="dot" w:pos="9016"/>
            </w:tabs>
            <w:rPr>
              <w:rFonts w:asciiTheme="minorHAnsi" w:eastAsiaTheme="minorEastAsia" w:hAnsiTheme="minorHAnsi" w:cstheme="minorBidi"/>
              <w:noProof/>
              <w:kern w:val="2"/>
              <w:sz w:val="22"/>
              <w:szCs w:val="22"/>
              <w:lang w:eastAsia="en-AU"/>
              <w14:ligatures w14:val="standardContextual"/>
            </w:rPr>
          </w:pPr>
          <w:hyperlink w:anchor="_Toc225951870" w:history="1">
            <w:r w:rsidRPr="007007C5">
              <w:rPr>
                <w:rStyle w:val="Hyperlink"/>
                <w:rFonts w:asciiTheme="minorHAnsi" w:hAnsiTheme="minorHAnsi"/>
                <w:noProof/>
                <w:sz w:val="22"/>
                <w:szCs w:val="22"/>
              </w:rPr>
              <w:t>Appendix D: RUCaS Evaluability Assessment</w:t>
            </w:r>
            <w:r w:rsidRPr="007007C5">
              <w:rPr>
                <w:rFonts w:asciiTheme="minorHAnsi" w:hAnsiTheme="minorHAnsi"/>
                <w:noProof/>
                <w:webHidden/>
                <w:sz w:val="22"/>
                <w:szCs w:val="22"/>
              </w:rPr>
              <w:tab/>
            </w:r>
            <w:r w:rsidRPr="007007C5">
              <w:rPr>
                <w:rFonts w:asciiTheme="minorHAnsi" w:hAnsiTheme="minorHAnsi"/>
                <w:noProof/>
                <w:webHidden/>
                <w:sz w:val="22"/>
                <w:szCs w:val="22"/>
              </w:rPr>
              <w:fldChar w:fldCharType="begin"/>
            </w:r>
            <w:r w:rsidRPr="007007C5">
              <w:rPr>
                <w:rFonts w:asciiTheme="minorHAnsi" w:hAnsiTheme="minorHAnsi"/>
                <w:noProof/>
                <w:webHidden/>
                <w:sz w:val="22"/>
                <w:szCs w:val="22"/>
              </w:rPr>
              <w:instrText xml:space="preserve"> PAGEREF _Toc225951870 \h </w:instrText>
            </w:r>
            <w:r w:rsidRPr="007007C5">
              <w:rPr>
                <w:rFonts w:asciiTheme="minorHAnsi" w:hAnsiTheme="minorHAnsi"/>
                <w:noProof/>
                <w:webHidden/>
                <w:sz w:val="22"/>
                <w:szCs w:val="22"/>
              </w:rPr>
            </w:r>
            <w:r w:rsidRPr="007007C5">
              <w:rPr>
                <w:rFonts w:asciiTheme="minorHAnsi" w:hAnsiTheme="minorHAnsi"/>
                <w:noProof/>
                <w:webHidden/>
                <w:sz w:val="22"/>
                <w:szCs w:val="22"/>
              </w:rPr>
              <w:fldChar w:fldCharType="separate"/>
            </w:r>
            <w:r w:rsidRPr="007007C5">
              <w:rPr>
                <w:rFonts w:asciiTheme="minorHAnsi" w:hAnsiTheme="minorHAnsi"/>
                <w:noProof/>
                <w:webHidden/>
                <w:sz w:val="22"/>
                <w:szCs w:val="22"/>
              </w:rPr>
              <w:t>4</w:t>
            </w:r>
            <w:r w:rsidR="009A1670">
              <w:rPr>
                <w:rFonts w:asciiTheme="minorHAnsi" w:hAnsiTheme="minorHAnsi"/>
                <w:noProof/>
                <w:webHidden/>
                <w:sz w:val="22"/>
                <w:szCs w:val="22"/>
              </w:rPr>
              <w:t>4</w:t>
            </w:r>
            <w:r w:rsidRPr="007007C5">
              <w:rPr>
                <w:rFonts w:asciiTheme="minorHAnsi" w:hAnsiTheme="minorHAnsi"/>
                <w:noProof/>
                <w:webHidden/>
                <w:sz w:val="22"/>
                <w:szCs w:val="22"/>
              </w:rPr>
              <w:fldChar w:fldCharType="end"/>
            </w:r>
          </w:hyperlink>
        </w:p>
        <w:p w14:paraId="47AE9DD5" w14:textId="50A60A85" w:rsidR="007007C5" w:rsidRPr="007007C5" w:rsidRDefault="007007C5">
          <w:pPr>
            <w:pStyle w:val="TOC1"/>
            <w:tabs>
              <w:tab w:val="right" w:leader="dot" w:pos="9016"/>
            </w:tabs>
            <w:rPr>
              <w:rFonts w:asciiTheme="minorHAnsi" w:eastAsiaTheme="minorEastAsia" w:hAnsiTheme="minorHAnsi" w:cstheme="minorBidi"/>
              <w:noProof/>
              <w:kern w:val="2"/>
              <w:sz w:val="22"/>
              <w:szCs w:val="22"/>
              <w:lang w:eastAsia="en-AU"/>
              <w14:ligatures w14:val="standardContextual"/>
            </w:rPr>
          </w:pPr>
          <w:hyperlink w:anchor="_Toc225951871" w:history="1">
            <w:r w:rsidRPr="007007C5">
              <w:rPr>
                <w:rStyle w:val="Hyperlink"/>
                <w:rFonts w:asciiTheme="minorHAnsi" w:hAnsiTheme="minorHAnsi"/>
                <w:noProof/>
                <w:sz w:val="22"/>
                <w:szCs w:val="22"/>
              </w:rPr>
              <w:t>Appendix E: RUCaS Framework</w:t>
            </w:r>
            <w:r w:rsidRPr="007007C5">
              <w:rPr>
                <w:rFonts w:asciiTheme="minorHAnsi" w:hAnsiTheme="minorHAnsi"/>
                <w:noProof/>
                <w:webHidden/>
                <w:sz w:val="22"/>
                <w:szCs w:val="22"/>
              </w:rPr>
              <w:tab/>
            </w:r>
            <w:r w:rsidRPr="007007C5">
              <w:rPr>
                <w:rFonts w:asciiTheme="minorHAnsi" w:hAnsiTheme="minorHAnsi"/>
                <w:noProof/>
                <w:webHidden/>
                <w:sz w:val="22"/>
                <w:szCs w:val="22"/>
              </w:rPr>
              <w:fldChar w:fldCharType="begin"/>
            </w:r>
            <w:r w:rsidRPr="007007C5">
              <w:rPr>
                <w:rFonts w:asciiTheme="minorHAnsi" w:hAnsiTheme="minorHAnsi"/>
                <w:noProof/>
                <w:webHidden/>
                <w:sz w:val="22"/>
                <w:szCs w:val="22"/>
              </w:rPr>
              <w:instrText xml:space="preserve"> PAGEREF _Toc225951871 \h </w:instrText>
            </w:r>
            <w:r w:rsidRPr="007007C5">
              <w:rPr>
                <w:rFonts w:asciiTheme="minorHAnsi" w:hAnsiTheme="minorHAnsi"/>
                <w:noProof/>
                <w:webHidden/>
                <w:sz w:val="22"/>
                <w:szCs w:val="22"/>
              </w:rPr>
            </w:r>
            <w:r w:rsidRPr="007007C5">
              <w:rPr>
                <w:rFonts w:asciiTheme="minorHAnsi" w:hAnsiTheme="minorHAnsi"/>
                <w:noProof/>
                <w:webHidden/>
                <w:sz w:val="22"/>
                <w:szCs w:val="22"/>
              </w:rPr>
              <w:fldChar w:fldCharType="separate"/>
            </w:r>
            <w:r w:rsidRPr="007007C5">
              <w:rPr>
                <w:rFonts w:asciiTheme="minorHAnsi" w:hAnsiTheme="minorHAnsi"/>
                <w:noProof/>
                <w:webHidden/>
                <w:sz w:val="22"/>
                <w:szCs w:val="22"/>
              </w:rPr>
              <w:t>5</w:t>
            </w:r>
            <w:r w:rsidR="00B10235">
              <w:rPr>
                <w:rFonts w:asciiTheme="minorHAnsi" w:hAnsiTheme="minorHAnsi"/>
                <w:noProof/>
                <w:webHidden/>
                <w:sz w:val="22"/>
                <w:szCs w:val="22"/>
              </w:rPr>
              <w:t>1</w:t>
            </w:r>
            <w:r w:rsidRPr="007007C5">
              <w:rPr>
                <w:rFonts w:asciiTheme="minorHAnsi" w:hAnsiTheme="minorHAnsi"/>
                <w:noProof/>
                <w:webHidden/>
                <w:sz w:val="22"/>
                <w:szCs w:val="22"/>
              </w:rPr>
              <w:fldChar w:fldCharType="end"/>
            </w:r>
          </w:hyperlink>
        </w:p>
        <w:p w14:paraId="6C1B4CF9" w14:textId="10E9DBEF" w:rsidR="0043573C" w:rsidRPr="007007C5" w:rsidRDefault="0043573C">
          <w:r w:rsidRPr="007007C5">
            <w:rPr>
              <w:b/>
              <w:bCs/>
              <w:noProof/>
            </w:rPr>
            <w:fldChar w:fldCharType="end"/>
          </w:r>
        </w:p>
      </w:sdtContent>
    </w:sdt>
    <w:p w14:paraId="28E8604A" w14:textId="77777777" w:rsidR="00F81057" w:rsidRPr="007007C5" w:rsidRDefault="00F81057">
      <w:pPr>
        <w:rPr>
          <w:rFonts w:eastAsiaTheme="majorEastAsia" w:cstheme="majorBidi"/>
          <w:color w:val="0F4761" w:themeColor="accent1" w:themeShade="BF"/>
        </w:rPr>
      </w:pPr>
      <w:r w:rsidRPr="007007C5">
        <w:br w:type="page"/>
      </w:r>
    </w:p>
    <w:p w14:paraId="5F31E328" w14:textId="1A266D50" w:rsidR="00AC3456" w:rsidRDefault="00AC3456" w:rsidP="00AC3456">
      <w:pPr>
        <w:pStyle w:val="Heading1"/>
      </w:pPr>
      <w:bookmarkStart w:id="103" w:name="_Toc225951843"/>
      <w:r w:rsidRPr="003D4B91">
        <w:lastRenderedPageBreak/>
        <w:t xml:space="preserve">Table of </w:t>
      </w:r>
      <w:r w:rsidR="00286C2D" w:rsidRPr="003D4B91">
        <w:t>a</w:t>
      </w:r>
      <w:r w:rsidRPr="003D4B91">
        <w:t>cronyms</w:t>
      </w:r>
      <w:bookmarkEnd w:id="103"/>
    </w:p>
    <w:tbl>
      <w:tblPr>
        <w:tblStyle w:val="TableGrid"/>
        <w:tblW w:w="9026" w:type="dxa"/>
        <w:tblInd w:w="-5" w:type="dxa"/>
        <w:tblLayout w:type="fixed"/>
        <w:tblLook w:val="04A0" w:firstRow="1" w:lastRow="0" w:firstColumn="1" w:lastColumn="0" w:noHBand="0" w:noVBand="1"/>
      </w:tblPr>
      <w:tblGrid>
        <w:gridCol w:w="1560"/>
        <w:gridCol w:w="7466"/>
      </w:tblGrid>
      <w:tr w:rsidR="003B2C06" w:rsidRPr="00446D44" w14:paraId="1672233F" w14:textId="77777777" w:rsidTr="003B2C06">
        <w:trPr>
          <w:trHeight w:val="340"/>
          <w:tblHeader/>
        </w:trPr>
        <w:tc>
          <w:tcPr>
            <w:tcW w:w="1560" w:type="dxa"/>
          </w:tcPr>
          <w:p w14:paraId="3E7ABBE2" w14:textId="5B7E5181" w:rsidR="003B2C06" w:rsidRPr="003B2C06" w:rsidRDefault="003B2C06" w:rsidP="00730033">
            <w:pPr>
              <w:rPr>
                <w:b/>
                <w:bCs/>
              </w:rPr>
            </w:pPr>
            <w:r w:rsidRPr="003B2C06">
              <w:rPr>
                <w:b/>
                <w:bCs/>
              </w:rPr>
              <w:t>A</w:t>
            </w:r>
            <w:r w:rsidRPr="003B2C06">
              <w:rPr>
                <w:b/>
                <w:bCs/>
              </w:rPr>
              <w:t>cronyms</w:t>
            </w:r>
          </w:p>
        </w:tc>
        <w:tc>
          <w:tcPr>
            <w:tcW w:w="7466" w:type="dxa"/>
          </w:tcPr>
          <w:p w14:paraId="058690EA" w14:textId="3939486E" w:rsidR="003B2C06" w:rsidRPr="003B2C06" w:rsidRDefault="003B2C06" w:rsidP="00730033">
            <w:pPr>
              <w:rPr>
                <w:b/>
                <w:bCs/>
              </w:rPr>
            </w:pPr>
            <w:r w:rsidRPr="003B2C06">
              <w:rPr>
                <w:b/>
                <w:bCs/>
              </w:rPr>
              <w:t>Definition</w:t>
            </w:r>
          </w:p>
        </w:tc>
      </w:tr>
      <w:tr w:rsidR="00446D44" w:rsidRPr="00446D44" w14:paraId="0A1E2111" w14:textId="77777777" w:rsidTr="00730033">
        <w:trPr>
          <w:trHeight w:val="340"/>
        </w:trPr>
        <w:tc>
          <w:tcPr>
            <w:tcW w:w="1560" w:type="dxa"/>
          </w:tcPr>
          <w:p w14:paraId="6D9921B0" w14:textId="77777777" w:rsidR="00446D44" w:rsidRPr="00446D44" w:rsidRDefault="00446D44" w:rsidP="00730033">
            <w:r w:rsidRPr="00446D44">
              <w:t>ADB</w:t>
            </w:r>
          </w:p>
        </w:tc>
        <w:tc>
          <w:tcPr>
            <w:tcW w:w="7466" w:type="dxa"/>
          </w:tcPr>
          <w:p w14:paraId="26AE5C78" w14:textId="77777777" w:rsidR="00446D44" w:rsidRPr="00446D44" w:rsidRDefault="00446D44" w:rsidP="00730033">
            <w:r w:rsidRPr="00446D44">
              <w:t>Asian Development Bank</w:t>
            </w:r>
          </w:p>
        </w:tc>
      </w:tr>
      <w:tr w:rsidR="00446D44" w:rsidRPr="00446D44" w14:paraId="3D98E32C" w14:textId="77777777" w:rsidTr="00730033">
        <w:trPr>
          <w:trHeight w:val="340"/>
        </w:trPr>
        <w:tc>
          <w:tcPr>
            <w:tcW w:w="1560" w:type="dxa"/>
          </w:tcPr>
          <w:p w14:paraId="40E748DD" w14:textId="77777777" w:rsidR="00446D44" w:rsidRPr="00446D44" w:rsidRDefault="00446D44" w:rsidP="00730033">
            <w:r w:rsidRPr="00446D44">
              <w:t>AUD</w:t>
            </w:r>
          </w:p>
        </w:tc>
        <w:tc>
          <w:tcPr>
            <w:tcW w:w="7466" w:type="dxa"/>
          </w:tcPr>
          <w:p w14:paraId="03E32F44" w14:textId="657ED4EB" w:rsidR="00446D44" w:rsidRPr="00446D44" w:rsidRDefault="00446D44" w:rsidP="00730033">
            <w:r w:rsidRPr="00446D44">
              <w:t xml:space="preserve">Australian </w:t>
            </w:r>
            <w:r w:rsidR="00006E3D">
              <w:t>d</w:t>
            </w:r>
            <w:r w:rsidRPr="00446D44">
              <w:t>ollars</w:t>
            </w:r>
          </w:p>
        </w:tc>
      </w:tr>
      <w:tr w:rsidR="00446D44" w:rsidRPr="00446D44" w14:paraId="7D98595B" w14:textId="77777777" w:rsidTr="00730033">
        <w:trPr>
          <w:trHeight w:val="340"/>
        </w:trPr>
        <w:tc>
          <w:tcPr>
            <w:tcW w:w="1560" w:type="dxa"/>
          </w:tcPr>
          <w:p w14:paraId="2D4FF3EA" w14:textId="77777777" w:rsidR="00446D44" w:rsidRPr="00446D44" w:rsidRDefault="00446D44" w:rsidP="00730033">
            <w:r w:rsidRPr="00446D44">
              <w:t>BCA</w:t>
            </w:r>
          </w:p>
        </w:tc>
        <w:tc>
          <w:tcPr>
            <w:tcW w:w="7466" w:type="dxa"/>
          </w:tcPr>
          <w:p w14:paraId="6F4D252E" w14:textId="77777777" w:rsidR="00446D44" w:rsidRPr="00446D44" w:rsidRDefault="00446D44" w:rsidP="00730033">
            <w:r w:rsidRPr="00446D44">
              <w:t>Benefit-Cost Analysis</w:t>
            </w:r>
          </w:p>
        </w:tc>
      </w:tr>
      <w:tr w:rsidR="00446D44" w:rsidRPr="00446D44" w14:paraId="1B236C43" w14:textId="77777777" w:rsidTr="00730033">
        <w:trPr>
          <w:trHeight w:val="340"/>
        </w:trPr>
        <w:tc>
          <w:tcPr>
            <w:tcW w:w="1560" w:type="dxa"/>
          </w:tcPr>
          <w:p w14:paraId="58A8FDCE" w14:textId="77777777" w:rsidR="00446D44" w:rsidRPr="00446D44" w:rsidRDefault="00446D44" w:rsidP="00730033">
            <w:r w:rsidRPr="00446D44">
              <w:t>BMA</w:t>
            </w:r>
          </w:p>
        </w:tc>
        <w:tc>
          <w:tcPr>
            <w:tcW w:w="7466" w:type="dxa"/>
          </w:tcPr>
          <w:p w14:paraId="661DAA84" w14:textId="77777777" w:rsidR="00446D44" w:rsidRPr="00446D44" w:rsidRDefault="00446D44" w:rsidP="00730033">
            <w:r w:rsidRPr="00446D44">
              <w:t>Bangkok Metropolitan Administration</w:t>
            </w:r>
          </w:p>
        </w:tc>
      </w:tr>
      <w:tr w:rsidR="00446D44" w:rsidRPr="00446D44" w14:paraId="3CD52D7A" w14:textId="77777777" w:rsidTr="00730033">
        <w:trPr>
          <w:trHeight w:val="340"/>
        </w:trPr>
        <w:tc>
          <w:tcPr>
            <w:tcW w:w="1560" w:type="dxa"/>
          </w:tcPr>
          <w:p w14:paraId="38FD05CE" w14:textId="77777777" w:rsidR="00446D44" w:rsidRPr="00446D44" w:rsidRDefault="00446D44" w:rsidP="00730033">
            <w:r w:rsidRPr="00446D44">
              <w:t>CSOs</w:t>
            </w:r>
          </w:p>
        </w:tc>
        <w:tc>
          <w:tcPr>
            <w:tcW w:w="7466" w:type="dxa"/>
          </w:tcPr>
          <w:p w14:paraId="5DD483E7" w14:textId="77777777" w:rsidR="00446D44" w:rsidRPr="00446D44" w:rsidRDefault="00446D44" w:rsidP="00730033">
            <w:r w:rsidRPr="00446D44">
              <w:t xml:space="preserve">civil society organisations </w:t>
            </w:r>
          </w:p>
        </w:tc>
      </w:tr>
      <w:tr w:rsidR="00446D44" w:rsidRPr="00446D44" w14:paraId="03FC8887" w14:textId="77777777" w:rsidTr="00730033">
        <w:trPr>
          <w:trHeight w:val="340"/>
        </w:trPr>
        <w:tc>
          <w:tcPr>
            <w:tcW w:w="1560" w:type="dxa"/>
          </w:tcPr>
          <w:p w14:paraId="593E8520" w14:textId="77777777" w:rsidR="00446D44" w:rsidRPr="00446D44" w:rsidRDefault="00446D44" w:rsidP="00730033">
            <w:r w:rsidRPr="00446D44">
              <w:t>DAC</w:t>
            </w:r>
          </w:p>
        </w:tc>
        <w:tc>
          <w:tcPr>
            <w:tcW w:w="7466" w:type="dxa"/>
          </w:tcPr>
          <w:p w14:paraId="4E85F45E" w14:textId="77777777" w:rsidR="00446D44" w:rsidRPr="00446D44" w:rsidRDefault="00446D44" w:rsidP="00730033">
            <w:r w:rsidRPr="00446D44">
              <w:t>Development Assistance Committee</w:t>
            </w:r>
          </w:p>
        </w:tc>
      </w:tr>
      <w:tr w:rsidR="00446D44" w:rsidRPr="00446D44" w14:paraId="1AA4D885" w14:textId="77777777" w:rsidTr="00730033">
        <w:trPr>
          <w:trHeight w:val="340"/>
        </w:trPr>
        <w:tc>
          <w:tcPr>
            <w:tcW w:w="1560" w:type="dxa"/>
          </w:tcPr>
          <w:p w14:paraId="0A0E565F" w14:textId="77777777" w:rsidR="00446D44" w:rsidRPr="00446D44" w:rsidRDefault="00446D44" w:rsidP="00730033">
            <w:r w:rsidRPr="00446D44">
              <w:t>DCCE</w:t>
            </w:r>
          </w:p>
        </w:tc>
        <w:tc>
          <w:tcPr>
            <w:tcW w:w="7466" w:type="dxa"/>
          </w:tcPr>
          <w:p w14:paraId="63143E3F" w14:textId="77777777" w:rsidR="00446D44" w:rsidRPr="00446D44" w:rsidRDefault="00446D44" w:rsidP="00730033">
            <w:r w:rsidRPr="00446D44">
              <w:t>Department of Climate Change and Environment</w:t>
            </w:r>
          </w:p>
        </w:tc>
      </w:tr>
      <w:tr w:rsidR="00446D44" w:rsidRPr="00446D44" w14:paraId="36C53452" w14:textId="77777777" w:rsidTr="00730033">
        <w:trPr>
          <w:trHeight w:val="340"/>
        </w:trPr>
        <w:tc>
          <w:tcPr>
            <w:tcW w:w="1560" w:type="dxa"/>
          </w:tcPr>
          <w:p w14:paraId="411333CB" w14:textId="77777777" w:rsidR="00446D44" w:rsidRPr="00446D44" w:rsidRDefault="00446D44" w:rsidP="00730033">
            <w:r w:rsidRPr="00446D44">
              <w:t>DFAT</w:t>
            </w:r>
          </w:p>
        </w:tc>
        <w:tc>
          <w:tcPr>
            <w:tcW w:w="7466" w:type="dxa"/>
          </w:tcPr>
          <w:p w14:paraId="18B6C58B" w14:textId="77777777" w:rsidR="00446D44" w:rsidRPr="00446D44" w:rsidRDefault="00446D44" w:rsidP="00730033">
            <w:r w:rsidRPr="00446D44">
              <w:t>Department of Foreign Affairs and Trade</w:t>
            </w:r>
          </w:p>
        </w:tc>
      </w:tr>
      <w:tr w:rsidR="00446D44" w:rsidRPr="00446D44" w14:paraId="0B4FC0F1" w14:textId="77777777" w:rsidTr="00730033">
        <w:trPr>
          <w:trHeight w:val="340"/>
        </w:trPr>
        <w:tc>
          <w:tcPr>
            <w:tcW w:w="1560" w:type="dxa"/>
          </w:tcPr>
          <w:p w14:paraId="0B3CF2AC" w14:textId="4DBB3B0C" w:rsidR="00446D44" w:rsidRPr="00446D44" w:rsidRDefault="00446D44" w:rsidP="00730033">
            <w:proofErr w:type="spellStart"/>
            <w:r w:rsidRPr="00446D44">
              <w:t>E</w:t>
            </w:r>
            <w:r w:rsidR="00006E3D">
              <w:t>b</w:t>
            </w:r>
            <w:r w:rsidRPr="00446D44">
              <w:t>A</w:t>
            </w:r>
            <w:proofErr w:type="spellEnd"/>
          </w:p>
        </w:tc>
        <w:tc>
          <w:tcPr>
            <w:tcW w:w="7466" w:type="dxa"/>
          </w:tcPr>
          <w:p w14:paraId="3C365460" w14:textId="22D528FB" w:rsidR="00446D44" w:rsidRPr="00446D44" w:rsidRDefault="00446D44" w:rsidP="00730033">
            <w:r w:rsidRPr="00446D44">
              <w:t xml:space="preserve">Ecosystem-based </w:t>
            </w:r>
            <w:r w:rsidR="00006E3D">
              <w:t>A</w:t>
            </w:r>
            <w:r w:rsidRPr="00446D44">
              <w:t>daptation</w:t>
            </w:r>
          </w:p>
        </w:tc>
      </w:tr>
      <w:tr w:rsidR="00446D44" w:rsidRPr="00446D44" w14:paraId="5204E7C8" w14:textId="77777777" w:rsidTr="00730033">
        <w:trPr>
          <w:trHeight w:val="340"/>
        </w:trPr>
        <w:tc>
          <w:tcPr>
            <w:tcW w:w="1560" w:type="dxa"/>
          </w:tcPr>
          <w:p w14:paraId="0DA99DC5" w14:textId="77777777" w:rsidR="00446D44" w:rsidRPr="00446D44" w:rsidRDefault="00446D44" w:rsidP="00730033">
            <w:r w:rsidRPr="00446D44">
              <w:t>EEC</w:t>
            </w:r>
          </w:p>
        </w:tc>
        <w:tc>
          <w:tcPr>
            <w:tcW w:w="7466" w:type="dxa"/>
          </w:tcPr>
          <w:p w14:paraId="3F16353B" w14:textId="77777777" w:rsidR="00446D44" w:rsidRPr="00446D44" w:rsidRDefault="00446D44" w:rsidP="00730033">
            <w:r w:rsidRPr="00446D44">
              <w:t>Eastern Economic Corridor</w:t>
            </w:r>
          </w:p>
        </w:tc>
      </w:tr>
      <w:tr w:rsidR="00446D44" w:rsidRPr="00446D44" w14:paraId="7782CA94" w14:textId="77777777" w:rsidTr="00730033">
        <w:trPr>
          <w:trHeight w:val="340"/>
        </w:trPr>
        <w:tc>
          <w:tcPr>
            <w:tcW w:w="1560" w:type="dxa"/>
          </w:tcPr>
          <w:p w14:paraId="213CCB36" w14:textId="77777777" w:rsidR="00446D44" w:rsidRPr="00446D44" w:rsidRDefault="00446D44" w:rsidP="00730033">
            <w:r w:rsidRPr="00446D44">
              <w:t>EOPO</w:t>
            </w:r>
          </w:p>
        </w:tc>
        <w:tc>
          <w:tcPr>
            <w:tcW w:w="7466" w:type="dxa"/>
          </w:tcPr>
          <w:p w14:paraId="344C8B25" w14:textId="77777777" w:rsidR="00446D44" w:rsidRPr="00446D44" w:rsidRDefault="00446D44" w:rsidP="00730033">
            <w:r w:rsidRPr="00446D44">
              <w:t>end-of-program outcomes</w:t>
            </w:r>
          </w:p>
        </w:tc>
      </w:tr>
      <w:tr w:rsidR="00446D44" w:rsidRPr="00446D44" w14:paraId="0A2F5B68" w14:textId="77777777" w:rsidTr="00730033">
        <w:trPr>
          <w:trHeight w:val="340"/>
        </w:trPr>
        <w:tc>
          <w:tcPr>
            <w:tcW w:w="1560" w:type="dxa"/>
          </w:tcPr>
          <w:p w14:paraId="6FA27C2F" w14:textId="77777777" w:rsidR="00446D44" w:rsidRPr="00446D44" w:rsidRDefault="00446D44" w:rsidP="00730033">
            <w:r w:rsidRPr="00446D44">
              <w:t>GEDSI</w:t>
            </w:r>
          </w:p>
        </w:tc>
        <w:tc>
          <w:tcPr>
            <w:tcW w:w="7466" w:type="dxa"/>
          </w:tcPr>
          <w:p w14:paraId="478310FB" w14:textId="77777777" w:rsidR="00446D44" w:rsidRPr="00446D44" w:rsidRDefault="00446D44" w:rsidP="00730033">
            <w:r w:rsidRPr="00446D44">
              <w:t>gender equality, disability and social inclusion</w:t>
            </w:r>
          </w:p>
        </w:tc>
      </w:tr>
      <w:tr w:rsidR="00446D44" w:rsidRPr="00446D44" w14:paraId="4B9D85DF" w14:textId="77777777" w:rsidTr="00730033">
        <w:trPr>
          <w:trHeight w:val="340"/>
        </w:trPr>
        <w:tc>
          <w:tcPr>
            <w:tcW w:w="1560" w:type="dxa"/>
          </w:tcPr>
          <w:p w14:paraId="55D25FAD" w14:textId="77777777" w:rsidR="00446D44" w:rsidRPr="00446D44" w:rsidRDefault="00446D44" w:rsidP="00730033">
            <w:r w:rsidRPr="00446D44">
              <w:t>GGGI</w:t>
            </w:r>
          </w:p>
        </w:tc>
        <w:tc>
          <w:tcPr>
            <w:tcW w:w="7466" w:type="dxa"/>
          </w:tcPr>
          <w:p w14:paraId="02AD40D9" w14:textId="77777777" w:rsidR="00446D44" w:rsidRPr="00446D44" w:rsidRDefault="00446D44" w:rsidP="00730033">
            <w:r w:rsidRPr="00446D44">
              <w:t>Global Green Growth Institute</w:t>
            </w:r>
          </w:p>
        </w:tc>
      </w:tr>
      <w:tr w:rsidR="00446D44" w:rsidRPr="00446D44" w14:paraId="0BC27A38" w14:textId="77777777" w:rsidTr="00730033">
        <w:trPr>
          <w:trHeight w:val="340"/>
        </w:trPr>
        <w:tc>
          <w:tcPr>
            <w:tcW w:w="1560" w:type="dxa"/>
          </w:tcPr>
          <w:p w14:paraId="752588F6" w14:textId="77777777" w:rsidR="00446D44" w:rsidRPr="00446D44" w:rsidRDefault="00446D44" w:rsidP="00730033">
            <w:r w:rsidRPr="00446D44">
              <w:t>GRET</w:t>
            </w:r>
          </w:p>
        </w:tc>
        <w:tc>
          <w:tcPr>
            <w:tcW w:w="7466" w:type="dxa"/>
          </w:tcPr>
          <w:p w14:paraId="3C044B1D" w14:textId="77777777" w:rsidR="00446D44" w:rsidRPr="00446D44" w:rsidRDefault="00446D44" w:rsidP="00730033">
            <w:r w:rsidRPr="00446D44">
              <w:t xml:space="preserve">Groupe de Recherche et </w:t>
            </w:r>
            <w:proofErr w:type="spellStart"/>
            <w:r w:rsidRPr="00446D44">
              <w:t>d'Échange</w:t>
            </w:r>
            <w:proofErr w:type="spellEnd"/>
            <w:r w:rsidRPr="00446D44">
              <w:t xml:space="preserve"> </w:t>
            </w:r>
            <w:proofErr w:type="spellStart"/>
            <w:r w:rsidRPr="00446D44">
              <w:t>Technologique</w:t>
            </w:r>
            <w:proofErr w:type="spellEnd"/>
          </w:p>
        </w:tc>
      </w:tr>
      <w:tr w:rsidR="00446D44" w:rsidRPr="00446D44" w14:paraId="70D96A66" w14:textId="77777777" w:rsidTr="00730033">
        <w:trPr>
          <w:trHeight w:val="340"/>
        </w:trPr>
        <w:tc>
          <w:tcPr>
            <w:tcW w:w="1560" w:type="dxa"/>
          </w:tcPr>
          <w:p w14:paraId="3ED77249" w14:textId="77777777" w:rsidR="00446D44" w:rsidRPr="00446D44" w:rsidRDefault="00446D44" w:rsidP="00730033">
            <w:r w:rsidRPr="00446D44">
              <w:t>HUCE</w:t>
            </w:r>
          </w:p>
        </w:tc>
        <w:tc>
          <w:tcPr>
            <w:tcW w:w="7466" w:type="dxa"/>
          </w:tcPr>
          <w:p w14:paraId="6A484058" w14:textId="77777777" w:rsidR="00446D44" w:rsidRPr="00446D44" w:rsidRDefault="00446D44" w:rsidP="00730033">
            <w:r w:rsidRPr="00446D44">
              <w:t>Hanoi University of Civil Engineering</w:t>
            </w:r>
          </w:p>
        </w:tc>
      </w:tr>
      <w:tr w:rsidR="00446D44" w:rsidRPr="00446D44" w14:paraId="70618CB7" w14:textId="77777777" w:rsidTr="00730033">
        <w:trPr>
          <w:trHeight w:val="340"/>
        </w:trPr>
        <w:tc>
          <w:tcPr>
            <w:tcW w:w="1560" w:type="dxa"/>
          </w:tcPr>
          <w:p w14:paraId="5FD3C39D" w14:textId="77777777" w:rsidR="00446D44" w:rsidRPr="00446D44" w:rsidRDefault="00446D44" w:rsidP="00730033">
            <w:r w:rsidRPr="00446D44">
              <w:t>ICEM</w:t>
            </w:r>
          </w:p>
        </w:tc>
        <w:tc>
          <w:tcPr>
            <w:tcW w:w="7466" w:type="dxa"/>
          </w:tcPr>
          <w:p w14:paraId="5A0441EA" w14:textId="77777777" w:rsidR="00446D44" w:rsidRPr="00446D44" w:rsidRDefault="00446D44" w:rsidP="00730033">
            <w:r w:rsidRPr="00446D44">
              <w:t>International Centre for Environmental Management</w:t>
            </w:r>
          </w:p>
        </w:tc>
      </w:tr>
      <w:tr w:rsidR="00446D44" w:rsidRPr="00446D44" w14:paraId="3474A7E4" w14:textId="77777777" w:rsidTr="00730033">
        <w:trPr>
          <w:trHeight w:val="340"/>
        </w:trPr>
        <w:tc>
          <w:tcPr>
            <w:tcW w:w="1560" w:type="dxa"/>
          </w:tcPr>
          <w:p w14:paraId="69603918" w14:textId="77777777" w:rsidR="00446D44" w:rsidRPr="00446D44" w:rsidRDefault="00446D44" w:rsidP="00730033">
            <w:r w:rsidRPr="00446D44">
              <w:t>ICFMS</w:t>
            </w:r>
          </w:p>
        </w:tc>
        <w:tc>
          <w:tcPr>
            <w:tcW w:w="7466" w:type="dxa"/>
          </w:tcPr>
          <w:p w14:paraId="2B7B4E39" w14:textId="77777777" w:rsidR="00446D44" w:rsidRPr="00446D44" w:rsidRDefault="00446D44" w:rsidP="00730033">
            <w:r w:rsidRPr="00446D44">
              <w:rPr>
                <w:color w:val="000000"/>
              </w:rPr>
              <w:t>Integrated Climate Resilient Flood Management Strategy </w:t>
            </w:r>
          </w:p>
        </w:tc>
      </w:tr>
      <w:tr w:rsidR="00446D44" w:rsidRPr="00446D44" w14:paraId="2A5C3DD9" w14:textId="77777777" w:rsidTr="00730033">
        <w:trPr>
          <w:trHeight w:val="340"/>
        </w:trPr>
        <w:tc>
          <w:tcPr>
            <w:tcW w:w="1560" w:type="dxa"/>
          </w:tcPr>
          <w:p w14:paraId="7A599EBB" w14:textId="77777777" w:rsidR="00446D44" w:rsidRPr="00446D44" w:rsidRDefault="00446D44" w:rsidP="00730033">
            <w:r w:rsidRPr="00446D44">
              <w:t>IO</w:t>
            </w:r>
          </w:p>
        </w:tc>
        <w:tc>
          <w:tcPr>
            <w:tcW w:w="7466" w:type="dxa"/>
          </w:tcPr>
          <w:p w14:paraId="5B2B6205" w14:textId="77777777" w:rsidR="00446D44" w:rsidRPr="00446D44" w:rsidRDefault="00446D44" w:rsidP="00730033">
            <w:r w:rsidRPr="00446D44">
              <w:t>intermediate outcomes</w:t>
            </w:r>
          </w:p>
        </w:tc>
      </w:tr>
      <w:tr w:rsidR="00446D44" w:rsidRPr="00446D44" w14:paraId="66581975" w14:textId="77777777" w:rsidTr="00730033">
        <w:trPr>
          <w:trHeight w:val="340"/>
        </w:trPr>
        <w:tc>
          <w:tcPr>
            <w:tcW w:w="1560" w:type="dxa"/>
          </w:tcPr>
          <w:p w14:paraId="2FBD741E" w14:textId="77777777" w:rsidR="00446D44" w:rsidRPr="00446D44" w:rsidRDefault="00446D44" w:rsidP="00730033">
            <w:r w:rsidRPr="00446D44">
              <w:t>IUFM</w:t>
            </w:r>
          </w:p>
        </w:tc>
        <w:tc>
          <w:tcPr>
            <w:tcW w:w="7466" w:type="dxa"/>
          </w:tcPr>
          <w:p w14:paraId="121C64EA" w14:textId="29903BC0" w:rsidR="00446D44" w:rsidRPr="00446D44" w:rsidRDefault="00006E3D" w:rsidP="00730033">
            <w:pPr>
              <w:rPr>
                <w:color w:val="000000"/>
              </w:rPr>
            </w:pPr>
            <w:r>
              <w:t>i</w:t>
            </w:r>
            <w:r w:rsidR="00446D44" w:rsidRPr="00446D44">
              <w:t xml:space="preserve">ntegrated </w:t>
            </w:r>
            <w:r>
              <w:t>u</w:t>
            </w:r>
            <w:r w:rsidR="00446D44" w:rsidRPr="00446D44">
              <w:t xml:space="preserve">rban </w:t>
            </w:r>
            <w:r>
              <w:t>f</w:t>
            </w:r>
            <w:r w:rsidR="00446D44" w:rsidRPr="00446D44">
              <w:t xml:space="preserve">lood </w:t>
            </w:r>
            <w:r>
              <w:t>m</w:t>
            </w:r>
            <w:r w:rsidR="00446D44" w:rsidRPr="00446D44">
              <w:t>anagement</w:t>
            </w:r>
          </w:p>
        </w:tc>
      </w:tr>
      <w:tr w:rsidR="00446D44" w:rsidRPr="00446D44" w14:paraId="521AA8A8" w14:textId="77777777" w:rsidTr="00730033">
        <w:trPr>
          <w:trHeight w:val="340"/>
        </w:trPr>
        <w:tc>
          <w:tcPr>
            <w:tcW w:w="1560" w:type="dxa"/>
          </w:tcPr>
          <w:p w14:paraId="5CD57D09" w14:textId="77777777" w:rsidR="00446D44" w:rsidRPr="00446D44" w:rsidRDefault="00446D44" w:rsidP="00730033">
            <w:r w:rsidRPr="00446D44">
              <w:t>KEQ</w:t>
            </w:r>
          </w:p>
        </w:tc>
        <w:tc>
          <w:tcPr>
            <w:tcW w:w="7466" w:type="dxa"/>
          </w:tcPr>
          <w:p w14:paraId="052AB2D1" w14:textId="239FFB4A" w:rsidR="00446D44" w:rsidRPr="00446D44" w:rsidRDefault="00006E3D" w:rsidP="00730033">
            <w:r>
              <w:t>k</w:t>
            </w:r>
            <w:r w:rsidR="00446D44" w:rsidRPr="00446D44">
              <w:t xml:space="preserve">ey </w:t>
            </w:r>
            <w:r>
              <w:t>e</w:t>
            </w:r>
            <w:r w:rsidR="00446D44" w:rsidRPr="00446D44">
              <w:t xml:space="preserve">valuation </w:t>
            </w:r>
            <w:r>
              <w:t>q</w:t>
            </w:r>
            <w:r w:rsidR="00446D44" w:rsidRPr="00446D44">
              <w:t>uestion</w:t>
            </w:r>
          </w:p>
        </w:tc>
      </w:tr>
      <w:tr w:rsidR="00446D44" w:rsidRPr="00446D44" w14:paraId="06CBEE5E" w14:textId="77777777" w:rsidTr="00730033">
        <w:trPr>
          <w:trHeight w:val="340"/>
        </w:trPr>
        <w:tc>
          <w:tcPr>
            <w:tcW w:w="1560" w:type="dxa"/>
          </w:tcPr>
          <w:p w14:paraId="63C51FBA" w14:textId="77777777" w:rsidR="00446D44" w:rsidRPr="00446D44" w:rsidRDefault="00446D44" w:rsidP="00730033">
            <w:r w:rsidRPr="00446D44">
              <w:t>KII</w:t>
            </w:r>
          </w:p>
        </w:tc>
        <w:tc>
          <w:tcPr>
            <w:tcW w:w="7466" w:type="dxa"/>
          </w:tcPr>
          <w:p w14:paraId="1C5F1596" w14:textId="77777777" w:rsidR="00446D44" w:rsidRPr="00446D44" w:rsidRDefault="00446D44" w:rsidP="00730033">
            <w:r w:rsidRPr="00446D44">
              <w:t>key informant interview</w:t>
            </w:r>
          </w:p>
        </w:tc>
      </w:tr>
      <w:tr w:rsidR="00446D44" w:rsidRPr="00446D44" w14:paraId="4E294B67" w14:textId="77777777" w:rsidTr="00730033">
        <w:trPr>
          <w:trHeight w:val="340"/>
        </w:trPr>
        <w:tc>
          <w:tcPr>
            <w:tcW w:w="1560" w:type="dxa"/>
          </w:tcPr>
          <w:p w14:paraId="58843B94" w14:textId="77777777" w:rsidR="00446D44" w:rsidRPr="00446D44" w:rsidRDefault="00446D44" w:rsidP="00730033">
            <w:r w:rsidRPr="00446D44">
              <w:t>Lao PDR</w:t>
            </w:r>
          </w:p>
        </w:tc>
        <w:tc>
          <w:tcPr>
            <w:tcW w:w="7466" w:type="dxa"/>
          </w:tcPr>
          <w:p w14:paraId="63EE75C7" w14:textId="77777777" w:rsidR="00446D44" w:rsidRPr="00446D44" w:rsidRDefault="00446D44" w:rsidP="00730033">
            <w:r w:rsidRPr="00446D44">
              <w:t>People’s Democratic Republic of Lao</w:t>
            </w:r>
          </w:p>
        </w:tc>
      </w:tr>
      <w:tr w:rsidR="00446D44" w:rsidRPr="00446D44" w14:paraId="09ED4EF8" w14:textId="77777777" w:rsidTr="00730033">
        <w:trPr>
          <w:trHeight w:val="340"/>
        </w:trPr>
        <w:tc>
          <w:tcPr>
            <w:tcW w:w="1560" w:type="dxa"/>
          </w:tcPr>
          <w:p w14:paraId="5C2EB687" w14:textId="77777777" w:rsidR="00446D44" w:rsidRPr="00446D44" w:rsidRDefault="00446D44" w:rsidP="00730033">
            <w:r w:rsidRPr="00446D44">
              <w:t>MAE</w:t>
            </w:r>
          </w:p>
        </w:tc>
        <w:tc>
          <w:tcPr>
            <w:tcW w:w="7466" w:type="dxa"/>
          </w:tcPr>
          <w:p w14:paraId="071D4BB0" w14:textId="77777777" w:rsidR="00446D44" w:rsidRPr="00446D44" w:rsidRDefault="00446D44" w:rsidP="00730033">
            <w:r w:rsidRPr="00446D44">
              <w:t>Ministry of Agriculture and Environment</w:t>
            </w:r>
          </w:p>
        </w:tc>
      </w:tr>
      <w:tr w:rsidR="00446D44" w:rsidRPr="00446D44" w14:paraId="3DDA3E6B" w14:textId="77777777" w:rsidTr="00730033">
        <w:trPr>
          <w:trHeight w:val="340"/>
        </w:trPr>
        <w:tc>
          <w:tcPr>
            <w:tcW w:w="1560" w:type="dxa"/>
          </w:tcPr>
          <w:p w14:paraId="6FFB4420" w14:textId="77777777" w:rsidR="00446D44" w:rsidRPr="00446D44" w:rsidRDefault="00446D44" w:rsidP="00730033">
            <w:r w:rsidRPr="00446D44">
              <w:t>MAP</w:t>
            </w:r>
          </w:p>
        </w:tc>
        <w:tc>
          <w:tcPr>
            <w:tcW w:w="7466" w:type="dxa"/>
          </w:tcPr>
          <w:p w14:paraId="15717D22" w14:textId="77777777" w:rsidR="00446D44" w:rsidRPr="00446D44" w:rsidRDefault="00446D44" w:rsidP="00730033">
            <w:r w:rsidRPr="00446D44">
              <w:t>Mekong-Australia Partnership</w:t>
            </w:r>
          </w:p>
        </w:tc>
      </w:tr>
      <w:tr w:rsidR="00446D44" w:rsidRPr="00446D44" w14:paraId="2599FDC6" w14:textId="77777777" w:rsidTr="00730033">
        <w:trPr>
          <w:trHeight w:val="340"/>
        </w:trPr>
        <w:tc>
          <w:tcPr>
            <w:tcW w:w="1560" w:type="dxa"/>
          </w:tcPr>
          <w:p w14:paraId="78996A21" w14:textId="77777777" w:rsidR="00446D44" w:rsidRPr="00446D44" w:rsidRDefault="00446D44" w:rsidP="00730033">
            <w:r w:rsidRPr="00446D44">
              <w:t>MEL</w:t>
            </w:r>
          </w:p>
        </w:tc>
        <w:tc>
          <w:tcPr>
            <w:tcW w:w="7466" w:type="dxa"/>
          </w:tcPr>
          <w:p w14:paraId="30897D55" w14:textId="7FA14205" w:rsidR="00446D44" w:rsidRPr="00446D44" w:rsidRDefault="00006E3D" w:rsidP="00730033">
            <w:r>
              <w:t>m</w:t>
            </w:r>
            <w:r w:rsidR="00446D44" w:rsidRPr="00446D44">
              <w:t xml:space="preserve">onitoring, </w:t>
            </w:r>
            <w:r>
              <w:t>e</w:t>
            </w:r>
            <w:r w:rsidR="00446D44" w:rsidRPr="00446D44">
              <w:t xml:space="preserve">valuation and </w:t>
            </w:r>
            <w:r>
              <w:t>l</w:t>
            </w:r>
            <w:r w:rsidR="00446D44" w:rsidRPr="00446D44">
              <w:t>earning</w:t>
            </w:r>
          </w:p>
        </w:tc>
      </w:tr>
      <w:tr w:rsidR="00446D44" w:rsidRPr="00446D44" w14:paraId="70DED4EB" w14:textId="77777777" w:rsidTr="00730033">
        <w:trPr>
          <w:trHeight w:val="340"/>
        </w:trPr>
        <w:tc>
          <w:tcPr>
            <w:tcW w:w="1560" w:type="dxa"/>
          </w:tcPr>
          <w:p w14:paraId="1FA94AE1" w14:textId="77777777" w:rsidR="00446D44" w:rsidRPr="00446D44" w:rsidRDefault="00446D44" w:rsidP="00730033">
            <w:r w:rsidRPr="00446D44">
              <w:t>MLMUPC</w:t>
            </w:r>
          </w:p>
        </w:tc>
        <w:tc>
          <w:tcPr>
            <w:tcW w:w="7466" w:type="dxa"/>
          </w:tcPr>
          <w:p w14:paraId="3CAA6B30" w14:textId="77777777" w:rsidR="00446D44" w:rsidRPr="00446D44" w:rsidRDefault="00446D44" w:rsidP="00730033">
            <w:r w:rsidRPr="00446D44">
              <w:t>Ministry of Land Management, Urban Planning and Construction</w:t>
            </w:r>
          </w:p>
        </w:tc>
      </w:tr>
      <w:tr w:rsidR="00446D44" w:rsidRPr="00446D44" w14:paraId="7221DD11" w14:textId="77777777" w:rsidTr="00730033">
        <w:trPr>
          <w:trHeight w:val="340"/>
        </w:trPr>
        <w:tc>
          <w:tcPr>
            <w:tcW w:w="1560" w:type="dxa"/>
          </w:tcPr>
          <w:p w14:paraId="2F9B3C53" w14:textId="77777777" w:rsidR="00446D44" w:rsidRPr="00446D44" w:rsidRDefault="00446D44" w:rsidP="00730033">
            <w:r w:rsidRPr="00446D44">
              <w:t>MoU</w:t>
            </w:r>
          </w:p>
        </w:tc>
        <w:tc>
          <w:tcPr>
            <w:tcW w:w="7466" w:type="dxa"/>
          </w:tcPr>
          <w:p w14:paraId="716606DA" w14:textId="778D6A0B" w:rsidR="00446D44" w:rsidRPr="00446D44" w:rsidRDefault="00006E3D" w:rsidP="00730033">
            <w:r>
              <w:t>m</w:t>
            </w:r>
            <w:r w:rsidR="00446D44" w:rsidRPr="00446D44">
              <w:t xml:space="preserve">emorandum of </w:t>
            </w:r>
            <w:r>
              <w:t>u</w:t>
            </w:r>
            <w:r w:rsidR="00446D44" w:rsidRPr="00446D44">
              <w:t>nderstanding</w:t>
            </w:r>
          </w:p>
        </w:tc>
      </w:tr>
      <w:tr w:rsidR="00446D44" w:rsidRPr="00446D44" w14:paraId="1B5E6467" w14:textId="77777777" w:rsidTr="00730033">
        <w:trPr>
          <w:trHeight w:val="340"/>
        </w:trPr>
        <w:tc>
          <w:tcPr>
            <w:tcW w:w="1560" w:type="dxa"/>
          </w:tcPr>
          <w:p w14:paraId="182AC964" w14:textId="77777777" w:rsidR="00446D44" w:rsidRPr="00446D44" w:rsidRDefault="00446D44" w:rsidP="00730033">
            <w:r w:rsidRPr="00446D44">
              <w:t>NAP</w:t>
            </w:r>
          </w:p>
        </w:tc>
        <w:tc>
          <w:tcPr>
            <w:tcW w:w="7466" w:type="dxa"/>
          </w:tcPr>
          <w:p w14:paraId="3C7CD0AD" w14:textId="77777777" w:rsidR="00446D44" w:rsidRPr="00446D44" w:rsidRDefault="00446D44" w:rsidP="00730033">
            <w:r w:rsidRPr="00446D44">
              <w:rPr>
                <w:color w:val="000000"/>
              </w:rPr>
              <w:t>National Action Plan</w:t>
            </w:r>
          </w:p>
        </w:tc>
      </w:tr>
      <w:tr w:rsidR="00446D44" w:rsidRPr="00446D44" w14:paraId="215BC225" w14:textId="77777777" w:rsidTr="00730033">
        <w:trPr>
          <w:trHeight w:val="340"/>
        </w:trPr>
        <w:tc>
          <w:tcPr>
            <w:tcW w:w="1560" w:type="dxa"/>
          </w:tcPr>
          <w:p w14:paraId="0F3E77F2" w14:textId="77777777" w:rsidR="00446D44" w:rsidRPr="00446D44" w:rsidRDefault="00446D44" w:rsidP="00730033">
            <w:r w:rsidRPr="00446D44">
              <w:t>NbS</w:t>
            </w:r>
          </w:p>
        </w:tc>
        <w:tc>
          <w:tcPr>
            <w:tcW w:w="7466" w:type="dxa"/>
          </w:tcPr>
          <w:p w14:paraId="6A8C3F0D" w14:textId="78CD8D67" w:rsidR="00446D44" w:rsidRPr="00446D44" w:rsidRDefault="00006E3D" w:rsidP="00730033">
            <w:r>
              <w:t>N</w:t>
            </w:r>
            <w:r w:rsidR="00446D44" w:rsidRPr="00446D44">
              <w:t xml:space="preserve">ature-based </w:t>
            </w:r>
            <w:r>
              <w:t>S</w:t>
            </w:r>
            <w:r w:rsidR="00446D44" w:rsidRPr="00446D44">
              <w:t>olutions</w:t>
            </w:r>
          </w:p>
        </w:tc>
      </w:tr>
      <w:tr w:rsidR="00446D44" w:rsidRPr="00446D44" w14:paraId="43BDDBB3" w14:textId="77777777" w:rsidTr="00730033">
        <w:trPr>
          <w:trHeight w:val="340"/>
        </w:trPr>
        <w:tc>
          <w:tcPr>
            <w:tcW w:w="1560" w:type="dxa"/>
          </w:tcPr>
          <w:p w14:paraId="5833D8E9" w14:textId="77777777" w:rsidR="00446D44" w:rsidRPr="00446D44" w:rsidRDefault="00446D44" w:rsidP="00730033">
            <w:r w:rsidRPr="00446D44">
              <w:t>NUOL</w:t>
            </w:r>
          </w:p>
        </w:tc>
        <w:tc>
          <w:tcPr>
            <w:tcW w:w="7466" w:type="dxa"/>
          </w:tcPr>
          <w:p w14:paraId="581549D2" w14:textId="1E98133D" w:rsidR="00446D44" w:rsidRPr="00446D44" w:rsidRDefault="00446D44" w:rsidP="00730033">
            <w:r w:rsidRPr="00446D44">
              <w:t>National University of Lao</w:t>
            </w:r>
            <w:r w:rsidR="00006E3D">
              <w:t>s</w:t>
            </w:r>
          </w:p>
        </w:tc>
      </w:tr>
      <w:tr w:rsidR="00446D44" w:rsidRPr="00446D44" w14:paraId="1E56539E" w14:textId="77777777" w:rsidTr="00730033">
        <w:trPr>
          <w:trHeight w:val="340"/>
        </w:trPr>
        <w:tc>
          <w:tcPr>
            <w:tcW w:w="1560" w:type="dxa"/>
          </w:tcPr>
          <w:p w14:paraId="65A236C5" w14:textId="77777777" w:rsidR="00446D44" w:rsidRPr="00446D44" w:rsidRDefault="00446D44" w:rsidP="00730033">
            <w:r w:rsidRPr="00446D44">
              <w:t>OECD</w:t>
            </w:r>
          </w:p>
        </w:tc>
        <w:tc>
          <w:tcPr>
            <w:tcW w:w="7466" w:type="dxa"/>
          </w:tcPr>
          <w:p w14:paraId="1B1C0E1E" w14:textId="77777777" w:rsidR="00446D44" w:rsidRPr="00446D44" w:rsidRDefault="00446D44" w:rsidP="00730033">
            <w:r w:rsidRPr="00446D44">
              <w:t>Organisation for Economic Co-operation and Development</w:t>
            </w:r>
          </w:p>
        </w:tc>
      </w:tr>
      <w:tr w:rsidR="00446D44" w:rsidRPr="00446D44" w14:paraId="6C3EA3F6" w14:textId="77777777" w:rsidTr="00730033">
        <w:trPr>
          <w:trHeight w:val="340"/>
        </w:trPr>
        <w:tc>
          <w:tcPr>
            <w:tcW w:w="1560" w:type="dxa"/>
          </w:tcPr>
          <w:p w14:paraId="70D28925" w14:textId="77777777" w:rsidR="00446D44" w:rsidRPr="00446D44" w:rsidRDefault="00446D44" w:rsidP="00730033">
            <w:r w:rsidRPr="00446D44">
              <w:t>PWDs</w:t>
            </w:r>
          </w:p>
        </w:tc>
        <w:tc>
          <w:tcPr>
            <w:tcW w:w="7466" w:type="dxa"/>
          </w:tcPr>
          <w:p w14:paraId="57E44BD9" w14:textId="77777777" w:rsidR="00446D44" w:rsidRPr="00446D44" w:rsidRDefault="00446D44" w:rsidP="00730033">
            <w:r w:rsidRPr="00446D44">
              <w:t>people with disabilities</w:t>
            </w:r>
          </w:p>
        </w:tc>
      </w:tr>
      <w:tr w:rsidR="00446D44" w:rsidRPr="00446D44" w14:paraId="7868C0BB" w14:textId="77777777" w:rsidTr="00730033">
        <w:trPr>
          <w:trHeight w:val="340"/>
        </w:trPr>
        <w:tc>
          <w:tcPr>
            <w:tcW w:w="1560" w:type="dxa"/>
          </w:tcPr>
          <w:p w14:paraId="3A25164B" w14:textId="77777777" w:rsidR="00446D44" w:rsidRPr="00446D44" w:rsidRDefault="00446D44" w:rsidP="00730033">
            <w:r w:rsidRPr="00446D44">
              <w:t>RUCaS</w:t>
            </w:r>
          </w:p>
        </w:tc>
        <w:tc>
          <w:tcPr>
            <w:tcW w:w="7466" w:type="dxa"/>
          </w:tcPr>
          <w:p w14:paraId="3BD513E3" w14:textId="77777777" w:rsidR="00446D44" w:rsidRPr="00446D44" w:rsidRDefault="00446D44" w:rsidP="00730033">
            <w:r w:rsidRPr="00446D44">
              <w:t>Resilient Urban Centres and Surrounds</w:t>
            </w:r>
          </w:p>
        </w:tc>
      </w:tr>
      <w:tr w:rsidR="00446D44" w:rsidRPr="00446D44" w14:paraId="087BC9A1" w14:textId="77777777" w:rsidTr="00730033">
        <w:trPr>
          <w:trHeight w:val="340"/>
        </w:trPr>
        <w:tc>
          <w:tcPr>
            <w:tcW w:w="1560" w:type="dxa"/>
          </w:tcPr>
          <w:p w14:paraId="65B6BAE5" w14:textId="77777777" w:rsidR="00446D44" w:rsidRPr="00446D44" w:rsidRDefault="00446D44" w:rsidP="00730033">
            <w:r w:rsidRPr="00446D44">
              <w:t>RUPP</w:t>
            </w:r>
          </w:p>
        </w:tc>
        <w:tc>
          <w:tcPr>
            <w:tcW w:w="7466" w:type="dxa"/>
          </w:tcPr>
          <w:p w14:paraId="2E2CD1DD" w14:textId="77777777" w:rsidR="00446D44" w:rsidRPr="00446D44" w:rsidRDefault="00446D44" w:rsidP="00730033">
            <w:r w:rsidRPr="00446D44">
              <w:t>Royal University of Phnom Penh</w:t>
            </w:r>
          </w:p>
        </w:tc>
      </w:tr>
      <w:tr w:rsidR="00446D44" w:rsidRPr="00446D44" w14:paraId="6A92BACF" w14:textId="77777777" w:rsidTr="00730033">
        <w:trPr>
          <w:trHeight w:val="340"/>
        </w:trPr>
        <w:tc>
          <w:tcPr>
            <w:tcW w:w="1560" w:type="dxa"/>
          </w:tcPr>
          <w:p w14:paraId="0FF2DDC3" w14:textId="77777777" w:rsidR="00446D44" w:rsidRPr="00446D44" w:rsidRDefault="00446D44" w:rsidP="00730033">
            <w:r w:rsidRPr="00446D44">
              <w:t>TAG</w:t>
            </w:r>
          </w:p>
        </w:tc>
        <w:tc>
          <w:tcPr>
            <w:tcW w:w="7466" w:type="dxa"/>
          </w:tcPr>
          <w:p w14:paraId="7332451F" w14:textId="77777777" w:rsidR="00446D44" w:rsidRPr="00446D44" w:rsidRDefault="00446D44" w:rsidP="00730033">
            <w:r w:rsidRPr="00446D44">
              <w:t>Technical Advisory Group</w:t>
            </w:r>
          </w:p>
        </w:tc>
      </w:tr>
      <w:tr w:rsidR="00446D44" w:rsidRPr="00446D44" w14:paraId="2F3D5994" w14:textId="77777777" w:rsidTr="00730033">
        <w:trPr>
          <w:trHeight w:val="340"/>
        </w:trPr>
        <w:tc>
          <w:tcPr>
            <w:tcW w:w="1560" w:type="dxa"/>
          </w:tcPr>
          <w:p w14:paraId="1A157D7B" w14:textId="77777777" w:rsidR="00446D44" w:rsidRPr="00446D44" w:rsidRDefault="00446D44" w:rsidP="00730033">
            <w:proofErr w:type="spellStart"/>
            <w:r w:rsidRPr="00446D44">
              <w:t>ToR</w:t>
            </w:r>
            <w:proofErr w:type="spellEnd"/>
          </w:p>
        </w:tc>
        <w:tc>
          <w:tcPr>
            <w:tcW w:w="7466" w:type="dxa"/>
          </w:tcPr>
          <w:p w14:paraId="457B88D6" w14:textId="77777777" w:rsidR="00446D44" w:rsidRPr="00446D44" w:rsidRDefault="00446D44" w:rsidP="00730033">
            <w:r w:rsidRPr="00446D44">
              <w:t>Terms of Reference</w:t>
            </w:r>
          </w:p>
        </w:tc>
      </w:tr>
      <w:tr w:rsidR="00446D44" w:rsidRPr="00446D44" w14:paraId="135455BC" w14:textId="77777777" w:rsidTr="00730033">
        <w:trPr>
          <w:trHeight w:val="340"/>
        </w:trPr>
        <w:tc>
          <w:tcPr>
            <w:tcW w:w="1560" w:type="dxa"/>
          </w:tcPr>
          <w:p w14:paraId="5FA24274" w14:textId="77777777" w:rsidR="00446D44" w:rsidRPr="00446D44" w:rsidRDefault="00446D44" w:rsidP="00730033">
            <w:r w:rsidRPr="00446D44">
              <w:t>UCLG ASPAC</w:t>
            </w:r>
          </w:p>
        </w:tc>
        <w:tc>
          <w:tcPr>
            <w:tcW w:w="7466" w:type="dxa"/>
          </w:tcPr>
          <w:p w14:paraId="6EDC451D" w14:textId="77777777" w:rsidR="00446D44" w:rsidRPr="00446D44" w:rsidRDefault="00446D44" w:rsidP="00730033">
            <w:r w:rsidRPr="00446D44">
              <w:t>United Cities and Local Governments Asia Pacific</w:t>
            </w:r>
          </w:p>
        </w:tc>
      </w:tr>
      <w:tr w:rsidR="00446D44" w:rsidRPr="00446D44" w14:paraId="3B9E4E27" w14:textId="77777777" w:rsidTr="00730033">
        <w:trPr>
          <w:trHeight w:val="340"/>
        </w:trPr>
        <w:tc>
          <w:tcPr>
            <w:tcW w:w="1560" w:type="dxa"/>
          </w:tcPr>
          <w:p w14:paraId="2569CBDD" w14:textId="77777777" w:rsidR="00446D44" w:rsidRPr="00446D44" w:rsidRDefault="00446D44" w:rsidP="00730033">
            <w:r w:rsidRPr="00446D44">
              <w:lastRenderedPageBreak/>
              <w:t>WSCA</w:t>
            </w:r>
          </w:p>
        </w:tc>
        <w:tc>
          <w:tcPr>
            <w:tcW w:w="7466" w:type="dxa"/>
          </w:tcPr>
          <w:p w14:paraId="66BEAA76" w14:textId="77777777" w:rsidR="00446D44" w:rsidRPr="00446D44" w:rsidRDefault="00446D44" w:rsidP="00730033">
            <w:r w:rsidRPr="00446D44">
              <w:t>Water Sensitive Cities Australia</w:t>
            </w:r>
          </w:p>
        </w:tc>
      </w:tr>
    </w:tbl>
    <w:p w14:paraId="785669A6" w14:textId="6044DB35" w:rsidR="00F7470A" w:rsidRPr="003D4B91" w:rsidRDefault="00F7470A" w:rsidP="00F7470A">
      <w:pPr>
        <w:pStyle w:val="Heading1"/>
      </w:pPr>
      <w:bookmarkStart w:id="104" w:name="_Toc225951844"/>
      <w:r w:rsidRPr="003D4B91">
        <w:t>Executive summary</w:t>
      </w:r>
      <w:bookmarkEnd w:id="104"/>
    </w:p>
    <w:p w14:paraId="16B45643" w14:textId="77777777" w:rsidR="009B3591" w:rsidRDefault="009B3591" w:rsidP="009B3591">
      <w:pPr>
        <w:rPr>
          <w:rFonts w:asciiTheme="majorHAnsi" w:eastAsiaTheme="majorEastAsia" w:hAnsiTheme="majorHAnsi" w:cstheme="majorBidi"/>
          <w:color w:val="124F1A" w:themeColor="accent3" w:themeShade="BF"/>
          <w:sz w:val="32"/>
          <w:szCs w:val="32"/>
        </w:rPr>
      </w:pPr>
      <w:r w:rsidRPr="009157D7">
        <w:rPr>
          <w:rFonts w:asciiTheme="majorHAnsi" w:eastAsiaTheme="majorEastAsia" w:hAnsiTheme="majorHAnsi" w:cstheme="majorBidi"/>
          <w:color w:val="124F1A" w:themeColor="accent3" w:themeShade="BF"/>
          <w:sz w:val="32"/>
          <w:szCs w:val="32"/>
        </w:rPr>
        <w:t>Introduction and Context</w:t>
      </w:r>
    </w:p>
    <w:p w14:paraId="1F5DF932" w14:textId="0E8F2807" w:rsidR="009B3591" w:rsidRPr="00177C1A" w:rsidRDefault="009B3591" w:rsidP="009B3591">
      <w:r w:rsidRPr="00177C1A">
        <w:t>This report presents the independent end-of-program evaluation of Phase 1 of the Resilient Urban Centres and Surrounds (RUCaS) program, a regional initiative funded by</w:t>
      </w:r>
      <w:r w:rsidR="00517C3C">
        <w:t xml:space="preserve"> the Australian Government’s Department of Foreign Affairs and Trade</w:t>
      </w:r>
      <w:r w:rsidRPr="00177C1A">
        <w:t xml:space="preserve"> </w:t>
      </w:r>
      <w:r w:rsidR="00517C3C">
        <w:t>(</w:t>
      </w:r>
      <w:r w:rsidRPr="00177C1A">
        <w:t>DFAT</w:t>
      </w:r>
      <w:r w:rsidR="00517C3C">
        <w:t>)</w:t>
      </w:r>
      <w:r w:rsidRPr="00177C1A">
        <w:t xml:space="preserve"> under the Mekong-Australia Partnership </w:t>
      </w:r>
      <w:r w:rsidR="00517C3C">
        <w:t xml:space="preserve">(MAP) </w:t>
      </w:r>
      <w:r w:rsidRPr="00177C1A">
        <w:t>and implemented by Water Sensitive Cities Australia (WSCA) in partnership with</w:t>
      </w:r>
      <w:r w:rsidR="00A16DC5">
        <w:t xml:space="preserve"> </w:t>
      </w:r>
      <w:r w:rsidR="00A16DC5" w:rsidRPr="003D4B91">
        <w:t>the International Centre for Environmental Management</w:t>
      </w:r>
      <w:r w:rsidRPr="00177C1A">
        <w:t xml:space="preserve"> </w:t>
      </w:r>
      <w:r w:rsidR="00A16DC5">
        <w:t>(</w:t>
      </w:r>
      <w:r w:rsidRPr="00177C1A">
        <w:t>ICEM</w:t>
      </w:r>
      <w:r w:rsidR="00A16DC5">
        <w:t>)</w:t>
      </w:r>
      <w:r w:rsidRPr="00177C1A">
        <w:t xml:space="preserve"> across Thailand, Cambodia, Lao PDR, and Viet Nam from 2022 to 2026.</w:t>
      </w:r>
    </w:p>
    <w:p w14:paraId="732DB71F" w14:textId="19E22DFD" w:rsidR="009B3591" w:rsidRDefault="009B3591" w:rsidP="009B3591">
      <w:r w:rsidRPr="00177C1A">
        <w:t>RUCaS was designed to address rapid urbanisation and increasing climate risks</w:t>
      </w:r>
      <w:r w:rsidR="00517C3C">
        <w:t xml:space="preserve"> such as </w:t>
      </w:r>
      <w:r w:rsidRPr="00177C1A">
        <w:t>flooding, heat, and pollution</w:t>
      </w:r>
      <w:r w:rsidR="00517C3C">
        <w:t xml:space="preserve">, </w:t>
      </w:r>
      <w:r w:rsidRPr="00177C1A">
        <w:t xml:space="preserve">where traditional grey infrastructure proved insufficient. The program promoted hybrid nature-based solutions (NbS), combining natural and conventional infrastructure to enhance urban climate resilience. Phase 1 focused on </w:t>
      </w:r>
      <w:r>
        <w:t>increasing the awareness, acceptability and capacity to implement NbS in the Mekong subregion.</w:t>
      </w:r>
    </w:p>
    <w:p w14:paraId="3BD716CD" w14:textId="7C0ABB16" w:rsidR="009B3591" w:rsidRPr="00177C1A" w:rsidRDefault="009B3591" w:rsidP="009B3591">
      <w:r w:rsidRPr="00177C1A">
        <w:t>Initially planned as a two-year initiative, RUCaS expanded to four years with AUD 7 million in funding, enabling broader activities but introducing design and implementation challenges. Th</w:t>
      </w:r>
      <w:r w:rsidR="00A16DC5">
        <w:t>is</w:t>
      </w:r>
      <w:r w:rsidRPr="00177C1A">
        <w:t xml:space="preserve"> evaluation assessed relevance, effectiveness, GEDSI, efficiency, and sustainability, and identified lessons and recommendations to inform potential future phases.</w:t>
      </w:r>
    </w:p>
    <w:p w14:paraId="459277BC" w14:textId="77777777" w:rsidR="009B3591" w:rsidRPr="007129D3" w:rsidRDefault="009B3591" w:rsidP="009B3591">
      <w:pPr>
        <w:rPr>
          <w:rFonts w:asciiTheme="majorHAnsi" w:eastAsiaTheme="majorEastAsia" w:hAnsiTheme="majorHAnsi" w:cstheme="majorBidi"/>
          <w:color w:val="124F1A" w:themeColor="accent3" w:themeShade="BF"/>
          <w:sz w:val="32"/>
          <w:szCs w:val="32"/>
        </w:rPr>
      </w:pPr>
      <w:r w:rsidRPr="007129D3">
        <w:rPr>
          <w:rFonts w:asciiTheme="majorHAnsi" w:eastAsiaTheme="majorEastAsia" w:hAnsiTheme="majorHAnsi" w:cstheme="majorBidi"/>
          <w:color w:val="124F1A" w:themeColor="accent3" w:themeShade="BF"/>
          <w:sz w:val="32"/>
          <w:szCs w:val="32"/>
        </w:rPr>
        <w:t>Method</w:t>
      </w:r>
    </w:p>
    <w:p w14:paraId="1F084928" w14:textId="42B83AD2" w:rsidR="009B3591" w:rsidRDefault="009B3591" w:rsidP="009B3591">
      <w:r w:rsidRPr="0006702D">
        <w:t>The evaluation combined primary and secondary data, reviewing key RUCaS documents and relevant literature alongside semi-structured key informant interviews (KIIs) conducted both virtually and in</w:t>
      </w:r>
      <w:r w:rsidR="00B82E98">
        <w:t>-</w:t>
      </w:r>
      <w:r w:rsidRPr="0006702D">
        <w:t xml:space="preserve">person. Fieldwork across Thailand, Lao PDR, Cambodia, and Viet Nam (3–14 November 2025) involved roughly 25 hours of in-person interviews with 50 stakeholders, plus 20 hours of virtual interviews with 21 stakeholders. Participants were 44% women and 56% men, including two people with disabilities. </w:t>
      </w:r>
    </w:p>
    <w:p w14:paraId="65E3EAD5" w14:textId="2E6F52B1" w:rsidR="001B00A5" w:rsidRDefault="001B00A5" w:rsidP="001B00A5">
      <w:r>
        <w:t xml:space="preserve">A key challenge to evaluating the RUCaS program were several issues with the program logic (as articulated in the </w:t>
      </w:r>
      <w:r w:rsidR="00D265AD">
        <w:t>Monitoring and Evaluation (</w:t>
      </w:r>
      <w:r>
        <w:t>MEL</w:t>
      </w:r>
      <w:r w:rsidR="00D265AD">
        <w:t>)</w:t>
      </w:r>
      <w:r>
        <w:t xml:space="preserve"> Framework) including that the</w:t>
      </w:r>
      <w:r w:rsidR="00517C3C">
        <w:t xml:space="preserve"> end-of-program outcomes</w:t>
      </w:r>
      <w:r>
        <w:t xml:space="preserve"> </w:t>
      </w:r>
      <w:r w:rsidR="00517C3C">
        <w:t>(</w:t>
      </w:r>
      <w:r>
        <w:t>EOPO</w:t>
      </w:r>
      <w:r w:rsidR="00517C3C">
        <w:t>)</w:t>
      </w:r>
      <w:r>
        <w:t xml:space="preserve"> were non-conforming with DFAT standards, the targets of some outputs or </w:t>
      </w:r>
      <w:r w:rsidR="00517C3C">
        <w:t>intermediate outcomes (</w:t>
      </w:r>
      <w:r>
        <w:t>IO</w:t>
      </w:r>
      <w:r w:rsidR="00517C3C">
        <w:t>)</w:t>
      </w:r>
      <w:r>
        <w:t xml:space="preserve"> were poorly defined and there </w:t>
      </w:r>
      <w:r w:rsidR="00275606">
        <w:t>were</w:t>
      </w:r>
      <w:r>
        <w:t xml:space="preserve"> circularity and implausibility in much of the logic. A further limitation was the short </w:t>
      </w:r>
      <w:r w:rsidR="00275606">
        <w:t>timeframe</w:t>
      </w:r>
      <w:r>
        <w:t xml:space="preserve"> for data collection across </w:t>
      </w:r>
      <w:r w:rsidR="00517C3C">
        <w:t>seven</w:t>
      </w:r>
      <w:r>
        <w:t xml:space="preserve"> sites in four countries. Nevertheless, the active engagement of the RUCaS implementation team </w:t>
      </w:r>
      <w:r w:rsidRPr="003D4B91">
        <w:t>enabled the evaluation team to gain a solid understanding of the program</w:t>
      </w:r>
      <w:r>
        <w:t>.</w:t>
      </w:r>
    </w:p>
    <w:p w14:paraId="1BEB3F8D" w14:textId="77777777" w:rsidR="009B3591" w:rsidRPr="009157D7" w:rsidRDefault="009B3591" w:rsidP="009B3591">
      <w:pPr>
        <w:rPr>
          <w:rFonts w:asciiTheme="majorHAnsi" w:eastAsiaTheme="majorEastAsia" w:hAnsiTheme="majorHAnsi" w:cstheme="majorBidi"/>
          <w:color w:val="124F1A" w:themeColor="accent3" w:themeShade="BF"/>
          <w:sz w:val="32"/>
          <w:szCs w:val="32"/>
        </w:rPr>
      </w:pPr>
      <w:r w:rsidRPr="009157D7">
        <w:rPr>
          <w:rFonts w:asciiTheme="majorHAnsi" w:eastAsiaTheme="majorEastAsia" w:hAnsiTheme="majorHAnsi" w:cstheme="majorBidi"/>
          <w:color w:val="124F1A" w:themeColor="accent3" w:themeShade="BF"/>
          <w:sz w:val="32"/>
          <w:szCs w:val="32"/>
        </w:rPr>
        <w:t xml:space="preserve">Overall </w:t>
      </w:r>
      <w:r w:rsidRPr="007129D3">
        <w:rPr>
          <w:rFonts w:asciiTheme="majorHAnsi" w:eastAsiaTheme="majorEastAsia" w:hAnsiTheme="majorHAnsi" w:cstheme="majorBidi"/>
          <w:color w:val="124F1A" w:themeColor="accent3" w:themeShade="BF"/>
          <w:sz w:val="32"/>
          <w:szCs w:val="32"/>
        </w:rPr>
        <w:t>Assessment</w:t>
      </w:r>
    </w:p>
    <w:p w14:paraId="2AF1CAA8" w14:textId="77777777" w:rsidR="009B3591" w:rsidRPr="009157D7" w:rsidRDefault="009B3591" w:rsidP="009B3591">
      <w:r w:rsidRPr="009157D7">
        <w:t>Overall, Phase 1 of RUCaS achieved important and tangible results. The program was highly relevant to</w:t>
      </w:r>
      <w:r>
        <w:t xml:space="preserve"> addressing</w:t>
      </w:r>
      <w:r w:rsidRPr="009157D7">
        <w:t xml:space="preserve"> regional climate resilience priorities and was widely regarded as professional, technically credible and responsive to an identified knowledge gap. It built a </w:t>
      </w:r>
      <w:r w:rsidRPr="009157D7">
        <w:lastRenderedPageBreak/>
        <w:t>motivated cohort of NbS champions, developed high-quality technical guidance products, and delivered significant learning and exchange opportunities across the region.</w:t>
      </w:r>
    </w:p>
    <w:p w14:paraId="18F85EFC" w14:textId="73F79EE1" w:rsidR="009B3591" w:rsidRPr="009157D7" w:rsidRDefault="009B3591" w:rsidP="009B3591">
      <w:r w:rsidRPr="009157D7">
        <w:t xml:space="preserve">However, limitations in </w:t>
      </w:r>
      <w:r>
        <w:t xml:space="preserve">the </w:t>
      </w:r>
      <w:r w:rsidRPr="009157D7">
        <w:t>program logic</w:t>
      </w:r>
      <w:r w:rsidR="001B00A5">
        <w:t xml:space="preserve"> (as described above),</w:t>
      </w:r>
      <w:r>
        <w:t xml:space="preserve"> assumptions </w:t>
      </w:r>
      <w:r w:rsidR="001B00A5">
        <w:t xml:space="preserve">regarding the capacity of local partners to complete case studies </w:t>
      </w:r>
      <w:r>
        <w:t>that were not borne out</w:t>
      </w:r>
      <w:r w:rsidR="00D265AD">
        <w:t xml:space="preserve"> in </w:t>
      </w:r>
      <w:r w:rsidR="00190A0E">
        <w:t>Phase 1</w:t>
      </w:r>
      <w:r w:rsidR="00D265AD">
        <w:t xml:space="preserve"> of RUCaS</w:t>
      </w:r>
      <w:r w:rsidRPr="009157D7">
        <w:t>,</w:t>
      </w:r>
      <w:r w:rsidR="00D265AD">
        <w:t xml:space="preserve"> and</w:t>
      </w:r>
      <w:r w:rsidRPr="009157D7">
        <w:t xml:space="preserve"> </w:t>
      </w:r>
      <w:r w:rsidR="00D265AD">
        <w:t xml:space="preserve">the </w:t>
      </w:r>
      <w:r w:rsidRPr="009157D7">
        <w:t>late integration of GEDSI</w:t>
      </w:r>
      <w:r w:rsidR="00D265AD">
        <w:t xml:space="preserve"> </w:t>
      </w:r>
      <w:r w:rsidRPr="009157D7">
        <w:t>constrained the program’s overall effectiveness</w:t>
      </w:r>
      <w:r>
        <w:t xml:space="preserve"> and efficiency. This was, in part, due to the fragmented nature of the program which underwent several amendments over its four years.</w:t>
      </w:r>
      <w:r w:rsidRPr="009157D7">
        <w:t xml:space="preserve"> </w:t>
      </w:r>
      <w:r w:rsidR="00190A0E">
        <w:t>A key lesson learned during this evaluation was that any future phase of RUCaS should be focused on ensuring any gains made are sustainable and integrate GEDSI in meaningful and lasting ways.</w:t>
      </w:r>
    </w:p>
    <w:p w14:paraId="0B6095C2" w14:textId="77777777" w:rsidR="009B3591" w:rsidRPr="009157D7" w:rsidRDefault="009B3591" w:rsidP="009B3591">
      <w:pPr>
        <w:rPr>
          <w:rFonts w:asciiTheme="majorHAnsi" w:eastAsiaTheme="majorEastAsia" w:hAnsiTheme="majorHAnsi" w:cstheme="majorBidi"/>
          <w:color w:val="124F1A" w:themeColor="accent3" w:themeShade="BF"/>
          <w:sz w:val="32"/>
          <w:szCs w:val="32"/>
        </w:rPr>
      </w:pPr>
      <w:r w:rsidRPr="009157D7">
        <w:rPr>
          <w:rFonts w:asciiTheme="majorHAnsi" w:eastAsiaTheme="majorEastAsia" w:hAnsiTheme="majorHAnsi" w:cstheme="majorBidi"/>
          <w:color w:val="124F1A" w:themeColor="accent3" w:themeShade="BF"/>
          <w:sz w:val="32"/>
          <w:szCs w:val="32"/>
        </w:rPr>
        <w:t>Relevance</w:t>
      </w:r>
    </w:p>
    <w:p w14:paraId="135DED66" w14:textId="77777777" w:rsidR="009B3591" w:rsidRPr="009157D7" w:rsidRDefault="009B3591" w:rsidP="009B3591">
      <w:r w:rsidRPr="009157D7">
        <w:t xml:space="preserve">RUCaS was strongly aligned with partner government priorities and DFAT’s regional water resilience strategy. Across all four countries, governments are grappling with climate-related urban challenges and increasingly recognise the importance of </w:t>
      </w:r>
      <w:r>
        <w:t>NbS</w:t>
      </w:r>
      <w:r w:rsidRPr="009157D7">
        <w:t xml:space="preserve">. NbS concepts are already referenced in </w:t>
      </w:r>
      <w:r>
        <w:t>the National Adaptation Plans (NAPs)</w:t>
      </w:r>
      <w:r w:rsidRPr="009157D7">
        <w:t xml:space="preserve"> in Thailand and Lao PDR, and interest in economic appraisal tools and policy guidance</w:t>
      </w:r>
      <w:r>
        <w:t xml:space="preserve"> for NbS</w:t>
      </w:r>
      <w:r w:rsidRPr="009157D7">
        <w:t xml:space="preserve"> is growing.</w:t>
      </w:r>
    </w:p>
    <w:p w14:paraId="15692532" w14:textId="30B56B06" w:rsidR="009B3591" w:rsidRPr="009157D7" w:rsidRDefault="009B3591" w:rsidP="009B3591">
      <w:r w:rsidRPr="009157D7">
        <w:t xml:space="preserve">The </w:t>
      </w:r>
      <w:r w:rsidR="00B82E98">
        <w:t xml:space="preserve">RUCaS </w:t>
      </w:r>
      <w:r w:rsidRPr="009157D7">
        <w:t xml:space="preserve">program addressed a clear gap: while green infrastructure was conceptually accepted, practical guidance, financial analysis and design standards </w:t>
      </w:r>
      <w:r>
        <w:t xml:space="preserve">for NbS in the Mekong subregion </w:t>
      </w:r>
      <w:r w:rsidRPr="009157D7">
        <w:t>were limited. The Benefit-Cost Analysis (BCA) tool and technical guidelines developed under RUCaS were particularly valued by partners seeking to justify NbS investments relative to conventional grey infrastructure.</w:t>
      </w:r>
    </w:p>
    <w:p w14:paraId="7A304FCD" w14:textId="77777777" w:rsidR="009B3591" w:rsidRPr="009157D7" w:rsidRDefault="009B3591" w:rsidP="009B3591">
      <w:pPr>
        <w:rPr>
          <w:b/>
          <w:bCs/>
        </w:rPr>
      </w:pPr>
      <w:r w:rsidRPr="009157D7">
        <w:rPr>
          <w:rFonts w:asciiTheme="majorHAnsi" w:eastAsiaTheme="majorEastAsia" w:hAnsiTheme="majorHAnsi" w:cstheme="majorBidi"/>
          <w:color w:val="124F1A" w:themeColor="accent3" w:themeShade="BF"/>
          <w:sz w:val="32"/>
          <w:szCs w:val="32"/>
        </w:rPr>
        <w:t>Effectiveness</w:t>
      </w:r>
    </w:p>
    <w:p w14:paraId="2A7261C9" w14:textId="77777777" w:rsidR="009B3591" w:rsidRDefault="009B3591" w:rsidP="009B3591">
      <w:pPr>
        <w:rPr>
          <w:rFonts w:asciiTheme="majorHAnsi" w:eastAsiaTheme="majorEastAsia" w:hAnsiTheme="majorHAnsi" w:cstheme="majorBidi"/>
          <w:color w:val="124F1A" w:themeColor="accent3" w:themeShade="BF"/>
          <w:sz w:val="28"/>
          <w:szCs w:val="28"/>
        </w:rPr>
      </w:pPr>
      <w:r w:rsidRPr="007129D3">
        <w:rPr>
          <w:rFonts w:asciiTheme="majorHAnsi" w:eastAsiaTheme="majorEastAsia" w:hAnsiTheme="majorHAnsi" w:cstheme="majorBidi"/>
          <w:color w:val="124F1A" w:themeColor="accent3" w:themeShade="BF"/>
          <w:sz w:val="28"/>
          <w:szCs w:val="28"/>
        </w:rPr>
        <w:t>EOPO 1 The value of hybrid NbS is accepted</w:t>
      </w:r>
    </w:p>
    <w:p w14:paraId="011E2EAB" w14:textId="498A9114" w:rsidR="009B3591" w:rsidRDefault="009B3591" w:rsidP="009B3591">
      <w:r w:rsidRPr="009E7E2F">
        <w:t xml:space="preserve">Hybrid NbS gained strong acceptance among Mekong partners, who credited regional momentum </w:t>
      </w:r>
      <w:r w:rsidR="00190A0E">
        <w:t>as well as the RUCaS program</w:t>
      </w:r>
      <w:r w:rsidRPr="009E7E2F">
        <w:t xml:space="preserve">. </w:t>
      </w:r>
      <w:r>
        <w:t>The concepts for e</w:t>
      </w:r>
      <w:r w:rsidRPr="009E7E2F">
        <w:t xml:space="preserve">ight case studies were completed, and five </w:t>
      </w:r>
      <w:r w:rsidRPr="003D4B91">
        <w:t>progressed towards direct intervention</w:t>
      </w:r>
      <w:r w:rsidRPr="009E7E2F">
        <w:t>, including a small-scale physical demonstration in Luang Prabang by January 2026</w:t>
      </w:r>
      <w:r w:rsidR="00B460A4">
        <w:t xml:space="preserve"> and a </w:t>
      </w:r>
      <w:r w:rsidR="00B460A4" w:rsidRPr="00B460A4">
        <w:t>stormwater planter box</w:t>
      </w:r>
      <w:r w:rsidR="00B460A4">
        <w:t xml:space="preserve"> </w:t>
      </w:r>
      <w:r w:rsidR="00DD43BE">
        <w:t>which came about through work done in</w:t>
      </w:r>
      <w:r w:rsidR="00B460A4">
        <w:t xml:space="preserve"> </w:t>
      </w:r>
      <w:proofErr w:type="spellStart"/>
      <w:r w:rsidR="00D23113">
        <w:t>Makkasan</w:t>
      </w:r>
      <w:proofErr w:type="spellEnd"/>
      <w:r w:rsidRPr="009E7E2F">
        <w:t>.</w:t>
      </w:r>
      <w:r>
        <w:t xml:space="preserve"> However, several important lessons were learned in relation to EOPO 1.</w:t>
      </w:r>
    </w:p>
    <w:p w14:paraId="7DF11701" w14:textId="0FBB1C45" w:rsidR="009B3591" w:rsidRDefault="009B3591" w:rsidP="009B3591">
      <w:r>
        <w:t>The relevance and feasibility of the case studies varied</w:t>
      </w:r>
      <w:r w:rsidRPr="009E7E2F">
        <w:t xml:space="preserve"> across countries. </w:t>
      </w:r>
      <w:r w:rsidR="00190A0E">
        <w:t>For example, w</w:t>
      </w:r>
      <w:r w:rsidRPr="009E7E2F">
        <w:t xml:space="preserve">hile Thailand’s </w:t>
      </w:r>
      <w:proofErr w:type="gramStart"/>
      <w:r w:rsidRPr="009E7E2F">
        <w:t>On</w:t>
      </w:r>
      <w:proofErr w:type="gramEnd"/>
      <w:r w:rsidRPr="009E7E2F">
        <w:t xml:space="preserve"> Nut site was practical and well-supported, some Lao PDR concepts were viewed as overly ambitious</w:t>
      </w:r>
      <w:r>
        <w:t xml:space="preserve">. Barriers to the feasibility of the case studies included a lack of financial viability, lack of co-design, over-ambitious </w:t>
      </w:r>
      <w:r w:rsidR="003A2606">
        <w:t xml:space="preserve">site </w:t>
      </w:r>
      <w:r>
        <w:t xml:space="preserve">selection and stakeholder complexity in some sites. </w:t>
      </w:r>
      <w:r w:rsidRPr="009E7E2F">
        <w:t>Future case study</w:t>
      </w:r>
      <w:r>
        <w:t xml:space="preserve"> site selection</w:t>
      </w:r>
      <w:r w:rsidRPr="009E7E2F">
        <w:t xml:space="preserve"> should be demand-driven, budget-aligned, locally co-designed, and realistically implementable.</w:t>
      </w:r>
    </w:p>
    <w:p w14:paraId="250C8D1C" w14:textId="12559966" w:rsidR="009B3591" w:rsidRDefault="009B3591" w:rsidP="009B3591">
      <w:r>
        <w:t xml:space="preserve">Furthermore, </w:t>
      </w:r>
      <w:r w:rsidRPr="00EE1B02">
        <w:t xml:space="preserve">EOPO 1 assumed that providing concept designs, visualisations and monitoring equipment would motivate partners to independently fund construction. In practice, these inputs were insufficient, and some partners expressed frustration that projects were not advanced further by </w:t>
      </w:r>
      <w:r w:rsidR="00190A0E">
        <w:t xml:space="preserve">the </w:t>
      </w:r>
      <w:r w:rsidRPr="00EE1B02">
        <w:t>RUCaS</w:t>
      </w:r>
      <w:r w:rsidR="00190A0E">
        <w:t xml:space="preserve"> program</w:t>
      </w:r>
      <w:r w:rsidRPr="00EE1B02">
        <w:t>.</w:t>
      </w:r>
      <w:r>
        <w:t xml:space="preserve"> </w:t>
      </w:r>
      <w:r w:rsidRPr="00EE1B02">
        <w:t>Lessons for a future phase include ensuring designs are locally feasible, progressing at least some projects to full demonstration, and clarifying roles, mandates and expectations between implementers and partners to manage risk and sustain engagement.</w:t>
      </w:r>
    </w:p>
    <w:p w14:paraId="6D8E210B" w14:textId="77777777" w:rsidR="009B3591" w:rsidRPr="007129D3" w:rsidRDefault="009B3591" w:rsidP="009B3591">
      <w:pPr>
        <w:rPr>
          <w:rFonts w:asciiTheme="majorHAnsi" w:eastAsiaTheme="majorEastAsia" w:hAnsiTheme="majorHAnsi" w:cstheme="majorBidi"/>
          <w:color w:val="124F1A" w:themeColor="accent3" w:themeShade="BF"/>
          <w:sz w:val="28"/>
          <w:szCs w:val="28"/>
        </w:rPr>
      </w:pPr>
      <w:r w:rsidRPr="007129D3">
        <w:rPr>
          <w:rFonts w:asciiTheme="majorHAnsi" w:eastAsiaTheme="majorEastAsia" w:hAnsiTheme="majorHAnsi" w:cstheme="majorBidi"/>
          <w:color w:val="124F1A" w:themeColor="accent3" w:themeShade="BF"/>
          <w:sz w:val="28"/>
          <w:szCs w:val="28"/>
        </w:rPr>
        <w:lastRenderedPageBreak/>
        <w:t>EOPO 2 Foundations for upscaling</w:t>
      </w:r>
    </w:p>
    <w:p w14:paraId="009693D8" w14:textId="46448AE1" w:rsidR="009B3591" w:rsidRPr="009157D7" w:rsidRDefault="009B3591" w:rsidP="009B3591">
      <w:r w:rsidRPr="009157D7">
        <w:t>RUCaS produced a suite of knowledge products, including risk assessment guidelines, a GEDSI NbS guide</w:t>
      </w:r>
      <w:r w:rsidR="001A3619">
        <w:t>line</w:t>
      </w:r>
      <w:r w:rsidRPr="009157D7">
        <w:t xml:space="preserve">, </w:t>
      </w:r>
      <w:r w:rsidR="00B82E98">
        <w:t>roadmaps for upscaling</w:t>
      </w:r>
      <w:r w:rsidRPr="009157D7">
        <w:t>, and training resources. The BCA tool was widely appreciated and adopted by some academic partners.</w:t>
      </w:r>
    </w:p>
    <w:p w14:paraId="2BB267DD" w14:textId="7A3EA541" w:rsidR="009B3591" w:rsidRPr="009157D7" w:rsidRDefault="009B3591" w:rsidP="009B3591">
      <w:r w:rsidRPr="009157D7">
        <w:t xml:space="preserve">These outputs contributed to intellectual and technical foundations for scaling. However, no </w:t>
      </w:r>
      <w:r w:rsidR="00190A0E" w:rsidRPr="00A5084A">
        <w:t>national and/or local-level urban climate policies</w:t>
      </w:r>
      <w:r w:rsidR="00190A0E">
        <w:t xml:space="preserve"> and</w:t>
      </w:r>
      <w:r w:rsidR="00190A0E" w:rsidRPr="00A5084A">
        <w:t xml:space="preserve"> regulations</w:t>
      </w:r>
      <w:r w:rsidR="00190A0E">
        <w:t xml:space="preserve"> </w:t>
      </w:r>
      <w:r w:rsidR="00190A0E" w:rsidRPr="00A5084A">
        <w:t>that integrate NbS</w:t>
      </w:r>
      <w:r w:rsidR="00190A0E" w:rsidRPr="009157D7">
        <w:t xml:space="preserve"> </w:t>
      </w:r>
      <w:proofErr w:type="gramStart"/>
      <w:r w:rsidRPr="009157D7">
        <w:t>as a result of</w:t>
      </w:r>
      <w:proofErr w:type="gramEnd"/>
      <w:r w:rsidRPr="009157D7">
        <w:t xml:space="preserve"> RUCaS were in place at the time of</w:t>
      </w:r>
      <w:r w:rsidR="00190A0E">
        <w:t xml:space="preserve"> the</w:t>
      </w:r>
      <w:r w:rsidRPr="009157D7">
        <w:t xml:space="preserve"> evaluation</w:t>
      </w:r>
      <w:r>
        <w:t xml:space="preserve"> which suggested that t</w:t>
      </w:r>
      <w:r w:rsidRPr="009157D7">
        <w:t>he pathway from knowledge production to regulatory change was more complex and time-consuming than initially assumed.</w:t>
      </w:r>
    </w:p>
    <w:p w14:paraId="76474B12" w14:textId="6B10451A" w:rsidR="009B3591" w:rsidRPr="009157D7" w:rsidRDefault="009B3591" w:rsidP="009B3591">
      <w:r w:rsidRPr="009157D7">
        <w:t>Several tools require</w:t>
      </w:r>
      <w:r w:rsidR="00D265AD">
        <w:t>d</w:t>
      </w:r>
      <w:r w:rsidRPr="009157D7">
        <w:t xml:space="preserve"> further contextualisation, translation, field-testing and dissemination planning. </w:t>
      </w:r>
      <w:r w:rsidR="00D23113">
        <w:t>Whilst t</w:t>
      </w:r>
      <w:r w:rsidRPr="009157D7">
        <w:t xml:space="preserve">he draft </w:t>
      </w:r>
      <w:r w:rsidR="00B82E98">
        <w:t>roadmap</w:t>
      </w:r>
      <w:r w:rsidRPr="009157D7">
        <w:t>s</w:t>
      </w:r>
      <w:r w:rsidR="00D23113">
        <w:t xml:space="preserve"> were intended to be co-designed, the time and resources for the RUCaS program meant that input from local counterparts was limited and they had not yet fully endorsed the plans at the time of the evaluation</w:t>
      </w:r>
      <w:r w:rsidRPr="009157D7">
        <w:t xml:space="preserve">. Without stronger ownership and integration, their </w:t>
      </w:r>
      <w:r>
        <w:t>sustainability</w:t>
      </w:r>
      <w:r w:rsidRPr="009157D7">
        <w:t xml:space="preserve"> </w:t>
      </w:r>
      <w:r w:rsidR="00D265AD">
        <w:t>was</w:t>
      </w:r>
      <w:r w:rsidRPr="009157D7">
        <w:t xml:space="preserve"> uncertain.</w:t>
      </w:r>
    </w:p>
    <w:p w14:paraId="2817E950" w14:textId="77777777" w:rsidR="009B3591" w:rsidRPr="007129D3" w:rsidRDefault="009B3591" w:rsidP="009B3591">
      <w:pPr>
        <w:rPr>
          <w:rFonts w:asciiTheme="majorHAnsi" w:eastAsiaTheme="majorEastAsia" w:hAnsiTheme="majorHAnsi" w:cstheme="majorBidi"/>
          <w:color w:val="124F1A" w:themeColor="accent3" w:themeShade="BF"/>
          <w:sz w:val="28"/>
          <w:szCs w:val="28"/>
        </w:rPr>
      </w:pPr>
      <w:r w:rsidRPr="007129D3">
        <w:rPr>
          <w:rFonts w:asciiTheme="majorHAnsi" w:eastAsiaTheme="majorEastAsia" w:hAnsiTheme="majorHAnsi" w:cstheme="majorBidi"/>
          <w:color w:val="124F1A" w:themeColor="accent3" w:themeShade="BF"/>
          <w:sz w:val="28"/>
          <w:szCs w:val="28"/>
        </w:rPr>
        <w:t>EOPO 3 Partnerships and capacity of NbS champions</w:t>
      </w:r>
    </w:p>
    <w:p w14:paraId="385E765C" w14:textId="77777777" w:rsidR="009B3591" w:rsidRPr="009157D7" w:rsidRDefault="009B3591" w:rsidP="009B3591">
      <w:r w:rsidRPr="009157D7">
        <w:t>RUCaS successfully convened a regional cohort of NbS champions and delivered numerous workshops, technical trainings and two regional conferences. Participants consistently praised the quality of events and knowledge exchange.</w:t>
      </w:r>
      <w:r>
        <w:t xml:space="preserve"> </w:t>
      </w:r>
      <w:r w:rsidRPr="009157D7">
        <w:t>Formal collaboration agreements between WSCA and regional partners were established, and some cross-university collaboration emerged, particularly regarding environmental monitoring.</w:t>
      </w:r>
    </w:p>
    <w:p w14:paraId="1AEF682A" w14:textId="1E6E9BA6" w:rsidR="009B3591" w:rsidRPr="009157D7" w:rsidRDefault="009B3591" w:rsidP="009B3591">
      <w:r w:rsidRPr="009157D7">
        <w:t>Nevertheless, regional collaboration remained limited beyond RUCaS-facilitated events. Urban challenges tend</w:t>
      </w:r>
      <w:r w:rsidR="001A3619">
        <w:t>ed</w:t>
      </w:r>
      <w:r w:rsidRPr="009157D7">
        <w:t xml:space="preserve"> to be city-specific rather than transboundary, making sustained regional integration more difficult. Champions across countries rarely collaborated independently, and institutional capacity to implement NbS without further technical support remain</w:t>
      </w:r>
      <w:r>
        <w:t>ed uncertain</w:t>
      </w:r>
      <w:r w:rsidRPr="009157D7">
        <w:t>.</w:t>
      </w:r>
    </w:p>
    <w:p w14:paraId="6D7BC455" w14:textId="77777777" w:rsidR="009B3591" w:rsidRPr="009157D7" w:rsidRDefault="009B3591" w:rsidP="009B3591">
      <w:pPr>
        <w:rPr>
          <w:rFonts w:asciiTheme="majorHAnsi" w:eastAsiaTheme="majorEastAsia" w:hAnsiTheme="majorHAnsi" w:cstheme="majorBidi"/>
          <w:color w:val="124F1A" w:themeColor="accent3" w:themeShade="BF"/>
          <w:sz w:val="32"/>
          <w:szCs w:val="32"/>
        </w:rPr>
      </w:pPr>
      <w:r>
        <w:rPr>
          <w:rFonts w:asciiTheme="majorHAnsi" w:eastAsiaTheme="majorEastAsia" w:hAnsiTheme="majorHAnsi" w:cstheme="majorBidi"/>
          <w:color w:val="124F1A" w:themeColor="accent3" w:themeShade="BF"/>
          <w:sz w:val="32"/>
          <w:szCs w:val="32"/>
        </w:rPr>
        <w:t>GEDSI</w:t>
      </w:r>
    </w:p>
    <w:p w14:paraId="4027F01C" w14:textId="77777777" w:rsidR="009B3591" w:rsidRPr="009157D7" w:rsidRDefault="009B3591" w:rsidP="009B3591">
      <w:r>
        <w:t xml:space="preserve">The cross-cutting focus on GEDSI </w:t>
      </w:r>
      <w:r w:rsidRPr="009157D7">
        <w:t xml:space="preserve">was introduced mid-program and further strengthened under Amendment 2. Activities included establishment of a GEDSI Technical Advisory Group (TAG), a regional GEDSI </w:t>
      </w:r>
      <w:r>
        <w:t xml:space="preserve">and NbS </w:t>
      </w:r>
      <w:r w:rsidRPr="009157D7">
        <w:t>workshop and development of a dedicated GEDSI NbS guideline.</w:t>
      </w:r>
      <w:r>
        <w:t xml:space="preserve"> </w:t>
      </w:r>
      <w:r w:rsidRPr="009157D7">
        <w:t xml:space="preserve">These efforts increased awareness among technically focused partners, many of whom were newly exposed to GEDSI concepts. In </w:t>
      </w:r>
      <w:r>
        <w:t>some</w:t>
      </w:r>
      <w:r w:rsidRPr="009157D7">
        <w:t xml:space="preserve"> case studies, consultation with women and </w:t>
      </w:r>
      <w:r>
        <w:t>people</w:t>
      </w:r>
      <w:r w:rsidRPr="009157D7">
        <w:t xml:space="preserve"> with disabilities informed </w:t>
      </w:r>
      <w:r>
        <w:t>the design of the case studies</w:t>
      </w:r>
      <w:r w:rsidRPr="009157D7">
        <w:t>.</w:t>
      </w:r>
    </w:p>
    <w:p w14:paraId="604AB686" w14:textId="026A7609" w:rsidR="009B3591" w:rsidRPr="009157D7" w:rsidRDefault="009B3591" w:rsidP="009B3591">
      <w:r w:rsidRPr="009157D7">
        <w:t xml:space="preserve">However, transformative GEDSI outcomes were unrealistic within the program’s timeframe and capacity constraints. GEDSI was </w:t>
      </w:r>
      <w:r>
        <w:t>introduced</w:t>
      </w:r>
      <w:r w:rsidRPr="009157D7">
        <w:t xml:space="preserve"> after case study development had commenced, </w:t>
      </w:r>
      <w:r>
        <w:t>and</w:t>
      </w:r>
      <w:r w:rsidRPr="009157D7">
        <w:t xml:space="preserve"> retrofitting</w:t>
      </w:r>
      <w:r>
        <w:t xml:space="preserve"> GEDSI </w:t>
      </w:r>
      <w:r w:rsidR="00D265AD">
        <w:t>was</w:t>
      </w:r>
      <w:r w:rsidRPr="009157D7">
        <w:t xml:space="preserve"> difficult. Responsibilities for GEDSI remained somewhat siloed between </w:t>
      </w:r>
      <w:r>
        <w:t>GEDSI</w:t>
      </w:r>
      <w:r w:rsidRPr="009157D7">
        <w:t xml:space="preserve"> specialists and technical teams, and neither group felt fully equipped to integrate the other discipline effectively.</w:t>
      </w:r>
      <w:r w:rsidR="00BD2AD3">
        <w:t xml:space="preserve"> </w:t>
      </w:r>
      <w:r w:rsidR="00D23113">
        <w:t xml:space="preserve">The uptake of the GEDSI </w:t>
      </w:r>
      <w:r w:rsidRPr="009157D7">
        <w:t>guideline</w:t>
      </w:r>
      <w:r w:rsidR="00D23113">
        <w:t xml:space="preserve"> is contingent on </w:t>
      </w:r>
      <w:r w:rsidR="008576F0">
        <w:t>it being</w:t>
      </w:r>
      <w:r w:rsidR="00D23113">
        <w:t xml:space="preserve"> </w:t>
      </w:r>
      <w:r w:rsidRPr="009157D7">
        <w:t xml:space="preserve">simplified, field-tested and embedded within broader institutional processes. </w:t>
      </w:r>
      <w:r>
        <w:t>Any future phase of RUCaS will</w:t>
      </w:r>
      <w:r w:rsidRPr="009157D7">
        <w:t xml:space="preserve"> require earlier planning, stronger in-house expertise and clearer, more feasible objectives</w:t>
      </w:r>
      <w:r>
        <w:t xml:space="preserve"> regarding GEDSI</w:t>
      </w:r>
      <w:r w:rsidRPr="009157D7">
        <w:t>.</w:t>
      </w:r>
    </w:p>
    <w:p w14:paraId="2D491A28" w14:textId="77777777" w:rsidR="009B3591" w:rsidRPr="009157D7" w:rsidRDefault="009B3591" w:rsidP="009B3591">
      <w:pPr>
        <w:rPr>
          <w:rFonts w:asciiTheme="majorHAnsi" w:eastAsiaTheme="majorEastAsia" w:hAnsiTheme="majorHAnsi" w:cstheme="majorBidi"/>
          <w:color w:val="124F1A" w:themeColor="accent3" w:themeShade="BF"/>
          <w:sz w:val="32"/>
          <w:szCs w:val="32"/>
        </w:rPr>
      </w:pPr>
      <w:r w:rsidRPr="009157D7">
        <w:rPr>
          <w:rFonts w:asciiTheme="majorHAnsi" w:eastAsiaTheme="majorEastAsia" w:hAnsiTheme="majorHAnsi" w:cstheme="majorBidi"/>
          <w:color w:val="124F1A" w:themeColor="accent3" w:themeShade="BF"/>
          <w:sz w:val="32"/>
          <w:szCs w:val="32"/>
        </w:rPr>
        <w:t>Efficiency</w:t>
      </w:r>
    </w:p>
    <w:p w14:paraId="687D4473" w14:textId="63766BB5" w:rsidR="009B3591" w:rsidRDefault="009B3591" w:rsidP="009B3591">
      <w:r>
        <w:lastRenderedPageBreak/>
        <w:t xml:space="preserve">Whilst progress was made toward achieving </w:t>
      </w:r>
      <w:r w:rsidRPr="003D4B91">
        <w:t xml:space="preserve">the EOPO by the end of </w:t>
      </w:r>
      <w:r w:rsidR="001A3619">
        <w:t>Phase 1</w:t>
      </w:r>
      <w:r w:rsidRPr="003D4B91">
        <w:t xml:space="preserve"> (</w:t>
      </w:r>
      <w:r>
        <w:t xml:space="preserve">including </w:t>
      </w:r>
      <w:r w:rsidRPr="003D4B91">
        <w:t>the GEDSI cross-cutting focus)</w:t>
      </w:r>
      <w:r>
        <w:t xml:space="preserve">, none were fully achieved </w:t>
      </w:r>
      <w:r w:rsidR="00B82E98">
        <w:t>meaning</w:t>
      </w:r>
      <w:r>
        <w:t xml:space="preserve"> that the program </w:t>
      </w:r>
      <w:r w:rsidR="00190A0E">
        <w:t>had much room for improvement in terms of efficiency</w:t>
      </w:r>
      <w:r w:rsidRPr="003D4B91">
        <w:t>.</w:t>
      </w:r>
      <w:r>
        <w:t xml:space="preserve"> This was partly </w:t>
      </w:r>
      <w:r w:rsidRPr="00527C78">
        <w:t xml:space="preserve">due to an implausible program logic with unclear assumptions. </w:t>
      </w:r>
    </w:p>
    <w:p w14:paraId="28B7DA67" w14:textId="493EF190" w:rsidR="009B3591" w:rsidRDefault="009B3591" w:rsidP="009B3591">
      <w:r w:rsidRPr="00527C78">
        <w:t>Some program activities</w:t>
      </w:r>
      <w:r>
        <w:t xml:space="preserve"> and outputs</w:t>
      </w:r>
      <w:r w:rsidRPr="00527C78">
        <w:t xml:space="preserve"> extended beyond the MEL Framework, such as leveraging resources to integrate NbS in </w:t>
      </w:r>
      <w:r w:rsidR="008576F0">
        <w:t>implementation sites outside of RUCaS</w:t>
      </w:r>
      <w:r w:rsidRPr="00527C78">
        <w:t>. While these efforts demonstrated responsiveness and flexibility, they</w:t>
      </w:r>
      <w:r w:rsidR="00190A0E">
        <w:t xml:space="preserve"> also</w:t>
      </w:r>
      <w:r w:rsidRPr="00527C78">
        <w:t xml:space="preserve"> diverted resources from </w:t>
      </w:r>
      <w:r>
        <w:t>the focus of RUCaS</w:t>
      </w:r>
      <w:r w:rsidRPr="00527C78">
        <w:t>, affecting efficiency</w:t>
      </w:r>
      <w:r w:rsidR="00190A0E">
        <w:t xml:space="preserve"> (and any potential future phase of RUCaS should incorporate these types of efforts into the program logic).</w:t>
      </w:r>
    </w:p>
    <w:p w14:paraId="3042671A" w14:textId="6069FEB8" w:rsidR="009B3591" w:rsidRPr="009157D7" w:rsidRDefault="009B3591" w:rsidP="009B3591">
      <w:r w:rsidRPr="00527C78">
        <w:t>Despite these limitations, RUCaS staff and partners effectively utili</w:t>
      </w:r>
      <w:r w:rsidR="00190A0E">
        <w:t>s</w:t>
      </w:r>
      <w:r w:rsidRPr="00527C78">
        <w:t>ed available resources, with technical expertise from WSCA, ICEM, and in-country teams being widely valued. The program’s partnership model</w:t>
      </w:r>
      <w:r w:rsidR="001A3619">
        <w:t xml:space="preserve"> which combined</w:t>
      </w:r>
      <w:r w:rsidRPr="00527C78">
        <w:t xml:space="preserve"> academic rigor, regional knowledge, and local networks</w:t>
      </w:r>
      <w:r w:rsidR="001A3619">
        <w:t xml:space="preserve"> </w:t>
      </w:r>
      <w:r w:rsidRPr="00527C78">
        <w:t xml:space="preserve">enhanced efficiency. Future phases could improve efficiency by strengthening local technical capacity, expanding in-country teams, </w:t>
      </w:r>
      <w:r w:rsidR="001A3619">
        <w:t>continuing to leverage</w:t>
      </w:r>
      <w:r w:rsidRPr="00527C78">
        <w:t xml:space="preserve"> local universities, and focusing resources on achievable outcomes while maintaining partnerships that balance technical expertise and contextual knowledge.</w:t>
      </w:r>
    </w:p>
    <w:p w14:paraId="7E7A276F" w14:textId="77777777" w:rsidR="009B3591" w:rsidRPr="009157D7" w:rsidRDefault="009B3591" w:rsidP="009B3591">
      <w:pPr>
        <w:rPr>
          <w:rFonts w:asciiTheme="majorHAnsi" w:eastAsiaTheme="majorEastAsia" w:hAnsiTheme="majorHAnsi" w:cstheme="majorBidi"/>
          <w:color w:val="124F1A" w:themeColor="accent3" w:themeShade="BF"/>
          <w:sz w:val="32"/>
          <w:szCs w:val="32"/>
        </w:rPr>
      </w:pPr>
      <w:r w:rsidRPr="009157D7">
        <w:rPr>
          <w:rFonts w:asciiTheme="majorHAnsi" w:eastAsiaTheme="majorEastAsia" w:hAnsiTheme="majorHAnsi" w:cstheme="majorBidi"/>
          <w:color w:val="124F1A" w:themeColor="accent3" w:themeShade="BF"/>
          <w:sz w:val="32"/>
          <w:szCs w:val="32"/>
        </w:rPr>
        <w:t>Sustainability</w:t>
      </w:r>
    </w:p>
    <w:p w14:paraId="2F47C91B" w14:textId="55DF9DA6" w:rsidR="009B3591" w:rsidRPr="00A728F0" w:rsidRDefault="009B3591" w:rsidP="009B3591">
      <w:r w:rsidRPr="00A728F0">
        <w:t>While RUCaS achieved important outcomes, the sustainability of its work remain</w:t>
      </w:r>
      <w:r w:rsidR="00D265AD">
        <w:t>ed</w:t>
      </w:r>
      <w:r w:rsidRPr="00A728F0">
        <w:t xml:space="preserve"> uncertain</w:t>
      </w:r>
      <w:r>
        <w:t xml:space="preserve"> in four key domains:</w:t>
      </w:r>
    </w:p>
    <w:p w14:paraId="6FFAED58" w14:textId="29E9A8A9" w:rsidR="009B3591" w:rsidRPr="00A728F0" w:rsidRDefault="009B3591" w:rsidP="009B3591">
      <w:r>
        <w:t>Firstly, while</w:t>
      </w:r>
      <w:r w:rsidRPr="00A728F0">
        <w:t xml:space="preserve"> </w:t>
      </w:r>
      <w:r>
        <w:t xml:space="preserve">the </w:t>
      </w:r>
      <w:r w:rsidRPr="00A728F0">
        <w:t>case studies in all four countries moved beyond the concept stage, financing, land availability, and continued reliance on RUCaS support posed major barriers</w:t>
      </w:r>
      <w:r>
        <w:t xml:space="preserve"> to sustainability</w:t>
      </w:r>
      <w:r w:rsidRPr="00A728F0">
        <w:t xml:space="preserve">. </w:t>
      </w:r>
    </w:p>
    <w:p w14:paraId="08702F53" w14:textId="52B67BD8" w:rsidR="009B3591" w:rsidRPr="00A728F0" w:rsidRDefault="009B3591" w:rsidP="009B3591">
      <w:r>
        <w:t>Secondly, the NbS g</w:t>
      </w:r>
      <w:r w:rsidRPr="00A728F0">
        <w:t xml:space="preserve">uidelines </w:t>
      </w:r>
      <w:r>
        <w:t xml:space="preserve">and scaling </w:t>
      </w:r>
      <w:r w:rsidR="00341437">
        <w:t>roadmaps</w:t>
      </w:r>
      <w:r>
        <w:t xml:space="preserve"> produced during</w:t>
      </w:r>
      <w:r w:rsidRPr="00A728F0">
        <w:t xml:space="preserve"> Phase 1 required testing, dissemination, training, and government commitment to ensure uptake, which had not yet been fully secured</w:t>
      </w:r>
      <w:r>
        <w:t xml:space="preserve"> at the time of the evaluation</w:t>
      </w:r>
      <w:r w:rsidRPr="00A728F0">
        <w:t>.</w:t>
      </w:r>
    </w:p>
    <w:p w14:paraId="52D43B6C" w14:textId="77777777" w:rsidR="009B3591" w:rsidRPr="00A728F0" w:rsidRDefault="009B3591" w:rsidP="009B3591">
      <w:r>
        <w:t xml:space="preserve">Thirdly, </w:t>
      </w:r>
      <w:r w:rsidRPr="00A728F0">
        <w:t xml:space="preserve">RUCaS established local partnerships and networks, but these largely depended on </w:t>
      </w:r>
      <w:r>
        <w:t>program resourcing</w:t>
      </w:r>
      <w:r w:rsidRPr="00A728F0">
        <w:t xml:space="preserve">. Minimal </w:t>
      </w:r>
      <w:r>
        <w:t xml:space="preserve">independent </w:t>
      </w:r>
      <w:r w:rsidRPr="00A728F0">
        <w:t xml:space="preserve">regional collaboration occurred, and networks—including NbS champions and GEDSI TAG members—were not self-sustaining. </w:t>
      </w:r>
    </w:p>
    <w:p w14:paraId="32F887E2" w14:textId="57AC782D" w:rsidR="009B3591" w:rsidRPr="009157D7" w:rsidRDefault="009B3591" w:rsidP="009B3591">
      <w:r>
        <w:t xml:space="preserve">Finally, whilst several achievements were made in relation to GEDSI, the sustainability of these </w:t>
      </w:r>
      <w:r w:rsidR="00D265AD">
        <w:t>was</w:t>
      </w:r>
      <w:r>
        <w:t xml:space="preserve"> uncertain. The GEDSI TAG indicated they </w:t>
      </w:r>
      <w:r w:rsidR="00341437">
        <w:t xml:space="preserve">likely </w:t>
      </w:r>
      <w:r>
        <w:t>would not continue to meet without RUCaS coordination; t</w:t>
      </w:r>
      <w:r w:rsidRPr="00A728F0">
        <w:t>he GEDSI NbS guideline was not fully field-tested</w:t>
      </w:r>
      <w:r w:rsidR="008576F0">
        <w:t xml:space="preserve"> or adapted to the needs of potential users at the time of the evaluation</w:t>
      </w:r>
      <w:r>
        <w:t xml:space="preserve"> meaning it risked being unused; and none of the NbS champions felt confident to carry on GEDSI activities independently.</w:t>
      </w:r>
    </w:p>
    <w:p w14:paraId="0381C74A" w14:textId="77777777" w:rsidR="009B3591" w:rsidRPr="009157D7" w:rsidRDefault="009B3591" w:rsidP="009B3591">
      <w:pPr>
        <w:rPr>
          <w:rFonts w:asciiTheme="majorHAnsi" w:eastAsiaTheme="majorEastAsia" w:hAnsiTheme="majorHAnsi" w:cstheme="majorBidi"/>
          <w:color w:val="124F1A" w:themeColor="accent3" w:themeShade="BF"/>
          <w:sz w:val="32"/>
          <w:szCs w:val="32"/>
        </w:rPr>
      </w:pPr>
      <w:r w:rsidRPr="009157D7">
        <w:rPr>
          <w:rFonts w:asciiTheme="majorHAnsi" w:eastAsiaTheme="majorEastAsia" w:hAnsiTheme="majorHAnsi" w:cstheme="majorBidi"/>
          <w:color w:val="124F1A" w:themeColor="accent3" w:themeShade="BF"/>
          <w:sz w:val="32"/>
          <w:szCs w:val="32"/>
        </w:rPr>
        <w:t>Conclusion</w:t>
      </w:r>
    </w:p>
    <w:p w14:paraId="24C721B9" w14:textId="77777777" w:rsidR="009B3591" w:rsidRPr="005B2E0E" w:rsidRDefault="009B3591" w:rsidP="009B3591">
      <w:r w:rsidRPr="005B2E0E">
        <w:t xml:space="preserve">The RUCaS program made a significant and timely contribution to advancing </w:t>
      </w:r>
      <w:r>
        <w:t xml:space="preserve">NbS </w:t>
      </w:r>
      <w:r w:rsidRPr="005B2E0E">
        <w:t>for urban climate resilience across Lao PDR, Thailand, Cambodia, and Viet Nam. It responded to strong demand for alternatives to grey infrastructure, filling gaps in knowledge, skills, and expertise. Government agencies, universities, civil society, and DFAT posts consistently valued RUCaS’ technical guidance, learning events, and convening role, confirming its relevance.</w:t>
      </w:r>
    </w:p>
    <w:p w14:paraId="066586C2" w14:textId="22C7E184" w:rsidR="009B3591" w:rsidRPr="005B2E0E" w:rsidRDefault="00D265AD" w:rsidP="009B3591">
      <w:r>
        <w:lastRenderedPageBreak/>
        <w:t>Whilst</w:t>
      </w:r>
      <w:r w:rsidR="009B3591" w:rsidRPr="005B2E0E">
        <w:t xml:space="preserve"> RUCaS </w:t>
      </w:r>
      <w:r>
        <w:t xml:space="preserve">did not </w:t>
      </w:r>
      <w:r w:rsidR="00190A0E">
        <w:t>fully achieve</w:t>
      </w:r>
      <w:r w:rsidR="009B3591" w:rsidRPr="005B2E0E">
        <w:t xml:space="preserve"> its EOPOs</w:t>
      </w:r>
      <w:r>
        <w:t xml:space="preserve">—which impacted its effectiveness and efficiency—this </w:t>
      </w:r>
      <w:r w:rsidR="00190A0E">
        <w:t>could</w:t>
      </w:r>
      <w:r>
        <w:t xml:space="preserve"> largely be </w:t>
      </w:r>
      <w:r w:rsidR="009B3591">
        <w:t>attributed to issues in the</w:t>
      </w:r>
      <w:r w:rsidR="009B3591" w:rsidRPr="005B2E0E">
        <w:t xml:space="preserve"> </w:t>
      </w:r>
      <w:r w:rsidR="009B3591">
        <w:t xml:space="preserve">articulation of the </w:t>
      </w:r>
      <w:r w:rsidR="009B3591" w:rsidRPr="005B2E0E">
        <w:t>program logic</w:t>
      </w:r>
      <w:r w:rsidR="009B3591">
        <w:t xml:space="preserve"> (including assumptions that were not borne out) and fragmented funding</w:t>
      </w:r>
      <w:r w:rsidR="009B3591" w:rsidRPr="005B2E0E">
        <w:t>.</w:t>
      </w:r>
    </w:p>
    <w:p w14:paraId="6E83919E" w14:textId="6EF44C4F" w:rsidR="00C62203" w:rsidRPr="003D4B91" w:rsidRDefault="009B3591">
      <w:r w:rsidRPr="005B2E0E">
        <w:t>Sustainability remain</w:t>
      </w:r>
      <w:r w:rsidR="00D265AD">
        <w:t>ed</w:t>
      </w:r>
      <w:r w:rsidRPr="005B2E0E">
        <w:t xml:space="preserve"> uncertain, as many gains</w:t>
      </w:r>
      <w:r w:rsidR="00190A0E">
        <w:t xml:space="preserve"> (including </w:t>
      </w:r>
      <w:r w:rsidR="00AB53F7">
        <w:t>steps</w:t>
      </w:r>
      <w:r>
        <w:t xml:space="preserve"> towards demonstrating NbS</w:t>
      </w:r>
      <w:r w:rsidRPr="005B2E0E">
        <w:t>,</w:t>
      </w:r>
      <w:r>
        <w:t xml:space="preserve"> capacity development</w:t>
      </w:r>
      <w:r w:rsidRPr="005B2E0E">
        <w:t xml:space="preserve"> and knowledge products</w:t>
      </w:r>
      <w:r w:rsidR="00AB53F7">
        <w:t xml:space="preserve">) </w:t>
      </w:r>
      <w:r w:rsidR="00D265AD">
        <w:t>were</w:t>
      </w:r>
      <w:r>
        <w:t xml:space="preserve"> unlikely to continue without further investment</w:t>
      </w:r>
      <w:r w:rsidRPr="005B2E0E">
        <w:t xml:space="preserve">. Future phases should focus on feasible case studies, financial viability, genuine co-design, meaningful GEDSI integration, and enduring </w:t>
      </w:r>
      <w:r w:rsidR="00EC502C">
        <w:t>results</w:t>
      </w:r>
      <w:r w:rsidRPr="005B2E0E">
        <w:t xml:space="preserve"> aligned with partner contexts.</w:t>
      </w:r>
      <w:r w:rsidR="00C62203" w:rsidRPr="003D4B91">
        <w:br w:type="page"/>
      </w:r>
    </w:p>
    <w:p w14:paraId="682E55F1" w14:textId="74BAE375" w:rsidR="00C62203" w:rsidRPr="003D4B91" w:rsidRDefault="00C62203" w:rsidP="00E61B18">
      <w:pPr>
        <w:pStyle w:val="Heading1"/>
      </w:pPr>
      <w:bookmarkStart w:id="105" w:name="_Ref169614432"/>
      <w:bookmarkStart w:id="106" w:name="_Ref169614435"/>
      <w:bookmarkStart w:id="107" w:name="_Toc225951845"/>
      <w:r w:rsidRPr="003D4B91">
        <w:lastRenderedPageBreak/>
        <w:t>Consolidated recommendations</w:t>
      </w:r>
      <w:bookmarkEnd w:id="105"/>
      <w:bookmarkEnd w:id="106"/>
      <w:bookmarkEnd w:id="107"/>
    </w:p>
    <w:p w14:paraId="3A63EC96" w14:textId="77777777" w:rsidR="003D1B30" w:rsidRPr="003D4B91" w:rsidRDefault="003D1B30" w:rsidP="003D1B30">
      <w:bookmarkStart w:id="108" w:name="_Hlk219855144"/>
      <w:r w:rsidRPr="003D4B91">
        <w:t xml:space="preserve">Recommendation 1: </w:t>
      </w:r>
      <w:r w:rsidRPr="00B16321">
        <w:t>DFAT should ensure that the program logic and MEL Framework for any future phase of RUCaS is clear, feasible within the given timeframe and resources (including with respect to GEDSI), and conforms with DFAT MEL standards.</w:t>
      </w:r>
    </w:p>
    <w:p w14:paraId="267808D7" w14:textId="218FCAEA" w:rsidR="003D1B30" w:rsidRPr="003D4B91" w:rsidRDefault="003D1B30" w:rsidP="003D1B30">
      <w:r w:rsidRPr="003D4B91">
        <w:t xml:space="preserve">Recommendation 2: </w:t>
      </w:r>
      <w:r w:rsidRPr="00E96DCB">
        <w:t>The implementers of any future phase of RUCaS should progress at least one case study in each country from concept to a stage where it is fully constructed, commissioned, and monitored to demonstrate the financial costs and benefits of sustainable hybrid NbS (even if this means having smaller case studies</w:t>
      </w:r>
      <w:r w:rsidR="00F16555">
        <w:t xml:space="preserve">, and/or in fewer </w:t>
      </w:r>
      <w:r w:rsidR="005F58BD">
        <w:t>countries,</w:t>
      </w:r>
      <w:r w:rsidR="005F58BD" w:rsidRPr="00E96DCB">
        <w:t xml:space="preserve"> that</w:t>
      </w:r>
      <w:r w:rsidRPr="00E96DCB">
        <w:t xml:space="preserve"> are </w:t>
      </w:r>
      <w:proofErr w:type="gramStart"/>
      <w:r w:rsidRPr="00E96DCB">
        <w:t>fully-funded</w:t>
      </w:r>
      <w:proofErr w:type="gramEnd"/>
      <w:r w:rsidRPr="00E96DCB">
        <w:t xml:space="preserve"> by the program). Site selection for the case studies should be driven by local partners, and design should be</w:t>
      </w:r>
      <w:r w:rsidR="00A67B35">
        <w:t xml:space="preserve"> done collaboratively and</w:t>
      </w:r>
      <w:r w:rsidRPr="00E96DCB">
        <w:t xml:space="preserve"> in accordance with locally relevant budgets.</w:t>
      </w:r>
    </w:p>
    <w:p w14:paraId="65F7EB7B" w14:textId="161CF13A" w:rsidR="003D1B30" w:rsidRPr="003D4B91" w:rsidRDefault="003D1B30" w:rsidP="003D1B30">
      <w:r w:rsidRPr="003D4B91">
        <w:t xml:space="preserve">Recommendation 3: </w:t>
      </w:r>
      <w:r w:rsidRPr="00E96DCB">
        <w:t>The implementers of any future phase of RUCaS should ensure that any knowledge products, guidelines and/or roadmaps developed for specific countries or cities should a) be demand-driven by local partners, b) be co-designed with local partners, c) be field-tested and updated where appropriate, and d) include clear dissemination and implementation plans</w:t>
      </w:r>
      <w:r w:rsidR="00274D89">
        <w:t xml:space="preserve"> (which define stakeholders who are able to oversee implementation)</w:t>
      </w:r>
      <w:r w:rsidRPr="00E96DCB">
        <w:t>.</w:t>
      </w:r>
    </w:p>
    <w:p w14:paraId="7311C38B" w14:textId="647C075B" w:rsidR="003D1B30" w:rsidRPr="003D4B91" w:rsidRDefault="003D1B30" w:rsidP="003D1B30">
      <w:r w:rsidRPr="003D4B91">
        <w:t xml:space="preserve">Recommendation 4: </w:t>
      </w:r>
      <w:r w:rsidRPr="00E96DCB">
        <w:t>The implementers of any future phase of RUCaS should facilitate learning events for those involved in funding, planning, designing and constructing NbS in the region that exhibit (either virtually or through in-person site-visits) examples of working NbS in a range of contexts</w:t>
      </w:r>
      <w:r w:rsidR="000B1081">
        <w:t xml:space="preserve">, </w:t>
      </w:r>
      <w:r w:rsidRPr="00E96DCB">
        <w:t xml:space="preserve">budgets </w:t>
      </w:r>
      <w:r w:rsidR="000B1081">
        <w:t>and scales of impact</w:t>
      </w:r>
      <w:r w:rsidR="000B1081" w:rsidRPr="00E96DCB">
        <w:t xml:space="preserve"> </w:t>
      </w:r>
      <w:r w:rsidRPr="00E96DCB">
        <w:t>(in addition to examples from China and Thailand).</w:t>
      </w:r>
    </w:p>
    <w:p w14:paraId="0B87A0FD" w14:textId="3FC43A70" w:rsidR="003D1B30" w:rsidRPr="003D4B91" w:rsidRDefault="003D1B30" w:rsidP="003D1B30">
      <w:r w:rsidRPr="003D4B91">
        <w:t xml:space="preserve">Recommendation 5: </w:t>
      </w:r>
      <w:r w:rsidRPr="00E96DCB">
        <w:t>DFAT and the implementing team should ensure that GEDSI is resourced and included from the very beginning of any future phase of the RUCaS program. This includes the definition of clear and feasible GEDSI-related EOPO/IO in the program design, conducting in-depth GEDSI analysis prior to detailed design, and the development of a clear and feasible GEDSI strategy.</w:t>
      </w:r>
    </w:p>
    <w:p w14:paraId="6D37B631" w14:textId="77777777" w:rsidR="003D1B30" w:rsidRPr="003D4B91" w:rsidRDefault="003D1B30" w:rsidP="003D1B30">
      <w:r w:rsidRPr="003D4B91">
        <w:t xml:space="preserve">Recommendation 6: </w:t>
      </w:r>
      <w:r w:rsidRPr="00E96DCB">
        <w:t>The implementing team of any future phase of the RUCaS program should hire staff to be responsible for implementing the program GEDSI outcomes (preferably separate roles for gender equality, disability inclusion and representation of other marginalised groups) who have expertise in GEDSI, community development and technical fields such as engineering (that is, experts who can work across these disciplines).</w:t>
      </w:r>
    </w:p>
    <w:p w14:paraId="0D555D0E" w14:textId="77777777" w:rsidR="003D1B30" w:rsidRPr="003D4B91" w:rsidRDefault="003D1B30" w:rsidP="003D1B30">
      <w:r w:rsidRPr="003D4B91">
        <w:t xml:space="preserve">Recommendation 7: </w:t>
      </w:r>
      <w:r w:rsidRPr="00E96DCB">
        <w:t>The implementing team of any future phase of the RUCaS program should facilitate GEDSI capacity development, firstly for the implementing team (and implementing partner organisations) and then for NbS champions, planners and implementers in the region.</w:t>
      </w:r>
    </w:p>
    <w:p w14:paraId="1EDFA141" w14:textId="24E4EB51" w:rsidR="003D1B30" w:rsidRPr="003D4B91" w:rsidRDefault="003D1B30" w:rsidP="003D1B30">
      <w:r w:rsidRPr="003D4B91">
        <w:t xml:space="preserve">Recommendation 8: </w:t>
      </w:r>
      <w:r w:rsidRPr="00E96DCB">
        <w:t xml:space="preserve">The implementers of any future phase of the RUCaS program should aim to have most of its </w:t>
      </w:r>
      <w:r w:rsidR="00544FFE">
        <w:t xml:space="preserve">implementation </w:t>
      </w:r>
      <w:r w:rsidRPr="00E96DCB">
        <w:t>team based in the target countries and comprise staff who have local language skills and understanding of local culture and political economy as well as NbS technical capacity.</w:t>
      </w:r>
    </w:p>
    <w:p w14:paraId="2C555D47" w14:textId="6FFBB49E" w:rsidR="003D1B30" w:rsidRPr="003D4B91" w:rsidRDefault="003D1B30" w:rsidP="003D1B30">
      <w:pPr>
        <w:sectPr w:rsidR="003D1B30" w:rsidRPr="003D4B91" w:rsidSect="00142D8D">
          <w:headerReference w:type="even" r:id="rId11"/>
          <w:headerReference w:type="default" r:id="rId12"/>
          <w:footerReference w:type="even" r:id="rId13"/>
          <w:footerReference w:type="default" r:id="rId14"/>
          <w:footerReference w:type="first" r:id="rId15"/>
          <w:pgSz w:w="11906" w:h="16838"/>
          <w:pgMar w:top="1440" w:right="1440" w:bottom="1440" w:left="1440" w:header="708" w:footer="708" w:gutter="0"/>
          <w:pgNumType w:fmt="lowerRoman" w:start="0"/>
          <w:cols w:space="708"/>
          <w:titlePg/>
          <w:docGrid w:linePitch="360"/>
        </w:sectPr>
      </w:pPr>
    </w:p>
    <w:p w14:paraId="1D56DA88" w14:textId="3BA3A8F2" w:rsidR="00143D2F" w:rsidRPr="003D4B91" w:rsidRDefault="00143D2F" w:rsidP="00917837">
      <w:pPr>
        <w:pStyle w:val="Heading1"/>
        <w:numPr>
          <w:ilvl w:val="0"/>
          <w:numId w:val="1"/>
        </w:numPr>
        <w:spacing w:before="0"/>
        <w:ind w:left="357" w:hanging="357"/>
        <w:jc w:val="both"/>
      </w:pPr>
      <w:bookmarkStart w:id="109" w:name="_Toc225951846"/>
      <w:bookmarkEnd w:id="108"/>
      <w:r w:rsidRPr="003D4B91">
        <w:lastRenderedPageBreak/>
        <w:t>Introduction</w:t>
      </w:r>
      <w:bookmarkEnd w:id="109"/>
    </w:p>
    <w:p w14:paraId="7A684A24" w14:textId="082412C5" w:rsidR="00DF7ADA" w:rsidRPr="003D4B91" w:rsidRDefault="00DF7ADA" w:rsidP="00DF7ADA">
      <w:pPr>
        <w:pStyle w:val="Heading20"/>
        <w:numPr>
          <w:ilvl w:val="1"/>
          <w:numId w:val="1"/>
        </w:numPr>
        <w:jc w:val="both"/>
      </w:pPr>
      <w:bookmarkStart w:id="110" w:name="_Toc225951847"/>
      <w:r w:rsidRPr="003D4B91">
        <w:t>Synopsis</w:t>
      </w:r>
      <w:bookmarkEnd w:id="110"/>
    </w:p>
    <w:p w14:paraId="40902C4A" w14:textId="27A86BC3" w:rsidR="005300D3" w:rsidRPr="003D4B91" w:rsidRDefault="00DF7ADA" w:rsidP="005300D3">
      <w:r w:rsidRPr="003D4B91">
        <w:t xml:space="preserve">This document is an independent end of program evaluation of Phase 1 of the </w:t>
      </w:r>
      <w:r w:rsidRPr="003D4B91">
        <w:rPr>
          <w:i/>
          <w:iCs/>
        </w:rPr>
        <w:t>Resilient Urban Centres and Surrounds</w:t>
      </w:r>
      <w:r w:rsidRPr="003D4B91">
        <w:t xml:space="preserve"> (RUCaS) program—a development investment funded by the Department of Foreign Affairs and Trade (DFAT) Mekong-Australia Partnership (MAP)</w:t>
      </w:r>
      <w:r w:rsidR="00AE51E0" w:rsidRPr="003D4B91">
        <w:rPr>
          <w:rStyle w:val="FootnoteReference"/>
        </w:rPr>
        <w:footnoteReference w:id="2"/>
      </w:r>
      <w:r w:rsidRPr="003D4B91">
        <w:t xml:space="preserve"> regional program. RUCaS </w:t>
      </w:r>
      <w:r w:rsidR="005D5725" w:rsidRPr="003D4B91">
        <w:t xml:space="preserve">was </w:t>
      </w:r>
      <w:r w:rsidRPr="003D4B91">
        <w:t>implemented by Monash University’s Water Sensitive Cities Australia (WSCA) in partnership with the International Centre for Environmental Management (ICEM). Th</w:t>
      </w:r>
      <w:r w:rsidR="005300D3" w:rsidRPr="003D4B91">
        <w:t>e evaluation was undertaken by three independent evaluators</w:t>
      </w:r>
      <w:r w:rsidR="005300D3" w:rsidRPr="003D4B91">
        <w:rPr>
          <w:rStyle w:val="FootnoteReference"/>
        </w:rPr>
        <w:footnoteReference w:id="3"/>
      </w:r>
      <w:r w:rsidR="005300D3" w:rsidRPr="003D4B91">
        <w:t xml:space="preserve"> (FH Designs Pty Ltd) during September 2025 – January 2026 in line with </w:t>
      </w:r>
      <w:r w:rsidR="00AE51E0" w:rsidRPr="003D4B91">
        <w:t xml:space="preserve">a </w:t>
      </w:r>
      <w:r w:rsidRPr="003D4B91">
        <w:t>Terms of Reference (</w:t>
      </w:r>
      <w:proofErr w:type="spellStart"/>
      <w:r w:rsidRPr="003D4B91">
        <w:t>ToR</w:t>
      </w:r>
      <w:proofErr w:type="spellEnd"/>
      <w:r w:rsidRPr="003D4B91">
        <w:t>) developed by WSCA, ICEM and DFAT, and with reference to DFAT’s Monitoring</w:t>
      </w:r>
      <w:r w:rsidR="00A5084A">
        <w:t>,</w:t>
      </w:r>
      <w:r w:rsidRPr="003D4B91">
        <w:t xml:space="preserve"> Evaluation </w:t>
      </w:r>
      <w:r w:rsidR="00A5084A">
        <w:t xml:space="preserve">and Learning </w:t>
      </w:r>
      <w:r w:rsidRPr="003D4B91">
        <w:t>(M</w:t>
      </w:r>
      <w:r w:rsidR="00A5084A">
        <w:t>EL</w:t>
      </w:r>
      <w:r w:rsidRPr="003D4B91">
        <w:t>) Standard 9</w:t>
      </w:r>
      <w:r w:rsidR="005300D3" w:rsidRPr="003D4B91">
        <w:rPr>
          <w:rStyle w:val="FootnoteReference"/>
        </w:rPr>
        <w:footnoteReference w:id="4"/>
      </w:r>
      <w:r w:rsidRPr="003D4B91">
        <w:t xml:space="preserve"> and Ethical Research and Evaluation Guidance</w:t>
      </w:r>
      <w:r w:rsidR="00A25C44" w:rsidRPr="003D4B91">
        <w:t>.</w:t>
      </w:r>
      <w:r w:rsidR="005300D3" w:rsidRPr="003D4B91">
        <w:rPr>
          <w:rStyle w:val="FootnoteReference"/>
        </w:rPr>
        <w:footnoteReference w:id="5"/>
      </w:r>
      <w:r w:rsidR="00E95339" w:rsidRPr="003D4B91">
        <w:t xml:space="preserve"> Support for identifying informants, providing documentation and in-country introductions was provided by the RUCaS team.</w:t>
      </w:r>
    </w:p>
    <w:p w14:paraId="7748B9F1" w14:textId="63F796A3" w:rsidR="005300D3" w:rsidRPr="003D4B91" w:rsidRDefault="005300D3" w:rsidP="005300D3">
      <w:pPr>
        <w:pStyle w:val="Heading20"/>
        <w:numPr>
          <w:ilvl w:val="1"/>
          <w:numId w:val="1"/>
        </w:numPr>
        <w:jc w:val="both"/>
      </w:pPr>
      <w:bookmarkStart w:id="111" w:name="_Toc225951848"/>
      <w:r w:rsidRPr="003D4B91">
        <w:t>Background and Context</w:t>
      </w:r>
      <w:bookmarkEnd w:id="111"/>
    </w:p>
    <w:p w14:paraId="5F6EA36B" w14:textId="4AA6CD5B" w:rsidR="002B6607" w:rsidRPr="003D4B91" w:rsidRDefault="002B6607" w:rsidP="002B6607">
      <w:r w:rsidRPr="003D4B91">
        <w:t xml:space="preserve">Cities in the </w:t>
      </w:r>
      <w:r w:rsidR="00C7502A" w:rsidRPr="003D4B91">
        <w:t>Mekong subregion</w:t>
      </w:r>
      <w:r w:rsidRPr="003D4B91">
        <w:t xml:space="preserve"> have been experiencing rapid growth over the last decade with rates of 3-5% growth per year: higher than the global average. By 2030, over 40% of the population will live in urban areas.</w:t>
      </w:r>
      <w:r w:rsidR="00AE51E0" w:rsidRPr="003D4B91">
        <w:rPr>
          <w:rStyle w:val="FootnoteReference"/>
        </w:rPr>
        <w:footnoteReference w:id="6"/>
      </w:r>
      <w:r w:rsidRPr="003D4B91">
        <w:t xml:space="preserve"> This rapid—and often unplanned—urban development has driven economic growth, but it has also put pressure on environmental systems and has exacerbated climate risks such as heat, flooding, and pollution, notably for vulnerable communities. Traditional infrastructure approaches are insufficient for meeting the social, economic and environmental needs of urban populations. </w:t>
      </w:r>
      <w:r w:rsidR="00A3265C" w:rsidRPr="003D4B91">
        <w:t>In the future, c</w:t>
      </w:r>
      <w:r w:rsidRPr="003D4B91">
        <w:t xml:space="preserve">ities in the region will rely on systems that are more resilient and contribute to climate mitigation and adaptation strategies. Nature-based solutions (NbS) are a sustainable option to ensure improved environmental outcomes whilst also positively contributing to economic and social outcomes. </w:t>
      </w:r>
      <w:r w:rsidR="006461DD" w:rsidRPr="003D4B91">
        <w:t>See box below for a more detailed description of NbS</w:t>
      </w:r>
      <w:r w:rsidR="00E116FB">
        <w:t>, as well as hybrid NbS</w:t>
      </w:r>
      <w:r w:rsidR="006461DD" w:rsidRPr="003D4B91">
        <w:t>.</w:t>
      </w:r>
    </w:p>
    <w:p w14:paraId="535E29D9" w14:textId="1FA85AC2" w:rsidR="008B5259" w:rsidRDefault="008B5259" w:rsidP="008B5259">
      <w:r>
        <w:t xml:space="preserve">Prior to 2022, </w:t>
      </w:r>
      <w:r w:rsidRPr="00BF63C6">
        <w:t>when the RUC</w:t>
      </w:r>
      <w:r>
        <w:t>a</w:t>
      </w:r>
      <w:r w:rsidRPr="00BF63C6">
        <w:t xml:space="preserve">S program was </w:t>
      </w:r>
      <w:r>
        <w:t>proposed</w:t>
      </w:r>
      <w:r w:rsidR="00E116FB">
        <w:t>,</w:t>
      </w:r>
      <w:r w:rsidRPr="003576D0">
        <w:t xml:space="preserve"> </w:t>
      </w:r>
      <w:r w:rsidRPr="00BF63C6">
        <w:t>there was limited awareness</w:t>
      </w:r>
      <w:r>
        <w:t xml:space="preserve"> of and technical capacity to deliver hybrid NbS in the Mekong subregion, particularly in countries such as Cambodia and Lao PDR. </w:t>
      </w:r>
      <w:r w:rsidRPr="003D4B91">
        <w:t xml:space="preserve">WSCA and ICEM </w:t>
      </w:r>
      <w:r>
        <w:t xml:space="preserve">had already conducted work </w:t>
      </w:r>
      <w:r w:rsidRPr="003D4B91">
        <w:t xml:space="preserve">that applied NbS and integrated urban flood management </w:t>
      </w:r>
      <w:r>
        <w:t xml:space="preserve">(IUFM) </w:t>
      </w:r>
      <w:r w:rsidRPr="003D4B91">
        <w:t>approaches in Viet Nam and Thailand as well as China.</w:t>
      </w:r>
      <w:r>
        <w:t xml:space="preserve"> Building on this work, RUCaS was designed as a program to raise awareness of</w:t>
      </w:r>
      <w:r w:rsidR="00E116FB">
        <w:t xml:space="preserve"> hybrid NbS as well as</w:t>
      </w:r>
      <w:r>
        <w:t xml:space="preserve"> build technical capacity to implement in </w:t>
      </w:r>
      <w:r w:rsidRPr="003D4B91">
        <w:t>Thailand, Cambodia, Lao PDR, and Viet Nam</w:t>
      </w:r>
      <w:r>
        <w:t xml:space="preserve">. This would be done through top-down processes that would demonstrate the local applicability of NbS in the Mekong subregion with the ultimate result being that NbS would be implemented by local partners at scale. </w:t>
      </w:r>
    </w:p>
    <w:p w14:paraId="0084F09B" w14:textId="77777777" w:rsidR="007E3D2D" w:rsidRDefault="007E3D2D" w:rsidP="002B6607"/>
    <w:p w14:paraId="3A2E3888" w14:textId="77777777" w:rsidR="00F15725" w:rsidRPr="003D4B91" w:rsidRDefault="00F15725" w:rsidP="004D1CAB">
      <w:pPr>
        <w:pBdr>
          <w:top w:val="single" w:sz="4" w:space="1" w:color="auto"/>
          <w:left w:val="single" w:sz="4" w:space="4" w:color="auto"/>
          <w:bottom w:val="single" w:sz="4" w:space="1" w:color="auto"/>
          <w:right w:val="single" w:sz="4" w:space="4" w:color="auto"/>
        </w:pBdr>
        <w:spacing w:before="240"/>
        <w:ind w:left="113"/>
      </w:pPr>
      <w:r w:rsidRPr="00585A4C">
        <w:rPr>
          <w:b/>
          <w:i/>
        </w:rPr>
        <w:lastRenderedPageBreak/>
        <w:t>Nature-based solutions (NbS)</w:t>
      </w:r>
      <w:r w:rsidRPr="00585A4C">
        <w:t xml:space="preserve"> </w:t>
      </w:r>
      <w:r w:rsidRPr="003D4B91">
        <w:t>were defined at the 5th United Nations Environment Assembly</w:t>
      </w:r>
      <w:r w:rsidRPr="003D4B91">
        <w:rPr>
          <w:rStyle w:val="FootnoteReference"/>
        </w:rPr>
        <w:footnoteReference w:id="7"/>
      </w:r>
      <w:r w:rsidRPr="003D4B91">
        <w:t xml:space="preserve"> as "actions aimed at protecting, conserving, restoring, and sustainably managing natural or modified terrestrial, freshwater, coastal, and marine ecosystems, which address social, economic and environmental challenges effectively and adaptively, while simultaneously providing human well-being, ecosystem services, resilience and biodiversity benefits." </w:t>
      </w:r>
    </w:p>
    <w:p w14:paraId="1A3B8BE8" w14:textId="77777777" w:rsidR="00F15725" w:rsidRPr="003D4B91" w:rsidRDefault="00F15725" w:rsidP="004D1CAB">
      <w:pPr>
        <w:pBdr>
          <w:top w:val="single" w:sz="4" w:space="1" w:color="auto"/>
          <w:left w:val="single" w:sz="4" w:space="4" w:color="auto"/>
          <w:bottom w:val="single" w:sz="4" w:space="1" w:color="auto"/>
          <w:right w:val="single" w:sz="4" w:space="4" w:color="auto"/>
        </w:pBdr>
        <w:spacing w:before="240"/>
        <w:ind w:left="113"/>
      </w:pPr>
      <w:r w:rsidRPr="003D4B91">
        <w:t xml:space="preserve">In the context of </w:t>
      </w:r>
      <w:proofErr w:type="spellStart"/>
      <w:r w:rsidRPr="003D4B91">
        <w:t>RUCaS</w:t>
      </w:r>
      <w:proofErr w:type="spellEnd"/>
      <w:r w:rsidRPr="003D4B91">
        <w:t xml:space="preserve">, </w:t>
      </w:r>
      <w:r>
        <w:t>the term ‘</w:t>
      </w:r>
      <w:proofErr w:type="spellStart"/>
      <w:r w:rsidRPr="003D4B91">
        <w:t>NbS</w:t>
      </w:r>
      <w:r>
        <w:t>’</w:t>
      </w:r>
      <w:proofErr w:type="spellEnd"/>
      <w:r w:rsidRPr="003D4B91">
        <w:t xml:space="preserve"> </w:t>
      </w:r>
      <w:r>
        <w:t>was</w:t>
      </w:r>
      <w:r w:rsidRPr="003D4B91">
        <w:t xml:space="preserve"> </w:t>
      </w:r>
      <w:r>
        <w:t xml:space="preserve">broadly </w:t>
      </w:r>
      <w:r w:rsidRPr="003D4B91">
        <w:t xml:space="preserve">used </w:t>
      </w:r>
      <w:r>
        <w:t xml:space="preserve">to describe </w:t>
      </w:r>
      <w:r w:rsidRPr="003D4B91">
        <w:t>solutions that use nature and natural processes to sustainably manage urban environments. These solutions can support multiple urban systems, including water management and security, urban heat management, disaster risk reduction, and air pollution control. NbS also support healthy ecosystems and biodiversity, yielding benefits for both people and the environment.</w:t>
      </w:r>
    </w:p>
    <w:p w14:paraId="1437FA5A" w14:textId="77777777" w:rsidR="00826B26" w:rsidRDefault="00F15725" w:rsidP="004D1CAB">
      <w:pPr>
        <w:pBdr>
          <w:top w:val="single" w:sz="4" w:space="1" w:color="auto"/>
          <w:left w:val="single" w:sz="4" w:space="4" w:color="auto"/>
          <w:bottom w:val="single" w:sz="4" w:space="1" w:color="auto"/>
          <w:right w:val="single" w:sz="4" w:space="4" w:color="auto"/>
        </w:pBdr>
        <w:spacing w:before="240"/>
        <w:ind w:left="113"/>
      </w:pPr>
      <w:r>
        <w:t>The term ‘</w:t>
      </w:r>
      <w:proofErr w:type="spellStart"/>
      <w:r w:rsidRPr="003D4B91">
        <w:t>NbS</w:t>
      </w:r>
      <w:r>
        <w:t>’</w:t>
      </w:r>
      <w:proofErr w:type="spellEnd"/>
      <w:r w:rsidRPr="003D4B91">
        <w:t xml:space="preserve"> encompasses other concepts which are, effectively, approaches to put NbS into practice. These include </w:t>
      </w:r>
      <w:r w:rsidRPr="003D4B91">
        <w:rPr>
          <w:i/>
          <w:iCs/>
        </w:rPr>
        <w:t>green infrastructure</w:t>
      </w:r>
      <w:r w:rsidRPr="003D4B91">
        <w:t xml:space="preserve"> and </w:t>
      </w:r>
      <w:r w:rsidRPr="003D4B91">
        <w:rPr>
          <w:i/>
          <w:iCs/>
        </w:rPr>
        <w:t>ecosystem-based adaptation</w:t>
      </w:r>
      <w:r w:rsidRPr="003D4B91">
        <w:t xml:space="preserve"> (</w:t>
      </w:r>
      <w:proofErr w:type="spellStart"/>
      <w:r w:rsidRPr="003D4B91">
        <w:t>E</w:t>
      </w:r>
      <w:r>
        <w:t>b</w:t>
      </w:r>
      <w:r w:rsidRPr="003D4B91">
        <w:t>A</w:t>
      </w:r>
      <w:proofErr w:type="spellEnd"/>
      <w:r w:rsidRPr="003D4B91">
        <w:t xml:space="preserve">). Different countries and different partners vary in their preference of terminology, though they are all broadly encompassed under the umbrella of </w:t>
      </w:r>
      <w:r>
        <w:t>‘</w:t>
      </w:r>
      <w:r w:rsidRPr="003D4B91">
        <w:t>NbS</w:t>
      </w:r>
      <w:r>
        <w:t>’</w:t>
      </w:r>
      <w:r w:rsidRPr="003D4B91">
        <w:t>.</w:t>
      </w:r>
    </w:p>
    <w:p w14:paraId="02C50A83" w14:textId="0CAAEC4D" w:rsidR="002B6607" w:rsidRPr="003D4B91" w:rsidRDefault="00F15725" w:rsidP="004D1CAB">
      <w:pPr>
        <w:pBdr>
          <w:top w:val="single" w:sz="4" w:space="1" w:color="auto"/>
          <w:left w:val="single" w:sz="4" w:space="4" w:color="auto"/>
          <w:bottom w:val="single" w:sz="4" w:space="1" w:color="auto"/>
          <w:right w:val="single" w:sz="4" w:space="4" w:color="auto"/>
        </w:pBdr>
        <w:spacing w:before="240"/>
        <w:ind w:left="113"/>
      </w:pPr>
      <w:r w:rsidRPr="003D4B91">
        <w:t>RUCaS also defined ‘</w:t>
      </w:r>
      <w:r w:rsidRPr="003D4B91">
        <w:rPr>
          <w:b/>
          <w:bCs/>
        </w:rPr>
        <w:t xml:space="preserve">hybrid </w:t>
      </w:r>
      <w:proofErr w:type="spellStart"/>
      <w:r w:rsidRPr="003D4B91">
        <w:rPr>
          <w:b/>
          <w:bCs/>
        </w:rPr>
        <w:t>NbS</w:t>
      </w:r>
      <w:r w:rsidRPr="003D4B91">
        <w:t>’</w:t>
      </w:r>
      <w:proofErr w:type="spellEnd"/>
      <w:r w:rsidRPr="003D4B91">
        <w:rPr>
          <w:b/>
          <w:bCs/>
        </w:rPr>
        <w:t xml:space="preserve"> </w:t>
      </w:r>
      <w:r w:rsidRPr="003D4B91">
        <w:t xml:space="preserve">as solutions that combine both NbS (e.g. wetlands, parks, mangroves) and grey infrastructure (e.g. energy systems, levees and drainage pipes and roads)—in addition to non-structural solutions like planning controls or flood warning systems—to deliver a </w:t>
      </w:r>
      <w:r>
        <w:t>wider</w:t>
      </w:r>
      <w:r w:rsidRPr="003D4B91">
        <w:t xml:space="preserve"> range of benefits for broader overall community gain.</w:t>
      </w:r>
    </w:p>
    <w:p w14:paraId="7C28C83F" w14:textId="7829A71E" w:rsidR="00DF7ADA" w:rsidRPr="003D4B91" w:rsidRDefault="00007015" w:rsidP="00430BDD">
      <w:pPr>
        <w:pStyle w:val="Heading20"/>
        <w:numPr>
          <w:ilvl w:val="1"/>
          <w:numId w:val="1"/>
        </w:numPr>
        <w:jc w:val="both"/>
      </w:pPr>
      <w:bookmarkStart w:id="112" w:name="_Ref219836943"/>
      <w:bookmarkStart w:id="113" w:name="_Toc225951849"/>
      <w:r w:rsidRPr="003D4B91">
        <w:t>Investment Overview</w:t>
      </w:r>
      <w:bookmarkEnd w:id="112"/>
      <w:bookmarkEnd w:id="113"/>
    </w:p>
    <w:p w14:paraId="6852500A" w14:textId="77777777" w:rsidR="008B5259" w:rsidRDefault="00430BDD" w:rsidP="003369AA">
      <w:r w:rsidRPr="003D4B91">
        <w:t xml:space="preserve">RUCaS </w:t>
      </w:r>
      <w:r w:rsidR="006461DD" w:rsidRPr="003D4B91">
        <w:t xml:space="preserve">Phase 1 </w:t>
      </w:r>
      <w:r w:rsidR="005D5725" w:rsidRPr="003D4B91">
        <w:t xml:space="preserve">was </w:t>
      </w:r>
      <w:r w:rsidRPr="003D4B91">
        <w:t xml:space="preserve">a development investment </w:t>
      </w:r>
      <w:r w:rsidR="006461DD" w:rsidRPr="003D4B91">
        <w:t xml:space="preserve">funded by DFAT’s MAP regional program and </w:t>
      </w:r>
      <w:r w:rsidRPr="003D4B91">
        <w:t>delivered by WSCA with regional support from ICEM</w:t>
      </w:r>
      <w:r w:rsidR="008B5259">
        <w:t xml:space="preserve"> to raise awareness of, and build technical capacity to implement, hybrid NbS in Thailand, Cambodia, Lao PDR and Viet Nam</w:t>
      </w:r>
      <w:r w:rsidRPr="003D4B91">
        <w:t xml:space="preserve">. </w:t>
      </w:r>
      <w:r w:rsidR="008B5259">
        <w:t>The program received a total of AUD7 million during its four-year duration through multiple amendments:</w:t>
      </w:r>
    </w:p>
    <w:p w14:paraId="7BD456AF" w14:textId="1A21D641" w:rsidR="008B5259" w:rsidRDefault="008B5259" w:rsidP="00037A46">
      <w:pPr>
        <w:pStyle w:val="ListParagraph"/>
        <w:numPr>
          <w:ilvl w:val="0"/>
          <w:numId w:val="11"/>
        </w:numPr>
      </w:pPr>
      <w:r>
        <w:t>In March 2022, the program received AUD3 million and was due to be completed in June 2024</w:t>
      </w:r>
      <w:r w:rsidR="00D242FA">
        <w:t>.</w:t>
      </w:r>
      <w:r w:rsidR="00D242FA">
        <w:rPr>
          <w:rStyle w:val="FootnoteReference"/>
        </w:rPr>
        <w:footnoteReference w:id="8"/>
      </w:r>
    </w:p>
    <w:p w14:paraId="75FC9C4A" w14:textId="3D097D55" w:rsidR="008B5259" w:rsidRDefault="008B5259" w:rsidP="00037A46">
      <w:pPr>
        <w:pStyle w:val="ListParagraph"/>
        <w:numPr>
          <w:ilvl w:val="0"/>
          <w:numId w:val="11"/>
        </w:numPr>
      </w:pPr>
      <w:r>
        <w:t xml:space="preserve">In 2023, the </w:t>
      </w:r>
      <w:r w:rsidRPr="003D4B91">
        <w:t>program received an additional AUD1 million</w:t>
      </w:r>
      <w:r>
        <w:t xml:space="preserve"> </w:t>
      </w:r>
      <w:r w:rsidRPr="003D4B91">
        <w:t>(Amendment 1)</w:t>
      </w:r>
      <w:r>
        <w:t>.</w:t>
      </w:r>
      <w:r w:rsidR="00D242FA">
        <w:rPr>
          <w:rStyle w:val="FootnoteReference"/>
        </w:rPr>
        <w:footnoteReference w:id="9"/>
      </w:r>
    </w:p>
    <w:p w14:paraId="7517BEE8" w14:textId="07071647" w:rsidR="008B5259" w:rsidRDefault="008B5259" w:rsidP="00037A46">
      <w:pPr>
        <w:pStyle w:val="ListParagraph"/>
        <w:numPr>
          <w:ilvl w:val="0"/>
          <w:numId w:val="11"/>
        </w:numPr>
      </w:pPr>
      <w:r>
        <w:t>In late 2024, the program received an additional AUD3 million (Amendment 2)</w:t>
      </w:r>
      <w:r w:rsidR="00B334CC">
        <w:t xml:space="preserve"> with extension to December 2025</w:t>
      </w:r>
      <w:r>
        <w:t>.</w:t>
      </w:r>
      <w:r w:rsidR="00D242FA">
        <w:rPr>
          <w:rStyle w:val="FootnoteReference"/>
        </w:rPr>
        <w:footnoteReference w:id="10"/>
      </w:r>
    </w:p>
    <w:p w14:paraId="2018400D" w14:textId="506F6358" w:rsidR="008B5259" w:rsidRDefault="008B5259" w:rsidP="00037A46">
      <w:pPr>
        <w:pStyle w:val="ListParagraph"/>
        <w:numPr>
          <w:ilvl w:val="0"/>
          <w:numId w:val="11"/>
        </w:numPr>
      </w:pPr>
      <w:r>
        <w:t>In 2025, the program</w:t>
      </w:r>
      <w:r w:rsidRPr="003D4B91">
        <w:t xml:space="preserve"> received a no-cost ext</w:t>
      </w:r>
      <w:r>
        <w:t xml:space="preserve">ension </w:t>
      </w:r>
      <w:r w:rsidRPr="003D4B91">
        <w:t>to complete Phase 1 in April 2026.</w:t>
      </w:r>
    </w:p>
    <w:p w14:paraId="49F78D86" w14:textId="2CD6B686" w:rsidR="00D242FA" w:rsidRDefault="00D242FA" w:rsidP="00D242FA">
      <w:r>
        <w:t>The staggered nature of the RUCaS program was a major challenge to its design and implementation. What was initially designed as a two-year program</w:t>
      </w:r>
      <w:r w:rsidR="00D265AD">
        <w:rPr>
          <w:rStyle w:val="FootnoteReference"/>
        </w:rPr>
        <w:footnoteReference w:id="11"/>
      </w:r>
      <w:r>
        <w:t xml:space="preserve"> became a four-year program</w:t>
      </w:r>
      <w:r w:rsidR="00050736">
        <w:t>,</w:t>
      </w:r>
      <w:r>
        <w:t xml:space="preserve"> and allocating resources, staffing and defining the scope of the case studies proved to be challenging. As such, the program design as set out in the </w:t>
      </w:r>
      <w:r w:rsidR="00050736" w:rsidRPr="003D4B91">
        <w:t xml:space="preserve">Monitoring, Evaluation and </w:t>
      </w:r>
      <w:r w:rsidR="00050736" w:rsidRPr="003D4B91">
        <w:lastRenderedPageBreak/>
        <w:t>Learning (MEL)</w:t>
      </w:r>
      <w:r>
        <w:t xml:space="preserve"> framework went through several iterations, the most recent of which is described below. </w:t>
      </w:r>
    </w:p>
    <w:p w14:paraId="2DB5D0FB" w14:textId="34F7952C" w:rsidR="00BF7AA0" w:rsidRPr="003D4B91" w:rsidRDefault="00430BDD" w:rsidP="00BF7AA0">
      <w:r w:rsidRPr="003D4B91">
        <w:t xml:space="preserve">The </w:t>
      </w:r>
      <w:r w:rsidRPr="003D4B91">
        <w:rPr>
          <w:b/>
          <w:bCs/>
        </w:rPr>
        <w:t>goal</w:t>
      </w:r>
      <w:r w:rsidRPr="003D4B91">
        <w:t xml:space="preserve"> of RUCaS </w:t>
      </w:r>
      <w:r w:rsidR="00A52BA0" w:rsidRPr="003D4B91">
        <w:t>Phase 1 was</w:t>
      </w:r>
      <w:r w:rsidRPr="003D4B91">
        <w:t xml:space="preserve"> ‘</w:t>
      </w:r>
      <w:r w:rsidRPr="003D4B91">
        <w:rPr>
          <w:i/>
          <w:iCs/>
        </w:rPr>
        <w:t>resilient, sustainable, inclusive and prosperous cities where hybrid NbS drive climate change adaptation and enhance economic, social, and environmental values</w:t>
      </w:r>
      <w:r w:rsidRPr="003D4B91">
        <w:t xml:space="preserve">’. The </w:t>
      </w:r>
      <w:r w:rsidRPr="003D4B91">
        <w:rPr>
          <w:b/>
          <w:bCs/>
        </w:rPr>
        <w:t>overall aim</w:t>
      </w:r>
      <w:r w:rsidRPr="003D4B91">
        <w:t xml:space="preserve"> </w:t>
      </w:r>
      <w:r w:rsidR="00A52BA0" w:rsidRPr="003D4B91">
        <w:t>wa</w:t>
      </w:r>
      <w:r w:rsidRPr="003D4B91">
        <w:t>s ‘</w:t>
      </w:r>
      <w:r w:rsidRPr="003D4B91">
        <w:rPr>
          <w:i/>
          <w:iCs/>
        </w:rPr>
        <w:t>Mekong country partners have improved technical capacity, local demonstrations of concept, enhanced institutional buy-in and regional collaboration to support scaling NbS and hybrid solutions for more climate resilient development of urban areas and their surrounds</w:t>
      </w:r>
      <w:r w:rsidRPr="003D4B91">
        <w:t xml:space="preserve">’. To achieve this overall aim, </w:t>
      </w:r>
      <w:r w:rsidR="00A52BA0" w:rsidRPr="003D4B91">
        <w:t xml:space="preserve">RUCaS </w:t>
      </w:r>
      <w:r w:rsidR="003349AE">
        <w:t>focused</w:t>
      </w:r>
      <w:r w:rsidR="00A52BA0" w:rsidRPr="003D4B91">
        <w:t xml:space="preserve"> on </w:t>
      </w:r>
      <w:r w:rsidRPr="003D4B91">
        <w:t xml:space="preserve">three </w:t>
      </w:r>
      <w:r w:rsidRPr="003D4B91">
        <w:rPr>
          <w:b/>
          <w:bCs/>
        </w:rPr>
        <w:t>end-of-program outcomes (EOPO)</w:t>
      </w:r>
      <w:r w:rsidR="005D5725" w:rsidRPr="003D4B91">
        <w:t xml:space="preserve"> and</w:t>
      </w:r>
      <w:r w:rsidRPr="003D4B91">
        <w:t xml:space="preserve"> three corresponding </w:t>
      </w:r>
      <w:r w:rsidRPr="003D4B91">
        <w:rPr>
          <w:b/>
          <w:bCs/>
        </w:rPr>
        <w:t>intermediate outcomes (IO)</w:t>
      </w:r>
      <w:r w:rsidR="00BF7AA0" w:rsidRPr="003D4B91">
        <w:t>. Gender Equality, Disability and Social Inclusion (GEDSI) was included in</w:t>
      </w:r>
      <w:r w:rsidR="006461DD" w:rsidRPr="003D4B91">
        <w:t xml:space="preserve"> the</w:t>
      </w:r>
      <w:r w:rsidR="00BF7AA0" w:rsidRPr="003D4B91">
        <w:t xml:space="preserve"> RUCaS </w:t>
      </w:r>
      <w:r w:rsidR="006461DD" w:rsidRPr="003D4B91">
        <w:t xml:space="preserve">MEL Framework </w:t>
      </w:r>
      <w:r w:rsidR="00BF7AA0" w:rsidRPr="003D4B91">
        <w:t>as part of Amendment 2 in late 2024</w:t>
      </w:r>
      <w:r w:rsidR="00474346" w:rsidRPr="003D4B91">
        <w:t>,</w:t>
      </w:r>
      <w:r w:rsidR="00BF7AA0" w:rsidRPr="003D4B91">
        <w:t xml:space="preserve"> and a </w:t>
      </w:r>
      <w:r w:rsidR="00BF7AA0" w:rsidRPr="003D4B91">
        <w:rPr>
          <w:b/>
          <w:bCs/>
        </w:rPr>
        <w:t>cross-cutting focus</w:t>
      </w:r>
      <w:r w:rsidR="00BF7AA0" w:rsidRPr="003D4B91">
        <w:t xml:space="preserve"> and </w:t>
      </w:r>
      <w:r w:rsidR="00BF7AA0" w:rsidRPr="003D4B91">
        <w:rPr>
          <w:b/>
          <w:bCs/>
        </w:rPr>
        <w:t>expected change</w:t>
      </w:r>
      <w:r w:rsidR="00BF7AA0" w:rsidRPr="003D4B91">
        <w:t xml:space="preserve"> for GEDSI was described in the updated </w:t>
      </w:r>
      <w:r w:rsidR="006461DD" w:rsidRPr="003D4B91">
        <w:t>MEL</w:t>
      </w:r>
      <w:r w:rsidR="00BF7AA0" w:rsidRPr="003D4B91">
        <w:t xml:space="preserve"> framework at the levels of EOPO and IO, respectivel</w:t>
      </w:r>
      <w:r w:rsidR="006461DD" w:rsidRPr="003D4B91">
        <w:t>y. The EOPO, IO and GEDSI focus and expected change were:</w:t>
      </w:r>
    </w:p>
    <w:p w14:paraId="47CC4E9F" w14:textId="01E47040" w:rsidR="005D5725" w:rsidRPr="003D4B91" w:rsidRDefault="004513F7" w:rsidP="00037A46">
      <w:pPr>
        <w:pStyle w:val="ListParagraph"/>
        <w:numPr>
          <w:ilvl w:val="0"/>
          <w:numId w:val="8"/>
        </w:numPr>
        <w:pBdr>
          <w:top w:val="nil"/>
          <w:left w:val="nil"/>
          <w:bottom w:val="nil"/>
          <w:right w:val="nil"/>
          <w:between w:val="nil"/>
        </w:pBdr>
        <w:spacing w:after="0"/>
        <w:rPr>
          <w:color w:val="000000"/>
        </w:rPr>
      </w:pPr>
      <w:r w:rsidRPr="003D4B91">
        <w:rPr>
          <w:b/>
          <w:color w:val="000000"/>
        </w:rPr>
        <w:t>EOPO 1</w:t>
      </w:r>
      <w:r w:rsidR="005D5725" w:rsidRPr="003D4B91">
        <w:rPr>
          <w:b/>
          <w:color w:val="000000"/>
        </w:rPr>
        <w:t xml:space="preserve">: </w:t>
      </w:r>
      <w:r w:rsidR="005D5725" w:rsidRPr="003D4B91">
        <w:rPr>
          <w:color w:val="000000"/>
        </w:rPr>
        <w:t>The value of hybrid NbS is accepted.</w:t>
      </w:r>
    </w:p>
    <w:p w14:paraId="03F10DF2" w14:textId="411C4F00" w:rsidR="005D5725" w:rsidRPr="003D4B91" w:rsidRDefault="004513F7" w:rsidP="00037A46">
      <w:pPr>
        <w:pStyle w:val="ListParagraph"/>
        <w:numPr>
          <w:ilvl w:val="1"/>
          <w:numId w:val="8"/>
        </w:numPr>
        <w:pBdr>
          <w:top w:val="nil"/>
          <w:left w:val="nil"/>
          <w:bottom w:val="nil"/>
          <w:right w:val="nil"/>
          <w:between w:val="nil"/>
        </w:pBdr>
        <w:rPr>
          <w:color w:val="000000"/>
        </w:rPr>
      </w:pPr>
      <w:r w:rsidRPr="003D4B91">
        <w:rPr>
          <w:b/>
          <w:color w:val="000000"/>
        </w:rPr>
        <w:t>IO 1</w:t>
      </w:r>
      <w:r w:rsidR="005D5725" w:rsidRPr="003D4B91">
        <w:rPr>
          <w:b/>
          <w:color w:val="000000"/>
        </w:rPr>
        <w:t>:</w:t>
      </w:r>
      <w:r w:rsidR="005D5725" w:rsidRPr="003D4B91">
        <w:rPr>
          <w:color w:val="000000"/>
        </w:rPr>
        <w:t xml:space="preserve"> Mekong subregion partners buy in to the value of hybrid NbS in strengthening economic, social, and environmental resilience.</w:t>
      </w:r>
    </w:p>
    <w:p w14:paraId="51B0AAC5" w14:textId="0068BA4B" w:rsidR="005D5725" w:rsidRPr="003D4B91" w:rsidRDefault="004513F7" w:rsidP="00037A46">
      <w:pPr>
        <w:pStyle w:val="ListParagraph"/>
        <w:numPr>
          <w:ilvl w:val="0"/>
          <w:numId w:val="8"/>
        </w:numPr>
        <w:pBdr>
          <w:top w:val="nil"/>
          <w:left w:val="nil"/>
          <w:bottom w:val="nil"/>
          <w:right w:val="nil"/>
          <w:between w:val="nil"/>
        </w:pBdr>
        <w:spacing w:after="0"/>
        <w:rPr>
          <w:color w:val="000000"/>
        </w:rPr>
      </w:pPr>
      <w:r w:rsidRPr="003D4B91">
        <w:rPr>
          <w:b/>
          <w:color w:val="000000"/>
        </w:rPr>
        <w:t>EOPO 2</w:t>
      </w:r>
      <w:r w:rsidR="005D5725" w:rsidRPr="003D4B91">
        <w:rPr>
          <w:b/>
          <w:color w:val="000000"/>
        </w:rPr>
        <w:t xml:space="preserve">: </w:t>
      </w:r>
      <w:r w:rsidR="005D5725" w:rsidRPr="003D4B91">
        <w:rPr>
          <w:color w:val="000000"/>
        </w:rPr>
        <w:t>The foundations for upscaling are being put in place.</w:t>
      </w:r>
    </w:p>
    <w:p w14:paraId="019427B4" w14:textId="01BB8001" w:rsidR="005D5725" w:rsidRPr="003D4B91" w:rsidRDefault="004513F7" w:rsidP="00037A46">
      <w:pPr>
        <w:pStyle w:val="ListParagraph"/>
        <w:numPr>
          <w:ilvl w:val="1"/>
          <w:numId w:val="8"/>
        </w:numPr>
        <w:pBdr>
          <w:top w:val="nil"/>
          <w:left w:val="nil"/>
          <w:bottom w:val="nil"/>
          <w:right w:val="nil"/>
          <w:between w:val="nil"/>
        </w:pBdr>
        <w:rPr>
          <w:color w:val="000000"/>
        </w:rPr>
      </w:pPr>
      <w:r w:rsidRPr="003D4B91">
        <w:rPr>
          <w:b/>
          <w:color w:val="000000"/>
        </w:rPr>
        <w:t>IO 2</w:t>
      </w:r>
      <w:r w:rsidR="005D5725" w:rsidRPr="003D4B91">
        <w:rPr>
          <w:b/>
          <w:color w:val="000000"/>
        </w:rPr>
        <w:t xml:space="preserve">: </w:t>
      </w:r>
      <w:r w:rsidR="005D5725" w:rsidRPr="003D4B91">
        <w:rPr>
          <w:color w:val="000000"/>
        </w:rPr>
        <w:t>Mekong authorities and partners consider hybrid NbS in policies, regulations, and technical guidance and tools for climate change adaptation.</w:t>
      </w:r>
    </w:p>
    <w:p w14:paraId="2BC3D997" w14:textId="1C47DDB1" w:rsidR="005D5725" w:rsidRPr="003D4B91" w:rsidRDefault="004513F7" w:rsidP="00037A46">
      <w:pPr>
        <w:pStyle w:val="ListParagraph"/>
        <w:numPr>
          <w:ilvl w:val="0"/>
          <w:numId w:val="8"/>
        </w:numPr>
        <w:pBdr>
          <w:top w:val="nil"/>
          <w:left w:val="nil"/>
          <w:bottom w:val="nil"/>
          <w:right w:val="nil"/>
          <w:between w:val="nil"/>
        </w:pBdr>
        <w:spacing w:after="0"/>
        <w:rPr>
          <w:color w:val="000000"/>
        </w:rPr>
      </w:pPr>
      <w:r w:rsidRPr="003D4B91">
        <w:rPr>
          <w:b/>
          <w:color w:val="000000"/>
        </w:rPr>
        <w:t>EOPO 3</w:t>
      </w:r>
      <w:r w:rsidR="005D5725" w:rsidRPr="003D4B91">
        <w:rPr>
          <w:b/>
          <w:color w:val="000000"/>
        </w:rPr>
        <w:t xml:space="preserve">: </w:t>
      </w:r>
      <w:r w:rsidR="005D5725" w:rsidRPr="003D4B91">
        <w:rPr>
          <w:color w:val="000000"/>
        </w:rPr>
        <w:t>Partnerships and capacity for achieving scaling are established.</w:t>
      </w:r>
    </w:p>
    <w:p w14:paraId="137F4E5A" w14:textId="15EC76A8" w:rsidR="005D5725" w:rsidRPr="003D4B91" w:rsidRDefault="004513F7" w:rsidP="00037A46">
      <w:pPr>
        <w:pStyle w:val="ListParagraph"/>
        <w:numPr>
          <w:ilvl w:val="1"/>
          <w:numId w:val="8"/>
        </w:numPr>
        <w:pBdr>
          <w:top w:val="nil"/>
          <w:left w:val="nil"/>
          <w:bottom w:val="nil"/>
          <w:right w:val="nil"/>
          <w:between w:val="nil"/>
        </w:pBdr>
        <w:rPr>
          <w:color w:val="000000"/>
        </w:rPr>
      </w:pPr>
      <w:r w:rsidRPr="003D4B91">
        <w:rPr>
          <w:b/>
          <w:color w:val="000000"/>
        </w:rPr>
        <w:t>IO 3</w:t>
      </w:r>
      <w:r w:rsidR="005D5725" w:rsidRPr="003D4B91">
        <w:rPr>
          <w:b/>
          <w:color w:val="000000"/>
        </w:rPr>
        <w:t>:</w:t>
      </w:r>
      <w:r w:rsidR="005D5725" w:rsidRPr="003D4B91">
        <w:rPr>
          <w:color w:val="000000"/>
        </w:rPr>
        <w:t xml:space="preserve"> Inclusive cohort of NbS champions established to promote hybrid NbS. Evidence of strengthened capacity within an inclusive cohort of NbS champions to achieve NbS scaling.</w:t>
      </w:r>
    </w:p>
    <w:p w14:paraId="4C2F7BF9" w14:textId="45360287" w:rsidR="00BF7AA0" w:rsidRPr="003D4B91" w:rsidRDefault="00BF7AA0" w:rsidP="00037A46">
      <w:pPr>
        <w:pStyle w:val="ListParagraph"/>
        <w:numPr>
          <w:ilvl w:val="0"/>
          <w:numId w:val="8"/>
        </w:numPr>
      </w:pPr>
      <w:r w:rsidRPr="003D4B91">
        <w:rPr>
          <w:b/>
          <w:bCs/>
        </w:rPr>
        <w:t xml:space="preserve">GEDSI cross-cutting focus: </w:t>
      </w:r>
      <w:r w:rsidR="005D5725" w:rsidRPr="003D4B91">
        <w:t>GEDSI principles are demonstrated and embedded in the program implementation.</w:t>
      </w:r>
    </w:p>
    <w:p w14:paraId="5C7CD4CF" w14:textId="1D2A28EB" w:rsidR="005D5725" w:rsidRPr="003D4B91" w:rsidRDefault="00BF7AA0" w:rsidP="00037A46">
      <w:pPr>
        <w:pStyle w:val="ListParagraph"/>
        <w:numPr>
          <w:ilvl w:val="1"/>
          <w:numId w:val="8"/>
        </w:numPr>
      </w:pPr>
      <w:r w:rsidRPr="003D4B91">
        <w:rPr>
          <w:b/>
          <w:bCs/>
        </w:rPr>
        <w:t>Expected change:</w:t>
      </w:r>
      <w:r w:rsidRPr="003D4B91">
        <w:t xml:space="preserve"> </w:t>
      </w:r>
      <w:r w:rsidR="005D5725" w:rsidRPr="003D4B91">
        <w:rPr>
          <w:color w:val="000000"/>
        </w:rPr>
        <w:t>GEDSI principles are embedded in the development of case studies, pilots, and the formulation of policy recommendation in all countries.</w:t>
      </w:r>
    </w:p>
    <w:p w14:paraId="13F4A1F3" w14:textId="7308DC20" w:rsidR="005D5725" w:rsidRPr="003D4B91" w:rsidRDefault="00BF7AA0" w:rsidP="00430BDD">
      <w:r w:rsidRPr="003D4B91">
        <w:t>Fifteen outputs</w:t>
      </w:r>
      <w:r w:rsidR="00016996">
        <w:t xml:space="preserve">/targets were </w:t>
      </w:r>
      <w:r w:rsidR="0069455C">
        <w:t>outlined</w:t>
      </w:r>
      <w:r w:rsidR="00016996">
        <w:t xml:space="preserve"> in the MEL </w:t>
      </w:r>
      <w:r w:rsidR="00316689">
        <w:t xml:space="preserve">Framework </w:t>
      </w:r>
      <w:r w:rsidR="00016996">
        <w:t>as</w:t>
      </w:r>
      <w:r w:rsidRPr="003D4B91">
        <w:t xml:space="preserve"> contributing to the achievement of the IO, EOPO</w:t>
      </w:r>
      <w:r w:rsidR="00474346" w:rsidRPr="003D4B91">
        <w:t>,</w:t>
      </w:r>
      <w:r w:rsidRPr="003D4B91">
        <w:t xml:space="preserve"> and GEDSI focus and expected change (see Appendix </w:t>
      </w:r>
      <w:r w:rsidR="00BB016F" w:rsidRPr="003D4B91">
        <w:t>A</w:t>
      </w:r>
      <w:r w:rsidRPr="003D4B91">
        <w:t>).</w:t>
      </w:r>
    </w:p>
    <w:p w14:paraId="4AA790FF" w14:textId="23463285" w:rsidR="005D5725" w:rsidRPr="003D4B91" w:rsidRDefault="005E718C" w:rsidP="00430BDD">
      <w:r w:rsidRPr="003D4B91">
        <w:t>RUCaS was administered by the DFAT MAP team at Thailand post. The RUCaS</w:t>
      </w:r>
      <w:r w:rsidR="00E95339" w:rsidRPr="003D4B91">
        <w:t xml:space="preserve"> implementing</w:t>
      </w:r>
      <w:r w:rsidRPr="003D4B91">
        <w:t xml:space="preserve"> team </w:t>
      </w:r>
      <w:r w:rsidR="00016996">
        <w:t>evolved over time as project activities changed</w:t>
      </w:r>
      <w:r w:rsidR="00316689">
        <w:t xml:space="preserve">, </w:t>
      </w:r>
      <w:r w:rsidR="00016996">
        <w:t>respond</w:t>
      </w:r>
      <w:r w:rsidR="00316689">
        <w:t>ing</w:t>
      </w:r>
      <w:r w:rsidR="00016996">
        <w:t xml:space="preserve"> to DFAT and </w:t>
      </w:r>
      <w:r w:rsidR="00316689">
        <w:t>in-</w:t>
      </w:r>
      <w:r w:rsidR="00016996">
        <w:t xml:space="preserve">country partner feedback. </w:t>
      </w:r>
      <w:r w:rsidR="004B3BF9">
        <w:t>By the end</w:t>
      </w:r>
      <w:r w:rsidR="00016996">
        <w:t xml:space="preserve"> of </w:t>
      </w:r>
      <w:r w:rsidR="00316689">
        <w:t>P</w:t>
      </w:r>
      <w:r w:rsidR="00016996">
        <w:t>hase 1</w:t>
      </w:r>
      <w:r w:rsidR="00316689">
        <w:t>,</w:t>
      </w:r>
      <w:r w:rsidR="00016996">
        <w:t xml:space="preserve"> the implementing team </w:t>
      </w:r>
      <w:r w:rsidR="00016996" w:rsidRPr="003D4B91">
        <w:t xml:space="preserve">comprised staff based at WSCA </w:t>
      </w:r>
      <w:r w:rsidR="00016996">
        <w:t xml:space="preserve">(Melbourne) </w:t>
      </w:r>
      <w:r w:rsidR="00016996" w:rsidRPr="003D4B91">
        <w:t xml:space="preserve">and ICEM </w:t>
      </w:r>
      <w:r w:rsidR="00016996">
        <w:t xml:space="preserve">(Hanoi) </w:t>
      </w:r>
      <w:r w:rsidR="00016996" w:rsidRPr="003D4B91">
        <w:t>as well as two</w:t>
      </w:r>
      <w:r w:rsidR="00016996">
        <w:t xml:space="preserve"> to three </w:t>
      </w:r>
      <w:r w:rsidR="00016996" w:rsidRPr="003D4B91">
        <w:t xml:space="preserve">part-time staff members in each of Thailand, Cambodia, Lao PDR and Viet Nam. </w:t>
      </w:r>
      <w:r w:rsidR="005D5725" w:rsidRPr="003D4B91">
        <w:t xml:space="preserve">RUCaS </w:t>
      </w:r>
      <w:r w:rsidR="00007015" w:rsidRPr="003D4B91">
        <w:t>took place in urban centres</w:t>
      </w:r>
      <w:r w:rsidR="00E95339" w:rsidRPr="003D4B91">
        <w:t xml:space="preserve"> across the four countries</w:t>
      </w:r>
      <w:r w:rsidR="00474346" w:rsidRPr="003D4B91">
        <w:t>,</w:t>
      </w:r>
      <w:r w:rsidR="005D5725" w:rsidRPr="003D4B91">
        <w:t xml:space="preserve"> notably </w:t>
      </w:r>
      <w:r w:rsidR="00007015" w:rsidRPr="003D4B91">
        <w:t xml:space="preserve">through the development of </w:t>
      </w:r>
      <w:r w:rsidR="005D5725" w:rsidRPr="003D4B91">
        <w:t>eight case studies that span</w:t>
      </w:r>
      <w:r w:rsidR="00007015" w:rsidRPr="003D4B91">
        <w:t>ned</w:t>
      </w:r>
      <w:r w:rsidR="005D5725" w:rsidRPr="003D4B91">
        <w:t xml:space="preserve"> Thailand (two in Bangkok), Cambodia (</w:t>
      </w:r>
      <w:r w:rsidR="00007015" w:rsidRPr="003D4B91">
        <w:t xml:space="preserve">one </w:t>
      </w:r>
      <w:r w:rsidR="005D5725" w:rsidRPr="003D4B91">
        <w:t>in</w:t>
      </w:r>
      <w:r w:rsidR="00007015" w:rsidRPr="003D4B91">
        <w:t xml:space="preserve"> each of</w:t>
      </w:r>
      <w:r w:rsidR="005D5725" w:rsidRPr="003D4B91">
        <w:t xml:space="preserve"> Phnom Penh and Battambang), Lao PDR (</w:t>
      </w:r>
      <w:r w:rsidR="00007015" w:rsidRPr="003D4B91">
        <w:t xml:space="preserve">one in each of </w:t>
      </w:r>
      <w:r w:rsidR="005D5725" w:rsidRPr="003D4B91">
        <w:t>Vientiane and Luang Prabang), and Viet Nam (</w:t>
      </w:r>
      <w:r w:rsidR="00007015" w:rsidRPr="003D4B91">
        <w:t xml:space="preserve">one in each of </w:t>
      </w:r>
      <w:r w:rsidR="005D5725" w:rsidRPr="003D4B91">
        <w:t>Can Tho and Hanoi).</w:t>
      </w:r>
      <w:r w:rsidR="00007015" w:rsidRPr="003D4B91">
        <w:t xml:space="preserve"> The </w:t>
      </w:r>
      <w:r w:rsidR="00A25C44" w:rsidRPr="003D4B91">
        <w:t xml:space="preserve">RUCaS </w:t>
      </w:r>
      <w:r w:rsidR="00007015" w:rsidRPr="003D4B91">
        <w:t>team worked with partners and relevant government representatives in each country to develop the case studies</w:t>
      </w:r>
      <w:r w:rsidR="00016996">
        <w:t>, raise awareness of NbS opportunities</w:t>
      </w:r>
      <w:r w:rsidR="00A25C44" w:rsidRPr="003D4B91">
        <w:t xml:space="preserve"> and</w:t>
      </w:r>
      <w:r w:rsidR="00007015" w:rsidRPr="003D4B91">
        <w:t xml:space="preserve"> to identify NbS champions who participated in a series of workshops, conferences and learning exchanges facilitated by RUCaS to increase their capacity to implement and scale up NbS.</w:t>
      </w:r>
      <w:r w:rsidR="006B43D8" w:rsidRPr="003D4B91">
        <w:rPr>
          <w:rStyle w:val="FootnoteReference"/>
        </w:rPr>
        <w:footnoteReference w:id="12"/>
      </w:r>
      <w:r w:rsidR="00007015" w:rsidRPr="003D4B91">
        <w:t xml:space="preserve"> </w:t>
      </w:r>
    </w:p>
    <w:p w14:paraId="223141DA" w14:textId="6926A476" w:rsidR="000C2DD2" w:rsidRPr="003D4B91" w:rsidRDefault="009769FE" w:rsidP="00007015">
      <w:r w:rsidRPr="003D4B91">
        <w:lastRenderedPageBreak/>
        <w:t xml:space="preserve">The evaluation team is aware </w:t>
      </w:r>
      <w:r w:rsidR="000C2DD2" w:rsidRPr="003D4B91">
        <w:t xml:space="preserve">of the possibility that a </w:t>
      </w:r>
      <w:r w:rsidR="00813161">
        <w:t>future</w:t>
      </w:r>
      <w:r w:rsidR="00813161" w:rsidRPr="003D4B91">
        <w:t xml:space="preserve"> </w:t>
      </w:r>
      <w:r w:rsidR="000C2DD2" w:rsidRPr="003D4B91">
        <w:t xml:space="preserve">phase of RUCaS will be funded under MAP (Phase 2) and this is anticipated to be a four-year investment. </w:t>
      </w:r>
      <w:r w:rsidR="00F322EF" w:rsidRPr="003D4B91">
        <w:t xml:space="preserve">For this reason, the recommendations made in this evaluation are </w:t>
      </w:r>
      <w:r w:rsidR="003349AE">
        <w:t>focused</w:t>
      </w:r>
      <w:r w:rsidR="00F322EF" w:rsidRPr="003D4B91">
        <w:t xml:space="preserve"> on what a future phase of an investment that builds on the work of RUCaS could do.</w:t>
      </w:r>
    </w:p>
    <w:p w14:paraId="5810AD64" w14:textId="32AEEBD7" w:rsidR="00AF5194" w:rsidRPr="003D4B91" w:rsidRDefault="00921D80" w:rsidP="008A4889">
      <w:pPr>
        <w:pStyle w:val="Heading1"/>
        <w:numPr>
          <w:ilvl w:val="0"/>
          <w:numId w:val="1"/>
        </w:numPr>
        <w:jc w:val="both"/>
      </w:pPr>
      <w:bookmarkStart w:id="114" w:name="_Ref219841267"/>
      <w:bookmarkStart w:id="115" w:name="_Toc225951850"/>
      <w:r w:rsidRPr="003D4B91">
        <w:t>Method</w:t>
      </w:r>
      <w:bookmarkEnd w:id="114"/>
      <w:bookmarkEnd w:id="115"/>
    </w:p>
    <w:p w14:paraId="50E71BD0" w14:textId="722D52E7" w:rsidR="008F649F" w:rsidRPr="003D4B91" w:rsidRDefault="00921D80" w:rsidP="00436B34">
      <w:r w:rsidRPr="003D4B91">
        <w:t>A d</w:t>
      </w:r>
      <w:r w:rsidR="00A52BA0" w:rsidRPr="003D4B91">
        <w:t xml:space="preserve">etailed </w:t>
      </w:r>
      <w:r w:rsidRPr="003D4B91">
        <w:t xml:space="preserve">method </w:t>
      </w:r>
      <w:r w:rsidR="00A52BA0" w:rsidRPr="003D4B91">
        <w:t xml:space="preserve">was outlined in the Evaluation Plan prepared by the evaluation team in October 2025. The evaluation team used both primary and secondary data to triangulate findings. Data collection methods consisted of </w:t>
      </w:r>
      <w:r w:rsidRPr="003D4B91">
        <w:t xml:space="preserve">a </w:t>
      </w:r>
      <w:r w:rsidR="00A52BA0" w:rsidRPr="003D4B91">
        <w:t xml:space="preserve">document review and key informant interviews (KIIs; both </w:t>
      </w:r>
      <w:r w:rsidR="008F649F" w:rsidRPr="003D4B91">
        <w:t xml:space="preserve">virtual </w:t>
      </w:r>
      <w:r w:rsidR="00A52BA0" w:rsidRPr="003D4B91">
        <w:t>and in</w:t>
      </w:r>
      <w:r w:rsidR="008F649F" w:rsidRPr="003D4B91">
        <w:t>-</w:t>
      </w:r>
      <w:r w:rsidR="00A52BA0" w:rsidRPr="003D4B91">
        <w:t xml:space="preserve">person). </w:t>
      </w:r>
      <w:r w:rsidRPr="003D4B91">
        <w:t xml:space="preserve">The documents reviewed </w:t>
      </w:r>
      <w:r w:rsidR="00A52BA0" w:rsidRPr="003D4B91">
        <w:t xml:space="preserve">included key documents </w:t>
      </w:r>
      <w:r w:rsidR="00A25C44" w:rsidRPr="003D4B91">
        <w:t xml:space="preserve">provided by WSCA </w:t>
      </w:r>
      <w:r w:rsidR="00A52BA0" w:rsidRPr="003D4B91">
        <w:t xml:space="preserve">relating to RUCaS, as well as relevant literature in relation to the target countries or NbS interventions in the </w:t>
      </w:r>
      <w:r w:rsidR="00C7502A" w:rsidRPr="003D4B91">
        <w:t>Mekong subregion</w:t>
      </w:r>
      <w:r w:rsidR="00A52BA0" w:rsidRPr="003D4B91">
        <w:t xml:space="preserve">. </w:t>
      </w:r>
    </w:p>
    <w:p w14:paraId="70776772" w14:textId="32965BE4" w:rsidR="008F649F" w:rsidRPr="003D4B91" w:rsidRDefault="008F649F" w:rsidP="008F649F">
      <w:r w:rsidRPr="003D4B91">
        <w:t xml:space="preserve">In line with DFAT’s </w:t>
      </w:r>
      <w:r w:rsidR="001A3619">
        <w:t>MEL</w:t>
      </w:r>
      <w:r w:rsidRPr="003D4B91">
        <w:t xml:space="preserve"> Standard 9</w:t>
      </w:r>
      <w:r w:rsidR="00474346" w:rsidRPr="003D4B91">
        <w:rPr>
          <w:rStyle w:val="FootnoteReference"/>
        </w:rPr>
        <w:footnoteReference w:id="13"/>
      </w:r>
      <w:r w:rsidRPr="003D4B91">
        <w:t xml:space="preserve"> and established international good practice, the team sought diverse perspectives to contribute to the findings of this evaluation. </w:t>
      </w:r>
      <w:r w:rsidR="00A52BA0" w:rsidRPr="003D4B91">
        <w:t xml:space="preserve">WSCA provided the initial list of recommended informants, and further informants were identified through snow-ball sampling (i.e. initial informants recommended further informants). </w:t>
      </w:r>
      <w:r w:rsidRPr="003D4B91">
        <w:t xml:space="preserve">While the scope of the evaluation was primarily Phase 1 of RUCaS, some KIIs were conducted with stakeholders who were not direct beneficiaries or partners of the RUCaS program in Phase 1. This was done to gain insights into the </w:t>
      </w:r>
      <w:r w:rsidR="008C67B1" w:rsidRPr="003D4B91">
        <w:t>status</w:t>
      </w:r>
      <w:r w:rsidRPr="003D4B91">
        <w:t xml:space="preserve"> of NbS in the </w:t>
      </w:r>
      <w:r w:rsidR="00C7502A" w:rsidRPr="003D4B91">
        <w:t>Mekong subregion</w:t>
      </w:r>
      <w:r w:rsidRPr="003D4B91">
        <w:t xml:space="preserve">, and to provide </w:t>
      </w:r>
      <w:r w:rsidR="008C67B1" w:rsidRPr="003D4B91">
        <w:t>lessons and recommendations</w:t>
      </w:r>
      <w:r w:rsidRPr="003D4B91">
        <w:t xml:space="preserve"> for the design of a possible </w:t>
      </w:r>
      <w:r w:rsidR="00813161">
        <w:t>future</w:t>
      </w:r>
      <w:r w:rsidR="00813161" w:rsidRPr="003D4B91">
        <w:t xml:space="preserve"> </w:t>
      </w:r>
      <w:r w:rsidRPr="003D4B91">
        <w:t xml:space="preserve">phase of RUCaS. </w:t>
      </w:r>
    </w:p>
    <w:p w14:paraId="3CD535FB" w14:textId="73FBEDD5" w:rsidR="00A52BA0" w:rsidRPr="003D4B91" w:rsidRDefault="008F649F" w:rsidP="00436B34">
      <w:r w:rsidRPr="003D4B91">
        <w:t>KIIs were conducted as semi-structured conversations with informants</w:t>
      </w:r>
      <w:r w:rsidRPr="003D4B91" w:rsidDel="00921D80">
        <w:t xml:space="preserve"> </w:t>
      </w:r>
      <w:r w:rsidRPr="003D4B91">
        <w:t xml:space="preserve">both virtually and in-person. </w:t>
      </w:r>
      <w:r w:rsidR="00A52BA0" w:rsidRPr="003D4B91">
        <w:t xml:space="preserve">Approximately 25 hours of in-person interviews were conducted with approximately </w:t>
      </w:r>
      <w:r w:rsidR="00985633" w:rsidRPr="003D4B91">
        <w:t>50</w:t>
      </w:r>
      <w:r w:rsidR="00A52BA0" w:rsidRPr="003D4B91">
        <w:t xml:space="preserve"> stakeholders</w:t>
      </w:r>
      <w:r w:rsidR="00921D80" w:rsidRPr="003D4B91">
        <w:t xml:space="preserve"> during </w:t>
      </w:r>
      <w:r w:rsidRPr="003D4B91">
        <w:t>fieldwork</w:t>
      </w:r>
      <w:r w:rsidR="00921D80" w:rsidRPr="003D4B91">
        <w:t xml:space="preserve"> </w:t>
      </w:r>
      <w:r w:rsidR="00474346" w:rsidRPr="003D4B91">
        <w:t>in</w:t>
      </w:r>
      <w:r w:rsidR="00921D80" w:rsidRPr="003D4B91">
        <w:t xml:space="preserve"> Thailand, Lao PDR, Cambodia, and Viet Nam from 3-14 November 2025</w:t>
      </w:r>
      <w:r w:rsidR="00A52BA0" w:rsidRPr="003D4B91">
        <w:t xml:space="preserve">. A further 20 hours of </w:t>
      </w:r>
      <w:r w:rsidRPr="003D4B91">
        <w:t xml:space="preserve">virtual </w:t>
      </w:r>
      <w:r w:rsidR="00A52BA0" w:rsidRPr="003D4B91">
        <w:t xml:space="preserve">interviews were conducted on Zoom with 21 stakeholders before and after the fieldwork, from 27-31 October and 17 November - 9 December 2025. </w:t>
      </w:r>
      <w:r w:rsidR="00921D80" w:rsidRPr="003D4B91">
        <w:t xml:space="preserve">Approximately </w:t>
      </w:r>
      <w:r w:rsidR="00CD5550" w:rsidRPr="003D4B91">
        <w:t>44%</w:t>
      </w:r>
      <w:r w:rsidR="00921D80" w:rsidRPr="003D4B91">
        <w:t xml:space="preserve"> percent of the participants were women, </w:t>
      </w:r>
      <w:r w:rsidR="00CD5550" w:rsidRPr="003D4B91">
        <w:t>56%</w:t>
      </w:r>
      <w:r w:rsidR="00921D80" w:rsidRPr="003D4B91">
        <w:t xml:space="preserve"> percent were men</w:t>
      </w:r>
      <w:r w:rsidR="00CD5550" w:rsidRPr="003D4B91">
        <w:t>,</w:t>
      </w:r>
      <w:r w:rsidR="00921D80" w:rsidRPr="003D4B91">
        <w:t xml:space="preserve"> and </w:t>
      </w:r>
      <w:r w:rsidR="008C67B1" w:rsidRPr="003D4B91">
        <w:t>among these, 2</w:t>
      </w:r>
      <w:r w:rsidR="00921D80" w:rsidRPr="003D4B91">
        <w:t xml:space="preserve"> participants identified as people with a disability</w:t>
      </w:r>
      <w:r w:rsidR="009A1918" w:rsidRPr="003D4B91">
        <w:t xml:space="preserve"> (PWD)</w:t>
      </w:r>
      <w:r w:rsidR="00921D80" w:rsidRPr="003D4B91">
        <w:t xml:space="preserve">. </w:t>
      </w:r>
      <w:r w:rsidR="00D227BF" w:rsidRPr="003D4B91">
        <w:t xml:space="preserve">A </w:t>
      </w:r>
      <w:r w:rsidR="00921D80" w:rsidRPr="003D4B91">
        <w:t xml:space="preserve">full </w:t>
      </w:r>
      <w:r w:rsidR="00D227BF" w:rsidRPr="003D4B91">
        <w:t xml:space="preserve">list of interviewees is provided in Appendix </w:t>
      </w:r>
      <w:r w:rsidR="00BB016F" w:rsidRPr="003D4B91">
        <w:t>B: Interviewees</w:t>
      </w:r>
      <w:r w:rsidR="00D227BF" w:rsidRPr="003D4B91">
        <w:t xml:space="preserve">. </w:t>
      </w:r>
      <w:r w:rsidR="00A52BA0" w:rsidRPr="003D4B91">
        <w:t xml:space="preserve">All interviews (including in-person interviews) were recorded </w:t>
      </w:r>
      <w:r w:rsidR="00474346" w:rsidRPr="003D4B91">
        <w:t xml:space="preserve">and transcribed </w:t>
      </w:r>
      <w:r w:rsidR="00A52BA0" w:rsidRPr="003D4B91">
        <w:t>with Zoom</w:t>
      </w:r>
      <w:r w:rsidR="009C5A6A" w:rsidRPr="003D4B91">
        <w:t xml:space="preserve">, and </w:t>
      </w:r>
      <w:r w:rsidR="00A52BA0" w:rsidRPr="003D4B91">
        <w:t xml:space="preserve">recorded notes from the evaluation team </w:t>
      </w:r>
      <w:r w:rsidR="009C5A6A" w:rsidRPr="003D4B91">
        <w:t>were</w:t>
      </w:r>
      <w:r w:rsidR="00D227BF" w:rsidRPr="003D4B91">
        <w:t xml:space="preserve"> </w:t>
      </w:r>
      <w:r w:rsidR="00A52BA0" w:rsidRPr="003D4B91">
        <w:t>used in content analysis</w:t>
      </w:r>
      <w:r w:rsidR="00D227BF" w:rsidRPr="003D4B91">
        <w:t xml:space="preserve"> based on the six </w:t>
      </w:r>
      <w:r w:rsidR="00FF73A6" w:rsidRPr="003D4B91">
        <w:t xml:space="preserve">evaluation </w:t>
      </w:r>
      <w:r w:rsidR="00D227BF" w:rsidRPr="003D4B91">
        <w:t xml:space="preserve">objectives and corresponding key evaluation questions (KEQs) outlined in </w:t>
      </w:r>
      <w:r w:rsidRPr="003D4B91">
        <w:t xml:space="preserve">Appendix </w:t>
      </w:r>
      <w:r w:rsidR="00BB016F" w:rsidRPr="003D4B91">
        <w:t>C</w:t>
      </w:r>
      <w:r w:rsidRPr="003D4B91">
        <w:t>: Evaluation Matrix.</w:t>
      </w:r>
      <w:r w:rsidR="00FF73A6" w:rsidRPr="003D4B91">
        <w:t xml:space="preserve"> The findings in this evaluation are presented under the headings of the first five objectives: Relevance, Effectiveness, GEDSI, Efficiency and Sustainability. Findings for the sixth objective—Lessons Learned and Recommendations—have been incorporated into the findings for the first five objectives to reduce repetition and for contextualisation.</w:t>
      </w:r>
    </w:p>
    <w:p w14:paraId="157628A7" w14:textId="22DFEFC1" w:rsidR="00D227BF" w:rsidRPr="003D4B91" w:rsidRDefault="00D227BF" w:rsidP="00D227BF">
      <w:r w:rsidRPr="003D4B91">
        <w:t>The primary audience</w:t>
      </w:r>
      <w:r w:rsidR="009C5A6A" w:rsidRPr="003D4B91">
        <w:t>s</w:t>
      </w:r>
      <w:r w:rsidRPr="003D4B91">
        <w:t xml:space="preserve"> of this evaluation include: DFAT (specifically the MAP program) for strategic decision-making in relation to future programming; RUCaS implementing partners (WSCA and ICEM) for lessons learned and </w:t>
      </w:r>
      <w:r w:rsidR="008F649F" w:rsidRPr="003D4B91">
        <w:t xml:space="preserve">recommendations for a possible </w:t>
      </w:r>
      <w:r w:rsidR="00813161">
        <w:t>future</w:t>
      </w:r>
      <w:r w:rsidR="00813161" w:rsidRPr="003D4B91">
        <w:t xml:space="preserve"> </w:t>
      </w:r>
      <w:r w:rsidR="008F649F" w:rsidRPr="003D4B91">
        <w:t xml:space="preserve">phase of the program; </w:t>
      </w:r>
      <w:r w:rsidRPr="003D4B91">
        <w:t>and local government</w:t>
      </w:r>
      <w:r w:rsidR="008C67B1" w:rsidRPr="003D4B91">
        <w:t xml:space="preserve"> representatives</w:t>
      </w:r>
      <w:r w:rsidRPr="003D4B91">
        <w:t xml:space="preserve"> and stakeholders who </w:t>
      </w:r>
      <w:r w:rsidR="009C5A6A" w:rsidRPr="003D4B91">
        <w:t>we</w:t>
      </w:r>
      <w:r w:rsidRPr="003D4B91">
        <w:t xml:space="preserve">re partners of the RUCaS program in Cambodia, Lao PDR, Thailand and Viet Nam. Secondary audiences include regional stakeholders who were not partners of the RUCaS program in Phase 1, such as donors </w:t>
      </w:r>
      <w:r w:rsidRPr="003D4B91">
        <w:lastRenderedPageBreak/>
        <w:t xml:space="preserve">as well as development practitioners and organisations involved in NbS, urban climate resilience, and inclusive urban development in the </w:t>
      </w:r>
      <w:r w:rsidR="00C7502A" w:rsidRPr="003D4B91">
        <w:t>Mekong subregion</w:t>
      </w:r>
      <w:r w:rsidRPr="003D4B91">
        <w:t>.</w:t>
      </w:r>
    </w:p>
    <w:p w14:paraId="51F35C98" w14:textId="0C222B45" w:rsidR="008D4B98" w:rsidRPr="003D4B91" w:rsidRDefault="008D4B98" w:rsidP="00D227BF">
      <w:r w:rsidRPr="003D4B91">
        <w:t xml:space="preserve">As identified in the Evaluation Plan, evaluating the RUCaS program was challenging because of several issues with the program logic as it </w:t>
      </w:r>
      <w:r w:rsidR="008C67B1" w:rsidRPr="003D4B91">
        <w:t>was</w:t>
      </w:r>
      <w:r w:rsidRPr="003D4B91">
        <w:t xml:space="preserve"> outlined in the MEL Framework (see Appendix </w:t>
      </w:r>
      <w:r w:rsidR="00BB016F" w:rsidRPr="003D4B91">
        <w:t>A</w:t>
      </w:r>
      <w:r w:rsidRPr="003D4B91">
        <w:t>). The key issues were 1) that the EOPO were non-conforming with DFAT standards e.g. no actor</w:t>
      </w:r>
      <w:r w:rsidR="008C67B1" w:rsidRPr="003D4B91">
        <w:t>s</w:t>
      </w:r>
      <w:r w:rsidRPr="003D4B91">
        <w:t xml:space="preserve"> or evaluand</w:t>
      </w:r>
      <w:r w:rsidR="008C67B1" w:rsidRPr="003D4B91">
        <w:t>s</w:t>
      </w:r>
      <w:r w:rsidRPr="003D4B91">
        <w:t xml:space="preserve"> </w:t>
      </w:r>
      <w:r w:rsidR="008C67B1" w:rsidRPr="003D4B91">
        <w:t>were</w:t>
      </w:r>
      <w:r w:rsidRPr="003D4B91">
        <w:t xml:space="preserve"> defined for any of the EOPO, 2) there were several examples of circularity between different levels of the program logic, 3) </w:t>
      </w:r>
      <w:r w:rsidR="00FF73A6" w:rsidRPr="003D4B91">
        <w:t xml:space="preserve">the targets of </w:t>
      </w:r>
      <w:r w:rsidRPr="003D4B91">
        <w:t xml:space="preserve">some outputs or IO were poorly defined and 4) the progression from output to IO to EOPO to goal was </w:t>
      </w:r>
      <w:r w:rsidR="00F322EF" w:rsidRPr="003D4B91">
        <w:t>im</w:t>
      </w:r>
      <w:r w:rsidRPr="003D4B91">
        <w:t xml:space="preserve">plausible in </w:t>
      </w:r>
      <w:r w:rsidR="00BB016F" w:rsidRPr="003D4B91">
        <w:t>several</w:t>
      </w:r>
      <w:r w:rsidR="00FF73A6" w:rsidRPr="003D4B91">
        <w:t xml:space="preserve"> </w:t>
      </w:r>
      <w:r w:rsidRPr="003D4B91">
        <w:t xml:space="preserve">cases. (See Appendix </w:t>
      </w:r>
      <w:r w:rsidR="00BB016F" w:rsidRPr="003D4B91">
        <w:t>D</w:t>
      </w:r>
      <w:r w:rsidRPr="003D4B91">
        <w:t>:</w:t>
      </w:r>
      <w:r w:rsidR="00FF73A6" w:rsidRPr="003D4B91">
        <w:t xml:space="preserve"> RUCaS</w:t>
      </w:r>
      <w:r w:rsidRPr="003D4B91">
        <w:t xml:space="preserve"> Evaluability Assessment for more detail.) Nevertheless, the evaluation team </w:t>
      </w:r>
      <w:r w:rsidR="008C67B1" w:rsidRPr="003D4B91">
        <w:t>inferred</w:t>
      </w:r>
      <w:r w:rsidRPr="003D4B91">
        <w:t xml:space="preserve"> the implied EOPO from the EOPO, IO and outputs as written, which gave rise to the KEQs as outlined in Appendix </w:t>
      </w:r>
      <w:r w:rsidR="00BB016F" w:rsidRPr="003D4B91">
        <w:t>C</w:t>
      </w:r>
      <w:r w:rsidRPr="003D4B91">
        <w:t>: Evaluation Matrix.</w:t>
      </w:r>
      <w:r w:rsidR="00FF73A6" w:rsidRPr="003D4B91">
        <w:t xml:space="preserve"> </w:t>
      </w:r>
    </w:p>
    <w:p w14:paraId="76D729D9" w14:textId="54BF5767" w:rsidR="00075DF6" w:rsidRPr="003D4B91" w:rsidRDefault="00F45E02" w:rsidP="00D227BF">
      <w:r w:rsidRPr="003D4B91">
        <w:t xml:space="preserve">This evaluation was </w:t>
      </w:r>
      <w:r w:rsidR="008D4B98" w:rsidRPr="003D4B91">
        <w:t xml:space="preserve">further </w:t>
      </w:r>
      <w:r w:rsidRPr="003D4B91">
        <w:t xml:space="preserve">limited, as are most MEL activities of this kind, by the </w:t>
      </w:r>
      <w:r w:rsidR="008D4B98" w:rsidRPr="003D4B91">
        <w:t>short</w:t>
      </w:r>
      <w:r w:rsidRPr="003D4B91">
        <w:t xml:space="preserve"> time available to enable a deep and rigorous understanding of the context, history and technical detail relevant to the RUCaS program and the </w:t>
      </w:r>
      <w:r w:rsidR="00C7502A" w:rsidRPr="003D4B91">
        <w:t>Mekong subregion</w:t>
      </w:r>
      <w:r w:rsidRPr="003D4B91">
        <w:t xml:space="preserve">. </w:t>
      </w:r>
      <w:proofErr w:type="gramStart"/>
      <w:r w:rsidRPr="003D4B91">
        <w:t>In particular, a</w:t>
      </w:r>
      <w:proofErr w:type="gramEnd"/>
      <w:r w:rsidRPr="003D4B91">
        <w:t xml:space="preserve"> major logistical challenge was that RUCaS </w:t>
      </w:r>
      <w:r w:rsidR="00075DF6" w:rsidRPr="003D4B91">
        <w:t>was</w:t>
      </w:r>
      <w:r w:rsidRPr="003D4B91">
        <w:t xml:space="preserve"> a program implemented in four countries, across seven urban centres, with stakeholders who </w:t>
      </w:r>
      <w:r w:rsidR="00075DF6" w:rsidRPr="003D4B91">
        <w:t>had many responsibilities and priorities alongside the RUCaS program</w:t>
      </w:r>
      <w:r w:rsidR="009C5A6A" w:rsidRPr="003D4B91">
        <w:t xml:space="preserve">. This meant </w:t>
      </w:r>
      <w:r w:rsidR="00075DF6" w:rsidRPr="003D4B91">
        <w:t>that the short period for fieldwork did not enable the team to visit all locations or speak to all relevant informants. However, the documentation provided by RUCaS</w:t>
      </w:r>
      <w:r w:rsidR="009C5A6A" w:rsidRPr="003D4B91">
        <w:t>, as well as</w:t>
      </w:r>
      <w:r w:rsidR="00075DF6" w:rsidRPr="003D4B91">
        <w:t xml:space="preserve"> the active engagement of RUCaS staff, partners and relevant stakeholders in each country</w:t>
      </w:r>
      <w:r w:rsidR="009C5A6A" w:rsidRPr="003D4B91">
        <w:t>,</w:t>
      </w:r>
      <w:r w:rsidR="00075DF6" w:rsidRPr="003D4B91">
        <w:t xml:space="preserve"> enabled the evaluation team to gain a solid understanding of the program</w:t>
      </w:r>
      <w:r w:rsidR="006E0B33" w:rsidRPr="003D4B91">
        <w:t xml:space="preserve">, </w:t>
      </w:r>
      <w:r w:rsidR="00075DF6" w:rsidRPr="003D4B91">
        <w:t>sufficient for this evaluation.</w:t>
      </w:r>
    </w:p>
    <w:p w14:paraId="5DD90067" w14:textId="1C11B5C0" w:rsidR="00183330" w:rsidRPr="003D4B91" w:rsidRDefault="00183330" w:rsidP="008A4889">
      <w:pPr>
        <w:pStyle w:val="Heading1"/>
        <w:numPr>
          <w:ilvl w:val="0"/>
          <w:numId w:val="1"/>
        </w:numPr>
        <w:jc w:val="both"/>
      </w:pPr>
      <w:bookmarkStart w:id="116" w:name="_Toc225951851"/>
      <w:r w:rsidRPr="003D4B91">
        <w:t>Findings</w:t>
      </w:r>
      <w:bookmarkEnd w:id="116"/>
    </w:p>
    <w:p w14:paraId="63C8D02C" w14:textId="77F7D653" w:rsidR="00797C70" w:rsidRPr="003D4B91" w:rsidRDefault="0081442D" w:rsidP="008A4889">
      <w:pPr>
        <w:pStyle w:val="Heading20"/>
        <w:numPr>
          <w:ilvl w:val="1"/>
          <w:numId w:val="1"/>
        </w:numPr>
        <w:jc w:val="both"/>
      </w:pPr>
      <w:bookmarkStart w:id="117" w:name="_Toc225951852"/>
      <w:r w:rsidRPr="003D4B91">
        <w:t>Outline of findings</w:t>
      </w:r>
      <w:bookmarkEnd w:id="117"/>
    </w:p>
    <w:p w14:paraId="7D240711" w14:textId="3A51C931" w:rsidR="00586F3C" w:rsidRPr="003D4B91" w:rsidRDefault="00586F3C" w:rsidP="00FF623C">
      <w:pPr>
        <w:rPr>
          <w:color w:val="000000"/>
        </w:rPr>
      </w:pPr>
      <w:r w:rsidRPr="003D4B91">
        <w:t xml:space="preserve">This section presents the findings of the evaluation of RUCaS. Following an overall assessment below, the findings for RUCaS are presented </w:t>
      </w:r>
      <w:r w:rsidRPr="003D4B91">
        <w:rPr>
          <w:color w:val="000000"/>
        </w:rPr>
        <w:t>according to the first five Key Evaluation Criteria</w:t>
      </w:r>
      <w:r w:rsidR="00276845" w:rsidRPr="003D4B91">
        <w:rPr>
          <w:rStyle w:val="FootnoteReference"/>
          <w:color w:val="000000"/>
        </w:rPr>
        <w:footnoteReference w:id="14"/>
      </w:r>
      <w:r w:rsidRPr="003D4B91">
        <w:rPr>
          <w:color w:val="000000"/>
        </w:rPr>
        <w:t xml:space="preserve"> </w:t>
      </w:r>
    </w:p>
    <w:p w14:paraId="3ACC04E2" w14:textId="4FD2E9DC" w:rsidR="00586F3C" w:rsidRPr="003D4B91" w:rsidRDefault="00586F3C" w:rsidP="00037A46">
      <w:pPr>
        <w:pStyle w:val="ListParagraph"/>
        <w:numPr>
          <w:ilvl w:val="0"/>
          <w:numId w:val="5"/>
        </w:numPr>
        <w:rPr>
          <w:color w:val="000000"/>
        </w:rPr>
      </w:pPr>
      <w:r w:rsidRPr="003D4B91">
        <w:rPr>
          <w:color w:val="000000"/>
        </w:rPr>
        <w:t>Relevance</w:t>
      </w:r>
    </w:p>
    <w:p w14:paraId="015EC96C" w14:textId="2FC51133" w:rsidR="00586F3C" w:rsidRPr="003D4B91" w:rsidRDefault="00586F3C" w:rsidP="00037A46">
      <w:pPr>
        <w:pStyle w:val="ListParagraph"/>
        <w:numPr>
          <w:ilvl w:val="0"/>
          <w:numId w:val="5"/>
        </w:numPr>
        <w:rPr>
          <w:color w:val="000000"/>
        </w:rPr>
      </w:pPr>
      <w:r w:rsidRPr="003D4B91">
        <w:rPr>
          <w:color w:val="000000"/>
        </w:rPr>
        <w:t xml:space="preserve">Effectiveness – progress towards </w:t>
      </w:r>
      <w:r w:rsidR="00FF623C" w:rsidRPr="003D4B91">
        <w:rPr>
          <w:color w:val="000000"/>
        </w:rPr>
        <w:t>EOPO</w:t>
      </w:r>
    </w:p>
    <w:p w14:paraId="71504BA7" w14:textId="0E28F5D9" w:rsidR="00586F3C" w:rsidRPr="003D4B91" w:rsidRDefault="00586F3C" w:rsidP="00037A46">
      <w:pPr>
        <w:pStyle w:val="ListParagraph"/>
        <w:numPr>
          <w:ilvl w:val="0"/>
          <w:numId w:val="5"/>
        </w:numPr>
        <w:rPr>
          <w:color w:val="000000"/>
        </w:rPr>
      </w:pPr>
      <w:r w:rsidRPr="003D4B91">
        <w:rPr>
          <w:color w:val="000000"/>
        </w:rPr>
        <w:t>GEDSI</w:t>
      </w:r>
    </w:p>
    <w:p w14:paraId="5A0FB8A4" w14:textId="50863EF2" w:rsidR="00586F3C" w:rsidRPr="003D4B91" w:rsidRDefault="00586F3C" w:rsidP="00037A46">
      <w:pPr>
        <w:pStyle w:val="ListParagraph"/>
        <w:numPr>
          <w:ilvl w:val="0"/>
          <w:numId w:val="5"/>
        </w:numPr>
        <w:rPr>
          <w:color w:val="000000"/>
        </w:rPr>
      </w:pPr>
      <w:r w:rsidRPr="003D4B91">
        <w:rPr>
          <w:color w:val="000000"/>
        </w:rPr>
        <w:t>Efficiency</w:t>
      </w:r>
    </w:p>
    <w:p w14:paraId="4806020D" w14:textId="76ED6769" w:rsidR="00586F3C" w:rsidRPr="003D4B91" w:rsidRDefault="00586F3C" w:rsidP="00037A46">
      <w:pPr>
        <w:pStyle w:val="ListParagraph"/>
        <w:numPr>
          <w:ilvl w:val="0"/>
          <w:numId w:val="5"/>
        </w:numPr>
        <w:rPr>
          <w:color w:val="000000"/>
        </w:rPr>
      </w:pPr>
      <w:r w:rsidRPr="003D4B91">
        <w:rPr>
          <w:color w:val="000000"/>
        </w:rPr>
        <w:t>Sustainability</w:t>
      </w:r>
    </w:p>
    <w:p w14:paraId="639DA2AC" w14:textId="6F002992" w:rsidR="00586F3C" w:rsidRPr="003D4B91" w:rsidRDefault="00FF73A6" w:rsidP="00FF623C">
      <w:r w:rsidRPr="003D4B91">
        <w:rPr>
          <w:color w:val="000000"/>
        </w:rPr>
        <w:t>As described above (see</w:t>
      </w:r>
      <w:r w:rsidR="0069455C">
        <w:rPr>
          <w:color w:val="000000"/>
        </w:rPr>
        <w:t xml:space="preserve"> Section </w:t>
      </w:r>
      <w:r w:rsidR="0069455C">
        <w:rPr>
          <w:color w:val="000000"/>
        </w:rPr>
        <w:fldChar w:fldCharType="begin"/>
      </w:r>
      <w:r w:rsidR="0069455C">
        <w:rPr>
          <w:color w:val="000000"/>
        </w:rPr>
        <w:instrText xml:space="preserve"> REF _Ref219841267 \r \h </w:instrText>
      </w:r>
      <w:r w:rsidR="0069455C">
        <w:rPr>
          <w:color w:val="000000"/>
        </w:rPr>
      </w:r>
      <w:r w:rsidR="0069455C">
        <w:rPr>
          <w:color w:val="000000"/>
        </w:rPr>
        <w:fldChar w:fldCharType="separate"/>
      </w:r>
      <w:r w:rsidR="007007C5">
        <w:rPr>
          <w:color w:val="000000"/>
        </w:rPr>
        <w:t>2</w:t>
      </w:r>
      <w:r w:rsidR="0069455C">
        <w:rPr>
          <w:color w:val="000000"/>
        </w:rPr>
        <w:fldChar w:fldCharType="end"/>
      </w:r>
      <w:r w:rsidRPr="003D4B91">
        <w:rPr>
          <w:color w:val="000000"/>
        </w:rPr>
        <w:t>), t</w:t>
      </w:r>
      <w:r w:rsidR="00586F3C" w:rsidRPr="003D4B91">
        <w:rPr>
          <w:color w:val="000000"/>
        </w:rPr>
        <w:t xml:space="preserve">he sixth Key Evaluation Criteria—Lessons Learned and Recommendations—has been integrated into the summary of the findings for the first five criteria rather than standing alone so that these appear in context. </w:t>
      </w:r>
      <w:r w:rsidR="00586F3C" w:rsidRPr="003D4B91">
        <w:t>Recommendations are highlighted in text boxes and consolidated on page</w:t>
      </w:r>
      <w:r w:rsidR="0069455C">
        <w:t xml:space="preserve"> </w:t>
      </w:r>
      <w:r w:rsidR="0069455C">
        <w:fldChar w:fldCharType="begin"/>
      </w:r>
      <w:r w:rsidR="0069455C">
        <w:instrText xml:space="preserve"> PAGEREF _Ref169614432 \h </w:instrText>
      </w:r>
      <w:r w:rsidR="0069455C">
        <w:fldChar w:fldCharType="separate"/>
      </w:r>
      <w:r w:rsidR="007007C5">
        <w:rPr>
          <w:noProof/>
        </w:rPr>
        <w:t>x</w:t>
      </w:r>
      <w:r w:rsidR="0069455C">
        <w:fldChar w:fldCharType="end"/>
      </w:r>
      <w:r w:rsidR="00586F3C" w:rsidRPr="003D4B91">
        <w:t xml:space="preserve"> for convenience.</w:t>
      </w:r>
      <w:r w:rsidR="00DA5856" w:rsidRPr="003D4B91">
        <w:t xml:space="preserve"> As described in Section </w:t>
      </w:r>
      <w:r w:rsidR="00DA5856" w:rsidRPr="003D4B91">
        <w:fldChar w:fldCharType="begin"/>
      </w:r>
      <w:r w:rsidR="00DA5856" w:rsidRPr="003D4B91">
        <w:instrText xml:space="preserve"> REF _Ref219836943 \r \h </w:instrText>
      </w:r>
      <w:r w:rsidR="003D4B91">
        <w:instrText xml:space="preserve"> \* MERGEFORMAT </w:instrText>
      </w:r>
      <w:r w:rsidR="00DA5856" w:rsidRPr="003D4B91">
        <w:fldChar w:fldCharType="separate"/>
      </w:r>
      <w:r w:rsidR="007007C5">
        <w:t>1.3</w:t>
      </w:r>
      <w:r w:rsidR="00DA5856" w:rsidRPr="003D4B91">
        <w:fldChar w:fldCharType="end"/>
      </w:r>
      <w:r w:rsidR="00DA5856" w:rsidRPr="003D4B91">
        <w:t xml:space="preserve"> above, recommendations made in this evaluation are </w:t>
      </w:r>
      <w:r w:rsidR="003349AE">
        <w:t>focused</w:t>
      </w:r>
      <w:r w:rsidR="00DA5856" w:rsidRPr="003D4B91">
        <w:t xml:space="preserve"> on what a future phase of an investment that builds on the work of RUCaS could do (</w:t>
      </w:r>
      <w:r w:rsidR="00A5084A">
        <w:t xml:space="preserve">that is, </w:t>
      </w:r>
      <w:r w:rsidR="00DA5856" w:rsidRPr="003D4B91">
        <w:t>they do not focus on what should be done for the remainder of RUCaS Phase 1).</w:t>
      </w:r>
    </w:p>
    <w:p w14:paraId="6129D6BF" w14:textId="076C5CAD" w:rsidR="00302D4A" w:rsidRDefault="00302D4A" w:rsidP="008A4889">
      <w:pPr>
        <w:pStyle w:val="Heading20"/>
        <w:numPr>
          <w:ilvl w:val="1"/>
          <w:numId w:val="1"/>
        </w:numPr>
        <w:jc w:val="both"/>
      </w:pPr>
      <w:bookmarkStart w:id="118" w:name="_Ref219842310"/>
      <w:bookmarkStart w:id="119" w:name="_Toc225951853"/>
      <w:r w:rsidRPr="003D4B91">
        <w:lastRenderedPageBreak/>
        <w:t>Overall assessment</w:t>
      </w:r>
      <w:bookmarkEnd w:id="118"/>
      <w:bookmarkEnd w:id="119"/>
    </w:p>
    <w:p w14:paraId="3CB93D24" w14:textId="13F70600" w:rsidR="00664903" w:rsidRDefault="00726678" w:rsidP="00726678">
      <w:r w:rsidRPr="003D4B91">
        <w:t xml:space="preserve">Overall, there </w:t>
      </w:r>
      <w:r w:rsidR="0027637D" w:rsidRPr="003D4B91">
        <w:t>wa</w:t>
      </w:r>
      <w:r w:rsidRPr="003D4B91">
        <w:t xml:space="preserve">s much evidence that the RUCaS program </w:t>
      </w:r>
      <w:r w:rsidR="00631F11">
        <w:t>made substantial progress</w:t>
      </w:r>
      <w:r w:rsidR="003B49EE" w:rsidRPr="003D4B91">
        <w:t xml:space="preserve"> </w:t>
      </w:r>
      <w:r w:rsidRPr="003D4B91">
        <w:t>towards developing the capacity and motivation of NbS champions</w:t>
      </w:r>
      <w:r w:rsidR="00F2194A" w:rsidRPr="003D4B91">
        <w:t xml:space="preserve"> in the </w:t>
      </w:r>
      <w:r w:rsidR="00C7502A" w:rsidRPr="003D4B91">
        <w:t>Mekong subregion</w:t>
      </w:r>
      <w:r w:rsidRPr="003D4B91">
        <w:t xml:space="preserve">. This </w:t>
      </w:r>
      <w:r w:rsidR="00DB1398" w:rsidRPr="003D4B91">
        <w:t>was</w:t>
      </w:r>
      <w:r w:rsidRPr="003D4B91">
        <w:t xml:space="preserve"> done through the expertise and hard work of the RUCaS team as well as the partners they worked with in </w:t>
      </w:r>
      <w:r w:rsidR="00DB1398" w:rsidRPr="003D4B91">
        <w:t>Thailand, Cambodia, Viet Nam, Lao PDR</w:t>
      </w:r>
      <w:r w:rsidRPr="003D4B91">
        <w:t xml:space="preserve"> and beyond. </w:t>
      </w:r>
      <w:r w:rsidR="00AB32BF" w:rsidRPr="003D4B91">
        <w:t xml:space="preserve">There </w:t>
      </w:r>
      <w:r w:rsidR="00DB1398" w:rsidRPr="003D4B91">
        <w:t>was</w:t>
      </w:r>
      <w:r w:rsidR="00AB32BF" w:rsidRPr="003D4B91">
        <w:t xml:space="preserve"> an appetite in the </w:t>
      </w:r>
      <w:r w:rsidR="00C7502A" w:rsidRPr="003D4B91">
        <w:t>Mekong subregion</w:t>
      </w:r>
      <w:r w:rsidR="00AB32BF" w:rsidRPr="003D4B91">
        <w:t xml:space="preserve"> for solutions other than grey infrastructure to strengthen climate resilience in urban environments</w:t>
      </w:r>
      <w:r w:rsidR="006E0B33" w:rsidRPr="003D4B91">
        <w:t>,</w:t>
      </w:r>
      <w:r w:rsidR="00AB32BF" w:rsidRPr="003D4B91">
        <w:t xml:space="preserve"> and it </w:t>
      </w:r>
      <w:r w:rsidR="0027637D" w:rsidRPr="003D4B91">
        <w:t>wa</w:t>
      </w:r>
      <w:r w:rsidR="00AB32BF" w:rsidRPr="003D4B91">
        <w:t xml:space="preserve">s clear that RUCaS </w:t>
      </w:r>
      <w:r w:rsidR="00DB1398" w:rsidRPr="003D4B91">
        <w:t>was</w:t>
      </w:r>
      <w:r w:rsidR="00AB32BF" w:rsidRPr="003D4B91">
        <w:t xml:space="preserve"> a welcome response to this gap in expertise</w:t>
      </w:r>
      <w:r w:rsidR="005E5A0C">
        <w:t xml:space="preserve"> and, therefore, highly relevant</w:t>
      </w:r>
      <w:r w:rsidR="00AB32BF" w:rsidRPr="003D4B91">
        <w:t xml:space="preserve">. Government, university and </w:t>
      </w:r>
      <w:r w:rsidR="00A80E17" w:rsidRPr="003D4B91">
        <w:t>civil society organisation (</w:t>
      </w:r>
      <w:r w:rsidR="00AB32BF" w:rsidRPr="003D4B91">
        <w:t>CSO</w:t>
      </w:r>
      <w:r w:rsidR="00A80E17" w:rsidRPr="003D4B91">
        <w:t>)</w:t>
      </w:r>
      <w:r w:rsidR="00AB32BF" w:rsidRPr="003D4B91">
        <w:t xml:space="preserve"> representatives from all four countries spoke highly of the professionalism of the RUCaS team and indicated they would value fu</w:t>
      </w:r>
      <w:r w:rsidR="006E0B33" w:rsidRPr="003D4B91">
        <w:t>ture</w:t>
      </w:r>
      <w:r w:rsidR="00AB32BF" w:rsidRPr="003D4B91">
        <w:t xml:space="preserve"> engagement to support their NbS work. </w:t>
      </w:r>
      <w:proofErr w:type="gramStart"/>
      <w:r w:rsidR="00AB32BF" w:rsidRPr="003D4B91">
        <w:t>In particular</w:t>
      </w:r>
      <w:r w:rsidR="006E0B33" w:rsidRPr="003D4B91">
        <w:t>,</w:t>
      </w:r>
      <w:r w:rsidR="00AB32BF" w:rsidRPr="003D4B91">
        <w:t xml:space="preserve"> they</w:t>
      </w:r>
      <w:proofErr w:type="gramEnd"/>
      <w:r w:rsidR="00AB32BF" w:rsidRPr="003D4B91">
        <w:t xml:space="preserve"> valued the learning events, including workshops and regional conferences, supported by RUCaS and expressed interest in continuing this learning, as well as</w:t>
      </w:r>
      <w:r w:rsidR="00DB1398" w:rsidRPr="003D4B91">
        <w:t xml:space="preserve"> receiving</w:t>
      </w:r>
      <w:r w:rsidR="00AB32BF" w:rsidRPr="003D4B91">
        <w:t xml:space="preserve"> technical support from RUCaS staff to implement and scale up NbS (</w:t>
      </w:r>
      <w:r w:rsidR="006E0B33" w:rsidRPr="003D4B91">
        <w:t xml:space="preserve">e.g. </w:t>
      </w:r>
      <w:r w:rsidR="00AB32BF" w:rsidRPr="003D4B91">
        <w:t xml:space="preserve">through </w:t>
      </w:r>
      <w:r w:rsidR="00DB1398" w:rsidRPr="003D4B91">
        <w:t xml:space="preserve">the </w:t>
      </w:r>
      <w:r w:rsidR="00AB32BF" w:rsidRPr="003D4B91">
        <w:t>development of policy and guidelines in their countries).</w:t>
      </w:r>
    </w:p>
    <w:p w14:paraId="253ECC91" w14:textId="7DE98895" w:rsidR="00B148A1" w:rsidRDefault="00B148A1" w:rsidP="00726678">
      <w:r w:rsidRPr="003D4B91">
        <w:t xml:space="preserve">Despite </w:t>
      </w:r>
      <w:r w:rsidR="005E5A0C">
        <w:t>the progress made in the RUCaS program</w:t>
      </w:r>
      <w:r w:rsidRPr="003D4B91">
        <w:t xml:space="preserve">, there were some key </w:t>
      </w:r>
      <w:r>
        <w:t>lessons learned</w:t>
      </w:r>
      <w:r w:rsidRPr="003D4B91">
        <w:t xml:space="preserve"> regarding the performance of RUCaS vis-à-vis its EOPO</w:t>
      </w:r>
      <w:r w:rsidR="00153BA5">
        <w:t>—particularly for EOPO 1—which meant that there was room for improvement in terms of both effectiveness and efficiency</w:t>
      </w:r>
      <w:r w:rsidRPr="003D4B91">
        <w:t>.</w:t>
      </w:r>
      <w:r>
        <w:t xml:space="preserve"> This was, in large part, due to issues with the program logic</w:t>
      </w:r>
      <w:r w:rsidR="00153BA5">
        <w:t xml:space="preserve"> (as articulated in the MEL Framework)</w:t>
      </w:r>
      <w:r w:rsidR="003A2884">
        <w:t xml:space="preserve"> including where</w:t>
      </w:r>
      <w:r>
        <w:t xml:space="preserve"> key terms were not clearly defined</w:t>
      </w:r>
      <w:r w:rsidR="003A2884">
        <w:t>; weak causality between elements of the program logic; redundancy or circularity in the overall logic and ambiguous or tentative expected changes.</w:t>
      </w:r>
      <w:r w:rsidR="005E5A0C">
        <w:t xml:space="preserve"> The issues in the program logic are outlined in Appendix D: Evaluability Assessment</w:t>
      </w:r>
      <w:r w:rsidR="00050736">
        <w:t>,</w:t>
      </w:r>
      <w:r w:rsidR="005E5A0C">
        <w:t xml:space="preserve"> and the impacts of these issues are detailed under each EOPO in Section </w:t>
      </w:r>
      <w:r w:rsidR="005E5A0C">
        <w:fldChar w:fldCharType="begin"/>
      </w:r>
      <w:r w:rsidR="005E5A0C">
        <w:instrText xml:space="preserve"> REF _Ref170413458 \r \h </w:instrText>
      </w:r>
      <w:r w:rsidR="005E5A0C">
        <w:fldChar w:fldCharType="separate"/>
      </w:r>
      <w:r w:rsidR="007007C5">
        <w:t>3.4</w:t>
      </w:r>
      <w:r w:rsidR="005E5A0C">
        <w:fldChar w:fldCharType="end"/>
      </w:r>
      <w:r w:rsidR="005E5A0C">
        <w:t xml:space="preserve"> Effectiveness.</w:t>
      </w:r>
    </w:p>
    <w:p w14:paraId="00719259" w14:textId="7483CB1B" w:rsidR="004E12DC" w:rsidRDefault="004E12DC" w:rsidP="004E12DC">
      <w:r w:rsidRPr="003D4B91">
        <w:t xml:space="preserve">A </w:t>
      </w:r>
      <w:r w:rsidR="00153BA5">
        <w:t xml:space="preserve">major </w:t>
      </w:r>
      <w:r w:rsidRPr="003D4B91">
        <w:t xml:space="preserve">factor that has </w:t>
      </w:r>
      <w:r w:rsidR="00153BA5">
        <w:t xml:space="preserve">made the RUCaS program particularly challenging to implement—and perhaps contributed, at least in part, to the issues with the program logic—is </w:t>
      </w:r>
      <w:r w:rsidRPr="003D4B91">
        <w:t>that funding for RUCaS came in several short phases</w:t>
      </w:r>
      <w:r w:rsidR="009A5ACA">
        <w:t xml:space="preserve"> (as described above in Section </w:t>
      </w:r>
      <w:r w:rsidR="009A5ACA">
        <w:fldChar w:fldCharType="begin"/>
      </w:r>
      <w:r w:rsidR="009A5ACA">
        <w:instrText xml:space="preserve"> REF _Ref219836943 \r \h </w:instrText>
      </w:r>
      <w:r w:rsidR="009A5ACA">
        <w:fldChar w:fldCharType="separate"/>
      </w:r>
      <w:r w:rsidR="007007C5">
        <w:t>1.3</w:t>
      </w:r>
      <w:r w:rsidR="009A5ACA">
        <w:fldChar w:fldCharType="end"/>
      </w:r>
      <w:r w:rsidR="00050736">
        <w:t>)</w:t>
      </w:r>
      <w:r w:rsidR="005E5A0C">
        <w:t>. That is,</w:t>
      </w:r>
      <w:r w:rsidRPr="003D4B91">
        <w:t xml:space="preserve"> there was never an opportunity to properly plan </w:t>
      </w:r>
      <w:r w:rsidR="00D265AD">
        <w:t>for the full scope of the RUCaS</w:t>
      </w:r>
      <w:r w:rsidRPr="003D4B91">
        <w:t xml:space="preserve"> program and employ experienced staff to see the program through from start to finish. </w:t>
      </w:r>
      <w:proofErr w:type="gramStart"/>
      <w:r w:rsidR="005E5A0C">
        <w:t>In light of</w:t>
      </w:r>
      <w:proofErr w:type="gramEnd"/>
      <w:r w:rsidR="005E5A0C">
        <w:t xml:space="preserve"> this,</w:t>
      </w:r>
      <w:r w:rsidRPr="003D4B91">
        <w:t xml:space="preserve"> the RUCaS team worked productively with a series of short-term grants. </w:t>
      </w:r>
    </w:p>
    <w:p w14:paraId="7DD73014" w14:textId="3A57AD94" w:rsidR="005E5A0C" w:rsidRPr="003D4B91" w:rsidRDefault="005E5A0C" w:rsidP="004E12DC">
      <w:r w:rsidRPr="005E5A0C">
        <w:t xml:space="preserve">RUCaS </w:t>
      </w:r>
      <w:r w:rsidR="009A5ACA">
        <w:t>delivered important</w:t>
      </w:r>
      <w:r w:rsidRPr="005E5A0C">
        <w:t xml:space="preserve"> GEDSI activities, including the integration of GEDSI considerations into selected case studies and the development of the GEDSI NbS guideline, supported by an active GEDSI Technical Advisory Group (TAG). However, the program’s overall GEDSI outcomes fell short of expectations</w:t>
      </w:r>
      <w:r>
        <w:t xml:space="preserve"> for an investment of this size</w:t>
      </w:r>
      <w:r w:rsidRPr="005E5A0C">
        <w:t>. This was partly due to GEDSI being incorporated late in the program design, an unclear and overly ambitious GEDSI strategy, the absence of a robust GEDSI analysis at inception, and limited GEDSI capacity within a technically focused implementing team.</w:t>
      </w:r>
    </w:p>
    <w:p w14:paraId="2EFBFA61" w14:textId="6FC08698" w:rsidR="00D2651B" w:rsidRPr="003D4B91" w:rsidRDefault="00BD0BC0" w:rsidP="009A5ACA">
      <w:r w:rsidRPr="003D4B91">
        <w:t xml:space="preserve">Another major concern identified in this evaluation was the sustainability of the positive results that the RUCaS program </w:t>
      </w:r>
      <w:r w:rsidR="009A5ACA">
        <w:t>achieved</w:t>
      </w:r>
      <w:r w:rsidRPr="003D4B91">
        <w:t xml:space="preserve">. </w:t>
      </w:r>
      <w:r w:rsidR="00050736">
        <w:t>T</w:t>
      </w:r>
      <w:r w:rsidR="00664903">
        <w:t xml:space="preserve">here was very little evidence to suggest that </w:t>
      </w:r>
      <w:r w:rsidRPr="003D4B91">
        <w:t xml:space="preserve">the case </w:t>
      </w:r>
      <w:r w:rsidR="009A5ACA">
        <w:t>studies</w:t>
      </w:r>
      <w:r w:rsidRPr="003D4B91">
        <w:t xml:space="preserve">, guidelines and other tools, </w:t>
      </w:r>
      <w:r w:rsidR="003F7A75">
        <w:t xml:space="preserve">partnerships and networks, </w:t>
      </w:r>
      <w:r w:rsidRPr="003D4B91">
        <w:t>and several of the GEDSI achievements would be sustained beyond the support of the RUCaS program</w:t>
      </w:r>
      <w:r w:rsidR="006E5D65">
        <w:t xml:space="preserve"> (further discussed in Section 3.7)</w:t>
      </w:r>
      <w:r w:rsidRPr="003D4B91">
        <w:t>.</w:t>
      </w:r>
    </w:p>
    <w:p w14:paraId="7B192635" w14:textId="0CEA2939" w:rsidR="00A456A1" w:rsidRDefault="009A5ACA" w:rsidP="00E61B18">
      <w:r>
        <w:t>Overall, t</w:t>
      </w:r>
      <w:r w:rsidR="00ED66DE" w:rsidRPr="003D4B91">
        <w:t xml:space="preserve">he RUCaS program </w:t>
      </w:r>
      <w:r w:rsidR="00631F11">
        <w:t>achieved some impressive results</w:t>
      </w:r>
      <w:r w:rsidR="00ED66DE" w:rsidRPr="003D4B91">
        <w:t xml:space="preserve"> despite several challenges. </w:t>
      </w:r>
      <w:r>
        <w:t xml:space="preserve">When assessed in full, there were many lessons learned during Phase 1 that should be applied to a possible future phase of RUCaS. </w:t>
      </w:r>
      <w:r w:rsidR="00ED73BA" w:rsidRPr="00ED73BA">
        <w:t>Perhaps most importantly</w:t>
      </w:r>
      <w:r w:rsidR="006E5D65">
        <w:t>—</w:t>
      </w:r>
      <w:r w:rsidR="00ED73BA" w:rsidRPr="00ED73BA">
        <w:t xml:space="preserve">because program logic </w:t>
      </w:r>
      <w:r w:rsidR="00ED73BA" w:rsidRPr="00ED73BA">
        <w:lastRenderedPageBreak/>
        <w:t>provides the necessary foundation for effective implementation</w:t>
      </w:r>
      <w:r w:rsidR="006E5D65">
        <w:t>—</w:t>
      </w:r>
      <w:r w:rsidR="00ED73BA" w:rsidRPr="00ED73BA">
        <w:t>any future phase of RUCaS should be designed to be feasible, realistic, and aligned with DFAT standards.</w:t>
      </w:r>
    </w:p>
    <w:p w14:paraId="4C074F48" w14:textId="77777777" w:rsidR="00873132" w:rsidRDefault="00873132" w:rsidP="00220A54">
      <w:pPr>
        <w:pBdr>
          <w:top w:val="single" w:sz="4" w:space="1" w:color="auto"/>
          <w:left w:val="single" w:sz="4" w:space="4" w:color="auto"/>
          <w:bottom w:val="single" w:sz="4" w:space="1" w:color="auto"/>
          <w:right w:val="single" w:sz="4" w:space="4" w:color="auto"/>
        </w:pBdr>
        <w:shd w:val="clear" w:color="auto" w:fill="F2F2F2" w:themeFill="background1" w:themeFillShade="F2"/>
      </w:pPr>
      <w:r w:rsidRPr="003D1B30">
        <w:rPr>
          <w:b/>
          <w:bCs/>
        </w:rPr>
        <w:t>Recommendation 1:</w:t>
      </w:r>
      <w:r>
        <w:t xml:space="preserve"> </w:t>
      </w:r>
      <w:r w:rsidRPr="00B16321">
        <w:t>DFAT should ensure that the program logic and MEL Framework for any future phase of RUCaS is clear, feasible within the given timeframe and resources (including with respect to GEDSI), and conforms with DFAT MEL standards.</w:t>
      </w:r>
    </w:p>
    <w:p w14:paraId="7522CFFA" w14:textId="6CFC42A4" w:rsidR="0031045C" w:rsidRPr="003D4B91" w:rsidRDefault="0031045C" w:rsidP="00282FC9">
      <w:pPr>
        <w:pStyle w:val="Heading20"/>
        <w:numPr>
          <w:ilvl w:val="1"/>
          <w:numId w:val="1"/>
        </w:numPr>
        <w:spacing w:before="360"/>
        <w:ind w:left="357" w:hanging="357"/>
        <w:jc w:val="both"/>
      </w:pPr>
      <w:bookmarkStart w:id="120" w:name="_Toc219645694"/>
      <w:bookmarkStart w:id="121" w:name="_Toc219645695"/>
      <w:bookmarkStart w:id="122" w:name="_Toc219645696"/>
      <w:bookmarkStart w:id="123" w:name="_Toc225951854"/>
      <w:bookmarkEnd w:id="120"/>
      <w:bookmarkEnd w:id="121"/>
      <w:bookmarkEnd w:id="122"/>
      <w:r w:rsidRPr="003D4B91">
        <w:t>Relevance</w:t>
      </w:r>
      <w:bookmarkEnd w:id="123"/>
    </w:p>
    <w:p w14:paraId="10C67A5C" w14:textId="6BAE09CC" w:rsidR="00586F3C" w:rsidRDefault="00183D19" w:rsidP="00183D19">
      <w:pPr>
        <w:rPr>
          <w:color w:val="000000"/>
        </w:rPr>
      </w:pPr>
      <w:r w:rsidRPr="003D4B91">
        <w:t xml:space="preserve">Overall, the RUCaS program activities were broadly aligned with the priorities of DFAT posts and partner governments in Lao PDR, Thailand, Cambodia and Viet Nam, as well as other actors operating in the Mekong subregion such as the Asian Development Bank (ADB) and United Cities and Local Governments Asia Pacific (UCLG ASPAC). Partner governments in the </w:t>
      </w:r>
      <w:r w:rsidR="00C7502A" w:rsidRPr="003D4B91">
        <w:t>Mekong subregion</w:t>
      </w:r>
      <w:r w:rsidRPr="003D4B91">
        <w:t xml:space="preserve"> were aware of, and prioritised responding to, the negative impacts of climate change particularly in urban areas. Many of the evaluation informants who represent</w:t>
      </w:r>
      <w:r w:rsidR="00516376" w:rsidRPr="003D4B91">
        <w:t>ed</w:t>
      </w:r>
      <w:r w:rsidRPr="003D4B91">
        <w:t xml:space="preserve"> partner governments (at various levels) viewed green infrastructure </w:t>
      </w:r>
      <w:r w:rsidR="00516376" w:rsidRPr="003D4B91">
        <w:t>(a subset of NbS, e.g.</w:t>
      </w:r>
      <w:r w:rsidRPr="003D4B91">
        <w:t xml:space="preserve"> wetlands, urban forests, green walls</w:t>
      </w:r>
      <w:r w:rsidR="00516376" w:rsidRPr="003D4B91">
        <w:t xml:space="preserve">, </w:t>
      </w:r>
      <w:r w:rsidRPr="003D4B91">
        <w:t>bioswales</w:t>
      </w:r>
      <w:r w:rsidR="00516376" w:rsidRPr="003D4B91">
        <w:t>)</w:t>
      </w:r>
      <w:r w:rsidRPr="003D4B91">
        <w:t xml:space="preserve"> as playing a substantial role in addressing climate change challenges in urban areas, and they saw hybrid NbS as being aligned with this. Many of these government ministries or departments had already supported the construction of green infrastructure and NbS in their jurisdictions and some had incorporated this concept into strategies and action plans. For example, </w:t>
      </w:r>
      <w:r w:rsidRPr="003D4B91">
        <w:rPr>
          <w:color w:val="000000"/>
        </w:rPr>
        <w:t>in Lao PDR, the Integrated Climate Resilient Flood Management Strategy (ICFMS) incorporates green infrastructure and NbS</w:t>
      </w:r>
      <w:r w:rsidR="00516376" w:rsidRPr="003D4B91">
        <w:rPr>
          <w:color w:val="000000"/>
        </w:rPr>
        <w:t>. I</w:t>
      </w:r>
      <w:r w:rsidRPr="003D4B91">
        <w:rPr>
          <w:color w:val="000000"/>
        </w:rPr>
        <w:t>n Thailand, NbS has been integrated into six key development sectors in the National Action Plan (NAP).</w:t>
      </w:r>
    </w:p>
    <w:p w14:paraId="13E56116" w14:textId="77777777" w:rsidR="002A53D1" w:rsidRDefault="0013075F" w:rsidP="004445B4">
      <w:pPr>
        <w:pBdr>
          <w:top w:val="single" w:sz="4" w:space="1" w:color="auto"/>
          <w:left w:val="single" w:sz="4" w:space="4" w:color="auto"/>
          <w:bottom w:val="single" w:sz="4" w:space="1" w:color="auto"/>
          <w:right w:val="single" w:sz="4" w:space="4" w:color="auto"/>
        </w:pBdr>
      </w:pPr>
      <w:r>
        <w:rPr>
          <w:i/>
          <w:iCs/>
        </w:rPr>
        <w:t>“</w:t>
      </w:r>
      <w:r w:rsidRPr="00B5111A">
        <w:rPr>
          <w:i/>
          <w:iCs/>
        </w:rPr>
        <w:t xml:space="preserve">The secretary general of UCLG ASPA noted that NbS is </w:t>
      </w:r>
      <w:r>
        <w:rPr>
          <w:i/>
          <w:iCs/>
        </w:rPr>
        <w:t xml:space="preserve">a </w:t>
      </w:r>
      <w:r w:rsidRPr="00B5111A">
        <w:rPr>
          <w:i/>
          <w:iCs/>
        </w:rPr>
        <w:t>cost</w:t>
      </w:r>
      <w:r>
        <w:rPr>
          <w:i/>
          <w:iCs/>
        </w:rPr>
        <w:t>-efficient approach</w:t>
      </w:r>
      <w:r w:rsidRPr="00B5111A">
        <w:rPr>
          <w:i/>
          <w:iCs/>
        </w:rPr>
        <w:t xml:space="preserve"> to address</w:t>
      </w:r>
      <w:r>
        <w:rPr>
          <w:i/>
          <w:iCs/>
        </w:rPr>
        <w:t xml:space="preserve">ing </w:t>
      </w:r>
      <w:r w:rsidRPr="00B5111A">
        <w:rPr>
          <w:i/>
          <w:iCs/>
        </w:rPr>
        <w:t>challenges such as flooding, heat and drinking water. The cities agreed it was a good idea but didn’t know enough about what NbS is.</w:t>
      </w:r>
      <w:r>
        <w:rPr>
          <w:i/>
          <w:iCs/>
        </w:rPr>
        <w:t>”</w:t>
      </w:r>
      <w:r w:rsidR="00006BBF">
        <w:rPr>
          <w:i/>
          <w:iCs/>
        </w:rPr>
        <w:t xml:space="preserve"> </w:t>
      </w:r>
      <w:r w:rsidR="00006BBF" w:rsidRPr="00006BBF">
        <w:t>(</w:t>
      </w:r>
      <w:r w:rsidRPr="00006BBF">
        <w:t>Interested third-party</w:t>
      </w:r>
      <w:r w:rsidR="00006BBF" w:rsidRPr="00006BBF">
        <w:t>)</w:t>
      </w:r>
    </w:p>
    <w:p w14:paraId="72783A16" w14:textId="530F7AC3" w:rsidR="0013075F" w:rsidRPr="00006BBF" w:rsidRDefault="0013075F" w:rsidP="004445B4">
      <w:pPr>
        <w:pBdr>
          <w:top w:val="single" w:sz="4" w:space="1" w:color="auto"/>
          <w:left w:val="single" w:sz="4" w:space="4" w:color="auto"/>
          <w:bottom w:val="single" w:sz="4" w:space="1" w:color="auto"/>
          <w:right w:val="single" w:sz="4" w:space="4" w:color="auto"/>
        </w:pBdr>
        <w:rPr>
          <w:i/>
          <w:iCs/>
        </w:rPr>
      </w:pPr>
      <w:r>
        <w:rPr>
          <w:i/>
          <w:iCs/>
        </w:rPr>
        <w:t>“</w:t>
      </w:r>
      <w:proofErr w:type="spellStart"/>
      <w:r>
        <w:rPr>
          <w:i/>
          <w:iCs/>
        </w:rPr>
        <w:t>RUCaS</w:t>
      </w:r>
      <w:proofErr w:type="spellEnd"/>
      <w:r w:rsidRPr="002212B8">
        <w:rPr>
          <w:i/>
          <w:iCs/>
        </w:rPr>
        <w:t xml:space="preserve"> very much aligns with </w:t>
      </w:r>
      <w:r>
        <w:rPr>
          <w:i/>
          <w:iCs/>
        </w:rPr>
        <w:t xml:space="preserve">the </w:t>
      </w:r>
      <w:r w:rsidRPr="002212B8">
        <w:rPr>
          <w:i/>
          <w:iCs/>
        </w:rPr>
        <w:t xml:space="preserve">water resilience strategy of the </w:t>
      </w:r>
      <w:r>
        <w:rPr>
          <w:i/>
          <w:iCs/>
        </w:rPr>
        <w:t>Mekong-</w:t>
      </w:r>
      <w:r w:rsidRPr="002212B8">
        <w:rPr>
          <w:i/>
          <w:iCs/>
        </w:rPr>
        <w:t>Australia Partnership</w:t>
      </w:r>
      <w:r>
        <w:rPr>
          <w:i/>
          <w:iCs/>
        </w:rPr>
        <w:t>.”</w:t>
      </w:r>
      <w:r w:rsidR="00006BBF">
        <w:rPr>
          <w:i/>
          <w:iCs/>
        </w:rPr>
        <w:t xml:space="preserve"> </w:t>
      </w:r>
      <w:r w:rsidR="005447A4">
        <w:t xml:space="preserve">- </w:t>
      </w:r>
      <w:r w:rsidRPr="00006BBF">
        <w:t>DFAT</w:t>
      </w:r>
    </w:p>
    <w:p w14:paraId="2F4D9C1F" w14:textId="6BCE8459" w:rsidR="0013075F" w:rsidRPr="004445B4" w:rsidRDefault="0013075F" w:rsidP="004445B4">
      <w:pPr>
        <w:pBdr>
          <w:top w:val="single" w:sz="4" w:space="1" w:color="auto"/>
          <w:left w:val="single" w:sz="4" w:space="4" w:color="auto"/>
          <w:bottom w:val="single" w:sz="4" w:space="1" w:color="auto"/>
          <w:right w:val="single" w:sz="4" w:space="4" w:color="auto"/>
        </w:pBdr>
        <w:rPr>
          <w:i/>
          <w:iCs/>
        </w:rPr>
      </w:pPr>
      <w:r>
        <w:rPr>
          <w:i/>
          <w:iCs/>
        </w:rPr>
        <w:t>“C</w:t>
      </w:r>
      <w:r w:rsidRPr="00C04C74">
        <w:rPr>
          <w:i/>
          <w:iCs/>
        </w:rPr>
        <w:t xml:space="preserve">limate financing is not very </w:t>
      </w:r>
      <w:r>
        <w:rPr>
          <w:i/>
          <w:iCs/>
        </w:rPr>
        <w:t>focused</w:t>
      </w:r>
      <w:r w:rsidRPr="00C04C74">
        <w:rPr>
          <w:i/>
          <w:iCs/>
        </w:rPr>
        <w:t xml:space="preserve"> on urban</w:t>
      </w:r>
      <w:r>
        <w:rPr>
          <w:i/>
          <w:iCs/>
        </w:rPr>
        <w:t xml:space="preserve"> environments but </w:t>
      </w:r>
      <w:r w:rsidRPr="00C04C74">
        <w:rPr>
          <w:i/>
          <w:iCs/>
        </w:rPr>
        <w:t>RUC</w:t>
      </w:r>
      <w:r>
        <w:rPr>
          <w:i/>
          <w:iCs/>
        </w:rPr>
        <w:t>a</w:t>
      </w:r>
      <w:r w:rsidRPr="00C04C74">
        <w:rPr>
          <w:i/>
          <w:iCs/>
        </w:rPr>
        <w:t xml:space="preserve">S addresses </w:t>
      </w:r>
      <w:r>
        <w:rPr>
          <w:i/>
          <w:iCs/>
        </w:rPr>
        <w:t>this gap</w:t>
      </w:r>
      <w:r w:rsidRPr="00C04C74">
        <w:rPr>
          <w:i/>
          <w:iCs/>
        </w:rPr>
        <w:t xml:space="preserve">. </w:t>
      </w:r>
      <w:r>
        <w:rPr>
          <w:i/>
          <w:iCs/>
        </w:rPr>
        <w:t>It has</w:t>
      </w:r>
      <w:r w:rsidRPr="00C04C74">
        <w:rPr>
          <w:i/>
          <w:iCs/>
        </w:rPr>
        <w:t xml:space="preserve"> taken a while for the world to realise that the Mekong is urban (they think it looks rural, but </w:t>
      </w:r>
      <w:r>
        <w:rPr>
          <w:i/>
          <w:iCs/>
        </w:rPr>
        <w:t>it is</w:t>
      </w:r>
      <w:r w:rsidRPr="00C04C74">
        <w:rPr>
          <w:i/>
          <w:iCs/>
        </w:rPr>
        <w:t xml:space="preserve"> increasingly urban)</w:t>
      </w:r>
      <w:r>
        <w:rPr>
          <w:i/>
          <w:iCs/>
        </w:rPr>
        <w:t xml:space="preserve"> so this choice is </w:t>
      </w:r>
      <w:proofErr w:type="gramStart"/>
      <w:r w:rsidRPr="00C04C74">
        <w:rPr>
          <w:i/>
          <w:iCs/>
        </w:rPr>
        <w:t>really quite</w:t>
      </w:r>
      <w:proofErr w:type="gramEnd"/>
      <w:r w:rsidRPr="00C04C74">
        <w:rPr>
          <w:i/>
          <w:iCs/>
        </w:rPr>
        <w:t xml:space="preserve"> smart on RUCa</w:t>
      </w:r>
      <w:r>
        <w:rPr>
          <w:i/>
          <w:iCs/>
        </w:rPr>
        <w:t>S’</w:t>
      </w:r>
      <w:r w:rsidRPr="00C04C74">
        <w:rPr>
          <w:i/>
          <w:iCs/>
        </w:rPr>
        <w:t xml:space="preserve"> behalf. Also, cities are where decision makers live so this has been part of how RUC</w:t>
      </w:r>
      <w:r>
        <w:rPr>
          <w:i/>
          <w:iCs/>
        </w:rPr>
        <w:t>a</w:t>
      </w:r>
      <w:r w:rsidRPr="00C04C74">
        <w:rPr>
          <w:i/>
          <w:iCs/>
        </w:rPr>
        <w:t>S has been influential</w:t>
      </w:r>
      <w:r>
        <w:rPr>
          <w:i/>
          <w:iCs/>
        </w:rPr>
        <w:t>.”</w:t>
      </w:r>
      <w:r w:rsidR="004445B4">
        <w:rPr>
          <w:i/>
          <w:iCs/>
        </w:rPr>
        <w:t xml:space="preserve"> </w:t>
      </w:r>
      <w:r w:rsidR="005447A4">
        <w:t xml:space="preserve">- </w:t>
      </w:r>
      <w:r w:rsidRPr="004445B4">
        <w:t>DFAT</w:t>
      </w:r>
    </w:p>
    <w:p w14:paraId="569D3DAC" w14:textId="511C0ED3" w:rsidR="0082556D" w:rsidRPr="004445B4" w:rsidRDefault="0082556D" w:rsidP="004445B4">
      <w:pPr>
        <w:pBdr>
          <w:top w:val="single" w:sz="4" w:space="1" w:color="auto"/>
          <w:left w:val="single" w:sz="4" w:space="4" w:color="auto"/>
          <w:bottom w:val="single" w:sz="4" w:space="1" w:color="auto"/>
          <w:right w:val="single" w:sz="4" w:space="4" w:color="auto"/>
        </w:pBdr>
        <w:rPr>
          <w:i/>
          <w:iCs/>
        </w:rPr>
      </w:pPr>
      <w:r>
        <w:rPr>
          <w:i/>
          <w:iCs/>
        </w:rPr>
        <w:t>“</w:t>
      </w:r>
      <w:r w:rsidRPr="00BA674A">
        <w:rPr>
          <w:i/>
          <w:iCs/>
        </w:rPr>
        <w:t>We need to have more cooperation between the government departments to support green infrastructure and green development. Our tasks now are how to integrate NbS into the national government strategy. We need to do the BCA to evaluate our options.</w:t>
      </w:r>
      <w:r>
        <w:rPr>
          <w:i/>
          <w:iCs/>
        </w:rPr>
        <w:t>”</w:t>
      </w:r>
      <w:r w:rsidR="004445B4">
        <w:rPr>
          <w:i/>
          <w:iCs/>
        </w:rPr>
        <w:t xml:space="preserve"> </w:t>
      </w:r>
      <w:r w:rsidR="005447A4">
        <w:t xml:space="preserve">- </w:t>
      </w:r>
      <w:r w:rsidRPr="004445B4">
        <w:t>Cambodia government representative</w:t>
      </w:r>
    </w:p>
    <w:p w14:paraId="7DF354B6" w14:textId="68A7305D" w:rsidR="005673A2" w:rsidRDefault="00183D19" w:rsidP="00183D19">
      <w:r w:rsidRPr="003D4B91">
        <w:t xml:space="preserve">Similarly, DFAT posts in the region saw RUCaS’ role in addressing urban climate resilience challenges as an important contribution to a gap in the Australian Aid program. In Cambodia, RUCaS was the only DFAT program that </w:t>
      </w:r>
      <w:r w:rsidR="003349AE">
        <w:t>focused</w:t>
      </w:r>
      <w:r w:rsidRPr="003D4B91">
        <w:t xml:space="preserve"> on </w:t>
      </w:r>
      <w:r w:rsidR="00204C74" w:rsidRPr="003D4B91">
        <w:t>NbS and</w:t>
      </w:r>
      <w:r w:rsidRPr="003D4B91">
        <w:t xml:space="preserve"> was therefore considered an important asset by</w:t>
      </w:r>
      <w:r w:rsidR="00AD2CF2" w:rsidRPr="003D4B91">
        <w:t xml:space="preserve"> Phnom Penh</w:t>
      </w:r>
      <w:r w:rsidRPr="003D4B91">
        <w:t xml:space="preserve"> post staff. Furthermore, in Cambodia and Lao PDR, DFAT representatives appreciated the</w:t>
      </w:r>
      <w:r w:rsidR="005673A2">
        <w:t xml:space="preserve"> relationships RUCaS was strengthening with government ministries that other DFAT programs had less contact with at the time.</w:t>
      </w:r>
    </w:p>
    <w:p w14:paraId="61144555" w14:textId="655ABC8B" w:rsidR="00183D19" w:rsidRPr="003D4B91" w:rsidRDefault="00183D19" w:rsidP="00183D19">
      <w:pPr>
        <w:pBdr>
          <w:top w:val="nil"/>
          <w:left w:val="nil"/>
          <w:bottom w:val="nil"/>
          <w:right w:val="nil"/>
          <w:between w:val="nil"/>
        </w:pBdr>
      </w:pPr>
      <w:r w:rsidRPr="003D4B91">
        <w:lastRenderedPageBreak/>
        <w:t xml:space="preserve">Government representatives, DFAT posts and other actors in the </w:t>
      </w:r>
      <w:r w:rsidR="00C7502A" w:rsidRPr="003D4B91">
        <w:t>Mekong subregion</w:t>
      </w:r>
      <w:r w:rsidRPr="003D4B91">
        <w:t xml:space="preserve"> highly appreciated two aspects of the RUCaS program. Firstly, RUCaS brought international NbS expertise and facilitated learning events for NbS champions and actors in the region to learn more about NbS and how to implement it (something several informants identified as lacking in the region). Furthermore, the ADB representatives explained that whilst 10-20-percent of ADB investments in the Mekong subregion </w:t>
      </w:r>
      <w:r w:rsidR="00AF5E97">
        <w:t>in 2025</w:t>
      </w:r>
      <w:r w:rsidRPr="003D4B91">
        <w:t xml:space="preserve"> involved NbS to some extent, they wanted to see this increase. However, what was missing w</w:t>
      </w:r>
      <w:r w:rsidR="00516376" w:rsidRPr="003D4B91">
        <w:t>ere</w:t>
      </w:r>
      <w:r w:rsidRPr="003D4B91">
        <w:t xml:space="preserve"> policies and design standards for implementing and scaling NbS</w:t>
      </w:r>
      <w:r w:rsidR="00516376" w:rsidRPr="003D4B91">
        <w:t xml:space="preserve">, </w:t>
      </w:r>
      <w:r w:rsidRPr="003D4B91">
        <w:t xml:space="preserve">something they saw RUCaS having expertise in. Secondly, the RUCaS program was valued because it promised to demystify the true financial costs and benefits of NbS through the </w:t>
      </w:r>
      <w:r w:rsidR="00086BA8">
        <w:t>Benefit-Cost Analysis (</w:t>
      </w:r>
      <w:r w:rsidRPr="003D4B91">
        <w:t>BCA</w:t>
      </w:r>
      <w:r w:rsidR="00086BA8">
        <w:t>)</w:t>
      </w:r>
      <w:r w:rsidRPr="003D4B91">
        <w:t xml:space="preserve"> tool. Whilst green infrastructure was well understood and broadly valued by governments in the region, many still prioritised grey infrastructure solutions. This </w:t>
      </w:r>
      <w:r w:rsidR="00516376" w:rsidRPr="003D4B91">
        <w:t>wa</w:t>
      </w:r>
      <w:r w:rsidRPr="003D4B91">
        <w:t xml:space="preserve">s because the capital, as well as operational and maintenance, costs of grey infrastructure were well known, but the costs of green infrastructure and hybrid NbS were not. This was cited as a major barrier to the implementation and scaling up of NbS. </w:t>
      </w:r>
    </w:p>
    <w:p w14:paraId="1D203954" w14:textId="112D8432" w:rsidR="00302D4A" w:rsidRPr="003D4B91" w:rsidRDefault="0031045C" w:rsidP="008A4889">
      <w:pPr>
        <w:pStyle w:val="Heading20"/>
        <w:numPr>
          <w:ilvl w:val="1"/>
          <w:numId w:val="1"/>
        </w:numPr>
        <w:jc w:val="both"/>
      </w:pPr>
      <w:bookmarkStart w:id="124" w:name="_Toc219645698"/>
      <w:bookmarkStart w:id="125" w:name="_Toc219645699"/>
      <w:bookmarkStart w:id="126" w:name="_Toc219645700"/>
      <w:bookmarkStart w:id="127" w:name="_Toc219645701"/>
      <w:bookmarkStart w:id="128" w:name="_Ref170413458"/>
      <w:bookmarkStart w:id="129" w:name="_Ref170733599"/>
      <w:bookmarkStart w:id="130" w:name="_Toc225951855"/>
      <w:bookmarkEnd w:id="124"/>
      <w:bookmarkEnd w:id="125"/>
      <w:bookmarkEnd w:id="126"/>
      <w:bookmarkEnd w:id="127"/>
      <w:r w:rsidRPr="003D4B91">
        <w:t>Effectiveness – p</w:t>
      </w:r>
      <w:r w:rsidR="00302D4A" w:rsidRPr="003D4B91">
        <w:t>rogress towards End-</w:t>
      </w:r>
      <w:r w:rsidR="005C691E" w:rsidRPr="003D4B91">
        <w:t>O</w:t>
      </w:r>
      <w:r w:rsidR="00302D4A" w:rsidRPr="003D4B91">
        <w:t>f-</w:t>
      </w:r>
      <w:r w:rsidR="005C691E" w:rsidRPr="003D4B91">
        <w:t>P</w:t>
      </w:r>
      <w:r w:rsidR="00302D4A" w:rsidRPr="003D4B91">
        <w:t>rogram Outcomes</w:t>
      </w:r>
      <w:bookmarkEnd w:id="128"/>
      <w:bookmarkEnd w:id="129"/>
      <w:bookmarkEnd w:id="130"/>
    </w:p>
    <w:p w14:paraId="30B8BA0B" w14:textId="313B6A90" w:rsidR="00E61B18" w:rsidRPr="003D4B91" w:rsidRDefault="002C65BB" w:rsidP="00E61B18">
      <w:r w:rsidRPr="003D4B91">
        <w:t xml:space="preserve">This section discusses the evidence of progress toward the three EOPO </w:t>
      </w:r>
      <w:r w:rsidR="00B1474A" w:rsidRPr="003D4B91">
        <w:t>defined</w:t>
      </w:r>
      <w:r w:rsidRPr="003D4B91">
        <w:t xml:space="preserve"> in </w:t>
      </w:r>
      <w:r w:rsidR="00F94118" w:rsidRPr="003D4B91">
        <w:t xml:space="preserve">the program logic </w:t>
      </w:r>
      <w:r w:rsidR="00B1474A" w:rsidRPr="003D4B91">
        <w:t>as set out in</w:t>
      </w:r>
      <w:r w:rsidR="00F94118" w:rsidRPr="003D4B91">
        <w:t xml:space="preserve"> the MEL Framework </w:t>
      </w:r>
      <w:r w:rsidR="00B1474A" w:rsidRPr="003D4B91">
        <w:t xml:space="preserve">(see Appendix </w:t>
      </w:r>
      <w:r w:rsidR="00BB016F" w:rsidRPr="003D4B91">
        <w:t>A</w:t>
      </w:r>
      <w:r w:rsidR="00B1474A" w:rsidRPr="003D4B91">
        <w:t>)</w:t>
      </w:r>
      <w:r w:rsidR="00F94118" w:rsidRPr="003D4B91">
        <w:t xml:space="preserve">. </w:t>
      </w:r>
      <w:r w:rsidRPr="003D4B91">
        <w:t>The program logic defined a goal, an aim, three EOPO</w:t>
      </w:r>
      <w:r w:rsidR="00B1474A" w:rsidRPr="003D4B91">
        <w:t xml:space="preserve"> (plus a cross-cutting focus for GEDSI)</w:t>
      </w:r>
      <w:r w:rsidRPr="003D4B91">
        <w:t xml:space="preserve">, three IO </w:t>
      </w:r>
      <w:r w:rsidR="00B1474A" w:rsidRPr="003D4B91">
        <w:t xml:space="preserve">(plus an Expected Change for GEDSI) </w:t>
      </w:r>
      <w:r w:rsidRPr="003D4B91">
        <w:t xml:space="preserve">and fifteen outputs. </w:t>
      </w:r>
      <w:r w:rsidR="00B1474A" w:rsidRPr="003D4B91">
        <w:t xml:space="preserve">Overall, there are several issues with the program logic (a limitation summarised in Section </w:t>
      </w:r>
      <w:r w:rsidR="00D42CF3" w:rsidRPr="003D4B91">
        <w:fldChar w:fldCharType="begin"/>
      </w:r>
      <w:r w:rsidR="00D42CF3" w:rsidRPr="003D4B91">
        <w:instrText xml:space="preserve"> REF _Ref219841267 \r \h </w:instrText>
      </w:r>
      <w:r w:rsidR="003D4B91">
        <w:instrText xml:space="preserve"> \* MERGEFORMAT </w:instrText>
      </w:r>
      <w:r w:rsidR="00D42CF3" w:rsidRPr="003D4B91">
        <w:fldChar w:fldCharType="separate"/>
      </w:r>
      <w:r w:rsidR="007007C5">
        <w:t>2</w:t>
      </w:r>
      <w:r w:rsidR="00D42CF3" w:rsidRPr="003D4B91">
        <w:fldChar w:fldCharType="end"/>
      </w:r>
      <w:r w:rsidR="00B1474A" w:rsidRPr="003D4B91">
        <w:t xml:space="preserve"> Method and described in more detail in </w:t>
      </w:r>
      <w:r w:rsidR="00C7502A" w:rsidRPr="003D4B91">
        <w:t>Appendix</w:t>
      </w:r>
      <w:r w:rsidR="00B1474A" w:rsidRPr="003D4B91">
        <w:t xml:space="preserve"> </w:t>
      </w:r>
      <w:r w:rsidR="00BB016F" w:rsidRPr="003D4B91">
        <w:t>D</w:t>
      </w:r>
      <w:r w:rsidR="00B1474A" w:rsidRPr="003D4B91">
        <w:t>: Evaluability assessment).</w:t>
      </w:r>
      <w:r w:rsidR="00544FFE">
        <w:rPr>
          <w:rStyle w:val="FootnoteReference"/>
        </w:rPr>
        <w:footnoteReference w:id="15"/>
      </w:r>
      <w:r w:rsidR="00B1474A" w:rsidRPr="003D4B91">
        <w:t xml:space="preserve">  A</w:t>
      </w:r>
      <w:r w:rsidRPr="003D4B91">
        <w:rPr>
          <w:color w:val="000000"/>
        </w:rPr>
        <w:t xml:space="preserve">s such, the evaluation team have </w:t>
      </w:r>
      <w:r w:rsidR="00B1474A" w:rsidRPr="003D4B91">
        <w:rPr>
          <w:color w:val="000000"/>
        </w:rPr>
        <w:t>relied</w:t>
      </w:r>
      <w:r w:rsidRPr="003D4B91">
        <w:rPr>
          <w:color w:val="000000"/>
        </w:rPr>
        <w:t xml:space="preserve"> on the IO, outputs and indicators to construct the ‘intent’ of each EOPO, </w:t>
      </w:r>
      <w:r w:rsidR="00B1474A" w:rsidRPr="003D4B91">
        <w:rPr>
          <w:color w:val="000000"/>
        </w:rPr>
        <w:t>progress</w:t>
      </w:r>
      <w:r w:rsidR="008C6160" w:rsidRPr="003D4B91">
        <w:rPr>
          <w:color w:val="000000"/>
        </w:rPr>
        <w:t xml:space="preserve"> of which</w:t>
      </w:r>
      <w:r w:rsidR="00B1474A" w:rsidRPr="003D4B91">
        <w:rPr>
          <w:color w:val="000000"/>
        </w:rPr>
        <w:t xml:space="preserve"> was measured against and discussed below.</w:t>
      </w:r>
    </w:p>
    <w:p w14:paraId="2A810502" w14:textId="35926347" w:rsidR="00AA081F" w:rsidRDefault="00AA081F" w:rsidP="008A4889">
      <w:pPr>
        <w:pStyle w:val="Heading3"/>
        <w:jc w:val="both"/>
      </w:pPr>
      <w:bookmarkStart w:id="131" w:name="_Ref223032639"/>
      <w:bookmarkStart w:id="132" w:name="_Toc225951856"/>
      <w:r w:rsidRPr="003D4B91">
        <w:t>EOPO</w:t>
      </w:r>
      <w:r w:rsidR="00B02C03" w:rsidRPr="003D4B91">
        <w:t xml:space="preserve"> 1 The value of hybrid NbS is accepted</w:t>
      </w:r>
      <w:bookmarkEnd w:id="131"/>
      <w:bookmarkEnd w:id="132"/>
    </w:p>
    <w:p w14:paraId="1CBED680" w14:textId="324312D3" w:rsidR="001C5339" w:rsidRDefault="0032555B" w:rsidP="001C5339">
      <w:r>
        <w:t xml:space="preserve">The interpretation of EOPO 1 was challenging from an evaluator’s perspective because several of the critical terms in the outputs, IO and EOPO were not clearly defined </w:t>
      </w:r>
      <w:r w:rsidR="006E5D65">
        <w:t>n</w:t>
      </w:r>
      <w:r>
        <w:t xml:space="preserve">or agreed upon among informants, and there </w:t>
      </w:r>
      <w:r w:rsidR="006E5D65">
        <w:t>wa</w:t>
      </w:r>
      <w:r>
        <w:t xml:space="preserve">s redundancy in the logic between the </w:t>
      </w:r>
      <w:r w:rsidR="001C5339">
        <w:t xml:space="preserve">outputs, </w:t>
      </w:r>
      <w:r>
        <w:t>IO and the EOPO</w:t>
      </w:r>
      <w:r w:rsidR="001C5339">
        <w:t xml:space="preserve"> (see Appendix D for more detail). </w:t>
      </w:r>
      <w:r>
        <w:t xml:space="preserve"> </w:t>
      </w:r>
      <w:r w:rsidR="001C5339">
        <w:t xml:space="preserve">Nevertheless, the evaluation team broadly interpreted the logic underlying EOPO 1 to be that </w:t>
      </w:r>
      <w:r w:rsidR="004A1426" w:rsidRPr="00A5084A">
        <w:rPr>
          <w:b/>
          <w:bCs/>
        </w:rPr>
        <w:t>if</w:t>
      </w:r>
      <w:r w:rsidR="004A1426">
        <w:t xml:space="preserve"> </w:t>
      </w:r>
      <w:r w:rsidR="00303A36" w:rsidRPr="003D4B91">
        <w:t xml:space="preserve">the RUCaS team </w:t>
      </w:r>
      <w:r w:rsidR="004A1426">
        <w:t>developed</w:t>
      </w:r>
      <w:r w:rsidR="00303A36" w:rsidRPr="003D4B91">
        <w:t xml:space="preserve"> </w:t>
      </w:r>
      <w:r w:rsidR="00EC0E0D">
        <w:t>eight</w:t>
      </w:r>
      <w:r w:rsidR="00EC0E0D" w:rsidRPr="003D4B91">
        <w:t xml:space="preserve"> </w:t>
      </w:r>
      <w:r w:rsidR="00303A36" w:rsidRPr="003D4B91">
        <w:t xml:space="preserve">concept studies of NbS </w:t>
      </w:r>
      <w:r w:rsidR="001C5339">
        <w:t>examples</w:t>
      </w:r>
      <w:r w:rsidR="00303A36" w:rsidRPr="003D4B91">
        <w:t xml:space="preserve"> in urban centres across the Mekong </w:t>
      </w:r>
      <w:r w:rsidR="0017407A">
        <w:t>sub</w:t>
      </w:r>
      <w:r w:rsidR="00303A36" w:rsidRPr="003D4B91">
        <w:t xml:space="preserve">region, of which </w:t>
      </w:r>
      <w:r w:rsidR="00EC0E0D">
        <w:t>at least four</w:t>
      </w:r>
      <w:r w:rsidR="00EC0E0D" w:rsidRPr="003D4B91">
        <w:t xml:space="preserve"> </w:t>
      </w:r>
      <w:r w:rsidR="004A1426">
        <w:t>were</w:t>
      </w:r>
      <w:r w:rsidR="00303A36" w:rsidRPr="003D4B91">
        <w:t xml:space="preserve"> developed further </w:t>
      </w:r>
      <w:r w:rsidR="00CF430B">
        <w:t xml:space="preserve">into ‘direct interventions’ </w:t>
      </w:r>
      <w:r w:rsidR="00EC0E0D">
        <w:t>(</w:t>
      </w:r>
      <w:r w:rsidR="00303A36" w:rsidRPr="003D4B91">
        <w:t xml:space="preserve">e.g. </w:t>
      </w:r>
      <w:r w:rsidR="004A1426">
        <w:t>with</w:t>
      </w:r>
      <w:r w:rsidR="004A1426" w:rsidRPr="003D4B91">
        <w:t xml:space="preserve"> </w:t>
      </w:r>
      <w:r w:rsidR="00303A36" w:rsidRPr="003D4B91">
        <w:t>detailed design</w:t>
      </w:r>
      <w:r w:rsidR="0017407A">
        <w:t xml:space="preserve">, </w:t>
      </w:r>
      <w:r w:rsidR="00B0672A">
        <w:t xml:space="preserve">small-scale </w:t>
      </w:r>
      <w:r w:rsidR="00303A36" w:rsidRPr="003D4B91">
        <w:t>construction</w:t>
      </w:r>
      <w:r w:rsidR="001667D4">
        <w:rPr>
          <w:rStyle w:val="FootnoteReference"/>
        </w:rPr>
        <w:footnoteReference w:id="16"/>
      </w:r>
      <w:r w:rsidR="0017407A">
        <w:t>, or environmental monitoring</w:t>
      </w:r>
      <w:r w:rsidR="00EC0E0D">
        <w:t>)</w:t>
      </w:r>
      <w:r w:rsidR="00303A36" w:rsidRPr="003D4B91">
        <w:t xml:space="preserve"> with the support of the RUCaS team and in collaboration with Mekong partners</w:t>
      </w:r>
      <w:r w:rsidR="00EC0E0D">
        <w:t>,</w:t>
      </w:r>
      <w:r w:rsidR="004A1426">
        <w:t xml:space="preserve"> </w:t>
      </w:r>
      <w:r w:rsidR="004A1426" w:rsidRPr="00A5084A">
        <w:rPr>
          <w:b/>
          <w:bCs/>
        </w:rPr>
        <w:t>then</w:t>
      </w:r>
      <w:r w:rsidR="004A1426">
        <w:t xml:space="preserve"> this would</w:t>
      </w:r>
      <w:r w:rsidR="00303A36" w:rsidRPr="003D4B91">
        <w:t xml:space="preserve"> showcase </w:t>
      </w:r>
      <w:r w:rsidR="001C5339">
        <w:t>NbS</w:t>
      </w:r>
      <w:r w:rsidR="004A1426">
        <w:t xml:space="preserve"> </w:t>
      </w:r>
      <w:r w:rsidR="00CF430B">
        <w:t>as being locally appropriate</w:t>
      </w:r>
      <w:r w:rsidR="001C5339">
        <w:t xml:space="preserve"> </w:t>
      </w:r>
      <w:r w:rsidR="00303A36" w:rsidRPr="00A5084A">
        <w:rPr>
          <w:b/>
          <w:bCs/>
        </w:rPr>
        <w:t>and therefore</w:t>
      </w:r>
      <w:r w:rsidR="004A1426">
        <w:t xml:space="preserve"> ‘</w:t>
      </w:r>
      <w:r w:rsidR="004A1426" w:rsidRPr="00A86E65">
        <w:t xml:space="preserve">clear pathways for the RUCaS case studies to be progressed to full </w:t>
      </w:r>
      <w:r w:rsidR="004A1426" w:rsidRPr="00A86E65">
        <w:lastRenderedPageBreak/>
        <w:t>implementation by either local or likeminded partners</w:t>
      </w:r>
      <w:r w:rsidR="004A1426">
        <w:t>’</w:t>
      </w:r>
      <w:r w:rsidR="00CF430B">
        <w:t xml:space="preserve"> would be created</w:t>
      </w:r>
      <w:r w:rsidR="00CF430B">
        <w:rPr>
          <w:rStyle w:val="FootnoteReference"/>
        </w:rPr>
        <w:footnoteReference w:id="17"/>
      </w:r>
      <w:r w:rsidR="001C5339">
        <w:t xml:space="preserve"> (which would indicate that ‘the value of hybrid NbS was accepted’). </w:t>
      </w:r>
    </w:p>
    <w:p w14:paraId="5B29B386" w14:textId="3355553B" w:rsidR="002702CA" w:rsidRPr="003D4B91" w:rsidRDefault="00171DE3" w:rsidP="00922E1D">
      <w:r w:rsidRPr="003D4B91">
        <w:rPr>
          <w:i/>
          <w:iCs/>
        </w:rPr>
        <w:fldChar w:fldCharType="begin"/>
      </w:r>
      <w:r w:rsidRPr="003D4B91">
        <w:rPr>
          <w:i/>
          <w:iCs/>
        </w:rPr>
        <w:instrText xml:space="preserve"> REF _Ref219664229 \h  \* MERGEFORMAT </w:instrText>
      </w:r>
      <w:r w:rsidRPr="003D4B91">
        <w:rPr>
          <w:i/>
          <w:iCs/>
        </w:rPr>
      </w:r>
      <w:r w:rsidRPr="003D4B91">
        <w:rPr>
          <w:i/>
          <w:iCs/>
        </w:rPr>
        <w:fldChar w:fldCharType="separate"/>
      </w:r>
      <w:r w:rsidR="007007C5" w:rsidRPr="003D4B91">
        <w:t xml:space="preserve">Table </w:t>
      </w:r>
      <w:r w:rsidR="007007C5">
        <w:rPr>
          <w:noProof/>
        </w:rPr>
        <w:t>1</w:t>
      </w:r>
      <w:r w:rsidRPr="003D4B91">
        <w:rPr>
          <w:i/>
          <w:iCs/>
        </w:rPr>
        <w:fldChar w:fldCharType="end"/>
      </w:r>
      <w:r w:rsidRPr="003D4B91">
        <w:rPr>
          <w:i/>
          <w:iCs/>
        </w:rPr>
        <w:t xml:space="preserve"> </w:t>
      </w:r>
      <w:r w:rsidR="00CF56A3" w:rsidRPr="003D4B91">
        <w:t xml:space="preserve">summarises </w:t>
      </w:r>
      <w:r w:rsidR="00510CFA" w:rsidRPr="003D4B91">
        <w:t xml:space="preserve">the EOPO and IO </w:t>
      </w:r>
      <w:r w:rsidR="00CF56A3" w:rsidRPr="003D4B91">
        <w:t xml:space="preserve">(with </w:t>
      </w:r>
      <w:r w:rsidR="00510CFA" w:rsidRPr="003D4B91">
        <w:t>indicators</w:t>
      </w:r>
      <w:r w:rsidR="00CF56A3" w:rsidRPr="003D4B91">
        <w:t>)</w:t>
      </w:r>
      <w:r w:rsidR="00510CFA" w:rsidRPr="003D4B91">
        <w:t xml:space="preserve"> as well as the outputs for </w:t>
      </w:r>
      <w:r w:rsidR="004513F7" w:rsidRPr="003D4B91">
        <w:t>EOPO 1</w:t>
      </w:r>
      <w:r w:rsidR="00510CFA" w:rsidRPr="003D4B91">
        <w:t>.</w:t>
      </w:r>
    </w:p>
    <w:p w14:paraId="0D0B5357" w14:textId="6C381828" w:rsidR="00510CFA" w:rsidRDefault="00171DE3" w:rsidP="00171DE3">
      <w:pPr>
        <w:pStyle w:val="Caption"/>
      </w:pPr>
      <w:bookmarkStart w:id="133" w:name="_Ref219664229"/>
      <w:r w:rsidRPr="003D4B91">
        <w:t xml:space="preserve">Table </w:t>
      </w:r>
      <w:fldSimple w:instr=" SEQ Table \* ARABIC ">
        <w:r w:rsidR="007007C5">
          <w:rPr>
            <w:noProof/>
          </w:rPr>
          <w:t>1</w:t>
        </w:r>
      </w:fldSimple>
      <w:bookmarkEnd w:id="133"/>
      <w:r w:rsidRPr="003D4B91">
        <w:t xml:space="preserve"> </w:t>
      </w:r>
      <w:r w:rsidR="004513F7" w:rsidRPr="003D4B91">
        <w:t>EOPO 1</w:t>
      </w:r>
      <w:r w:rsidRPr="003D4B91">
        <w:t xml:space="preserve"> – EOPO, IO and Outputs</w:t>
      </w:r>
    </w:p>
    <w:tbl>
      <w:tblPr>
        <w:tblStyle w:val="TableGrid"/>
        <w:tblW w:w="0" w:type="auto"/>
        <w:tblLook w:val="04A0" w:firstRow="1" w:lastRow="0" w:firstColumn="1" w:lastColumn="0" w:noHBand="0" w:noVBand="1"/>
      </w:tblPr>
      <w:tblGrid>
        <w:gridCol w:w="3005"/>
        <w:gridCol w:w="3005"/>
        <w:gridCol w:w="3006"/>
      </w:tblGrid>
      <w:tr w:rsidR="00DE5507" w14:paraId="30F382E8" w14:textId="77777777" w:rsidTr="003B2C06">
        <w:trPr>
          <w:tblHeader/>
        </w:trPr>
        <w:tc>
          <w:tcPr>
            <w:tcW w:w="3005" w:type="dxa"/>
            <w:shd w:val="clear" w:color="auto" w:fill="FFFFFF" w:themeFill="background1"/>
          </w:tcPr>
          <w:p w14:paraId="2004A6B1" w14:textId="61C746D2" w:rsidR="00DE5507" w:rsidRDefault="00DE5507" w:rsidP="00DE5507">
            <w:r w:rsidRPr="003D4B91">
              <w:rPr>
                <w:b/>
                <w:bCs/>
                <w:sz w:val="20"/>
                <w:szCs w:val="20"/>
              </w:rPr>
              <w:t>EOPO</w:t>
            </w:r>
          </w:p>
        </w:tc>
        <w:tc>
          <w:tcPr>
            <w:tcW w:w="3005" w:type="dxa"/>
            <w:shd w:val="clear" w:color="auto" w:fill="FFFFFF" w:themeFill="background1"/>
          </w:tcPr>
          <w:p w14:paraId="6D7B9DF4" w14:textId="34F4D290" w:rsidR="00DE5507" w:rsidRDefault="00DE5507" w:rsidP="00DE5507">
            <w:r w:rsidRPr="003D4B91">
              <w:rPr>
                <w:b/>
                <w:bCs/>
                <w:sz w:val="20"/>
                <w:szCs w:val="20"/>
              </w:rPr>
              <w:t>IO</w:t>
            </w:r>
          </w:p>
        </w:tc>
        <w:tc>
          <w:tcPr>
            <w:tcW w:w="3006" w:type="dxa"/>
            <w:shd w:val="clear" w:color="auto" w:fill="FFFFFF" w:themeFill="background1"/>
          </w:tcPr>
          <w:p w14:paraId="3A6788AF" w14:textId="2F3EA3D9" w:rsidR="00DE5507" w:rsidRDefault="00DE5507" w:rsidP="00DE5507">
            <w:r w:rsidRPr="003D4B91">
              <w:rPr>
                <w:b/>
                <w:bCs/>
                <w:sz w:val="20"/>
                <w:szCs w:val="20"/>
              </w:rPr>
              <w:t>Outputs</w:t>
            </w:r>
          </w:p>
        </w:tc>
      </w:tr>
      <w:tr w:rsidR="00DE5507" w14:paraId="36D7D723" w14:textId="77777777" w:rsidTr="00DE5507">
        <w:tc>
          <w:tcPr>
            <w:tcW w:w="3005" w:type="dxa"/>
          </w:tcPr>
          <w:p w14:paraId="69F1747C" w14:textId="6C38461E" w:rsidR="00DE5507" w:rsidRPr="003D4B91" w:rsidRDefault="00DE5507" w:rsidP="005A6568">
            <w:pPr>
              <w:spacing w:before="120" w:after="120"/>
              <w:rPr>
                <w:sz w:val="20"/>
                <w:szCs w:val="20"/>
              </w:rPr>
            </w:pPr>
            <w:r w:rsidRPr="003D4B91">
              <w:rPr>
                <w:sz w:val="20"/>
                <w:szCs w:val="20"/>
              </w:rPr>
              <w:t>The value of hybrid NbS is accepted.</w:t>
            </w:r>
          </w:p>
          <w:p w14:paraId="08F1D640" w14:textId="6F0E95F5" w:rsidR="00DE5507" w:rsidRDefault="00DE5507" w:rsidP="005A6568">
            <w:pPr>
              <w:spacing w:before="120" w:after="120"/>
            </w:pPr>
            <w:r w:rsidRPr="003D4B91">
              <w:rPr>
                <w:b/>
                <w:bCs/>
                <w:sz w:val="20"/>
                <w:szCs w:val="20"/>
              </w:rPr>
              <w:t>Indicator:</w:t>
            </w:r>
            <w:r w:rsidRPr="003D4B91">
              <w:rPr>
                <w:sz w:val="20"/>
                <w:szCs w:val="20"/>
              </w:rPr>
              <w:t xml:space="preserve"> Number and evidence of case studies with integrated GEDSI principles that Mekong subregion partners and like-minded partners have taken from concept to demonstration.</w:t>
            </w:r>
          </w:p>
        </w:tc>
        <w:tc>
          <w:tcPr>
            <w:tcW w:w="3005" w:type="dxa"/>
          </w:tcPr>
          <w:p w14:paraId="7A5B6DB1" w14:textId="49A16D7D" w:rsidR="00DE5507" w:rsidRPr="003D4B91" w:rsidRDefault="00DE5507" w:rsidP="005A6568">
            <w:pPr>
              <w:spacing w:before="120" w:after="120"/>
              <w:rPr>
                <w:sz w:val="20"/>
                <w:szCs w:val="20"/>
              </w:rPr>
            </w:pPr>
            <w:r w:rsidRPr="003D4B91">
              <w:rPr>
                <w:sz w:val="20"/>
                <w:szCs w:val="20"/>
              </w:rPr>
              <w:t>Mekong subregion partners buy in to the value of Hybrid NbS in strengthening economic, social, and environmental resilience.</w:t>
            </w:r>
          </w:p>
          <w:p w14:paraId="40B5122B" w14:textId="208C2A38" w:rsidR="00DE5507" w:rsidRDefault="00DE5507" w:rsidP="005A6568">
            <w:pPr>
              <w:spacing w:before="120" w:after="120"/>
            </w:pPr>
            <w:r w:rsidRPr="003D4B91">
              <w:rPr>
                <w:b/>
                <w:bCs/>
                <w:sz w:val="20"/>
                <w:szCs w:val="20"/>
              </w:rPr>
              <w:t>Indicator:</w:t>
            </w:r>
            <w:r w:rsidRPr="003D4B91">
              <w:rPr>
                <w:sz w:val="20"/>
                <w:szCs w:val="20"/>
              </w:rPr>
              <w:t xml:space="preserve"> Number of case studies localised and carried out in close consultation with and guidance from Mekong subregion partners.</w:t>
            </w:r>
          </w:p>
        </w:tc>
        <w:tc>
          <w:tcPr>
            <w:tcW w:w="3006" w:type="dxa"/>
          </w:tcPr>
          <w:p w14:paraId="659F7F8F" w14:textId="77777777" w:rsidR="00DE5507" w:rsidRDefault="001660A6" w:rsidP="005A6568">
            <w:pPr>
              <w:spacing w:before="120" w:after="120"/>
              <w:rPr>
                <w:sz w:val="20"/>
                <w:szCs w:val="20"/>
              </w:rPr>
            </w:pPr>
            <w:r w:rsidRPr="003D4B91">
              <w:rPr>
                <w:sz w:val="20"/>
                <w:szCs w:val="20"/>
              </w:rPr>
              <w:t>1.1 Eight concept studies (in both large and secondary cities) that demonstrate the local relevance and application</w:t>
            </w:r>
          </w:p>
          <w:p w14:paraId="7D86C8F2" w14:textId="647AFFA9" w:rsidR="001660A6" w:rsidRPr="001660A6" w:rsidRDefault="001660A6" w:rsidP="005A6568">
            <w:pPr>
              <w:spacing w:before="120" w:after="120"/>
              <w:rPr>
                <w:sz w:val="20"/>
                <w:szCs w:val="20"/>
              </w:rPr>
            </w:pPr>
            <w:r w:rsidRPr="003D4B91">
              <w:rPr>
                <w:sz w:val="20"/>
                <w:szCs w:val="20"/>
              </w:rPr>
              <w:t>1.2 at least four integrated pilots/direct interventions (e.g. design of hybrid NbS, NbS demonstration, environmental monitoring) linked to national and development agency investment projects to accelerate opportunities for technical, social and economic innovations at scale</w:t>
            </w:r>
          </w:p>
        </w:tc>
      </w:tr>
    </w:tbl>
    <w:p w14:paraId="13668438" w14:textId="57416E08" w:rsidR="00346C3F" w:rsidRDefault="008561BE" w:rsidP="005A6568">
      <w:pPr>
        <w:spacing w:before="240"/>
      </w:pPr>
      <w:r>
        <w:t>It was clear that the value of hybrid NbS was accepted by many local partners across the Mekong subregion. This was evidenced by their self-reporting during interviews: i</w:t>
      </w:r>
      <w:r w:rsidR="00F3145F" w:rsidRPr="003D4B91">
        <w:t xml:space="preserve">nformants </w:t>
      </w:r>
      <w:r>
        <w:t>expressed their support for NbS and attributed this partly to</w:t>
      </w:r>
      <w:r w:rsidR="00F3145F" w:rsidRPr="003D4B91">
        <w:t xml:space="preserve"> </w:t>
      </w:r>
      <w:r w:rsidR="00201AAA">
        <w:t>existing</w:t>
      </w:r>
      <w:r w:rsidR="00F3145F" w:rsidRPr="003D4B91">
        <w:t xml:space="preserve"> momentum in the </w:t>
      </w:r>
      <w:r>
        <w:t>sub</w:t>
      </w:r>
      <w:r w:rsidR="00F3145F" w:rsidRPr="003D4B91">
        <w:t>region</w:t>
      </w:r>
      <w:r>
        <w:t xml:space="preserve"> (</w:t>
      </w:r>
      <w:r w:rsidR="00E75D50">
        <w:t>towards</w:t>
      </w:r>
      <w:r w:rsidR="006E5D65">
        <w:t xml:space="preserve"> which</w:t>
      </w:r>
      <w:r>
        <w:t xml:space="preserve"> several parties</w:t>
      </w:r>
      <w:r w:rsidR="006E5D65">
        <w:t xml:space="preserve"> contributed</w:t>
      </w:r>
      <w:r>
        <w:t>)</w:t>
      </w:r>
      <w:r w:rsidR="00E75D50">
        <w:t xml:space="preserve"> as well as to the RUCaS program</w:t>
      </w:r>
      <w:r w:rsidR="00D17C03">
        <w:t xml:space="preserve">. </w:t>
      </w:r>
      <w:r w:rsidR="00346C3F">
        <w:t>However, as stated above, the indicator for EOPO1—and therefore the measure of whether the ‘value of hybrid NbS is accepted’ in this evaluation—was that ‘</w:t>
      </w:r>
      <w:r w:rsidR="00346C3F" w:rsidRPr="00A86E65">
        <w:t>clear pathways for the RUCaS case studies to be progressed to full implementation by either local or likeminded partners</w:t>
      </w:r>
      <w:r w:rsidR="00346C3F">
        <w:t xml:space="preserve">’ had been created. Whilst there was evidence of the </w:t>
      </w:r>
      <w:r w:rsidR="00346C3F" w:rsidRPr="00346C3F">
        <w:rPr>
          <w:i/>
          <w:iCs/>
        </w:rPr>
        <w:t>beginnings</w:t>
      </w:r>
      <w:r w:rsidR="00346C3F">
        <w:t xml:space="preserve"> of clear pathways to take the NbS case studies from ‘concept to demonstration’ by local or likeminded partners, there was much work yet to be done at the end of Phase 1. </w:t>
      </w:r>
    </w:p>
    <w:p w14:paraId="1A2E7A22" w14:textId="3B910D27" w:rsidR="00BC5DFB" w:rsidRPr="003D4B91" w:rsidRDefault="0077724A" w:rsidP="00D053FF">
      <w:r>
        <w:t xml:space="preserve">The two outputs for EOPO 1 were </w:t>
      </w:r>
      <w:r w:rsidR="00D17C03">
        <w:t xml:space="preserve">largely </w:t>
      </w:r>
      <w:r>
        <w:t>achieved</w:t>
      </w:r>
      <w:r w:rsidR="008561BE">
        <w:t>. E</w:t>
      </w:r>
      <w:r w:rsidR="00BC5DFB" w:rsidRPr="003D4B91">
        <w:t xml:space="preserve">ight case study reports were produced (two for each country) </w:t>
      </w:r>
      <w:r w:rsidR="003006ED" w:rsidRPr="003D4B91">
        <w:t xml:space="preserve">with </w:t>
      </w:r>
      <w:r w:rsidR="00BC5DFB" w:rsidRPr="003D4B91">
        <w:t xml:space="preserve">visualisations of design concepts for each </w:t>
      </w:r>
      <w:r w:rsidR="00F029A0" w:rsidRPr="003D4B91">
        <w:t>site</w:t>
      </w:r>
      <w:r w:rsidR="003006ED" w:rsidRPr="003D4B91">
        <w:t>/city</w:t>
      </w:r>
      <w:r w:rsidR="00F029A0" w:rsidRPr="003D4B91">
        <w:t xml:space="preserve"> (output 1.1). Of these eight case studies, </w:t>
      </w:r>
      <w:r w:rsidR="0015399D">
        <w:t>five</w:t>
      </w:r>
      <w:r w:rsidR="0015399D" w:rsidRPr="003D4B91">
        <w:t xml:space="preserve"> </w:t>
      </w:r>
      <w:r w:rsidR="00F029A0" w:rsidRPr="003D4B91">
        <w:t>progressed towards direct intervention</w:t>
      </w:r>
      <w:r w:rsidR="001E0404" w:rsidRPr="003D4B91">
        <w:t xml:space="preserve"> (</w:t>
      </w:r>
      <w:r w:rsidR="00EC0E0D">
        <w:t xml:space="preserve">examples specified </w:t>
      </w:r>
      <w:r w:rsidR="001E0404" w:rsidRPr="003D4B91">
        <w:t xml:space="preserve">in output 1.2), </w:t>
      </w:r>
      <w:r w:rsidR="00D956DB">
        <w:t>including</w:t>
      </w:r>
      <w:r w:rsidR="001E0404" w:rsidRPr="003D4B91">
        <w:t xml:space="preserve"> the Luang Prabang case study </w:t>
      </w:r>
      <w:r w:rsidR="00D956DB">
        <w:t xml:space="preserve">which </w:t>
      </w:r>
      <w:r w:rsidR="001E0404" w:rsidRPr="003D4B91">
        <w:t xml:space="preserve">progressed to </w:t>
      </w:r>
      <w:r w:rsidR="00D053FF">
        <w:t xml:space="preserve">a small-scale </w:t>
      </w:r>
      <w:r w:rsidR="001E0404" w:rsidRPr="003D4B91">
        <w:t>physical demonstration by January 2026</w:t>
      </w:r>
      <w:r w:rsidR="00F029A0" w:rsidRPr="003D4B91">
        <w:t xml:space="preserve">. </w:t>
      </w:r>
      <w:r w:rsidR="00EC0E0D">
        <w:t>Further details of these five case studies are as follows:</w:t>
      </w:r>
      <w:r w:rsidR="00F029A0" w:rsidRPr="003D4B91">
        <w:t xml:space="preserve"> </w:t>
      </w:r>
    </w:p>
    <w:p w14:paraId="7EF582F6" w14:textId="41E0038F" w:rsidR="00F029A0" w:rsidRPr="003D4B91" w:rsidRDefault="00F029A0" w:rsidP="00037A46">
      <w:pPr>
        <w:pStyle w:val="ListParagraph"/>
        <w:numPr>
          <w:ilvl w:val="0"/>
          <w:numId w:val="6"/>
        </w:numPr>
      </w:pPr>
      <w:r w:rsidRPr="003D4B91">
        <w:t>Luang Prabang: a constructed wetland pilot was installed at Ban Mano in November 2025, and environmental monitoring sensors</w:t>
      </w:r>
      <w:r w:rsidRPr="003D4B91">
        <w:rPr>
          <w:rStyle w:val="FootnoteReference"/>
        </w:rPr>
        <w:footnoteReference w:id="18"/>
      </w:r>
      <w:r w:rsidRPr="003D4B91">
        <w:t xml:space="preserve"> </w:t>
      </w:r>
      <w:r w:rsidR="000913A0" w:rsidRPr="003D4B91">
        <w:t>were</w:t>
      </w:r>
      <w:r w:rsidRPr="003D4B91">
        <w:t xml:space="preserve"> installed.</w:t>
      </w:r>
    </w:p>
    <w:p w14:paraId="4D55D546" w14:textId="4F3267C7" w:rsidR="00F029A0" w:rsidRPr="003D4B91" w:rsidRDefault="00F029A0" w:rsidP="00037A46">
      <w:pPr>
        <w:pStyle w:val="ListParagraph"/>
        <w:numPr>
          <w:ilvl w:val="0"/>
          <w:numId w:val="6"/>
        </w:numPr>
      </w:pPr>
      <w:r w:rsidRPr="003D4B91">
        <w:lastRenderedPageBreak/>
        <w:t xml:space="preserve">Can Tho: </w:t>
      </w:r>
      <w:proofErr w:type="gramStart"/>
      <w:r w:rsidRPr="003D4B91">
        <w:t>a</w:t>
      </w:r>
      <w:proofErr w:type="gramEnd"/>
      <w:r w:rsidRPr="003D4B91">
        <w:t xml:space="preserve"> Vietnamese firm </w:t>
      </w:r>
      <w:r w:rsidR="000913A0" w:rsidRPr="003D4B91">
        <w:t>was</w:t>
      </w:r>
      <w:r w:rsidRPr="003D4B91">
        <w:t xml:space="preserve"> contracted to complete detailed design of a bioswale for Can Tho University, and environmental monitoring sensors </w:t>
      </w:r>
      <w:r w:rsidR="000913A0" w:rsidRPr="003D4B91">
        <w:t>were</w:t>
      </w:r>
      <w:r w:rsidRPr="003D4B91">
        <w:t xml:space="preserve"> installed.</w:t>
      </w:r>
    </w:p>
    <w:p w14:paraId="4FABA55C" w14:textId="0FC6BC94" w:rsidR="00F029A0" w:rsidRPr="003D4B91" w:rsidRDefault="00F029A0" w:rsidP="00037A46">
      <w:pPr>
        <w:pStyle w:val="ListParagraph"/>
        <w:numPr>
          <w:ilvl w:val="0"/>
          <w:numId w:val="6"/>
        </w:numPr>
      </w:pPr>
      <w:r w:rsidRPr="003D4B91">
        <w:t xml:space="preserve">Battambang: the case study concept for Street 2 </w:t>
      </w:r>
      <w:r w:rsidR="000913A0" w:rsidRPr="003D4B91">
        <w:t>was</w:t>
      </w:r>
      <w:r w:rsidRPr="003D4B91">
        <w:t xml:space="preserve"> adopted for Street 501, and the same Vietnamese firm working on Can Tho</w:t>
      </w:r>
      <w:r w:rsidR="000913A0" w:rsidRPr="003D4B91">
        <w:t xml:space="preserve"> was</w:t>
      </w:r>
      <w:r w:rsidRPr="003D4B91">
        <w:t xml:space="preserve"> contracted to complete detailed design. Local government still requires funding to construct.</w:t>
      </w:r>
    </w:p>
    <w:p w14:paraId="1201911B" w14:textId="2B45A6C9" w:rsidR="00F029A0" w:rsidRDefault="00F029A0" w:rsidP="00037A46">
      <w:pPr>
        <w:pStyle w:val="ListParagraph"/>
        <w:numPr>
          <w:ilvl w:val="0"/>
          <w:numId w:val="6"/>
        </w:numPr>
      </w:pPr>
      <w:r w:rsidRPr="003D4B91">
        <w:t xml:space="preserve">Hanoi: environmental monitoring sensors </w:t>
      </w:r>
      <w:r w:rsidR="000913A0" w:rsidRPr="003D4B91">
        <w:t xml:space="preserve">were </w:t>
      </w:r>
      <w:r w:rsidRPr="003D4B91">
        <w:t>installed at Hanoi University of Civil Engineering (HUCE).</w:t>
      </w:r>
    </w:p>
    <w:p w14:paraId="4B4EEBEA" w14:textId="46B275DF" w:rsidR="0015399D" w:rsidRDefault="0015399D" w:rsidP="00037A46">
      <w:pPr>
        <w:pStyle w:val="ListParagraph"/>
        <w:numPr>
          <w:ilvl w:val="0"/>
          <w:numId w:val="6"/>
        </w:numPr>
      </w:pPr>
      <w:r>
        <w:t xml:space="preserve">Bangkok: </w:t>
      </w:r>
      <w:r w:rsidR="00F16555" w:rsidRPr="00F16555">
        <w:t>the designs for stage 2 of the On Nut</w:t>
      </w:r>
      <w:r w:rsidR="00F16555">
        <w:t xml:space="preserve"> site</w:t>
      </w:r>
      <w:r w:rsidR="00F16555" w:rsidRPr="00F16555">
        <w:t xml:space="preserve"> (which include detailed technical input from RUCAS) are currently with BMA for approval</w:t>
      </w:r>
      <w:r w:rsidR="00F16555">
        <w:t>. E</w:t>
      </w:r>
      <w:r>
        <w:t xml:space="preserve">nvironmental monitoring sensors were installed at On Nut after the evaluation fieldwork; this was in addition to </w:t>
      </w:r>
      <w:r w:rsidRPr="003D4B91">
        <w:t xml:space="preserve">progress </w:t>
      </w:r>
      <w:r>
        <w:t xml:space="preserve">made </w:t>
      </w:r>
      <w:r w:rsidRPr="003D4B91">
        <w:t>in completing a biodiversity study</w:t>
      </w:r>
      <w:r>
        <w:t xml:space="preserve"> </w:t>
      </w:r>
      <w:r w:rsidRPr="003D4B91">
        <w:t>and</w:t>
      </w:r>
      <w:r>
        <w:t xml:space="preserve"> support from</w:t>
      </w:r>
      <w:r w:rsidRPr="003D4B91">
        <w:t xml:space="preserve"> the private sector funder (PTT Global Chemical</w:t>
      </w:r>
      <w:r>
        <w:t>).</w:t>
      </w:r>
      <w:r w:rsidR="0017407A">
        <w:rPr>
          <w:rStyle w:val="FootnoteReference"/>
        </w:rPr>
        <w:footnoteReference w:id="19"/>
      </w:r>
    </w:p>
    <w:p w14:paraId="4D042012" w14:textId="0A59A64A" w:rsidR="0013609E" w:rsidRPr="0013609E" w:rsidRDefault="0013609E" w:rsidP="0013609E">
      <w:r w:rsidRPr="0013609E">
        <w:t>Though installation of the environmental monitoring sensors contributed to achievement of output 1.2, plans for the maintenance and long-term monitoring of the sensors were not known to all in-country staff, and limited capacity to maintain the sensors may impact their sustainability. For example, informants at the Viet Nam universities</w:t>
      </w:r>
      <w:r w:rsidR="009F2428">
        <w:t xml:space="preserve"> as well as at the site in Lao PDR</w:t>
      </w:r>
      <w:r w:rsidRPr="0013609E">
        <w:t xml:space="preserve"> noted that resources were strained, which may impact long-term use and maintenance of their sensors.</w:t>
      </w:r>
    </w:p>
    <w:p w14:paraId="5086B4CB" w14:textId="0A83B0BE" w:rsidR="003006ED" w:rsidRPr="003D4B91" w:rsidRDefault="00FC53C5" w:rsidP="00510CFA">
      <w:r w:rsidRPr="003D4B91">
        <w:t xml:space="preserve">With respect to the </w:t>
      </w:r>
      <w:r w:rsidR="0015399D">
        <w:t xml:space="preserve">three </w:t>
      </w:r>
      <w:r w:rsidRPr="003D4B91">
        <w:t xml:space="preserve">remaining </w:t>
      </w:r>
      <w:r w:rsidR="003006ED" w:rsidRPr="003D4B91">
        <w:t>case studies</w:t>
      </w:r>
      <w:r w:rsidRPr="003D4B91">
        <w:t xml:space="preserve">, </w:t>
      </w:r>
      <w:r w:rsidR="003006ED" w:rsidRPr="003D4B91">
        <w:t>progress towards</w:t>
      </w:r>
      <w:r w:rsidR="006A4DE8">
        <w:t xml:space="preserve"> </w:t>
      </w:r>
      <w:r w:rsidR="003006ED" w:rsidRPr="003D4B91">
        <w:t>direct intervention</w:t>
      </w:r>
      <w:r w:rsidRPr="003D4B91">
        <w:t xml:space="preserve"> </w:t>
      </w:r>
      <w:r w:rsidR="0015399D">
        <w:t xml:space="preserve">was limited </w:t>
      </w:r>
      <w:r w:rsidRPr="003D4B91">
        <w:t xml:space="preserve">within Phase 1, </w:t>
      </w:r>
      <w:r w:rsidR="006350B3">
        <w:t>but</w:t>
      </w:r>
      <w:r w:rsidR="006350B3" w:rsidRPr="003D4B91">
        <w:t xml:space="preserve"> </w:t>
      </w:r>
      <w:r w:rsidRPr="003D4B91">
        <w:t xml:space="preserve">several partners </w:t>
      </w:r>
      <w:r w:rsidR="00FA15BA" w:rsidRPr="003D4B91">
        <w:t>were</w:t>
      </w:r>
      <w:r w:rsidRPr="003D4B91">
        <w:t xml:space="preserve"> motivated to ensure future progress</w:t>
      </w:r>
      <w:r w:rsidR="003006ED" w:rsidRPr="003D4B91">
        <w:t>:</w:t>
      </w:r>
    </w:p>
    <w:p w14:paraId="7761D865" w14:textId="43B77E21" w:rsidR="003006ED" w:rsidRPr="003D4B91" w:rsidRDefault="003006ED" w:rsidP="00037A46">
      <w:pPr>
        <w:pStyle w:val="ListParagraph"/>
        <w:numPr>
          <w:ilvl w:val="0"/>
          <w:numId w:val="7"/>
        </w:numPr>
      </w:pPr>
      <w:r w:rsidRPr="003D4B91">
        <w:t xml:space="preserve">Phnom Penh: the </w:t>
      </w:r>
      <w:proofErr w:type="spellStart"/>
      <w:r w:rsidRPr="003D4B91">
        <w:t>Akreiy</w:t>
      </w:r>
      <w:proofErr w:type="spellEnd"/>
      <w:r w:rsidRPr="003D4B91">
        <w:t xml:space="preserve"> </w:t>
      </w:r>
      <w:proofErr w:type="spellStart"/>
      <w:r w:rsidRPr="003D4B91">
        <w:t>Ksatr</w:t>
      </w:r>
      <w:proofErr w:type="spellEnd"/>
      <w:r w:rsidRPr="003D4B91">
        <w:t xml:space="preserve"> case study </w:t>
      </w:r>
      <w:r w:rsidR="00FA15BA" w:rsidRPr="003D4B91">
        <w:t>had</w:t>
      </w:r>
      <w:r w:rsidRPr="003D4B91">
        <w:t xml:space="preserve"> a motivated partner in the Ministry of Land Management, Urban Planning and Construction (MLMUPC) who </w:t>
      </w:r>
      <w:r w:rsidR="00FA15BA" w:rsidRPr="003D4B91">
        <w:t>was</w:t>
      </w:r>
      <w:r w:rsidRPr="003D4B91">
        <w:t xml:space="preserve"> actively working to progress the concept. </w:t>
      </w:r>
      <w:r w:rsidR="00401746">
        <w:t xml:space="preserve">Because this case </w:t>
      </w:r>
      <w:r w:rsidR="00AE4B42">
        <w:t>wa</w:t>
      </w:r>
      <w:r w:rsidR="00401746">
        <w:t xml:space="preserve">s large-scale and </w:t>
      </w:r>
      <w:r w:rsidR="00AE4B42">
        <w:t>at the stage of developing a master plan for the area, it was likely too early for any design of NbS or other direct intervention in Phase 1. However, development of the Wetland City Typologies Catalogue and on-going partnership with the MLMUPC showed progress in influencing the master plan of</w:t>
      </w:r>
      <w:r w:rsidR="00401746">
        <w:t xml:space="preserve"> </w:t>
      </w:r>
      <w:proofErr w:type="spellStart"/>
      <w:r w:rsidR="00AE4B42" w:rsidRPr="003D4B91">
        <w:t>Akreiy</w:t>
      </w:r>
      <w:proofErr w:type="spellEnd"/>
      <w:r w:rsidR="00AE4B42" w:rsidRPr="003D4B91">
        <w:t xml:space="preserve"> Ksatr</w:t>
      </w:r>
      <w:r w:rsidR="00AE4B42">
        <w:t>.</w:t>
      </w:r>
    </w:p>
    <w:p w14:paraId="7FB7816A" w14:textId="563D59A7" w:rsidR="003006ED" w:rsidRPr="003D4B91" w:rsidRDefault="003006ED" w:rsidP="00037A46">
      <w:pPr>
        <w:pStyle w:val="ListParagraph"/>
        <w:numPr>
          <w:ilvl w:val="0"/>
          <w:numId w:val="7"/>
        </w:numPr>
      </w:pPr>
      <w:r w:rsidRPr="003D4B91">
        <w:t xml:space="preserve">Vientiane: the Nong Loup Ian case study </w:t>
      </w:r>
      <w:r w:rsidR="00AE4B42">
        <w:t xml:space="preserve">was hindered </w:t>
      </w:r>
      <w:r w:rsidR="00F84065">
        <w:t xml:space="preserve">because both </w:t>
      </w:r>
      <w:r w:rsidRPr="003D4B91">
        <w:t>modification</w:t>
      </w:r>
      <w:r w:rsidR="00F84065">
        <w:t xml:space="preserve"> (e.g. to the scope of the case)</w:t>
      </w:r>
      <w:r w:rsidRPr="003D4B91">
        <w:t xml:space="preserve"> and funding </w:t>
      </w:r>
      <w:r w:rsidR="00F84065">
        <w:t xml:space="preserve">were needed </w:t>
      </w:r>
      <w:r w:rsidRPr="003D4B91">
        <w:t xml:space="preserve">to </w:t>
      </w:r>
      <w:r w:rsidR="006A4DE8" w:rsidRPr="003D4B91">
        <w:t>pro</w:t>
      </w:r>
      <w:r w:rsidR="006A4DE8">
        <w:t>gress</w:t>
      </w:r>
      <w:r w:rsidR="006A4DE8" w:rsidRPr="003D4B91">
        <w:t xml:space="preserve"> </w:t>
      </w:r>
      <w:r w:rsidRPr="003D4B91">
        <w:t>past a concept</w:t>
      </w:r>
      <w:r w:rsidR="00AE4B42">
        <w:t xml:space="preserve">; however, </w:t>
      </w:r>
      <w:r w:rsidRPr="003D4B91">
        <w:t xml:space="preserve">the implementing partner </w:t>
      </w:r>
      <w:r w:rsidR="00446D44">
        <w:t>Global Green Growth Institute</w:t>
      </w:r>
      <w:r w:rsidR="00446D44" w:rsidRPr="003D4B91">
        <w:t xml:space="preserve"> </w:t>
      </w:r>
      <w:r w:rsidRPr="003D4B91">
        <w:t xml:space="preserve">(GGGI) </w:t>
      </w:r>
      <w:r w:rsidR="00FA15BA" w:rsidRPr="003D4B91">
        <w:t>was</w:t>
      </w:r>
      <w:r w:rsidRPr="003D4B91">
        <w:t xml:space="preserve"> keen</w:t>
      </w:r>
      <w:r w:rsidR="00FA15BA" w:rsidRPr="003D4B91">
        <w:t xml:space="preserve"> to </w:t>
      </w:r>
      <w:r w:rsidR="006A4DE8" w:rsidRPr="003D4B91">
        <w:t>pro</w:t>
      </w:r>
      <w:r w:rsidR="006A4DE8">
        <w:t>ceed</w:t>
      </w:r>
      <w:r w:rsidR="006B075A">
        <w:t xml:space="preserve"> </w:t>
      </w:r>
      <w:r w:rsidR="006B075A">
        <w:rPr>
          <w:color w:val="000000"/>
        </w:rPr>
        <w:t xml:space="preserve">(and has included some of the designs in their </w:t>
      </w:r>
      <w:r w:rsidR="00DD43BE" w:rsidRPr="00DD43BE">
        <w:rPr>
          <w:color w:val="000000"/>
        </w:rPr>
        <w:t>Environmental and Social Impact Assessments</w:t>
      </w:r>
      <w:r w:rsidR="006B075A">
        <w:rPr>
          <w:color w:val="000000"/>
        </w:rPr>
        <w:t>)</w:t>
      </w:r>
      <w:r w:rsidRPr="003D4B91">
        <w:t>.</w:t>
      </w:r>
    </w:p>
    <w:p w14:paraId="3DECC0E9" w14:textId="52268973" w:rsidR="003006ED" w:rsidRPr="003D4B91" w:rsidRDefault="003006ED" w:rsidP="00037A46">
      <w:pPr>
        <w:pStyle w:val="ListParagraph"/>
        <w:numPr>
          <w:ilvl w:val="0"/>
          <w:numId w:val="7"/>
        </w:numPr>
      </w:pPr>
      <w:r w:rsidRPr="003D4B91">
        <w:t xml:space="preserve">Bangkok: the </w:t>
      </w:r>
      <w:proofErr w:type="spellStart"/>
      <w:r w:rsidRPr="003D4B91">
        <w:t>Makkasan</w:t>
      </w:r>
      <w:proofErr w:type="spellEnd"/>
      <w:r w:rsidRPr="003D4B91">
        <w:t xml:space="preserve"> case study seem</w:t>
      </w:r>
      <w:r w:rsidR="000913A0" w:rsidRPr="003D4B91">
        <w:t>ed</w:t>
      </w:r>
      <w:r w:rsidRPr="003D4B91">
        <w:t xml:space="preserve"> to be blocked with no likely or forthcoming solution</w:t>
      </w:r>
      <w:r w:rsidR="00AE4B42">
        <w:t xml:space="preserve"> due to stakeholder complexity. This </w:t>
      </w:r>
      <w:r w:rsidR="00AE4B42" w:rsidRPr="003D4B91">
        <w:t>was a high profile and complicated site because it was owned by the state railway, had multiple stakeholders, and was managed at the cabinet level. RUCaS only had limited influence on this site</w:t>
      </w:r>
      <w:r w:rsidR="00DD43BE">
        <w:t xml:space="preserve"> </w:t>
      </w:r>
      <w:r w:rsidR="00AD3F2C">
        <w:t xml:space="preserve">(ultimately NbS was demonstrated through a stormwater planter box </w:t>
      </w:r>
      <w:r w:rsidR="00DD43BE">
        <w:t xml:space="preserve">that was developed through work at the </w:t>
      </w:r>
      <w:proofErr w:type="spellStart"/>
      <w:r w:rsidR="00DD43BE">
        <w:t>Makkasan</w:t>
      </w:r>
      <w:proofErr w:type="spellEnd"/>
      <w:r w:rsidR="00DD43BE">
        <w:t xml:space="preserve"> site</w:t>
      </w:r>
      <w:r w:rsidR="00AD3F2C">
        <w:t>)</w:t>
      </w:r>
      <w:r w:rsidR="00AE4B42" w:rsidRPr="003D4B91">
        <w:t>; as such, it was possibly a poorly identified site.</w:t>
      </w:r>
      <w:r w:rsidR="00AD3F2C">
        <w:rPr>
          <w:rStyle w:val="FootnoteReference"/>
        </w:rPr>
        <w:footnoteReference w:id="20"/>
      </w:r>
      <w:r w:rsidR="00AD3F2C">
        <w:t xml:space="preserve"> </w:t>
      </w:r>
    </w:p>
    <w:p w14:paraId="086CD360" w14:textId="3E9164DC" w:rsidR="005F3734" w:rsidRDefault="005F3734" w:rsidP="005F3734">
      <w:pPr>
        <w:pBdr>
          <w:top w:val="nil"/>
          <w:left w:val="nil"/>
          <w:bottom w:val="nil"/>
          <w:right w:val="nil"/>
          <w:between w:val="nil"/>
        </w:pBdr>
      </w:pPr>
      <w:r>
        <w:lastRenderedPageBreak/>
        <w:t xml:space="preserve">Despite the </w:t>
      </w:r>
      <w:r w:rsidR="00D11BD1">
        <w:t>progress</w:t>
      </w:r>
      <w:r>
        <w:t xml:space="preserve"> made toward EOPO 1, there </w:t>
      </w:r>
      <w:r w:rsidR="00D11BD1">
        <w:t>were some limitations that led to</w:t>
      </w:r>
      <w:r>
        <w:t xml:space="preserve"> lessons to be learned for a future phase of RUCaS regarding NbS case studies and efforts to increase local partners’ motivation to value, and therefore adopt, NbS</w:t>
      </w:r>
      <w:r w:rsidR="00D11BD1">
        <w:t>. These are described below.</w:t>
      </w:r>
    </w:p>
    <w:p w14:paraId="5C361B35" w14:textId="148DD084" w:rsidR="000019B9" w:rsidRDefault="000019B9" w:rsidP="000019B9">
      <w:pPr>
        <w:pStyle w:val="Heading4"/>
      </w:pPr>
      <w:r>
        <w:t>Variability in the local relevance of case studies</w:t>
      </w:r>
    </w:p>
    <w:p w14:paraId="6DAA0B35" w14:textId="3605D8F7" w:rsidR="005F3734" w:rsidRDefault="00D11BD1" w:rsidP="005F3734">
      <w:pPr>
        <w:pBdr>
          <w:top w:val="nil"/>
          <w:left w:val="nil"/>
          <w:bottom w:val="nil"/>
          <w:right w:val="nil"/>
          <w:between w:val="nil"/>
        </w:pBdr>
      </w:pPr>
      <w:r>
        <w:t>T</w:t>
      </w:r>
      <w:r w:rsidR="005F3734" w:rsidRPr="003D4B91">
        <w:t>here was variability in the local relevance and application of the case studies across the four countries</w:t>
      </w:r>
      <w:r w:rsidR="005F3734">
        <w:t xml:space="preserve"> which affected completion of output 1.1 as well as partner buy-in of hybrid NbS across the countries (IO). Some case studies were highly relevant and applicable: f</w:t>
      </w:r>
      <w:r w:rsidR="005F3734" w:rsidRPr="003D4B91">
        <w:t>or example, the On Nut site in Thailand was a highly visible site, attracted private sector funding, and included measures that were appropriate to the Thai context. In contrast, several informants in Lao PDR felt that the case study concepts were not practical for the context</w:t>
      </w:r>
      <w:r w:rsidR="005F3734">
        <w:t xml:space="preserve">, though partners noted </w:t>
      </w:r>
      <w:r w:rsidR="005F3734" w:rsidRPr="003D4B91">
        <w:t xml:space="preserve">that the case study reports and concepts were quite </w:t>
      </w:r>
      <w:r w:rsidR="00D17C03">
        <w:t>‘</w:t>
      </w:r>
      <w:r w:rsidR="005F3734" w:rsidRPr="003D4B91">
        <w:t>visionary</w:t>
      </w:r>
      <w:r w:rsidR="00D17C03">
        <w:t>’</w:t>
      </w:r>
      <w:r w:rsidR="005F3734" w:rsidRPr="003D4B91">
        <w:t xml:space="preserve"> and showed innovative examples</w:t>
      </w:r>
      <w:r w:rsidR="005F3734">
        <w:t>.</w:t>
      </w:r>
      <w:r w:rsidR="005F3734" w:rsidRPr="003D4B91">
        <w:t xml:space="preserve"> Reasons for a lack of local relevance and application of the case study concepts related broadly to:</w:t>
      </w:r>
    </w:p>
    <w:p w14:paraId="2F7CEA63" w14:textId="22134774" w:rsidR="005F3734" w:rsidRPr="003D4B91" w:rsidRDefault="005F3734" w:rsidP="00037A46">
      <w:pPr>
        <w:pStyle w:val="ListParagraph"/>
        <w:numPr>
          <w:ilvl w:val="0"/>
          <w:numId w:val="9"/>
        </w:numPr>
        <w:pBdr>
          <w:top w:val="nil"/>
          <w:left w:val="nil"/>
          <w:bottom w:val="nil"/>
          <w:right w:val="nil"/>
          <w:between w:val="nil"/>
        </w:pBdr>
      </w:pPr>
      <w:r w:rsidRPr="003D4B91">
        <w:rPr>
          <w:i/>
          <w:iCs/>
        </w:rPr>
        <w:t>Lack of financial viability:</w:t>
      </w:r>
      <w:r w:rsidRPr="003D4B91">
        <w:t xml:space="preserve"> several informants in Lao PDR expressed that the case study concepts (notably Vientiane) were too ambitious for the type of budget available in the country. Informants suggested that the case study concepts should have been designed with an idea of the available budget in mind from the beginning.</w:t>
      </w:r>
    </w:p>
    <w:p w14:paraId="6638B4CD" w14:textId="33C23133" w:rsidR="005F3734" w:rsidRPr="003D4B91" w:rsidRDefault="005F3734" w:rsidP="00037A46">
      <w:pPr>
        <w:pStyle w:val="ListParagraph"/>
        <w:numPr>
          <w:ilvl w:val="0"/>
          <w:numId w:val="9"/>
        </w:numPr>
        <w:pBdr>
          <w:top w:val="nil"/>
          <w:left w:val="nil"/>
          <w:bottom w:val="nil"/>
          <w:right w:val="nil"/>
          <w:between w:val="nil"/>
        </w:pBdr>
      </w:pPr>
      <w:r w:rsidRPr="003D4B91">
        <w:rPr>
          <w:i/>
          <w:iCs/>
        </w:rPr>
        <w:t>Lack of contextualisation and/or co-design:</w:t>
      </w:r>
      <w:r w:rsidRPr="003D4B91">
        <w:t xml:space="preserve"> informants in all four countries made similar remarks that the case study concepts required </w:t>
      </w:r>
      <w:r>
        <w:t xml:space="preserve">more </w:t>
      </w:r>
      <w:r w:rsidRPr="003D4B91">
        <w:t>adaptation and contextualisation to be more practical, notably in Lao PDR where informants felt the concepts were more appropriate for the Chinese or Thai contexts. Informants further noted that RUCaS staff in Australia designed the case studies, highlighting a lack of co-design with local partners (although consultation took place) which appears to have resulted in a lack of contextual understanding and technical feasibility. In some cases, the RUCaS team was aware of these issues, and (to the extent they were able) were further adapting the case studies to the local context.</w:t>
      </w:r>
      <w:r w:rsidRPr="003D4B91">
        <w:rPr>
          <w:rStyle w:val="FootnoteReference"/>
        </w:rPr>
        <w:footnoteReference w:id="21"/>
      </w:r>
    </w:p>
    <w:p w14:paraId="287CF856" w14:textId="6FE95689" w:rsidR="005F3734" w:rsidRPr="003D4B91" w:rsidRDefault="005F3734" w:rsidP="00037A46">
      <w:pPr>
        <w:pStyle w:val="ListParagraph"/>
        <w:numPr>
          <w:ilvl w:val="0"/>
          <w:numId w:val="9"/>
        </w:numPr>
        <w:pBdr>
          <w:top w:val="nil"/>
          <w:left w:val="nil"/>
          <w:bottom w:val="nil"/>
          <w:right w:val="nil"/>
          <w:between w:val="nil"/>
        </w:pBdr>
      </w:pPr>
      <w:r w:rsidRPr="003D4B91">
        <w:rPr>
          <w:i/>
          <w:iCs/>
        </w:rPr>
        <w:t>Lack of feasibility due to stakeholder complexity:</w:t>
      </w:r>
      <w:r w:rsidRPr="003D4B91">
        <w:t xml:space="preserve"> </w:t>
      </w:r>
      <w:r w:rsidR="00275606">
        <w:t>specifically,</w:t>
      </w:r>
      <w:r>
        <w:t xml:space="preserve"> </w:t>
      </w:r>
      <w:r w:rsidRPr="003D4B91">
        <w:t xml:space="preserve">the </w:t>
      </w:r>
      <w:proofErr w:type="spellStart"/>
      <w:r w:rsidRPr="003D4B91">
        <w:t>Makkasan</w:t>
      </w:r>
      <w:proofErr w:type="spellEnd"/>
      <w:r w:rsidRPr="003D4B91">
        <w:t xml:space="preserve"> case study</w:t>
      </w:r>
      <w:r>
        <w:t xml:space="preserve">, as previously discussed. </w:t>
      </w:r>
    </w:p>
    <w:p w14:paraId="5D4FC93E" w14:textId="2B73D1C7" w:rsidR="005F3734" w:rsidRDefault="005F3734" w:rsidP="005F3734">
      <w:r w:rsidRPr="003D4B91">
        <w:t>The RUCaS team specified that the intention in Phase 1 (to the extent it was possible with multiple amendments) was to include both obviously feasible case studies</w:t>
      </w:r>
      <w:r w:rsidR="0032251E">
        <w:t xml:space="preserve"> as well as ambitious ones to see what was possible</w:t>
      </w:r>
      <w:r w:rsidRPr="003D4B91">
        <w:t xml:space="preserve">. As such, some of the RUCaS team saw the case studies as </w:t>
      </w:r>
      <w:r w:rsidR="004B25D5">
        <w:t>‘</w:t>
      </w:r>
      <w:r w:rsidRPr="003D4B91">
        <w:t>stepping stones</w:t>
      </w:r>
      <w:r w:rsidR="004B25D5">
        <w:t>’</w:t>
      </w:r>
      <w:r w:rsidRPr="003D4B91">
        <w:t xml:space="preserve">, some of which would progress </w:t>
      </w:r>
      <w:r w:rsidR="00C55E12">
        <w:t>towards implementation</w:t>
      </w:r>
      <w:r w:rsidRPr="003D4B91">
        <w:t>, depending on their feasibility.</w:t>
      </w:r>
      <w:r w:rsidR="0032251E">
        <w:t xml:space="preserve"> T</w:t>
      </w:r>
      <w:r w:rsidRPr="003D4B91">
        <w:t>his</w:t>
      </w:r>
      <w:r w:rsidR="0032251E">
        <w:t xml:space="preserve"> approach</w:t>
      </w:r>
      <w:r w:rsidRPr="003D4B91">
        <w:t xml:space="preserve"> </w:t>
      </w:r>
      <w:r w:rsidR="004B25D5">
        <w:t>wa</w:t>
      </w:r>
      <w:r w:rsidRPr="003D4B91">
        <w:t>s appropriate for an</w:t>
      </w:r>
      <w:r w:rsidR="0032251E">
        <w:t xml:space="preserve"> academic endeavour, or indeed in the</w:t>
      </w:r>
      <w:r w:rsidRPr="003D4B91">
        <w:t xml:space="preserve"> </w:t>
      </w:r>
      <w:r w:rsidR="0032251E">
        <w:t>exploratory</w:t>
      </w:r>
      <w:r w:rsidRPr="003D4B91">
        <w:t xml:space="preserve"> phase</w:t>
      </w:r>
      <w:r w:rsidR="0032251E">
        <w:t xml:space="preserve"> of a program</w:t>
      </w:r>
      <w:r w:rsidRPr="003D4B91">
        <w:t xml:space="preserve"> to gain necessary insights for future planning</w:t>
      </w:r>
      <w:r w:rsidR="0032251E">
        <w:t>. However, this intention need</w:t>
      </w:r>
      <w:r w:rsidR="004B25D5">
        <w:t>ed</w:t>
      </w:r>
      <w:r w:rsidR="0032251E">
        <w:t xml:space="preserve"> to be clearly defined in the program logic, both to explain possible failures or limited successes during evaluation activities as well as to manage the expectations of stakeholders. S</w:t>
      </w:r>
      <w:r w:rsidRPr="003D4B91">
        <w:t>everal informants</w:t>
      </w:r>
      <w:r>
        <w:t xml:space="preserve"> explained that it would have been better to have case study concepts that were feasible and financially viable from the outset</w:t>
      </w:r>
      <w:r w:rsidR="00E82F1B">
        <w:t>; seemingly because they did not understand the partially exploratory nature of the site selection.</w:t>
      </w:r>
      <w:r w:rsidRPr="003D4B91">
        <w:t xml:space="preserve"> The RUCaS team and partners </w:t>
      </w:r>
      <w:r w:rsidR="00A5084A">
        <w:t>agreed</w:t>
      </w:r>
      <w:r w:rsidRPr="003D4B91">
        <w:t xml:space="preserve"> that any future case study site selection should be contextually relevant, and concept design should be practical and based on the design thinking model of ensuring </w:t>
      </w:r>
      <w:r w:rsidRPr="003D4B91">
        <w:lastRenderedPageBreak/>
        <w:t>desirability, feasibility, and viability.</w:t>
      </w:r>
      <w:r w:rsidRPr="003D4B91">
        <w:rPr>
          <w:rStyle w:val="FootnoteReference"/>
        </w:rPr>
        <w:footnoteReference w:id="22"/>
      </w:r>
      <w:r w:rsidRPr="003D4B91">
        <w:t xml:space="preserve"> Examples for choosing sites that would be more feasible and relevant include sites where: selection is driven by partner governments; land tenure is secure, and perhaps with fewer stakeholders (e.g. universities rather than public spaces); there is a known available budget to work with; and there is known local expertise to carry out detailed design and construction.</w:t>
      </w:r>
    </w:p>
    <w:p w14:paraId="0DDFF139" w14:textId="46AA710B" w:rsidR="00E20954" w:rsidRDefault="00E20954" w:rsidP="00F339A3">
      <w:pPr>
        <w:pBdr>
          <w:top w:val="single" w:sz="4" w:space="1" w:color="auto"/>
          <w:left w:val="single" w:sz="4" w:space="4" w:color="auto"/>
          <w:bottom w:val="single" w:sz="4" w:space="1" w:color="auto"/>
          <w:right w:val="single" w:sz="4" w:space="4" w:color="auto"/>
        </w:pBdr>
        <w:spacing w:before="240" w:after="240"/>
      </w:pPr>
      <w:r w:rsidRPr="00E20954">
        <w:rPr>
          <w:i/>
          <w:iCs/>
        </w:rPr>
        <w:t>“It would be good to develop the case studies within the actual budget that’s available... It would be good to have realistic ideas.”</w:t>
      </w:r>
      <w:r>
        <w:t xml:space="preserve"> </w:t>
      </w:r>
      <w:r w:rsidR="005447A4">
        <w:t>-</w:t>
      </w:r>
      <w:r>
        <w:t>RUCaS technical partner</w:t>
      </w:r>
    </w:p>
    <w:p w14:paraId="334E72F9" w14:textId="28C91EAC" w:rsidR="00E20954" w:rsidRDefault="00E20954" w:rsidP="00F339A3">
      <w:pPr>
        <w:pBdr>
          <w:top w:val="single" w:sz="4" w:space="1" w:color="auto"/>
          <w:left w:val="single" w:sz="4" w:space="4" w:color="auto"/>
          <w:bottom w:val="single" w:sz="4" w:space="1" w:color="auto"/>
          <w:right w:val="single" w:sz="4" w:space="4" w:color="auto"/>
        </w:pBdr>
        <w:spacing w:before="240" w:after="240"/>
      </w:pPr>
      <w:r w:rsidRPr="00E20954">
        <w:rPr>
          <w:i/>
          <w:iCs/>
        </w:rPr>
        <w:t xml:space="preserve">“To draw on the computer is good, but implementation is another thing. The concepts have been designed based on learnings from other countries, from China or from Thailand. Those countries, they have a lot of </w:t>
      </w:r>
      <w:proofErr w:type="gramStart"/>
      <w:r w:rsidRPr="00E20954">
        <w:rPr>
          <w:i/>
          <w:iCs/>
        </w:rPr>
        <w:t>budget</w:t>
      </w:r>
      <w:proofErr w:type="gramEnd"/>
      <w:r w:rsidRPr="00E20954">
        <w:rPr>
          <w:i/>
          <w:iCs/>
        </w:rPr>
        <w:t xml:space="preserve"> to do it, but in Laos, we have a limited budget. We need something that is practical.”</w:t>
      </w:r>
      <w:r>
        <w:t xml:space="preserve"> </w:t>
      </w:r>
      <w:r w:rsidR="005447A4">
        <w:t>-</w:t>
      </w:r>
      <w:r>
        <w:t>RUCaS technical partner</w:t>
      </w:r>
    </w:p>
    <w:p w14:paraId="3566267A" w14:textId="05CC086D" w:rsidR="000019B9" w:rsidRPr="003D4B91" w:rsidRDefault="00D11BD1" w:rsidP="000019B9">
      <w:pPr>
        <w:pStyle w:val="Heading4"/>
      </w:pPr>
      <w:r>
        <w:t>Assumption about local partners’ capacity to take case studies from concept to demonstration</w:t>
      </w:r>
    </w:p>
    <w:p w14:paraId="463EDCFC" w14:textId="260AD6DD" w:rsidR="00C55E12" w:rsidRDefault="00D11BD1" w:rsidP="00C55E12">
      <w:r>
        <w:t>M</w:t>
      </w:r>
      <w:r w:rsidR="00C55E12">
        <w:t xml:space="preserve">any of the local partners explained that </w:t>
      </w:r>
      <w:r w:rsidR="005D6D0B">
        <w:t xml:space="preserve">to be able to </w:t>
      </w:r>
      <w:r w:rsidR="00507FB6">
        <w:t>create</w:t>
      </w:r>
      <w:r w:rsidR="00596855">
        <w:t xml:space="preserve"> ‘</w:t>
      </w:r>
      <w:r w:rsidR="00596855" w:rsidRPr="00A86E65">
        <w:t>clear pathways for the RUCaS case studies to be progressed to full implementation by either local or likeminded partners</w:t>
      </w:r>
      <w:r w:rsidR="00596855">
        <w:t>’</w:t>
      </w:r>
      <w:r w:rsidR="00507FB6">
        <w:t xml:space="preserve">, they </w:t>
      </w:r>
      <w:r w:rsidR="005D6D0B">
        <w:t xml:space="preserve">needed to convince local decision-makers that the real-world costs and benefits of hybrid NbS </w:t>
      </w:r>
      <w:r w:rsidR="005D6D0B" w:rsidRPr="005D6D0B">
        <w:t xml:space="preserve">outweighed those of </w:t>
      </w:r>
      <w:r w:rsidR="00507FB6">
        <w:t xml:space="preserve">the </w:t>
      </w:r>
      <w:r w:rsidR="005D6D0B" w:rsidRPr="005D6D0B">
        <w:t>typical</w:t>
      </w:r>
      <w:r w:rsidR="005D6D0B">
        <w:t xml:space="preserve"> grey infrastructure solutions</w:t>
      </w:r>
      <w:r w:rsidR="00507FB6">
        <w:t xml:space="preserve"> </w:t>
      </w:r>
      <w:r w:rsidR="00324DD9">
        <w:t>which they trusted</w:t>
      </w:r>
      <w:r w:rsidR="005D6D0B">
        <w:t>.</w:t>
      </w:r>
      <w:r w:rsidR="00507FB6">
        <w:t xml:space="preserve"> </w:t>
      </w:r>
      <w:r w:rsidR="004B25D5">
        <w:t>T</w:t>
      </w:r>
      <w:r w:rsidR="00507FB6">
        <w:t>o do this, they needed to be able to showcase fully operating examples of NbS</w:t>
      </w:r>
      <w:r w:rsidR="004B25D5">
        <w:t>; t</w:t>
      </w:r>
      <w:r w:rsidR="005D6D0B">
        <w:t>hat is, they needed a demonstration</w:t>
      </w:r>
      <w:r w:rsidR="00507FB6">
        <w:t xml:space="preserve"> of NbS</w:t>
      </w:r>
      <w:r w:rsidR="00D9052E">
        <w:t xml:space="preserve"> in a local context</w:t>
      </w:r>
      <w:r w:rsidR="005D6D0B">
        <w:t xml:space="preserve"> to convince local decision makers to fund </w:t>
      </w:r>
      <w:r w:rsidR="004B25D5">
        <w:t xml:space="preserve">further </w:t>
      </w:r>
      <w:r w:rsidR="00507FB6">
        <w:t>NbS</w:t>
      </w:r>
      <w:r w:rsidR="00D9052E">
        <w:t xml:space="preserve"> </w:t>
      </w:r>
      <w:r w:rsidR="004B25D5">
        <w:t xml:space="preserve">demonstrations </w:t>
      </w:r>
      <w:r w:rsidR="00D9052E">
        <w:t xml:space="preserve">in </w:t>
      </w:r>
      <w:r w:rsidR="004B25D5">
        <w:t>their</w:t>
      </w:r>
      <w:r w:rsidR="00D9052E">
        <w:t xml:space="preserve"> local context</w:t>
      </w:r>
      <w:r w:rsidR="005D6D0B">
        <w:t>.</w:t>
      </w:r>
      <w:r w:rsidR="00507FB6">
        <w:t xml:space="preserve"> </w:t>
      </w:r>
      <w:r w:rsidR="00507FB6" w:rsidRPr="003D4B91">
        <w:t xml:space="preserve">This was particularly true where acceptance and buy-in was needed from partners who had not been </w:t>
      </w:r>
      <w:r w:rsidR="00507FB6">
        <w:t>in direct contact with</w:t>
      </w:r>
      <w:r w:rsidR="00507FB6" w:rsidRPr="003D4B91">
        <w:t xml:space="preserve"> the </w:t>
      </w:r>
      <w:r w:rsidR="00507FB6">
        <w:t xml:space="preserve">RUCaS </w:t>
      </w:r>
      <w:r w:rsidR="00507FB6" w:rsidRPr="003D4B91">
        <w:t xml:space="preserve">program </w:t>
      </w:r>
      <w:r w:rsidR="00507FB6">
        <w:t>including</w:t>
      </w:r>
      <w:r w:rsidR="00507FB6" w:rsidRPr="003D4B91">
        <w:t xml:space="preserve"> those in charge of budgets, </w:t>
      </w:r>
      <w:r w:rsidR="00507FB6">
        <w:t xml:space="preserve">the </w:t>
      </w:r>
      <w:r w:rsidR="00507FB6" w:rsidRPr="003D4B91">
        <w:t>private sector, local designers</w:t>
      </w:r>
      <w:r w:rsidR="00507FB6">
        <w:t xml:space="preserve"> and</w:t>
      </w:r>
      <w:r w:rsidR="00507FB6" w:rsidRPr="003D4B91">
        <w:t xml:space="preserve"> local contractors.</w:t>
      </w:r>
      <w:r w:rsidR="00507FB6">
        <w:rPr>
          <w:rStyle w:val="FootnoteReference"/>
        </w:rPr>
        <w:footnoteReference w:id="23"/>
      </w:r>
      <w:r w:rsidR="00507FB6" w:rsidRPr="003D4B91">
        <w:t xml:space="preserve"> </w:t>
      </w:r>
    </w:p>
    <w:p w14:paraId="0C5AD2C4" w14:textId="54D42CC8" w:rsidR="00324DD9" w:rsidRDefault="00324DD9" w:rsidP="00C55E12">
      <w:r>
        <w:t xml:space="preserve">A key issue is that </w:t>
      </w:r>
      <w:r w:rsidRPr="003D4B91">
        <w:t>EOPO 1 depended on the assumption that the provision of visualisations of NbS concepts, installation of environmental monitoring sensors, and/or detailed designs would prompt partners to invest in construction</w:t>
      </w:r>
      <w:r w:rsidR="00D9052E">
        <w:t xml:space="preserve"> (taking case studies from concept to demonstration)</w:t>
      </w:r>
      <w:r w:rsidRPr="003D4B91">
        <w:t xml:space="preserve">. However, provision of these alone did not </w:t>
      </w:r>
      <w:r>
        <w:t>guarantee</w:t>
      </w:r>
      <w:r w:rsidRPr="003D4B91">
        <w:t xml:space="preserve"> that partners had the necessary </w:t>
      </w:r>
      <w:r>
        <w:t xml:space="preserve">motivation, </w:t>
      </w:r>
      <w:r w:rsidRPr="003D4B91">
        <w:t>skills</w:t>
      </w:r>
      <w:r>
        <w:t xml:space="preserve"> or </w:t>
      </w:r>
      <w:r w:rsidRPr="003D4B91">
        <w:t>resources</w:t>
      </w:r>
      <w:r>
        <w:t xml:space="preserve"> </w:t>
      </w:r>
      <w:r w:rsidRPr="003D4B91">
        <w:t>to progress the case studies from concept to demonstration.</w:t>
      </w:r>
      <w:r>
        <w:t xml:space="preserve"> Indeed, several of the local partners expressed frustration that the case studies were not progressed further by the RUCaS team</w:t>
      </w:r>
      <w:r w:rsidR="0028682A">
        <w:t>.</w:t>
      </w:r>
      <w:r w:rsidR="003A2884">
        <w:t xml:space="preserve"> </w:t>
      </w:r>
      <w:r w:rsidR="003A2884" w:rsidRPr="003D4B91">
        <w:t>As one government representative put it: it was not realistic of RUCaS to expect to influence local partners to independently resource an NbS case study completely, particularly in the short timeframe and with the limited staff present in-country.</w:t>
      </w:r>
    </w:p>
    <w:p w14:paraId="5B6B8E6E" w14:textId="6ACF2B9D" w:rsidR="00E20954" w:rsidRPr="00E20954" w:rsidRDefault="00E20954" w:rsidP="00F339A3">
      <w:pPr>
        <w:pBdr>
          <w:top w:val="single" w:sz="4" w:space="1" w:color="auto"/>
          <w:left w:val="single" w:sz="4" w:space="4" w:color="auto"/>
          <w:bottom w:val="single" w:sz="4" w:space="1" w:color="auto"/>
          <w:right w:val="single" w:sz="4" w:space="4" w:color="auto"/>
        </w:pBdr>
        <w:spacing w:before="240" w:after="240"/>
        <w:rPr>
          <w:i/>
          <w:iCs/>
        </w:rPr>
      </w:pPr>
      <w:r>
        <w:rPr>
          <w:i/>
          <w:iCs/>
        </w:rPr>
        <w:t xml:space="preserve">“We don’t want to see design anymore. We expected that [the money would be spent] on some real examples, and we didn’t really see that much.” </w:t>
      </w:r>
      <w:r w:rsidR="005447A4">
        <w:t>-</w:t>
      </w:r>
      <w:r w:rsidRPr="00E20954">
        <w:t>DFAT</w:t>
      </w:r>
    </w:p>
    <w:p w14:paraId="5D357543" w14:textId="599F09D4" w:rsidR="00324DD9" w:rsidRDefault="00324DD9" w:rsidP="00C55E12">
      <w:r>
        <w:t xml:space="preserve">Some of the RUCaS implementing team explained that </w:t>
      </w:r>
      <w:r w:rsidR="0028682A">
        <w:t>the</w:t>
      </w:r>
      <w:r>
        <w:t xml:space="preserve"> assumption </w:t>
      </w:r>
      <w:r w:rsidR="0028682A">
        <w:t xml:space="preserve">underlying EOPO 1 </w:t>
      </w:r>
      <w:r>
        <w:t xml:space="preserve">was ambitious but not impossible as shown by their </w:t>
      </w:r>
      <w:r w:rsidR="0028682A">
        <w:t xml:space="preserve">previous </w:t>
      </w:r>
      <w:r>
        <w:t>experience</w:t>
      </w:r>
      <w:r w:rsidR="0028682A">
        <w:t xml:space="preserve"> implementing a similar program</w:t>
      </w:r>
      <w:r>
        <w:t xml:space="preserve"> in Kunshan, China. However, the findings of this evaluation </w:t>
      </w:r>
      <w:r w:rsidR="0028682A">
        <w:t>showed that in the context of the eight RUCaS case studies</w:t>
      </w:r>
      <w:r w:rsidR="0013609E">
        <w:t xml:space="preserve"> during Phase 1</w:t>
      </w:r>
      <w:r w:rsidR="0028682A">
        <w:t xml:space="preserve">, this assumption was </w:t>
      </w:r>
      <w:r w:rsidR="0013609E">
        <w:t xml:space="preserve">largely </w:t>
      </w:r>
      <w:r w:rsidR="0028682A">
        <w:t>not borne out</w:t>
      </w:r>
      <w:r w:rsidR="0013609E">
        <w:t>.</w:t>
      </w:r>
      <w:r w:rsidR="0028682A">
        <w:t xml:space="preserve"> This </w:t>
      </w:r>
      <w:r w:rsidR="00D9052E">
        <w:t>different outcome</w:t>
      </w:r>
      <w:r w:rsidR="0028682A">
        <w:t xml:space="preserve"> </w:t>
      </w:r>
      <w:r w:rsidR="00EA3469">
        <w:t>might be</w:t>
      </w:r>
      <w:r w:rsidR="0028682A">
        <w:t xml:space="preserve"> due to the differing economic and social contexts between China and the Mekong subregion countries. For example, there are far less available resources for </w:t>
      </w:r>
      <w:r w:rsidR="0028682A">
        <w:lastRenderedPageBreak/>
        <w:t xml:space="preserve">public spending in Lao PDR and Cambodia then there are in China, and (as discussed above) the case study concepts presented were in </w:t>
      </w:r>
      <w:r w:rsidR="00D9052E">
        <w:t>some</w:t>
      </w:r>
      <w:r w:rsidR="0028682A">
        <w:t xml:space="preserve"> cases more appropriate for a Chinese context than they were for the Mekong </w:t>
      </w:r>
      <w:r w:rsidR="004B25D5">
        <w:t>sub</w:t>
      </w:r>
      <w:r w:rsidR="0028682A">
        <w:t>region (particularly in Lao PDR).</w:t>
      </w:r>
      <w:r w:rsidR="00EA3469">
        <w:t xml:space="preserve"> It may also be due to the short timeframe in which these changes were expected to take place during Phase 1 of the RUCaS program.</w:t>
      </w:r>
    </w:p>
    <w:p w14:paraId="642B1ED1" w14:textId="76BA9323" w:rsidR="00D11BD1" w:rsidRPr="00D11BD1" w:rsidRDefault="00D11BD1" w:rsidP="00596855">
      <w:pPr>
        <w:pStyle w:val="Heading4"/>
      </w:pPr>
      <w:r>
        <w:t>Integration of GEDSI principles in the case studies</w:t>
      </w:r>
    </w:p>
    <w:p w14:paraId="569F0752" w14:textId="5F000724" w:rsidR="005F3734" w:rsidRDefault="00D11BD1" w:rsidP="00A5084A">
      <w:r>
        <w:t>T</w:t>
      </w:r>
      <w:r w:rsidR="005F3734" w:rsidRPr="003D4B91">
        <w:t xml:space="preserve">he indicator for EOPO 1 referred to the integration of GEDSI principles in the case studies. There were a few examples of this (e.g. On Nut, Battambang), but they were limited because the case studies preceded the focus of GEDSI within RUCaS. Furthermore, RUCaS in-country staff noted that the inclusion of GEDSI principles in the case studies would not guarantee they be maintained through detailed design and into construction. </w:t>
      </w:r>
      <w:r w:rsidR="005E6985">
        <w:t>The lessons learned from this are</w:t>
      </w:r>
      <w:r w:rsidR="005F3734" w:rsidRPr="003D4B91">
        <w:t xml:space="preserve"> further discussed in Section </w:t>
      </w:r>
      <w:r w:rsidR="005F3734" w:rsidRPr="003D4B91">
        <w:fldChar w:fldCharType="begin"/>
      </w:r>
      <w:r w:rsidR="005F3734" w:rsidRPr="003D4B91">
        <w:instrText xml:space="preserve"> REF _Ref219842156 \r \h </w:instrText>
      </w:r>
      <w:r w:rsidR="005F3734">
        <w:instrText xml:space="preserve"> \* MERGEFORMAT </w:instrText>
      </w:r>
      <w:r w:rsidR="005F3734" w:rsidRPr="003D4B91">
        <w:fldChar w:fldCharType="separate"/>
      </w:r>
      <w:r w:rsidR="007007C5">
        <w:t>3.5</w:t>
      </w:r>
      <w:r w:rsidR="005F3734" w:rsidRPr="003D4B91">
        <w:fldChar w:fldCharType="end"/>
      </w:r>
      <w:r w:rsidR="005F3734" w:rsidRPr="003D4B91">
        <w:t xml:space="preserve"> on GEDSI.</w:t>
      </w:r>
    </w:p>
    <w:p w14:paraId="28A8D129" w14:textId="13BF948E" w:rsidR="00D13AB2" w:rsidRPr="003D4B91" w:rsidRDefault="00D13AB2" w:rsidP="00F339A3">
      <w:pPr>
        <w:pBdr>
          <w:top w:val="single" w:sz="4" w:space="1" w:color="auto"/>
          <w:left w:val="single" w:sz="4" w:space="4" w:color="auto"/>
          <w:bottom w:val="single" w:sz="4" w:space="1" w:color="auto"/>
          <w:right w:val="single" w:sz="4" w:space="4" w:color="auto"/>
        </w:pBdr>
        <w:spacing w:before="240" w:after="240"/>
      </w:pPr>
      <w:r w:rsidRPr="00D13AB2">
        <w:rPr>
          <w:i/>
          <w:iCs/>
        </w:rPr>
        <w:t xml:space="preserve">“Seeing is believing. I think [this] is super important. You </w:t>
      </w:r>
      <w:proofErr w:type="gramStart"/>
      <w:r w:rsidRPr="00D13AB2">
        <w:rPr>
          <w:i/>
          <w:iCs/>
        </w:rPr>
        <w:t>have to</w:t>
      </w:r>
      <w:proofErr w:type="gramEnd"/>
      <w:r w:rsidRPr="00D13AB2">
        <w:rPr>
          <w:i/>
          <w:iCs/>
        </w:rPr>
        <w:t xml:space="preserve"> demonstrate it in the construction phase, and we don't have that. This is one of the areas where I think it's important to stop engineering designs and construct nature-based solutions.”</w:t>
      </w:r>
      <w:r>
        <w:rPr>
          <w:i/>
          <w:iCs/>
        </w:rPr>
        <w:t xml:space="preserve"> </w:t>
      </w:r>
      <w:r w:rsidR="005447A4">
        <w:t>-</w:t>
      </w:r>
      <w:r>
        <w:t>RUCaS in-country staff</w:t>
      </w:r>
    </w:p>
    <w:p w14:paraId="535A5169" w14:textId="1C8198E2" w:rsidR="00D11BD1" w:rsidRDefault="00D11BD1" w:rsidP="00D11BD1">
      <w:r>
        <w:t xml:space="preserve">The key lessons to be learned for a future phase of RUCaS are: a) concepts and </w:t>
      </w:r>
      <w:r w:rsidRPr="003D4B91">
        <w:t>designs need to be feasible</w:t>
      </w:r>
      <w:r>
        <w:t xml:space="preserve"> and appropriate for the local context, b)</w:t>
      </w:r>
      <w:r w:rsidRPr="003D4B91">
        <w:t xml:space="preserve"> </w:t>
      </w:r>
      <w:r>
        <w:t>the implementing team</w:t>
      </w:r>
      <w:r w:rsidRPr="003D4B91">
        <w:t xml:space="preserve"> may need to progress </w:t>
      </w:r>
      <w:r>
        <w:t xml:space="preserve">the </w:t>
      </w:r>
      <w:r w:rsidRPr="003D4B91">
        <w:t>case studies</w:t>
      </w:r>
      <w:r>
        <w:t xml:space="preserve"> further along the pathway to ‘demonstration’ than just detailed design/environmental monitoring etc.</w:t>
      </w:r>
      <w:r>
        <w:rPr>
          <w:rStyle w:val="FootnoteReference"/>
        </w:rPr>
        <w:footnoteReference w:id="24"/>
      </w:r>
      <w:r>
        <w:t>,</w:t>
      </w:r>
      <w:r w:rsidRPr="003D4B91">
        <w:t xml:space="preserve"> </w:t>
      </w:r>
      <w:r>
        <w:t>c) the mandate and expectations of the RUCaS implementing team and the local partners need to be more clearly communicated and understood in order to manage expectations, maintain relationships and limit risk, and d) GEDSI principles need to be incorporated into case study selection and design from the outset.</w:t>
      </w:r>
    </w:p>
    <w:p w14:paraId="6F674CB6" w14:textId="21C2892E" w:rsidR="00D13AB2" w:rsidRDefault="00D13AB2" w:rsidP="00BD086B">
      <w:pPr>
        <w:pBdr>
          <w:top w:val="single" w:sz="4" w:space="1" w:color="auto"/>
          <w:left w:val="single" w:sz="4" w:space="4" w:color="auto"/>
          <w:bottom w:val="single" w:sz="4" w:space="1" w:color="auto"/>
          <w:right w:val="single" w:sz="4" w:space="4" w:color="auto"/>
        </w:pBdr>
        <w:shd w:val="clear" w:color="auto" w:fill="F2F2F2" w:themeFill="background1" w:themeFillShade="F2"/>
        <w:spacing w:before="240" w:after="240"/>
      </w:pPr>
      <w:r w:rsidRPr="00E96DCB">
        <w:rPr>
          <w:b/>
          <w:bCs/>
        </w:rPr>
        <w:t>Recommendation 2:</w:t>
      </w:r>
      <w:r>
        <w:t xml:space="preserve"> </w:t>
      </w:r>
      <w:r w:rsidRPr="00E96DCB">
        <w:t xml:space="preserve">The implementers of any future phase of RUCaS should progress at least one case study in each country from concept to a stage where it is fully constructed, </w:t>
      </w:r>
      <w:r w:rsidR="002A53D1">
        <w:t>c</w:t>
      </w:r>
      <w:r w:rsidRPr="00E96DCB">
        <w:t>ommissioned, and monitored to demonstrate the financial costs and benefits of sustainable hybrid NbS (even if this means having smaller case studies</w:t>
      </w:r>
      <w:r>
        <w:t>, and/or in fewer countries,</w:t>
      </w:r>
      <w:r w:rsidRPr="00E96DCB">
        <w:t xml:space="preserve"> that are fully funded by the program). Site selection for the case studies should be driven by local partners, and design should be </w:t>
      </w:r>
      <w:r>
        <w:t>done collaboratively and</w:t>
      </w:r>
      <w:r w:rsidRPr="00E96DCB">
        <w:t xml:space="preserve"> in accordance with locally relevant budgets.</w:t>
      </w:r>
    </w:p>
    <w:p w14:paraId="24F8476F" w14:textId="6BC0E031" w:rsidR="005431C6" w:rsidRPr="003D4B91" w:rsidRDefault="005431C6" w:rsidP="00F339A3">
      <w:pPr>
        <w:pStyle w:val="Heading3"/>
        <w:spacing w:before="480"/>
        <w:jc w:val="both"/>
      </w:pPr>
      <w:bookmarkStart w:id="134" w:name="_Toc225951857"/>
      <w:r w:rsidRPr="003D4B91">
        <w:t>EOPO</w:t>
      </w:r>
      <w:r w:rsidR="00B02C03" w:rsidRPr="003D4B91">
        <w:t xml:space="preserve"> 2 Foundations for upscaling</w:t>
      </w:r>
      <w:bookmarkEnd w:id="134"/>
    </w:p>
    <w:p w14:paraId="2A2EEBB4" w14:textId="318727E7" w:rsidR="00CF56A3" w:rsidRPr="003D4B91" w:rsidRDefault="00925B34" w:rsidP="00853BC2">
      <w:pPr>
        <w:rPr>
          <w:i/>
          <w:iCs/>
        </w:rPr>
      </w:pPr>
      <w:r w:rsidRPr="003D4B91">
        <w:t xml:space="preserve">Based on the elements (EOPO, IO, outputs and indicators) pertaining to EOPO 2, the evaluation team broadly interpreted the underlying logic to be: </w:t>
      </w:r>
      <w:r w:rsidR="00122C21" w:rsidRPr="003D4B91">
        <w:t>if the RUCaS team produced resources, tools and databases about NbS in urban environments, as well as strategies to scale up NbS in the Mekong region, this would mean that Mekong subregion partners would adopt these and incorporate NbS into their own policies, regulations, planning documents, standards and tools, which is an important foundation for scaling up NbS.</w:t>
      </w:r>
      <w:r w:rsidR="00122C21" w:rsidRPr="003D4B91">
        <w:rPr>
          <w:i/>
          <w:iCs/>
        </w:rPr>
        <w:t xml:space="preserve"> </w:t>
      </w:r>
      <w:r w:rsidR="00853BC2" w:rsidRPr="003D4B91">
        <w:rPr>
          <w:i/>
          <w:iCs/>
        </w:rPr>
        <w:fldChar w:fldCharType="begin"/>
      </w:r>
      <w:r w:rsidR="00853BC2" w:rsidRPr="003D4B91">
        <w:instrText xml:space="preserve"> REF _Ref219666813 \h </w:instrText>
      </w:r>
      <w:r w:rsidR="00853BC2" w:rsidRPr="003D4B91">
        <w:rPr>
          <w:i/>
          <w:iCs/>
        </w:rPr>
        <w:instrText xml:space="preserve"> \* MERGEFORMAT </w:instrText>
      </w:r>
      <w:r w:rsidR="00853BC2" w:rsidRPr="003D4B91">
        <w:rPr>
          <w:i/>
          <w:iCs/>
        </w:rPr>
      </w:r>
      <w:r w:rsidR="00853BC2" w:rsidRPr="003D4B91">
        <w:rPr>
          <w:i/>
          <w:iCs/>
        </w:rPr>
        <w:fldChar w:fldCharType="separate"/>
      </w:r>
      <w:r w:rsidR="007007C5" w:rsidRPr="003D4B91">
        <w:t xml:space="preserve">Table </w:t>
      </w:r>
      <w:r w:rsidR="007007C5">
        <w:rPr>
          <w:noProof/>
        </w:rPr>
        <w:t>2</w:t>
      </w:r>
      <w:r w:rsidR="00853BC2" w:rsidRPr="003D4B91">
        <w:rPr>
          <w:i/>
          <w:iCs/>
        </w:rPr>
        <w:fldChar w:fldCharType="end"/>
      </w:r>
      <w:r w:rsidR="00853BC2" w:rsidRPr="003D4B91">
        <w:rPr>
          <w:i/>
          <w:iCs/>
        </w:rPr>
        <w:t xml:space="preserve"> </w:t>
      </w:r>
      <w:r w:rsidR="00CF56A3" w:rsidRPr="003D4B91">
        <w:t xml:space="preserve">summarises the EOPO and IO (with indicators) as well as the outputs for </w:t>
      </w:r>
      <w:r w:rsidR="004513F7" w:rsidRPr="003D4B91">
        <w:t>EOPO 2</w:t>
      </w:r>
      <w:r w:rsidR="00CF56A3" w:rsidRPr="003D4B91">
        <w:t>.</w:t>
      </w:r>
    </w:p>
    <w:p w14:paraId="23369FE2" w14:textId="7BFD5D98" w:rsidR="009877F4" w:rsidRDefault="009877F4" w:rsidP="009877F4">
      <w:pPr>
        <w:pStyle w:val="Caption"/>
      </w:pPr>
      <w:bookmarkStart w:id="135" w:name="_Ref219666813"/>
      <w:r w:rsidRPr="003D4B91">
        <w:lastRenderedPageBreak/>
        <w:t xml:space="preserve">Table </w:t>
      </w:r>
      <w:fldSimple w:instr=" SEQ Table \* ARABIC ">
        <w:r w:rsidR="007007C5">
          <w:rPr>
            <w:noProof/>
          </w:rPr>
          <w:t>2</w:t>
        </w:r>
      </w:fldSimple>
      <w:bookmarkEnd w:id="135"/>
      <w:r w:rsidRPr="003D4B91">
        <w:t xml:space="preserve"> </w:t>
      </w:r>
      <w:r w:rsidR="004513F7" w:rsidRPr="003D4B91">
        <w:t>EOPO 2</w:t>
      </w:r>
      <w:r w:rsidRPr="003D4B91">
        <w:t xml:space="preserve"> – EOPO, IO and Outputs</w:t>
      </w:r>
    </w:p>
    <w:tbl>
      <w:tblPr>
        <w:tblStyle w:val="TableGrid"/>
        <w:tblW w:w="0" w:type="auto"/>
        <w:tblLook w:val="04A0" w:firstRow="1" w:lastRow="0" w:firstColumn="1" w:lastColumn="0" w:noHBand="0" w:noVBand="1"/>
      </w:tblPr>
      <w:tblGrid>
        <w:gridCol w:w="3005"/>
        <w:gridCol w:w="3005"/>
        <w:gridCol w:w="3006"/>
      </w:tblGrid>
      <w:tr w:rsidR="00F339A3" w14:paraId="07CF4DFB" w14:textId="77777777" w:rsidTr="003B2C06">
        <w:trPr>
          <w:tblHeader/>
        </w:trPr>
        <w:tc>
          <w:tcPr>
            <w:tcW w:w="3005" w:type="dxa"/>
            <w:shd w:val="clear" w:color="auto" w:fill="FFFFFF" w:themeFill="background1"/>
          </w:tcPr>
          <w:p w14:paraId="17BCA319" w14:textId="79F08918" w:rsidR="00F339A3" w:rsidRDefault="00F339A3" w:rsidP="00F339A3">
            <w:r w:rsidRPr="003D4B91">
              <w:rPr>
                <w:b/>
                <w:bCs/>
                <w:sz w:val="20"/>
                <w:szCs w:val="20"/>
              </w:rPr>
              <w:t>EOPO</w:t>
            </w:r>
          </w:p>
        </w:tc>
        <w:tc>
          <w:tcPr>
            <w:tcW w:w="3005" w:type="dxa"/>
            <w:shd w:val="clear" w:color="auto" w:fill="FFFFFF" w:themeFill="background1"/>
          </w:tcPr>
          <w:p w14:paraId="3AC9A224" w14:textId="1BC8645E" w:rsidR="00F339A3" w:rsidRDefault="00F339A3" w:rsidP="00F339A3">
            <w:r w:rsidRPr="003D4B91">
              <w:rPr>
                <w:b/>
                <w:bCs/>
                <w:sz w:val="20"/>
                <w:szCs w:val="20"/>
              </w:rPr>
              <w:t>IO</w:t>
            </w:r>
          </w:p>
        </w:tc>
        <w:tc>
          <w:tcPr>
            <w:tcW w:w="3006" w:type="dxa"/>
            <w:shd w:val="clear" w:color="auto" w:fill="FFFFFF" w:themeFill="background1"/>
          </w:tcPr>
          <w:p w14:paraId="645E116C" w14:textId="71BF2D5B" w:rsidR="00F339A3" w:rsidRDefault="00F339A3" w:rsidP="00F339A3">
            <w:r w:rsidRPr="003D4B91">
              <w:rPr>
                <w:b/>
                <w:bCs/>
                <w:sz w:val="20"/>
                <w:szCs w:val="20"/>
              </w:rPr>
              <w:t>Outputs</w:t>
            </w:r>
          </w:p>
        </w:tc>
      </w:tr>
      <w:tr w:rsidR="00F339A3" w14:paraId="358D77EC" w14:textId="77777777" w:rsidTr="00F339A3">
        <w:tc>
          <w:tcPr>
            <w:tcW w:w="3005" w:type="dxa"/>
          </w:tcPr>
          <w:p w14:paraId="5788A91E" w14:textId="2104B861" w:rsidR="00F339A3" w:rsidRPr="003D4B91" w:rsidRDefault="00F339A3" w:rsidP="00A819B7">
            <w:pPr>
              <w:spacing w:before="120" w:after="120"/>
              <w:rPr>
                <w:sz w:val="20"/>
                <w:szCs w:val="20"/>
              </w:rPr>
            </w:pPr>
            <w:r w:rsidRPr="003D4B91">
              <w:rPr>
                <w:sz w:val="20"/>
                <w:szCs w:val="20"/>
              </w:rPr>
              <w:t>The foundations for upscaling are being put in place.</w:t>
            </w:r>
          </w:p>
          <w:p w14:paraId="36EF3F52" w14:textId="30CCDB69" w:rsidR="00F339A3" w:rsidRDefault="00F339A3" w:rsidP="00A819B7">
            <w:pPr>
              <w:spacing w:before="120" w:after="120"/>
            </w:pPr>
            <w:r w:rsidRPr="003D4B91">
              <w:rPr>
                <w:b/>
                <w:bCs/>
                <w:sz w:val="20"/>
                <w:szCs w:val="20"/>
              </w:rPr>
              <w:t>Indicator:</w:t>
            </w:r>
            <w:r w:rsidRPr="003D4B91">
              <w:rPr>
                <w:sz w:val="20"/>
                <w:szCs w:val="20"/>
              </w:rPr>
              <w:t xml:space="preserve"> Number and evidence of national and/or local-level urban climate policies, regulations, planning documents, or technical standards and tools that integrate NbS principles supported by RUCaS.</w:t>
            </w:r>
          </w:p>
        </w:tc>
        <w:tc>
          <w:tcPr>
            <w:tcW w:w="3005" w:type="dxa"/>
          </w:tcPr>
          <w:p w14:paraId="2498DBF9" w14:textId="022EDFDB" w:rsidR="00F339A3" w:rsidRPr="00862A77" w:rsidRDefault="00F339A3" w:rsidP="00A819B7">
            <w:pPr>
              <w:spacing w:before="120" w:after="120"/>
              <w:rPr>
                <w:sz w:val="20"/>
                <w:szCs w:val="20"/>
              </w:rPr>
            </w:pPr>
            <w:r w:rsidRPr="003D4B91">
              <w:rPr>
                <w:sz w:val="20"/>
                <w:szCs w:val="20"/>
              </w:rPr>
              <w:t>Mekong authorities and partners consider hybrid NbS in policies, regulations, and technical guidance and tools for climate change adaptation.</w:t>
            </w:r>
          </w:p>
          <w:p w14:paraId="135CFBEB" w14:textId="173BA897" w:rsidR="00F339A3" w:rsidRDefault="00F339A3" w:rsidP="00A819B7">
            <w:pPr>
              <w:spacing w:before="120" w:after="120"/>
            </w:pPr>
            <w:r w:rsidRPr="003D4B91">
              <w:rPr>
                <w:b/>
                <w:bCs/>
                <w:sz w:val="20"/>
                <w:szCs w:val="20"/>
              </w:rPr>
              <w:t>Indicator:</w:t>
            </w:r>
            <w:r w:rsidRPr="003D4B91">
              <w:rPr>
                <w:sz w:val="20"/>
                <w:szCs w:val="20"/>
              </w:rPr>
              <w:t xml:space="preserve"> Number of policies, regulations and technical guidance or tools advocated through policy dialogues with Mekong subregion partners.</w:t>
            </w:r>
          </w:p>
        </w:tc>
        <w:tc>
          <w:tcPr>
            <w:tcW w:w="3006" w:type="dxa"/>
          </w:tcPr>
          <w:p w14:paraId="24E4380E" w14:textId="5C59684B" w:rsidR="00A819B7" w:rsidRPr="00F339A3" w:rsidRDefault="00F339A3" w:rsidP="00A819B7">
            <w:pPr>
              <w:spacing w:before="120" w:after="120"/>
              <w:rPr>
                <w:sz w:val="20"/>
                <w:szCs w:val="20"/>
              </w:rPr>
            </w:pPr>
            <w:r w:rsidRPr="00F339A3">
              <w:rPr>
                <w:sz w:val="20"/>
                <w:szCs w:val="20"/>
              </w:rPr>
              <w:t>2.1 RUCaS framework (Research based, practical framework for climate resilient urban investment decisions)</w:t>
            </w:r>
          </w:p>
          <w:p w14:paraId="62B3878C" w14:textId="0A9A1D2E" w:rsidR="00A819B7" w:rsidRPr="00F339A3" w:rsidRDefault="00F339A3" w:rsidP="00A819B7">
            <w:pPr>
              <w:spacing w:before="120" w:after="120"/>
              <w:rPr>
                <w:sz w:val="20"/>
                <w:szCs w:val="20"/>
              </w:rPr>
            </w:pPr>
            <w:r w:rsidRPr="00F339A3">
              <w:rPr>
                <w:sz w:val="20"/>
                <w:szCs w:val="20"/>
              </w:rPr>
              <w:t>2.2 Training resources, tools and databases prioritized by Mekong partners to guide urban infrastructure investment</w:t>
            </w:r>
          </w:p>
          <w:p w14:paraId="3F13A17E" w14:textId="78C3E789" w:rsidR="00A819B7" w:rsidRPr="00F339A3" w:rsidRDefault="00F339A3" w:rsidP="00A819B7">
            <w:pPr>
              <w:spacing w:before="120" w:after="120"/>
              <w:rPr>
                <w:sz w:val="20"/>
                <w:szCs w:val="20"/>
              </w:rPr>
            </w:pPr>
            <w:r w:rsidRPr="00F339A3">
              <w:rPr>
                <w:sz w:val="20"/>
                <w:szCs w:val="20"/>
              </w:rPr>
              <w:t>2.3 Four Climate Resilient Development Scaling Strategies for 4 countries providing tangible actions, and broader policy and practice reform recommendations</w:t>
            </w:r>
          </w:p>
          <w:p w14:paraId="713912A7" w14:textId="34A49F1B" w:rsidR="00F339A3" w:rsidRDefault="00F339A3" w:rsidP="00A819B7">
            <w:pPr>
              <w:spacing w:before="120" w:after="120"/>
            </w:pPr>
            <w:r w:rsidRPr="00F339A3">
              <w:rPr>
                <w:sz w:val="20"/>
                <w:szCs w:val="20"/>
              </w:rPr>
              <w:t>2.4 NbS enabling policies and technical guidance developed based on RUCaS case studies and integrate GEDSI principles that are adopted by Mekong partners for climate change adaption</w:t>
            </w:r>
          </w:p>
        </w:tc>
      </w:tr>
    </w:tbl>
    <w:p w14:paraId="6A7996B9" w14:textId="77777777" w:rsidR="00444F60" w:rsidRDefault="00444F60" w:rsidP="00A923AC"/>
    <w:p w14:paraId="1D36E651" w14:textId="208A08A0" w:rsidR="000A3085" w:rsidRDefault="00EA4750" w:rsidP="00A923AC">
      <w:r>
        <w:t>Overall, progress was made toward the achievement of EOPO</w:t>
      </w:r>
      <w:r w:rsidR="002659E3">
        <w:t xml:space="preserve"> </w:t>
      </w:r>
      <w:r>
        <w:t xml:space="preserve">2 based on the work done towards </w:t>
      </w:r>
      <w:r w:rsidR="001C44A8">
        <w:t xml:space="preserve">creating knowledge products and strategies for scaling up NbS (i.e. </w:t>
      </w:r>
      <w:r>
        <w:t>the outputs</w:t>
      </w:r>
      <w:r w:rsidR="001C44A8">
        <w:t>)</w:t>
      </w:r>
      <w:r>
        <w:t xml:space="preserve">. </w:t>
      </w:r>
      <w:r w:rsidR="009B13A7" w:rsidRPr="003D4B91">
        <w:t xml:space="preserve">It was evident during this evaluation that RUCaS was considered </w:t>
      </w:r>
      <w:r w:rsidR="00CE48AE">
        <w:t>by</w:t>
      </w:r>
      <w:r w:rsidR="009B13A7" w:rsidRPr="003D4B91">
        <w:t xml:space="preserve"> partners in the region to be a thought leader </w:t>
      </w:r>
      <w:r w:rsidR="00CE48AE">
        <w:t>in</w:t>
      </w:r>
      <w:r w:rsidR="009B13A7" w:rsidRPr="003D4B91">
        <w:t xml:space="preserve"> NbS, and numerous partners praised the program for it</w:t>
      </w:r>
      <w:r w:rsidR="009B13A7">
        <w:t>s development of high-quality</w:t>
      </w:r>
      <w:r w:rsidR="009B13A7" w:rsidRPr="003D4B91">
        <w:t xml:space="preserve"> NbS knowledge products. </w:t>
      </w:r>
      <w:r w:rsidR="000A3085">
        <w:t xml:space="preserve">As such, many of the outputs </w:t>
      </w:r>
      <w:r w:rsidR="00CE48AE">
        <w:t xml:space="preserve">under EOPO 2 </w:t>
      </w:r>
      <w:r w:rsidR="000A3085">
        <w:t xml:space="preserve">were achieved. For example, </w:t>
      </w:r>
      <w:r w:rsidR="000A3085" w:rsidRPr="003D4B91">
        <w:t xml:space="preserve">RUCaS made progress on developing technical guidance in collaboration with partners (output 2.4). Both the </w:t>
      </w:r>
      <w:r w:rsidR="000A3085" w:rsidRPr="003D4B91">
        <w:rPr>
          <w:i/>
          <w:iCs/>
        </w:rPr>
        <w:t>Guidelines for Risk Assessment of Disused Land</w:t>
      </w:r>
      <w:r w:rsidR="000A3085" w:rsidRPr="003D4B91">
        <w:rPr>
          <w:rStyle w:val="FootnoteReference"/>
        </w:rPr>
        <w:footnoteReference w:id="25"/>
      </w:r>
      <w:r w:rsidR="000A3085" w:rsidRPr="003D4B91">
        <w:t xml:space="preserve"> and the </w:t>
      </w:r>
      <w:r w:rsidR="000A3085" w:rsidRPr="003D4B91">
        <w:rPr>
          <w:i/>
          <w:iCs/>
        </w:rPr>
        <w:t>Inclusive and Equitable Urban Nature-based Solutions</w:t>
      </w:r>
      <w:r w:rsidR="000A3085" w:rsidRPr="003D4B91">
        <w:t xml:space="preserve"> practical guide</w:t>
      </w:r>
      <w:r w:rsidR="000A3085" w:rsidRPr="003D4B91">
        <w:rPr>
          <w:rStyle w:val="FootnoteReference"/>
        </w:rPr>
        <w:footnoteReference w:id="26"/>
      </w:r>
      <w:r w:rsidR="000A3085" w:rsidRPr="003D4B91">
        <w:t xml:space="preserve"> were spoken of highly by numerous partners as artifacts guiding best practice.</w:t>
      </w:r>
      <w:r w:rsidR="000A3085">
        <w:t xml:space="preserve"> </w:t>
      </w:r>
      <w:r w:rsidR="00CE48AE">
        <w:t>Additionally, t</w:t>
      </w:r>
      <w:r w:rsidR="000A3085" w:rsidRPr="003D4B91">
        <w:t xml:space="preserve">he </w:t>
      </w:r>
      <w:r w:rsidR="006C2EC7" w:rsidRPr="00446D44">
        <w:t>Ministry of Agriculture and Environment</w:t>
      </w:r>
      <w:r w:rsidR="006C2EC7" w:rsidRPr="003D4B91">
        <w:t xml:space="preserve"> </w:t>
      </w:r>
      <w:r w:rsidR="006C2EC7">
        <w:t>(</w:t>
      </w:r>
      <w:r w:rsidR="000A3085" w:rsidRPr="003D4B91">
        <w:t>MAE</w:t>
      </w:r>
      <w:r w:rsidR="006C2EC7">
        <w:t>)</w:t>
      </w:r>
      <w:r w:rsidR="000A3085" w:rsidRPr="003D4B91">
        <w:t xml:space="preserve"> in Lao PDR was </w:t>
      </w:r>
      <w:r w:rsidR="00F30A52">
        <w:t>keen</w:t>
      </w:r>
      <w:r w:rsidR="000A3085" w:rsidRPr="003D4B91">
        <w:t xml:space="preserve"> to discuss the </w:t>
      </w:r>
      <w:r w:rsidR="000A3085" w:rsidRPr="003D4B91">
        <w:rPr>
          <w:i/>
          <w:iCs/>
        </w:rPr>
        <w:t>National Urban Ecosystem-based Adaptation (</w:t>
      </w:r>
      <w:proofErr w:type="spellStart"/>
      <w:r w:rsidR="000A3085" w:rsidRPr="003D4B91">
        <w:rPr>
          <w:i/>
          <w:iCs/>
        </w:rPr>
        <w:t>EbA</w:t>
      </w:r>
      <w:proofErr w:type="spellEnd"/>
      <w:r w:rsidR="000A3085" w:rsidRPr="003D4B91">
        <w:rPr>
          <w:i/>
          <w:iCs/>
        </w:rPr>
        <w:t>) Guidelines for Flood Risk Reduction</w:t>
      </w:r>
      <w:r w:rsidR="000A3085" w:rsidRPr="003D4B91">
        <w:t>, which RUCaS contributed to as well.</w:t>
      </w:r>
      <w:r w:rsidR="000A3085">
        <w:rPr>
          <w:rStyle w:val="FootnoteReference"/>
        </w:rPr>
        <w:footnoteReference w:id="27"/>
      </w:r>
      <w:r w:rsidR="000A3085" w:rsidRPr="003D4B91">
        <w:t xml:space="preserve"> </w:t>
      </w:r>
    </w:p>
    <w:p w14:paraId="302DD245" w14:textId="2828F4E8" w:rsidR="007B0E7A" w:rsidRDefault="001C44A8" w:rsidP="00A923AC">
      <w:r>
        <w:t xml:space="preserve">However, </w:t>
      </w:r>
      <w:r w:rsidR="00F30A52">
        <w:t>there were several limitations that prevented the full achievement of EOPO 2. A</w:t>
      </w:r>
      <w:r w:rsidR="007B0E7A">
        <w:t>t the end of Phase 1, there were no ‘</w:t>
      </w:r>
      <w:r w:rsidR="007B0E7A" w:rsidRPr="00A5084A">
        <w:t>national and/or local-level urban climate policies</w:t>
      </w:r>
      <w:r w:rsidR="00E75D50">
        <w:t xml:space="preserve"> and</w:t>
      </w:r>
      <w:r w:rsidR="007B0E7A" w:rsidRPr="00A5084A">
        <w:t xml:space="preserve"> regulations</w:t>
      </w:r>
      <w:r w:rsidR="00E75D50">
        <w:t xml:space="preserve"> </w:t>
      </w:r>
      <w:r w:rsidR="007B0E7A" w:rsidRPr="00A5084A">
        <w:t>that integrate NbS principles supported by RUCaS</w:t>
      </w:r>
      <w:r w:rsidR="007B0E7A">
        <w:t>’—the indicator for EOPO</w:t>
      </w:r>
      <w:r w:rsidR="002659E3">
        <w:t xml:space="preserve"> </w:t>
      </w:r>
      <w:r w:rsidR="007B0E7A">
        <w:t>2. The key issue that this revealed is that much of the logic of EOPO</w:t>
      </w:r>
      <w:r w:rsidR="002659E3">
        <w:t xml:space="preserve"> </w:t>
      </w:r>
      <w:r w:rsidR="007B0E7A">
        <w:t xml:space="preserve">2 </w:t>
      </w:r>
      <w:r w:rsidR="007B0E7A" w:rsidRPr="003D4B91">
        <w:t>rest</w:t>
      </w:r>
      <w:r w:rsidR="007B0E7A">
        <w:t>ed</w:t>
      </w:r>
      <w:r w:rsidR="007B0E7A" w:rsidRPr="003D4B91">
        <w:t xml:space="preserve"> on </w:t>
      </w:r>
      <w:r w:rsidR="007B0E7A">
        <w:t>a</w:t>
      </w:r>
      <w:r w:rsidR="00420E4A">
        <w:t>n</w:t>
      </w:r>
      <w:r w:rsidR="007B0E7A">
        <w:t xml:space="preserve"> </w:t>
      </w:r>
      <w:r w:rsidR="00420E4A">
        <w:t>assumption</w:t>
      </w:r>
      <w:r w:rsidR="007B0E7A" w:rsidRPr="003D4B91">
        <w:t xml:space="preserve"> that knowledge production</w:t>
      </w:r>
      <w:r w:rsidR="007B0E7A">
        <w:t xml:space="preserve"> by the RUCaS program</w:t>
      </w:r>
      <w:r w:rsidR="007B0E7A" w:rsidRPr="003D4B91">
        <w:t xml:space="preserve"> (e.g. training resources, tools, technical guidance) alone </w:t>
      </w:r>
      <w:r w:rsidR="007B0E7A">
        <w:t>would lead</w:t>
      </w:r>
      <w:r w:rsidR="007B0E7A" w:rsidRPr="003D4B91">
        <w:t xml:space="preserve"> to changes in</w:t>
      </w:r>
      <w:r w:rsidR="007B0E7A">
        <w:t xml:space="preserve"> national</w:t>
      </w:r>
      <w:r w:rsidR="007B0E7A" w:rsidRPr="003D4B91">
        <w:t xml:space="preserve"> policy and regulation. However, </w:t>
      </w:r>
      <w:r w:rsidR="00420E4A">
        <w:t>this assumption was either implausible or</w:t>
      </w:r>
      <w:r w:rsidR="007B0E7A">
        <w:t xml:space="preserve"> </w:t>
      </w:r>
      <w:r w:rsidR="007B0E7A" w:rsidRPr="003D4B91">
        <w:t>too ambitious within the timeframe</w:t>
      </w:r>
      <w:r w:rsidR="007B0E7A">
        <w:t xml:space="preserve"> of Phase 1</w:t>
      </w:r>
      <w:r w:rsidR="00420E4A">
        <w:t>.</w:t>
      </w:r>
      <w:r w:rsidR="009B13A7">
        <w:rPr>
          <w:rStyle w:val="FootnoteReference"/>
        </w:rPr>
        <w:footnoteReference w:id="28"/>
      </w:r>
      <w:r w:rsidR="009B13A7">
        <w:t xml:space="preserve"> </w:t>
      </w:r>
    </w:p>
    <w:p w14:paraId="27A371A9" w14:textId="579FD02C" w:rsidR="002F4AFA" w:rsidRPr="003D4B91" w:rsidRDefault="00F30A52" w:rsidP="00A923AC">
      <w:r>
        <w:lastRenderedPageBreak/>
        <w:t>Furthermore,</w:t>
      </w:r>
      <w:r w:rsidR="0072413E" w:rsidRPr="003D4B91">
        <w:t xml:space="preserve"> some of the tools (framework, guidelines, software etc.) that were critical to </w:t>
      </w:r>
      <w:r w:rsidR="004513F7" w:rsidRPr="003D4B91">
        <w:t>EOPO 2</w:t>
      </w:r>
      <w:r w:rsidR="0072413E" w:rsidRPr="003D4B91">
        <w:t xml:space="preserve"> needed further work to be applicable </w:t>
      </w:r>
      <w:r w:rsidR="00651369" w:rsidRPr="003D4B91">
        <w:t>in</w:t>
      </w:r>
      <w:r w:rsidR="0072413E" w:rsidRPr="003D4B91">
        <w:t xml:space="preserve"> the context of the countries in the Mekong subregion</w:t>
      </w:r>
      <w:r w:rsidR="003E3C6E" w:rsidRPr="003D4B91">
        <w:t xml:space="preserve"> (</w:t>
      </w:r>
      <w:proofErr w:type="gramStart"/>
      <w:r w:rsidR="003E3C6E" w:rsidRPr="003D4B91">
        <w:t>in particular the</w:t>
      </w:r>
      <w:proofErr w:type="gramEnd"/>
      <w:r>
        <w:t xml:space="preserve"> </w:t>
      </w:r>
      <w:r w:rsidRPr="003D4B91">
        <w:t>‘Roadmaps’ for upscaling NbS</w:t>
      </w:r>
      <w:r>
        <w:rPr>
          <w:rStyle w:val="FootnoteReference"/>
        </w:rPr>
        <w:footnoteReference w:id="29"/>
      </w:r>
      <w:r>
        <w:t>)</w:t>
      </w:r>
      <w:r w:rsidR="0072413E" w:rsidRPr="003D4B91">
        <w:t xml:space="preserve">. </w:t>
      </w:r>
      <w:r w:rsidR="000A3085">
        <w:t>T</w:t>
      </w:r>
      <w:r w:rsidR="00606CB4" w:rsidRPr="003D4B91">
        <w:t>he RUCaS framework (</w:t>
      </w:r>
      <w:r w:rsidR="00CE2F06" w:rsidRPr="003D4B91">
        <w:t>output 2.1;</w:t>
      </w:r>
      <w:r w:rsidR="00D92534" w:rsidRPr="003D4B91">
        <w:t xml:space="preserve"> shown in</w:t>
      </w:r>
      <w:r w:rsidR="00CE2F06" w:rsidRPr="003D4B91">
        <w:t xml:space="preserve"> </w:t>
      </w:r>
      <w:r w:rsidR="00606CB4" w:rsidRPr="003D4B91">
        <w:t xml:space="preserve">Appendix </w:t>
      </w:r>
      <w:r w:rsidR="00E42F01" w:rsidRPr="003D4B91">
        <w:t>E</w:t>
      </w:r>
      <w:r w:rsidR="00606CB4" w:rsidRPr="003D4B91">
        <w:t>)</w:t>
      </w:r>
      <w:r w:rsidR="000A3085">
        <w:t>, for example,</w:t>
      </w:r>
      <w:r w:rsidR="00CE2F06" w:rsidRPr="003D4B91">
        <w:t xml:space="preserve"> was developed</w:t>
      </w:r>
      <w:r w:rsidR="00DB40D0" w:rsidRPr="003D4B91">
        <w:t xml:space="preserve"> </w:t>
      </w:r>
      <w:r w:rsidR="00606CB4" w:rsidRPr="003D4B91">
        <w:t xml:space="preserve">based on WSCA’s previous work </w:t>
      </w:r>
      <w:r w:rsidR="00D92534" w:rsidRPr="003D4B91">
        <w:t>on the</w:t>
      </w:r>
      <w:r w:rsidR="00446D44">
        <w:t xml:space="preserve"> IUFM</w:t>
      </w:r>
      <w:r w:rsidR="00D92534" w:rsidRPr="003D4B91">
        <w:t xml:space="preserve"> approach</w:t>
      </w:r>
      <w:r w:rsidR="002F4AFA" w:rsidRPr="003D4B91">
        <w:t>; h</w:t>
      </w:r>
      <w:r w:rsidR="00CE2F06" w:rsidRPr="003D4B91">
        <w:t xml:space="preserve">owever, </w:t>
      </w:r>
      <w:r w:rsidR="00D92534" w:rsidRPr="003D4B91">
        <w:t xml:space="preserve">feedback from some of the informants suggested that there may be ways to make the framework more </w:t>
      </w:r>
      <w:r w:rsidR="002F4AFA" w:rsidRPr="003D4B91">
        <w:t xml:space="preserve">practical for urban investments in NbS in the </w:t>
      </w:r>
      <w:r w:rsidR="00C7502A" w:rsidRPr="003D4B91">
        <w:t>Mekong subregion</w:t>
      </w:r>
      <w:r w:rsidR="002F4AFA" w:rsidRPr="003D4B91">
        <w:t xml:space="preserve">. As discussed for </w:t>
      </w:r>
      <w:r w:rsidR="004513F7" w:rsidRPr="003D4B91">
        <w:t>EOPO 1</w:t>
      </w:r>
      <w:r w:rsidR="002F4AFA" w:rsidRPr="003D4B91">
        <w:t>, informants (particularly in Lao PDR) expressed that finances are</w:t>
      </w:r>
      <w:r w:rsidR="00606CB4" w:rsidRPr="003D4B91">
        <w:t xml:space="preserve"> a persistent barrier to NbS</w:t>
      </w:r>
      <w:r w:rsidR="002F4AFA" w:rsidRPr="003D4B91">
        <w:t>, and designs would be more realistic if they were based on a known available budget</w:t>
      </w:r>
      <w:r w:rsidR="00D92534" w:rsidRPr="003D4B91">
        <w:t xml:space="preserve"> at the start of the design process</w:t>
      </w:r>
      <w:r w:rsidR="002F4AFA" w:rsidRPr="003D4B91">
        <w:t xml:space="preserve">. As such, </w:t>
      </w:r>
      <w:r w:rsidR="00606CB4" w:rsidRPr="003D4B91">
        <w:t xml:space="preserve">step 5 of the framework to </w:t>
      </w:r>
      <w:r w:rsidR="00606CB4" w:rsidRPr="003D4B91">
        <w:rPr>
          <w:i/>
          <w:iCs/>
        </w:rPr>
        <w:t>‘identify appropriate financing and funding’</w:t>
      </w:r>
      <w:r w:rsidR="00606CB4" w:rsidRPr="003D4B91">
        <w:t xml:space="preserve"> </w:t>
      </w:r>
      <w:r w:rsidR="002F4AFA" w:rsidRPr="003D4B91">
        <w:t>might</w:t>
      </w:r>
      <w:r w:rsidR="00606CB4" w:rsidRPr="003D4B91">
        <w:t xml:space="preserve"> be better placed higher in the framework hierarchy, before </w:t>
      </w:r>
      <w:r w:rsidR="002F4AFA" w:rsidRPr="003D4B91">
        <w:t xml:space="preserve">considering and </w:t>
      </w:r>
      <w:r w:rsidR="00606CB4" w:rsidRPr="003D4B91">
        <w:t>evaluating options.</w:t>
      </w:r>
      <w:r w:rsidR="00324C5B" w:rsidRPr="003D4B91">
        <w:t xml:space="preserve"> </w:t>
      </w:r>
      <w:r w:rsidR="002F4AFA" w:rsidRPr="003D4B91">
        <w:t xml:space="preserve"> </w:t>
      </w:r>
    </w:p>
    <w:p w14:paraId="0BCD5217" w14:textId="31BB935B" w:rsidR="0072413E" w:rsidRPr="003D4B91" w:rsidRDefault="00606CB4" w:rsidP="0045630D">
      <w:r w:rsidRPr="003D4B91">
        <w:t xml:space="preserve">With respect to </w:t>
      </w:r>
      <w:r w:rsidR="00DD544F" w:rsidRPr="003D4B91">
        <w:t xml:space="preserve">tools, </w:t>
      </w:r>
      <w:r w:rsidRPr="003D4B91">
        <w:t>the BCA tool was highly valued by partners</w:t>
      </w:r>
      <w:r w:rsidR="00DD544F" w:rsidRPr="003D4B91">
        <w:t xml:space="preserve"> (output 2.2)</w:t>
      </w:r>
      <w:r w:rsidRPr="003D4B91">
        <w:t xml:space="preserve">, and many aimed to use it themselves or incorporate it into university curriculums (specifically </w:t>
      </w:r>
      <w:r w:rsidR="00DD544F" w:rsidRPr="003D4B91">
        <w:t xml:space="preserve">the </w:t>
      </w:r>
      <w:r w:rsidRPr="003D4B91">
        <w:t>Royal University of Phnom Penh</w:t>
      </w:r>
      <w:r w:rsidR="005F7D22" w:rsidRPr="003D4B91">
        <w:t xml:space="preserve"> [RUPP]</w:t>
      </w:r>
      <w:r w:rsidRPr="003D4B91">
        <w:t xml:space="preserve">). However, barriers to uptake </w:t>
      </w:r>
      <w:r w:rsidR="004E35FB" w:rsidRPr="003D4B91">
        <w:t xml:space="preserve">of the BCA tool </w:t>
      </w:r>
      <w:r w:rsidRPr="003D4B91">
        <w:t>remain</w:t>
      </w:r>
      <w:r w:rsidR="00651369" w:rsidRPr="003D4B91">
        <w:t>ed</w:t>
      </w:r>
      <w:r w:rsidRPr="003D4B91">
        <w:t>, notably that the tool require</w:t>
      </w:r>
      <w:r w:rsidR="00420E4A">
        <w:t>d</w:t>
      </w:r>
      <w:r w:rsidRPr="003D4B91">
        <w:t xml:space="preserve"> a lot of data</w:t>
      </w:r>
      <w:r w:rsidR="00DD544F" w:rsidRPr="003D4B91">
        <w:t>,</w:t>
      </w:r>
      <w:r w:rsidRPr="003D4B91">
        <w:t xml:space="preserve"> which informants specified </w:t>
      </w:r>
      <w:r w:rsidR="00420E4A">
        <w:t>was</w:t>
      </w:r>
      <w:r w:rsidRPr="003D4B91">
        <w:t xml:space="preserve"> hard to get across the </w:t>
      </w:r>
      <w:r w:rsidR="00C7502A" w:rsidRPr="003D4B91">
        <w:t>Mekong subregion</w:t>
      </w:r>
      <w:r w:rsidRPr="003D4B91">
        <w:t xml:space="preserve">. Furthermore, there </w:t>
      </w:r>
      <w:r w:rsidR="00DD544F" w:rsidRPr="003D4B91">
        <w:t>wa</w:t>
      </w:r>
      <w:r w:rsidRPr="003D4B91">
        <w:t xml:space="preserve">s no evidence that </w:t>
      </w:r>
      <w:r w:rsidR="005D76AD" w:rsidRPr="003D4B91">
        <w:t xml:space="preserve">prioritisation of </w:t>
      </w:r>
      <w:r w:rsidRPr="003D4B91">
        <w:t xml:space="preserve">the tool </w:t>
      </w:r>
      <w:r w:rsidR="00DD544F" w:rsidRPr="003D4B91">
        <w:t>wa</w:t>
      </w:r>
      <w:r w:rsidRPr="003D4B91">
        <w:t>s</w:t>
      </w:r>
      <w:r w:rsidR="005D76AD" w:rsidRPr="003D4B91">
        <w:t xml:space="preserve"> widespread amongst partners </w:t>
      </w:r>
      <w:r w:rsidR="00DD544F" w:rsidRPr="003D4B91">
        <w:t xml:space="preserve">in Phase 1. </w:t>
      </w:r>
      <w:r w:rsidRPr="003D4B91">
        <w:t>No other training resource, tool, or database was noted by</w:t>
      </w:r>
      <w:r w:rsidR="005D76AD" w:rsidRPr="003D4B91">
        <w:t xml:space="preserve"> informants</w:t>
      </w:r>
      <w:r w:rsidRPr="003D4B91">
        <w:t xml:space="preserve"> as being prioritised</w:t>
      </w:r>
      <w:r w:rsidR="005D76AD" w:rsidRPr="003D4B91">
        <w:t xml:space="preserve">. </w:t>
      </w:r>
    </w:p>
    <w:p w14:paraId="06099BB8" w14:textId="77777777" w:rsidR="002A53D1" w:rsidRDefault="00444F60" w:rsidP="00444F60">
      <w:pPr>
        <w:pBdr>
          <w:top w:val="single" w:sz="4" w:space="1" w:color="auto"/>
          <w:left w:val="single" w:sz="4" w:space="4" w:color="auto"/>
          <w:bottom w:val="single" w:sz="4" w:space="1" w:color="auto"/>
          <w:right w:val="single" w:sz="4" w:space="4" w:color="auto"/>
        </w:pBdr>
        <w:spacing w:before="240" w:after="240"/>
      </w:pPr>
      <w:r>
        <w:rPr>
          <w:i/>
          <w:iCs/>
        </w:rPr>
        <w:t>“</w:t>
      </w:r>
      <w:r w:rsidRPr="0045630D">
        <w:rPr>
          <w:i/>
          <w:iCs/>
        </w:rPr>
        <w:t>Yes, we do use the BCA tool, and we also shared that tool to our partner in ministry</w:t>
      </w:r>
      <w:r>
        <w:rPr>
          <w:i/>
          <w:iCs/>
        </w:rPr>
        <w:t>… For [that ministry</w:t>
      </w:r>
      <w:r w:rsidRPr="0045630D">
        <w:rPr>
          <w:i/>
          <w:iCs/>
        </w:rPr>
        <w:t>], I think RUCaS is the first program to make them aware and know the importance of the BCA.</w:t>
      </w:r>
      <w:r>
        <w:rPr>
          <w:i/>
          <w:iCs/>
        </w:rPr>
        <w:t xml:space="preserve">” </w:t>
      </w:r>
      <w:r w:rsidR="005447A4">
        <w:t>-</w:t>
      </w:r>
      <w:proofErr w:type="spellStart"/>
      <w:r w:rsidRPr="00444F60">
        <w:t>RUCaS</w:t>
      </w:r>
      <w:proofErr w:type="spellEnd"/>
      <w:r w:rsidRPr="00444F60">
        <w:t xml:space="preserve"> university partner</w:t>
      </w:r>
    </w:p>
    <w:p w14:paraId="6B31EE99" w14:textId="3518733C" w:rsidR="00444F60" w:rsidRPr="00444F60" w:rsidRDefault="00444F60" w:rsidP="00444F60">
      <w:pPr>
        <w:pBdr>
          <w:top w:val="single" w:sz="4" w:space="1" w:color="auto"/>
          <w:left w:val="single" w:sz="4" w:space="4" w:color="auto"/>
          <w:bottom w:val="single" w:sz="4" w:space="1" w:color="auto"/>
          <w:right w:val="single" w:sz="4" w:space="4" w:color="auto"/>
        </w:pBdr>
        <w:spacing w:before="240" w:after="240"/>
        <w:rPr>
          <w:i/>
          <w:iCs/>
        </w:rPr>
      </w:pPr>
      <w:r>
        <w:rPr>
          <w:i/>
          <w:iCs/>
        </w:rPr>
        <w:t>“</w:t>
      </w:r>
      <w:r w:rsidRPr="0045630D">
        <w:rPr>
          <w:i/>
          <w:iCs/>
        </w:rPr>
        <w:t xml:space="preserve">The economic benefit analysis…I think it's very interesting to illustrate how NbS can have a long-term benefit for urban development or community development. But we </w:t>
      </w:r>
      <w:proofErr w:type="gramStart"/>
      <w:r w:rsidRPr="0045630D">
        <w:rPr>
          <w:i/>
          <w:iCs/>
        </w:rPr>
        <w:t>have to</w:t>
      </w:r>
      <w:proofErr w:type="gramEnd"/>
      <w:r w:rsidRPr="0045630D">
        <w:rPr>
          <w:i/>
          <w:iCs/>
        </w:rPr>
        <w:t xml:space="preserve"> admit that the calculation</w:t>
      </w:r>
      <w:r>
        <w:rPr>
          <w:i/>
          <w:iCs/>
        </w:rPr>
        <w:t xml:space="preserve"> </w:t>
      </w:r>
      <w:r w:rsidRPr="0045630D">
        <w:rPr>
          <w:i/>
          <w:iCs/>
        </w:rPr>
        <w:t>is challenging...because collecting enough data is hard with lack of recorded data.</w:t>
      </w:r>
      <w:r>
        <w:rPr>
          <w:i/>
          <w:iCs/>
        </w:rPr>
        <w:t>”</w:t>
      </w:r>
      <w:r w:rsidRPr="0045630D">
        <w:rPr>
          <w:i/>
          <w:iCs/>
        </w:rPr>
        <w:t xml:space="preserve"> </w:t>
      </w:r>
      <w:r w:rsidR="005447A4">
        <w:t>-</w:t>
      </w:r>
      <w:r w:rsidRPr="00444F60">
        <w:t>Cambodia government representative</w:t>
      </w:r>
    </w:p>
    <w:p w14:paraId="70754396" w14:textId="4B93A5A9" w:rsidR="005D76AD" w:rsidRPr="003D4B91" w:rsidRDefault="000A3085" w:rsidP="0045630D">
      <w:pPr>
        <w:rPr>
          <w:noProof/>
        </w:rPr>
      </w:pPr>
      <w:r>
        <w:t xml:space="preserve">While the technical guidance produced in Phase 1 was </w:t>
      </w:r>
      <w:r w:rsidR="00B436B3">
        <w:t>spoken of highly</w:t>
      </w:r>
      <w:r>
        <w:t xml:space="preserve"> (i.e. </w:t>
      </w:r>
      <w:r w:rsidR="00B436B3">
        <w:t xml:space="preserve">the </w:t>
      </w:r>
      <w:r w:rsidR="005D76AD" w:rsidRPr="003D4B91">
        <w:rPr>
          <w:i/>
          <w:iCs/>
        </w:rPr>
        <w:t>Guidelines for Risk Assessment of Disused Land</w:t>
      </w:r>
      <w:r w:rsidR="00B436B3">
        <w:rPr>
          <w:i/>
          <w:iCs/>
        </w:rPr>
        <w:t xml:space="preserve"> </w:t>
      </w:r>
      <w:r w:rsidR="005D76AD" w:rsidRPr="003D4B91">
        <w:t xml:space="preserve">and the </w:t>
      </w:r>
      <w:r w:rsidR="005D76AD" w:rsidRPr="003D4B91">
        <w:rPr>
          <w:i/>
          <w:iCs/>
        </w:rPr>
        <w:t>Inclusive and Equitable Urban Nature-based Solutions</w:t>
      </w:r>
      <w:r w:rsidR="005D76AD" w:rsidRPr="003D4B91">
        <w:t xml:space="preserve"> practical guide</w:t>
      </w:r>
      <w:r w:rsidR="00B436B3">
        <w:t xml:space="preserve">), </w:t>
      </w:r>
      <w:r w:rsidR="005D76AD" w:rsidRPr="003D4B91">
        <w:t xml:space="preserve">informants from </w:t>
      </w:r>
      <w:proofErr w:type="spellStart"/>
      <w:r w:rsidR="005D76AD" w:rsidRPr="003D4B91">
        <w:t>Kasetsart</w:t>
      </w:r>
      <w:proofErr w:type="spellEnd"/>
      <w:r w:rsidR="005D76AD" w:rsidRPr="003D4B91">
        <w:t xml:space="preserve"> University and the GEDSI </w:t>
      </w:r>
      <w:r w:rsidR="00651369" w:rsidRPr="003D4B91">
        <w:t>TAG</w:t>
      </w:r>
      <w:r w:rsidR="005F7D22" w:rsidRPr="003D4B91">
        <w:t xml:space="preserve"> (</w:t>
      </w:r>
      <w:r w:rsidR="004D7E3A" w:rsidRPr="003D4B91">
        <w:t>in addition to DFAT and RUCaS in-country staff)</w:t>
      </w:r>
      <w:r w:rsidR="005D76AD" w:rsidRPr="003D4B91">
        <w:t xml:space="preserve"> said that these guide</w:t>
      </w:r>
      <w:r w:rsidR="004D7E3A" w:rsidRPr="003D4B91">
        <w:t>lines still</w:t>
      </w:r>
      <w:r w:rsidR="005D76AD" w:rsidRPr="003D4B91">
        <w:t xml:space="preserve"> need</w:t>
      </w:r>
      <w:r w:rsidR="00647805" w:rsidRPr="003D4B91">
        <w:t>ed</w:t>
      </w:r>
      <w:r w:rsidR="005D76AD" w:rsidRPr="003D4B91">
        <w:t xml:space="preserve"> plans for </w:t>
      </w:r>
      <w:r w:rsidR="00420E4A">
        <w:t xml:space="preserve">testing, </w:t>
      </w:r>
      <w:r w:rsidR="005D76AD" w:rsidRPr="003D4B91">
        <w:t>dissemination and implementation</w:t>
      </w:r>
      <w:r w:rsidR="005F7D22" w:rsidRPr="003D4B91">
        <w:t xml:space="preserve">, </w:t>
      </w:r>
      <w:r w:rsidR="004D7E3A" w:rsidRPr="003D4B91">
        <w:t>including commitment from partners to use them</w:t>
      </w:r>
      <w:r w:rsidR="005D76AD" w:rsidRPr="003D4B91">
        <w:t xml:space="preserve">. </w:t>
      </w:r>
      <w:r w:rsidR="00656B43" w:rsidRPr="003D4B91">
        <w:t xml:space="preserve">Encouragingly, </w:t>
      </w:r>
      <w:r w:rsidR="005D76AD" w:rsidRPr="003D4B91">
        <w:t>both Can Tho University and HUCE request</w:t>
      </w:r>
      <w:r w:rsidR="00B436B3">
        <w:t>ed</w:t>
      </w:r>
      <w:r w:rsidR="005D76AD" w:rsidRPr="003D4B91">
        <w:t xml:space="preserve"> that a toolkit of WSCA/RUCaS materials adapted to the </w:t>
      </w:r>
      <w:r w:rsidR="00C7502A" w:rsidRPr="003D4B91">
        <w:t>Mekong subregion</w:t>
      </w:r>
      <w:r w:rsidR="005D76AD" w:rsidRPr="003D4B91">
        <w:t xml:space="preserve"> be made available to universities and governments. This suggest</w:t>
      </w:r>
      <w:r w:rsidR="00420E4A">
        <w:t>ed</w:t>
      </w:r>
      <w:r w:rsidR="005D76AD" w:rsidRPr="003D4B91">
        <w:t xml:space="preserve"> an appetite for more context-specific tools</w:t>
      </w:r>
      <w:r w:rsidR="00656B43" w:rsidRPr="003D4B91">
        <w:t xml:space="preserve"> and guidance</w:t>
      </w:r>
      <w:r w:rsidR="005D76AD" w:rsidRPr="003D4B91">
        <w:t>.</w:t>
      </w:r>
      <w:r w:rsidR="00656B43" w:rsidRPr="003D4B91">
        <w:rPr>
          <w:noProof/>
        </w:rPr>
        <w:t xml:space="preserve"> </w:t>
      </w:r>
    </w:p>
    <w:p w14:paraId="48513CD9" w14:textId="15EB6794" w:rsidR="00606CB4" w:rsidRDefault="004E35FB" w:rsidP="00A923AC">
      <w:r w:rsidRPr="003D4B91">
        <w:t>‘Roadmaps’ for upscaling NbS</w:t>
      </w:r>
      <w:r w:rsidR="00BA4CAC" w:rsidRPr="003D4B91">
        <w:t xml:space="preserve"> </w:t>
      </w:r>
      <w:r w:rsidR="00DD544F" w:rsidRPr="003D4B91">
        <w:t xml:space="preserve">were </w:t>
      </w:r>
      <w:r w:rsidRPr="003D4B91">
        <w:t>drafted for all four countries (</w:t>
      </w:r>
      <w:r w:rsidR="00606CB4" w:rsidRPr="003D4B91">
        <w:t>output 2.3)</w:t>
      </w:r>
      <w:r w:rsidR="00B436B3">
        <w:t xml:space="preserve">, and they included </w:t>
      </w:r>
      <w:r w:rsidR="00B436B3" w:rsidRPr="003D4B91">
        <w:t>four goals based on the Phase 1 EOPO</w:t>
      </w:r>
      <w:r w:rsidR="00B436B3">
        <w:t xml:space="preserve"> as well as </w:t>
      </w:r>
      <w:r w:rsidR="00B436B3" w:rsidRPr="003D4B91">
        <w:t>a baseline assessment of the relevance and state of NbS uptake in each of the countries. The roadmaps were to be used by RUCaS partners and potential new partners, and they emphasised the need for collective action</w:t>
      </w:r>
      <w:r w:rsidR="003E3C6E" w:rsidRPr="003D4B91">
        <w:t xml:space="preserve">; however, their useability and applicability in the form they were in at the time of the evaluation </w:t>
      </w:r>
      <w:r w:rsidR="00B436B3">
        <w:t>wa</w:t>
      </w:r>
      <w:r w:rsidR="003E3C6E" w:rsidRPr="003D4B91">
        <w:t xml:space="preserve">s </w:t>
      </w:r>
      <w:r w:rsidR="00596855">
        <w:t>uncertain</w:t>
      </w:r>
      <w:r w:rsidR="003E3C6E" w:rsidRPr="003D4B91">
        <w:t xml:space="preserve"> because they </w:t>
      </w:r>
      <w:r w:rsidR="00B436B3" w:rsidRPr="003D4B91">
        <w:t>d</w:t>
      </w:r>
      <w:r w:rsidR="00B436B3">
        <w:t>id</w:t>
      </w:r>
      <w:r w:rsidR="00B436B3" w:rsidRPr="003D4B91">
        <w:t xml:space="preserve"> </w:t>
      </w:r>
      <w:r w:rsidR="003E3C6E" w:rsidRPr="003D4B91">
        <w:t>not appear to be fully contextualised to the needs of country partners in the respective countries</w:t>
      </w:r>
      <w:r w:rsidR="00606CB4" w:rsidRPr="003D4B91">
        <w:t>.</w:t>
      </w:r>
      <w:r w:rsidRPr="003D4B91">
        <w:t xml:space="preserve"> </w:t>
      </w:r>
      <w:r w:rsidR="00B436B3">
        <w:t>Furthermore,</w:t>
      </w:r>
      <w:r w:rsidR="00656B43" w:rsidRPr="003D4B91">
        <w:t xml:space="preserve"> there remain</w:t>
      </w:r>
      <w:r w:rsidR="00B436B3">
        <w:t>ed</w:t>
      </w:r>
      <w:r w:rsidR="00656B43" w:rsidRPr="003D4B91">
        <w:t xml:space="preserve"> concerns about their development</w:t>
      </w:r>
      <w:r w:rsidR="00414D8E" w:rsidRPr="003D4B91">
        <w:t xml:space="preserve">, notably </w:t>
      </w:r>
      <w:r w:rsidR="00414D8E" w:rsidRPr="003D4B91">
        <w:lastRenderedPageBreak/>
        <w:t xml:space="preserve">around a lack of </w:t>
      </w:r>
      <w:r w:rsidR="00B334CC">
        <w:t xml:space="preserve">true </w:t>
      </w:r>
      <w:r w:rsidR="00414D8E" w:rsidRPr="003D4B91">
        <w:t>co-design</w:t>
      </w:r>
      <w:r w:rsidR="00B334CC">
        <w:t xml:space="preserve"> due to limited time and resources</w:t>
      </w:r>
      <w:r w:rsidR="00647805" w:rsidRPr="003D4B91">
        <w:t>.</w:t>
      </w:r>
      <w:r w:rsidR="001D6AA9" w:rsidRPr="003D4B91">
        <w:rPr>
          <w:rStyle w:val="FootnoteReference"/>
        </w:rPr>
        <w:footnoteReference w:id="30"/>
      </w:r>
      <w:r w:rsidR="00414D8E" w:rsidRPr="003D4B91">
        <w:t xml:space="preserve"> </w:t>
      </w:r>
      <w:r w:rsidR="001D6AA9" w:rsidRPr="003D4B91">
        <w:t>While</w:t>
      </w:r>
      <w:r w:rsidR="00DD544F" w:rsidRPr="003D4B91">
        <w:t xml:space="preserve"> consultations </w:t>
      </w:r>
      <w:r w:rsidR="0004245F" w:rsidRPr="003D4B91">
        <w:t>took</w:t>
      </w:r>
      <w:r w:rsidR="00414D8E" w:rsidRPr="003D4B91">
        <w:t xml:space="preserve"> </w:t>
      </w:r>
      <w:r w:rsidR="00DD544F" w:rsidRPr="003D4B91">
        <w:t>place in each country</w:t>
      </w:r>
      <w:r w:rsidR="00414D8E" w:rsidRPr="003D4B91">
        <w:t xml:space="preserve">, </w:t>
      </w:r>
      <w:r w:rsidR="00DD544F" w:rsidRPr="003D4B91">
        <w:t xml:space="preserve">few partners had any knowledge of the </w:t>
      </w:r>
      <w:r w:rsidR="00275606">
        <w:t>roadmaps</w:t>
      </w:r>
      <w:r w:rsidR="00414D8E" w:rsidRPr="003D4B91">
        <w:t xml:space="preserve"> during the</w:t>
      </w:r>
      <w:r w:rsidR="0004245F" w:rsidRPr="003D4B91">
        <w:t xml:space="preserve"> evaluation</w:t>
      </w:r>
      <w:r w:rsidR="00414D8E" w:rsidRPr="003D4B91">
        <w:t xml:space="preserve"> fieldwork</w:t>
      </w:r>
      <w:r w:rsidR="00DD544F" w:rsidRPr="003D4B91">
        <w:t xml:space="preserve">. </w:t>
      </w:r>
      <w:r w:rsidR="001D6AA9" w:rsidRPr="003D4B91">
        <w:t>T</w:t>
      </w:r>
      <w:r w:rsidR="00DD544F" w:rsidRPr="003D4B91">
        <w:t xml:space="preserve">his may have been done to limit </w:t>
      </w:r>
      <w:r w:rsidR="0004245F" w:rsidRPr="003D4B91">
        <w:t xml:space="preserve">the </w:t>
      </w:r>
      <w:r w:rsidR="00DD544F" w:rsidRPr="003D4B91">
        <w:t xml:space="preserve">burden on local stakeholders, </w:t>
      </w:r>
      <w:r w:rsidR="001D6AA9" w:rsidRPr="003D4B91">
        <w:t xml:space="preserve">but </w:t>
      </w:r>
      <w:r w:rsidR="00DD544F" w:rsidRPr="003D4B91">
        <w:t>it is not a suitable or sustainable approach for ensuring the foundations for upscaling</w:t>
      </w:r>
      <w:r w:rsidR="00414D8E" w:rsidRPr="003D4B91">
        <w:t xml:space="preserve">. Furthermore, RUCaS in-country staff and DFAT staff raised concerns that not only </w:t>
      </w:r>
      <w:r w:rsidR="0004245F" w:rsidRPr="003D4B91">
        <w:t>would</w:t>
      </w:r>
      <w:r w:rsidR="00414D8E" w:rsidRPr="003D4B91">
        <w:t xml:space="preserve"> translation of the strategies/roadmaps be required, but they </w:t>
      </w:r>
      <w:r w:rsidR="0004245F" w:rsidRPr="003D4B91">
        <w:t>would</w:t>
      </w:r>
      <w:r w:rsidR="00414D8E" w:rsidRPr="003D4B91">
        <w:t xml:space="preserve"> also need to be adapted to the specific country contexts. </w:t>
      </w:r>
      <w:r w:rsidR="001D6AA9" w:rsidRPr="003D4B91">
        <w:t>T</w:t>
      </w:r>
      <w:r w:rsidR="00BA4CAC" w:rsidRPr="003D4B91">
        <w:t xml:space="preserve">he draft ‘roadmaps’ </w:t>
      </w:r>
      <w:r w:rsidR="00420E4A">
        <w:t xml:space="preserve">(current at the time of the evaluation) </w:t>
      </w:r>
      <w:r w:rsidR="00BA4CAC" w:rsidRPr="003D4B91">
        <w:t>outline</w:t>
      </w:r>
      <w:r w:rsidR="00420E4A">
        <w:t>d</w:t>
      </w:r>
      <w:r w:rsidR="00BA4CAC" w:rsidRPr="003D4B91">
        <w:t xml:space="preserve"> RUCaS’ expected activities for upscaling NbS in each country, and they invite</w:t>
      </w:r>
      <w:r w:rsidR="00420E4A">
        <w:t>d</w:t>
      </w:r>
      <w:r w:rsidR="00BA4CAC" w:rsidRPr="003D4B91">
        <w:t xml:space="preserve"> partners to </w:t>
      </w:r>
      <w:r w:rsidR="006C2EC7">
        <w:t>‘</w:t>
      </w:r>
      <w:r w:rsidR="00BA4CAC" w:rsidRPr="003D4B91">
        <w:t>align priorities</w:t>
      </w:r>
      <w:r w:rsidR="006C2EC7">
        <w:t>’</w:t>
      </w:r>
      <w:r w:rsidR="006C2EC7" w:rsidRPr="003D4B91">
        <w:t xml:space="preserve"> </w:t>
      </w:r>
      <w:r w:rsidR="00BA4CAC" w:rsidRPr="003D4B91">
        <w:t xml:space="preserve">and </w:t>
      </w:r>
      <w:r w:rsidR="006C2EC7">
        <w:t>‘</w:t>
      </w:r>
      <w:r w:rsidR="00BA4CAC" w:rsidRPr="003D4B91">
        <w:t>coordinate contributions</w:t>
      </w:r>
      <w:r w:rsidR="006C2EC7">
        <w:t>’</w:t>
      </w:r>
      <w:r w:rsidR="006C2EC7" w:rsidRPr="003D4B91">
        <w:t xml:space="preserve"> </w:t>
      </w:r>
      <w:r w:rsidR="00BA4CAC" w:rsidRPr="003D4B91">
        <w:t>around these activities</w:t>
      </w:r>
      <w:r w:rsidR="001D6AA9" w:rsidRPr="003D4B91">
        <w:t>; however</w:t>
      </w:r>
      <w:r w:rsidR="00414D8E" w:rsidRPr="003D4B91">
        <w:t xml:space="preserve">, this </w:t>
      </w:r>
      <w:r w:rsidR="00E75D50">
        <w:t>did</w:t>
      </w:r>
      <w:r w:rsidR="00420E4A" w:rsidRPr="003D4B91">
        <w:t xml:space="preserve"> </w:t>
      </w:r>
      <w:r w:rsidR="00414D8E" w:rsidRPr="003D4B91">
        <w:t xml:space="preserve">not support the foundations for collective action towards upscaling. A more appropriate method would be to have clear roadmaps developed collaboratively with all relevant </w:t>
      </w:r>
      <w:r w:rsidR="0004245F" w:rsidRPr="003D4B91">
        <w:t>stakeholders</w:t>
      </w:r>
      <w:r w:rsidR="00414D8E" w:rsidRPr="003D4B91">
        <w:t xml:space="preserve"> in each country</w:t>
      </w:r>
      <w:r w:rsidR="00532D18">
        <w:t xml:space="preserve"> based on policy analysis</w:t>
      </w:r>
      <w:r w:rsidR="00414D8E" w:rsidRPr="003D4B91">
        <w:t xml:space="preserve">, outlining mutually agreed-upon goals that are actionable and contextualised, with </w:t>
      </w:r>
      <w:r w:rsidR="00F15324">
        <w:t>timeframes</w:t>
      </w:r>
      <w:r w:rsidR="007A5AF5">
        <w:t xml:space="preserve"> and </w:t>
      </w:r>
      <w:r w:rsidR="0004245F" w:rsidRPr="003D4B91">
        <w:t>responsible actors defined</w:t>
      </w:r>
      <w:r w:rsidR="00414D8E" w:rsidRPr="003D4B91">
        <w:t xml:space="preserve">. </w:t>
      </w:r>
    </w:p>
    <w:p w14:paraId="0734AC8F" w14:textId="2CB009A9" w:rsidR="000654BE" w:rsidRPr="00A02771" w:rsidRDefault="000654BE" w:rsidP="00BD086B">
      <w:pPr>
        <w:pBdr>
          <w:top w:val="single" w:sz="4" w:space="1" w:color="auto"/>
          <w:left w:val="single" w:sz="4" w:space="4" w:color="auto"/>
          <w:bottom w:val="single" w:sz="4" w:space="1" w:color="auto"/>
          <w:right w:val="single" w:sz="4" w:space="4" w:color="auto"/>
        </w:pBdr>
        <w:spacing w:before="240" w:after="240"/>
        <w:rPr>
          <w:i/>
          <w:iCs/>
        </w:rPr>
      </w:pPr>
      <w:r>
        <w:rPr>
          <w:i/>
          <w:iCs/>
        </w:rPr>
        <w:t>“</w:t>
      </w:r>
      <w:r w:rsidRPr="00BA4CAC">
        <w:rPr>
          <w:i/>
          <w:iCs/>
        </w:rPr>
        <w:t>It’s all dependent on the local context. So, any strategies to be developed should reflect the local context. It needs to be strictly localised.</w:t>
      </w:r>
      <w:r>
        <w:rPr>
          <w:i/>
          <w:iCs/>
        </w:rPr>
        <w:t>”</w:t>
      </w:r>
      <w:r w:rsidR="00A02771">
        <w:rPr>
          <w:i/>
          <w:iCs/>
        </w:rPr>
        <w:t xml:space="preserve"> </w:t>
      </w:r>
      <w:r w:rsidR="005447A4">
        <w:t xml:space="preserve">- </w:t>
      </w:r>
      <w:r w:rsidRPr="00A02771">
        <w:t>DFAT</w:t>
      </w:r>
    </w:p>
    <w:p w14:paraId="5507E62C" w14:textId="2E617025" w:rsidR="000654BE" w:rsidRDefault="000654BE" w:rsidP="00BD086B">
      <w:pPr>
        <w:pBdr>
          <w:top w:val="single" w:sz="4" w:space="1" w:color="auto"/>
          <w:left w:val="single" w:sz="4" w:space="4" w:color="auto"/>
          <w:bottom w:val="single" w:sz="4" w:space="1" w:color="auto"/>
          <w:right w:val="single" w:sz="4" w:space="4" w:color="auto"/>
        </w:pBdr>
        <w:spacing w:before="240" w:after="240"/>
      </w:pPr>
      <w:r>
        <w:rPr>
          <w:i/>
          <w:iCs/>
        </w:rPr>
        <w:t>“</w:t>
      </w:r>
      <w:r w:rsidRPr="00CD2F68">
        <w:rPr>
          <w:i/>
          <w:iCs/>
        </w:rPr>
        <w:t>We hope the national government will make a framework [for NbS], and then we also adapt our framework according to their framework. Without a framework or policy, we can’t push local government and contractors to do the job. It is impossible. You can do it only if you have your own money, your own resource</w:t>
      </w:r>
      <w:r>
        <w:rPr>
          <w:i/>
          <w:iCs/>
        </w:rPr>
        <w:t>s</w:t>
      </w:r>
      <w:r w:rsidRPr="00CD2F68">
        <w:rPr>
          <w:i/>
          <w:iCs/>
        </w:rPr>
        <w:t xml:space="preserve"> like people and equipment. You can do it just for the pilot project. But if you want to replicate it somewhere else, I think you better have a policy.</w:t>
      </w:r>
      <w:r>
        <w:rPr>
          <w:i/>
          <w:iCs/>
        </w:rPr>
        <w:t>”</w:t>
      </w:r>
      <w:r w:rsidR="00A02771">
        <w:rPr>
          <w:i/>
          <w:iCs/>
        </w:rPr>
        <w:t xml:space="preserve"> </w:t>
      </w:r>
      <w:r w:rsidR="005447A4">
        <w:t>-</w:t>
      </w:r>
      <w:r w:rsidRPr="00BD086B">
        <w:t>R</w:t>
      </w:r>
      <w:r>
        <w:t>UCaS government partner</w:t>
      </w:r>
    </w:p>
    <w:p w14:paraId="08F8601A" w14:textId="3D562F4D" w:rsidR="00BD086B" w:rsidRPr="00A02771" w:rsidRDefault="00BD086B" w:rsidP="00BD086B">
      <w:pPr>
        <w:pBdr>
          <w:top w:val="single" w:sz="4" w:space="1" w:color="auto"/>
          <w:left w:val="single" w:sz="4" w:space="4" w:color="auto"/>
          <w:bottom w:val="single" w:sz="4" w:space="1" w:color="auto"/>
          <w:right w:val="single" w:sz="4" w:space="4" w:color="auto"/>
        </w:pBdr>
        <w:spacing w:before="240" w:after="240"/>
        <w:rPr>
          <w:i/>
          <w:iCs/>
        </w:rPr>
      </w:pPr>
      <w:r>
        <w:rPr>
          <w:i/>
          <w:iCs/>
        </w:rPr>
        <w:t xml:space="preserve">“Scaling means scaling up from ‘something’, and we don’t have ‘something’.” </w:t>
      </w:r>
      <w:r w:rsidR="005447A4">
        <w:t>-</w:t>
      </w:r>
      <w:r w:rsidRPr="00BD086B">
        <w:t>RUCaS technical partner</w:t>
      </w:r>
    </w:p>
    <w:p w14:paraId="05CA3D94" w14:textId="361781A5" w:rsidR="00CD2F68" w:rsidRPr="003D4B91" w:rsidRDefault="00B436B3" w:rsidP="00CD2F68">
      <w:r>
        <w:t xml:space="preserve">The indicators for both EOPO 2 and IO 2 included policies and regulations as possible avenues for NbS integration (supported by RUCaS) to demonstrate foundations for upscaling. </w:t>
      </w:r>
      <w:r w:rsidR="00420E4A">
        <w:t>As stated above, a</w:t>
      </w:r>
      <w:r>
        <w:t xml:space="preserve">t the time of the evaluation, no </w:t>
      </w:r>
      <w:r w:rsidR="00802EB8" w:rsidRPr="003D4B91">
        <w:t xml:space="preserve">country </w:t>
      </w:r>
      <w:r w:rsidR="002C259C" w:rsidRPr="003D4B91">
        <w:t>had</w:t>
      </w:r>
      <w:r w:rsidR="00802EB8" w:rsidRPr="003D4B91">
        <w:t xml:space="preserve"> any policy or regulation </w:t>
      </w:r>
      <w:r w:rsidR="002C259C" w:rsidRPr="003D4B91">
        <w:t>that integrated NbS with the support of RUCaS</w:t>
      </w:r>
      <w:r w:rsidR="00647805" w:rsidRPr="003D4B91">
        <w:t>, though</w:t>
      </w:r>
      <w:r w:rsidR="0065563B" w:rsidRPr="003D4B91">
        <w:t xml:space="preserve"> </w:t>
      </w:r>
      <w:r w:rsidR="00911D5D" w:rsidRPr="003D4B91">
        <w:t xml:space="preserve">NbS </w:t>
      </w:r>
      <w:r w:rsidR="002C259C" w:rsidRPr="003D4B91">
        <w:t>had been</w:t>
      </w:r>
      <w:r w:rsidR="00911D5D" w:rsidRPr="003D4B91">
        <w:t xml:space="preserve"> embedded in the recent</w:t>
      </w:r>
      <w:r w:rsidR="002C259C" w:rsidRPr="003D4B91">
        <w:t>ly developed</w:t>
      </w:r>
      <w:r w:rsidR="00911D5D" w:rsidRPr="003D4B91">
        <w:t xml:space="preserve"> National Adaptation Plans (NAPs) for Lao PDR (2025) and Thailand (2024)</w:t>
      </w:r>
      <w:r>
        <w:t xml:space="preserve">. Additionally, </w:t>
      </w:r>
      <w:r w:rsidR="00911D5D" w:rsidRPr="003D4B91">
        <w:t>the BMA noted that related regulations exist</w:t>
      </w:r>
      <w:r w:rsidR="002C259C" w:rsidRPr="003D4B91">
        <w:t>ed</w:t>
      </w:r>
      <w:r w:rsidR="00911D5D" w:rsidRPr="003D4B91">
        <w:t xml:space="preserve"> in Thailand that </w:t>
      </w:r>
      <w:r w:rsidR="002C259C" w:rsidRPr="003D4B91">
        <w:t>specified</w:t>
      </w:r>
      <w:r w:rsidR="00911D5D" w:rsidRPr="003D4B91">
        <w:t xml:space="preserve"> </w:t>
      </w:r>
      <w:r w:rsidR="002C710A" w:rsidRPr="003D4B91">
        <w:t>‘</w:t>
      </w:r>
      <w:r w:rsidR="00911D5D" w:rsidRPr="003D4B91">
        <w:t xml:space="preserve">15-minute </w:t>
      </w:r>
      <w:proofErr w:type="gramStart"/>
      <w:r w:rsidR="00911D5D" w:rsidRPr="003D4B91">
        <w:t>parks’</w:t>
      </w:r>
      <w:proofErr w:type="gramEnd"/>
      <w:r w:rsidR="00911D5D" w:rsidRPr="003D4B91">
        <w:t xml:space="preserve"> and green space in new construction.</w:t>
      </w:r>
      <w:r w:rsidR="002C259C" w:rsidRPr="003D4B91">
        <w:t xml:space="preserve"> Whilst these plans and regulations integrated NbS independently of RUCaS, partners noted that </w:t>
      </w:r>
      <w:r w:rsidR="003E3C6E" w:rsidRPr="003D4B91">
        <w:t xml:space="preserve">a potential future phase of </w:t>
      </w:r>
      <w:r w:rsidR="002C259C" w:rsidRPr="003D4B91">
        <w:t xml:space="preserve">RUCaS could play an important role in helping to implement these in </w:t>
      </w:r>
      <w:r w:rsidR="00647805" w:rsidRPr="003D4B91">
        <w:t xml:space="preserve">the </w:t>
      </w:r>
      <w:r w:rsidR="002C259C" w:rsidRPr="003D4B91">
        <w:t>future.</w:t>
      </w:r>
      <w:r w:rsidR="00911D5D" w:rsidRPr="003D4B91">
        <w:t xml:space="preserve"> </w:t>
      </w:r>
      <w:r w:rsidR="006F0878" w:rsidRPr="003D4B91">
        <w:t>P</w:t>
      </w:r>
      <w:r w:rsidR="00CD2F68" w:rsidRPr="003D4B91">
        <w:t xml:space="preserve">artners in Cambodia’s government emphasised that policies and regulations </w:t>
      </w:r>
      <w:r w:rsidR="002C259C" w:rsidRPr="003D4B91">
        <w:t>were</w:t>
      </w:r>
      <w:r w:rsidR="00CD2F68" w:rsidRPr="003D4B91">
        <w:t xml:space="preserve"> extremely important to enforce and scale work on NbS</w:t>
      </w:r>
      <w:r w:rsidR="002C259C" w:rsidRPr="003D4B91">
        <w:t xml:space="preserve"> and this was something they would like RUCaS’ support with</w:t>
      </w:r>
      <w:r w:rsidR="006F0878" w:rsidRPr="003D4B91">
        <w:t>; t</w:t>
      </w:r>
      <w:r w:rsidR="00CD2F68" w:rsidRPr="003D4B91">
        <w:t xml:space="preserve">his was similarly noted by Can Tho University and HUCE in Viet Nam </w:t>
      </w:r>
      <w:r w:rsidR="002C259C" w:rsidRPr="003D4B91">
        <w:t>(</w:t>
      </w:r>
      <w:r w:rsidR="00CD2F68" w:rsidRPr="003D4B91">
        <w:t>though working with government is typically difficult</w:t>
      </w:r>
      <w:r w:rsidR="002C259C" w:rsidRPr="003D4B91">
        <w:t>)</w:t>
      </w:r>
      <w:r w:rsidR="00CD2F68" w:rsidRPr="003D4B91">
        <w:t>.</w:t>
      </w:r>
      <w:r w:rsidR="002C259C" w:rsidRPr="003D4B91">
        <w:t xml:space="preserve"> </w:t>
      </w:r>
      <w:r w:rsidR="006F0878" w:rsidRPr="003D4B91">
        <w:t xml:space="preserve">Additionally, </w:t>
      </w:r>
      <w:r w:rsidR="00CD2F68" w:rsidRPr="003D4B91">
        <w:t xml:space="preserve">a new project in Cambodia backed by the </w:t>
      </w:r>
      <w:r w:rsidR="00647805" w:rsidRPr="003D4B91">
        <w:t>European Union (</w:t>
      </w:r>
      <w:r w:rsidR="00CD2F68" w:rsidRPr="003D4B91">
        <w:t>EU</w:t>
      </w:r>
      <w:r w:rsidR="00647805" w:rsidRPr="003D4B91">
        <w:t>)</w:t>
      </w:r>
      <w:r w:rsidR="00CD2F68" w:rsidRPr="003D4B91">
        <w:t xml:space="preserve"> </w:t>
      </w:r>
      <w:r w:rsidR="004E679F" w:rsidRPr="003D4B91">
        <w:t>was</w:t>
      </w:r>
      <w:r w:rsidR="00CD2F68" w:rsidRPr="003D4B91">
        <w:t xml:space="preserve"> set to focus on NbS regulations, and a representative from </w:t>
      </w:r>
      <w:r w:rsidR="001105E1" w:rsidRPr="003D4B91">
        <w:t>RUPP</w:t>
      </w:r>
      <w:r w:rsidR="00CD2F68" w:rsidRPr="003D4B91">
        <w:t xml:space="preserve"> </w:t>
      </w:r>
      <w:r w:rsidR="004E679F" w:rsidRPr="003D4B91">
        <w:t>was</w:t>
      </w:r>
      <w:r w:rsidR="00CD2F68" w:rsidRPr="003D4B91">
        <w:t xml:space="preserve"> keen to engage WSCA for technical assistance with this project.  </w:t>
      </w:r>
    </w:p>
    <w:p w14:paraId="0B0D8809" w14:textId="01A8BA3C" w:rsidR="006F0878" w:rsidRPr="003D4B91" w:rsidRDefault="00B436B3" w:rsidP="00CD2F68">
      <w:r>
        <w:t xml:space="preserve">Overall, </w:t>
      </w:r>
      <w:r w:rsidR="00596855">
        <w:t xml:space="preserve">whilst progress was made toward achieving </w:t>
      </w:r>
      <w:r>
        <w:t>EOPO 2</w:t>
      </w:r>
      <w:r w:rsidR="00596855">
        <w:t>, the</w:t>
      </w:r>
      <w:r w:rsidR="00CE48AE">
        <w:t xml:space="preserve"> informants </w:t>
      </w:r>
      <w:r w:rsidR="00596855">
        <w:t>noted</w:t>
      </w:r>
      <w:r w:rsidR="00CE48AE">
        <w:t xml:space="preserve"> a critical barrier to current and future upscaling of NbS in the Mekong subregion: </w:t>
      </w:r>
      <w:r w:rsidR="00596855">
        <w:t>that is,</w:t>
      </w:r>
      <w:r w:rsidR="00CE48AE">
        <w:t xml:space="preserve"> </w:t>
      </w:r>
      <w:r w:rsidR="00647805" w:rsidRPr="003D4B91">
        <w:t>t</w:t>
      </w:r>
      <w:r w:rsidR="004E679F" w:rsidRPr="003D4B91">
        <w:t>he lack of physical demonstrations of NbS in each country</w:t>
      </w:r>
      <w:r w:rsidR="00CE48AE">
        <w:t xml:space="preserve">. Informants specified that these would be </w:t>
      </w:r>
      <w:r w:rsidR="00CE48AE">
        <w:lastRenderedPageBreak/>
        <w:t xml:space="preserve">paramount for </w:t>
      </w:r>
      <w:r w:rsidR="004E679F" w:rsidRPr="003D4B91">
        <w:t>developing</w:t>
      </w:r>
      <w:r w:rsidR="006F0878" w:rsidRPr="003D4B91">
        <w:t xml:space="preserve"> future policies and regulations for NbS, and</w:t>
      </w:r>
      <w:r w:rsidR="004E679F" w:rsidRPr="003D4B91">
        <w:t xml:space="preserve"> therefore</w:t>
      </w:r>
      <w:r w:rsidR="006F0878" w:rsidRPr="003D4B91">
        <w:t xml:space="preserve"> to upscal</w:t>
      </w:r>
      <w:r w:rsidR="004E679F" w:rsidRPr="003D4B91">
        <w:t>e</w:t>
      </w:r>
      <w:r w:rsidR="006F0878" w:rsidRPr="003D4B91">
        <w:t xml:space="preserve"> NbS</w:t>
      </w:r>
      <w:r w:rsidR="004E679F" w:rsidRPr="003D4B91">
        <w:t xml:space="preserve"> more</w:t>
      </w:r>
      <w:r w:rsidR="006F0878" w:rsidRPr="003D4B91">
        <w:t xml:space="preserve"> broadly</w:t>
      </w:r>
      <w:r w:rsidR="004E679F" w:rsidRPr="003D4B91">
        <w:t>: a</w:t>
      </w:r>
      <w:r w:rsidR="006F0878" w:rsidRPr="003D4B91">
        <w:t xml:space="preserve">s discussed </w:t>
      </w:r>
      <w:r w:rsidR="004E679F" w:rsidRPr="003D4B91">
        <w:t>in previous sections,</w:t>
      </w:r>
      <w:r w:rsidR="002659E3">
        <w:t xml:space="preserve"> many</w:t>
      </w:r>
      <w:r w:rsidR="004E679F" w:rsidRPr="003D4B91">
        <w:t xml:space="preserve"> </w:t>
      </w:r>
      <w:r w:rsidR="006F0878" w:rsidRPr="003D4B91">
        <w:t xml:space="preserve">stakeholders will remain unable and/or unwilling to invest in NbS without tangible demonstrations. </w:t>
      </w:r>
    </w:p>
    <w:p w14:paraId="75EF805E" w14:textId="39A789EE" w:rsidR="003D1B30" w:rsidRPr="003D4B91" w:rsidRDefault="00BD086B" w:rsidP="002A53D1">
      <w:pPr>
        <w:pBdr>
          <w:top w:val="single" w:sz="4" w:space="1" w:color="auto"/>
          <w:left w:val="single" w:sz="4" w:space="4" w:color="auto"/>
          <w:bottom w:val="single" w:sz="4" w:space="1" w:color="auto"/>
          <w:right w:val="single" w:sz="4" w:space="4" w:color="auto"/>
        </w:pBdr>
        <w:shd w:val="clear" w:color="auto" w:fill="F2F2F2" w:themeFill="background1" w:themeFillShade="F2"/>
        <w:spacing w:before="240" w:after="240"/>
        <w:rPr>
          <w:color w:val="00B050"/>
        </w:rPr>
      </w:pPr>
      <w:r w:rsidRPr="00E96DCB">
        <w:rPr>
          <w:b/>
          <w:bCs/>
        </w:rPr>
        <w:t>Recommendation 3:</w:t>
      </w:r>
      <w:r>
        <w:t xml:space="preserve"> </w:t>
      </w:r>
      <w:r w:rsidRPr="00E96DCB">
        <w:t>The implementers of any future phase of RUCaS should ensure that any knowledge products, guidelines and/or roadmaps developed for specific countries or cities should a) be demand-driven by local partners, b) be co-designed with local partners, c) be field-tested and updated where appropriate, and d) include clear dissemination and implementation plans</w:t>
      </w:r>
      <w:r>
        <w:t xml:space="preserve"> (which define stakeholders who are able to oversee implementation)</w:t>
      </w:r>
      <w:r w:rsidRPr="00E96DCB">
        <w:t>.</w:t>
      </w:r>
    </w:p>
    <w:p w14:paraId="1743F51E" w14:textId="77777777" w:rsidR="00EC15B6" w:rsidRDefault="00EC15B6">
      <w:pPr>
        <w:rPr>
          <w:rFonts w:eastAsiaTheme="majorEastAsia" w:cstheme="majorBidi"/>
          <w:color w:val="124F1A" w:themeColor="accent3" w:themeShade="BF"/>
          <w:sz w:val="28"/>
          <w:szCs w:val="28"/>
        </w:rPr>
      </w:pPr>
      <w:r>
        <w:br w:type="page"/>
      </w:r>
    </w:p>
    <w:p w14:paraId="3A84EC5C" w14:textId="7A2FCFCD" w:rsidR="00C20AF1" w:rsidRPr="003D4B91" w:rsidRDefault="00C20AF1" w:rsidP="00C20AF1">
      <w:pPr>
        <w:pStyle w:val="Heading3"/>
        <w:jc w:val="both"/>
      </w:pPr>
      <w:bookmarkStart w:id="136" w:name="_Toc225951858"/>
      <w:r w:rsidRPr="003D4B91">
        <w:lastRenderedPageBreak/>
        <w:t>EOPO</w:t>
      </w:r>
      <w:r w:rsidR="00B02C03" w:rsidRPr="003D4B91">
        <w:t xml:space="preserve"> 3 Partnerships and capacity of NbS champions</w:t>
      </w:r>
      <w:bookmarkEnd w:id="136"/>
    </w:p>
    <w:p w14:paraId="68E969E1" w14:textId="1ADF681C" w:rsidR="00CF56A3" w:rsidRPr="003D4B91" w:rsidRDefault="00387A2C" w:rsidP="00C62CE7">
      <w:pPr>
        <w:rPr>
          <w:i/>
          <w:iCs/>
        </w:rPr>
      </w:pPr>
      <w:r w:rsidRPr="003D4B91">
        <w:t xml:space="preserve">Based on the elements (EOPO, IO, outputs and indicators) pertaining to EOPO </w:t>
      </w:r>
      <w:r w:rsidR="0018179E">
        <w:t>3</w:t>
      </w:r>
      <w:r w:rsidRPr="003D4B91">
        <w:t xml:space="preserve">, the evaluation team broadly interpreted the underlying logic to be: if the RUCaS team established a diverse cohort of NbS champions from the Mekong subregion and provided them with NbS training, then those champions would develop the capacity, and </w:t>
      </w:r>
      <w:r w:rsidR="00CD49F3" w:rsidRPr="003D4B91">
        <w:t>collaborate</w:t>
      </w:r>
      <w:r w:rsidRPr="003D4B91">
        <w:t xml:space="preserve">, to scale up NbS in the subregion independently. </w:t>
      </w:r>
      <w:r w:rsidR="00C62CE7" w:rsidRPr="003D4B91">
        <w:rPr>
          <w:i/>
          <w:iCs/>
        </w:rPr>
        <w:fldChar w:fldCharType="begin"/>
      </w:r>
      <w:r w:rsidR="00C62CE7" w:rsidRPr="003D4B91">
        <w:rPr>
          <w:i/>
          <w:iCs/>
        </w:rPr>
        <w:instrText xml:space="preserve"> REF _Ref219670291 \h  \* MERGEFORMAT </w:instrText>
      </w:r>
      <w:r w:rsidR="00C62CE7" w:rsidRPr="003D4B91">
        <w:rPr>
          <w:i/>
          <w:iCs/>
        </w:rPr>
      </w:r>
      <w:r w:rsidR="00C62CE7" w:rsidRPr="003D4B91">
        <w:rPr>
          <w:i/>
          <w:iCs/>
        </w:rPr>
        <w:fldChar w:fldCharType="separate"/>
      </w:r>
      <w:r w:rsidR="007007C5" w:rsidRPr="003D4B91">
        <w:t xml:space="preserve">Table </w:t>
      </w:r>
      <w:r w:rsidR="007007C5">
        <w:rPr>
          <w:noProof/>
        </w:rPr>
        <w:t>3</w:t>
      </w:r>
      <w:r w:rsidR="00C62CE7" w:rsidRPr="003D4B91">
        <w:rPr>
          <w:i/>
          <w:iCs/>
        </w:rPr>
        <w:fldChar w:fldCharType="end"/>
      </w:r>
      <w:r w:rsidR="00C62CE7" w:rsidRPr="003D4B91">
        <w:rPr>
          <w:i/>
          <w:iCs/>
        </w:rPr>
        <w:t xml:space="preserve"> </w:t>
      </w:r>
      <w:r w:rsidR="00CF56A3" w:rsidRPr="003D4B91">
        <w:t xml:space="preserve">summarises the EOPO and IO (with indicators) as well as the outputs for </w:t>
      </w:r>
      <w:r w:rsidR="004513F7" w:rsidRPr="003D4B91">
        <w:t>EOPO 3</w:t>
      </w:r>
      <w:r w:rsidR="00CF56A3" w:rsidRPr="003D4B91">
        <w:t>.</w:t>
      </w:r>
    </w:p>
    <w:p w14:paraId="45FCD457" w14:textId="3C9E66B7" w:rsidR="00C62CE7" w:rsidRDefault="00C62CE7" w:rsidP="00C62CE7">
      <w:pPr>
        <w:pStyle w:val="Caption"/>
      </w:pPr>
      <w:bookmarkStart w:id="137" w:name="_Ref219670291"/>
      <w:r w:rsidRPr="003D4B91">
        <w:t xml:space="preserve">Table </w:t>
      </w:r>
      <w:fldSimple w:instr=" SEQ Table \* ARABIC ">
        <w:r w:rsidR="007007C5">
          <w:rPr>
            <w:noProof/>
          </w:rPr>
          <w:t>3</w:t>
        </w:r>
      </w:fldSimple>
      <w:bookmarkEnd w:id="137"/>
      <w:r w:rsidRPr="003D4B91">
        <w:t xml:space="preserve"> </w:t>
      </w:r>
      <w:r w:rsidR="004513F7" w:rsidRPr="003D4B91">
        <w:t>EOPO 3</w:t>
      </w:r>
      <w:r w:rsidRPr="003D4B91">
        <w:t xml:space="preserve"> – EOPO, IO and Outputs</w:t>
      </w:r>
    </w:p>
    <w:tbl>
      <w:tblPr>
        <w:tblStyle w:val="TableGrid"/>
        <w:tblW w:w="0" w:type="auto"/>
        <w:tblLook w:val="04A0" w:firstRow="1" w:lastRow="0" w:firstColumn="1" w:lastColumn="0" w:noHBand="0" w:noVBand="1"/>
      </w:tblPr>
      <w:tblGrid>
        <w:gridCol w:w="3005"/>
        <w:gridCol w:w="3005"/>
        <w:gridCol w:w="3006"/>
      </w:tblGrid>
      <w:tr w:rsidR="00862A77" w14:paraId="7DE2BEB3" w14:textId="77777777" w:rsidTr="00EA0050">
        <w:trPr>
          <w:tblHeader/>
        </w:trPr>
        <w:tc>
          <w:tcPr>
            <w:tcW w:w="3005" w:type="dxa"/>
            <w:shd w:val="clear" w:color="auto" w:fill="FFFFFF" w:themeFill="background1"/>
          </w:tcPr>
          <w:p w14:paraId="11CB3140" w14:textId="3BFDCF25" w:rsidR="00862A77" w:rsidRPr="00862A77" w:rsidRDefault="00862A77" w:rsidP="00862A77">
            <w:pPr>
              <w:rPr>
                <w:sz w:val="20"/>
                <w:szCs w:val="20"/>
              </w:rPr>
            </w:pPr>
            <w:r w:rsidRPr="00862A77">
              <w:rPr>
                <w:b/>
                <w:bCs/>
                <w:sz w:val="20"/>
                <w:szCs w:val="20"/>
              </w:rPr>
              <w:t>EOPO</w:t>
            </w:r>
          </w:p>
        </w:tc>
        <w:tc>
          <w:tcPr>
            <w:tcW w:w="3005" w:type="dxa"/>
            <w:shd w:val="clear" w:color="auto" w:fill="FFFFFF" w:themeFill="background1"/>
          </w:tcPr>
          <w:p w14:paraId="3B2D2643" w14:textId="13008D7E" w:rsidR="00862A77" w:rsidRPr="00862A77" w:rsidRDefault="00862A77" w:rsidP="00862A77">
            <w:pPr>
              <w:rPr>
                <w:sz w:val="20"/>
                <w:szCs w:val="20"/>
              </w:rPr>
            </w:pPr>
            <w:r w:rsidRPr="00862A77">
              <w:rPr>
                <w:b/>
                <w:bCs/>
                <w:sz w:val="20"/>
                <w:szCs w:val="20"/>
              </w:rPr>
              <w:t>IO</w:t>
            </w:r>
          </w:p>
        </w:tc>
        <w:tc>
          <w:tcPr>
            <w:tcW w:w="3006" w:type="dxa"/>
            <w:shd w:val="clear" w:color="auto" w:fill="FFFFFF" w:themeFill="background1"/>
          </w:tcPr>
          <w:p w14:paraId="4E21B327" w14:textId="1740E674" w:rsidR="00862A77" w:rsidRPr="00862A77" w:rsidRDefault="00862A77" w:rsidP="00862A77">
            <w:pPr>
              <w:rPr>
                <w:sz w:val="20"/>
                <w:szCs w:val="20"/>
              </w:rPr>
            </w:pPr>
            <w:r w:rsidRPr="00862A77">
              <w:rPr>
                <w:b/>
                <w:bCs/>
                <w:sz w:val="20"/>
                <w:szCs w:val="20"/>
              </w:rPr>
              <w:t>Outputs</w:t>
            </w:r>
          </w:p>
        </w:tc>
      </w:tr>
      <w:tr w:rsidR="00862A77" w14:paraId="446CCB07" w14:textId="77777777" w:rsidTr="00862A77">
        <w:tc>
          <w:tcPr>
            <w:tcW w:w="3005" w:type="dxa"/>
          </w:tcPr>
          <w:p w14:paraId="6836269C" w14:textId="77777777" w:rsidR="00862A77" w:rsidRPr="00862A77" w:rsidRDefault="00862A77" w:rsidP="00862A77">
            <w:pPr>
              <w:spacing w:before="120" w:after="120"/>
              <w:rPr>
                <w:sz w:val="20"/>
                <w:szCs w:val="20"/>
              </w:rPr>
            </w:pPr>
            <w:r w:rsidRPr="00862A77">
              <w:rPr>
                <w:sz w:val="20"/>
                <w:szCs w:val="20"/>
              </w:rPr>
              <w:t>Partnerships and capacity for achieving scaling are established.</w:t>
            </w:r>
          </w:p>
          <w:p w14:paraId="7EBAC991" w14:textId="03F0AC42" w:rsidR="00862A77" w:rsidRPr="00862A77" w:rsidRDefault="00862A77" w:rsidP="00862A77">
            <w:pPr>
              <w:spacing w:before="120" w:after="120"/>
              <w:rPr>
                <w:sz w:val="20"/>
                <w:szCs w:val="20"/>
              </w:rPr>
            </w:pPr>
            <w:r w:rsidRPr="00862A77">
              <w:rPr>
                <w:b/>
                <w:bCs/>
                <w:sz w:val="20"/>
                <w:szCs w:val="20"/>
              </w:rPr>
              <w:t xml:space="preserve">Indicator: </w:t>
            </w:r>
            <w:r w:rsidRPr="00862A77">
              <w:rPr>
                <w:sz w:val="20"/>
                <w:szCs w:val="20"/>
              </w:rPr>
              <w:t>Evidence of an established, inclusive cohort of NbS champions that is maintained and linked to networks across the Mekong to promote and collaborate on hybrid NbS.</w:t>
            </w:r>
          </w:p>
        </w:tc>
        <w:tc>
          <w:tcPr>
            <w:tcW w:w="3005" w:type="dxa"/>
          </w:tcPr>
          <w:p w14:paraId="430D085D" w14:textId="77777777" w:rsidR="00862A77" w:rsidRPr="00862A77" w:rsidRDefault="00862A77" w:rsidP="00862A77">
            <w:pPr>
              <w:spacing w:before="120" w:after="120"/>
              <w:rPr>
                <w:sz w:val="20"/>
                <w:szCs w:val="20"/>
              </w:rPr>
            </w:pPr>
            <w:r w:rsidRPr="00862A77">
              <w:rPr>
                <w:sz w:val="20"/>
                <w:szCs w:val="20"/>
              </w:rPr>
              <w:t>Inclusive cohort of NbS champions established to promote hybrid NbS</w:t>
            </w:r>
          </w:p>
          <w:p w14:paraId="2B054D51" w14:textId="77777777" w:rsidR="00862A77" w:rsidRPr="00862A77" w:rsidRDefault="00862A77" w:rsidP="00862A77">
            <w:pPr>
              <w:spacing w:before="120" w:after="120"/>
              <w:rPr>
                <w:sz w:val="20"/>
                <w:szCs w:val="20"/>
              </w:rPr>
            </w:pPr>
            <w:r w:rsidRPr="00862A77">
              <w:rPr>
                <w:sz w:val="20"/>
                <w:szCs w:val="20"/>
              </w:rPr>
              <w:t>Evidence of strengthened capacity within an inclusive cohort of NbS champions to</w:t>
            </w:r>
          </w:p>
          <w:p w14:paraId="0573DC6B" w14:textId="77777777" w:rsidR="00862A77" w:rsidRPr="00862A77" w:rsidRDefault="00862A77" w:rsidP="00862A77">
            <w:pPr>
              <w:spacing w:before="120" w:after="120"/>
              <w:rPr>
                <w:sz w:val="20"/>
                <w:szCs w:val="20"/>
              </w:rPr>
            </w:pPr>
            <w:r w:rsidRPr="00862A77">
              <w:rPr>
                <w:sz w:val="20"/>
                <w:szCs w:val="20"/>
              </w:rPr>
              <w:t>achieve NbS scaling</w:t>
            </w:r>
          </w:p>
          <w:p w14:paraId="2E8867FD" w14:textId="77777777" w:rsidR="00862A77" w:rsidRPr="00862A77" w:rsidRDefault="00862A77" w:rsidP="00862A77">
            <w:pPr>
              <w:spacing w:before="120" w:after="120"/>
              <w:rPr>
                <w:sz w:val="20"/>
                <w:szCs w:val="20"/>
              </w:rPr>
            </w:pPr>
            <w:r w:rsidRPr="00862A77">
              <w:rPr>
                <w:b/>
                <w:bCs/>
                <w:sz w:val="20"/>
                <w:szCs w:val="20"/>
              </w:rPr>
              <w:t>Indicators:</w:t>
            </w:r>
            <w:r w:rsidRPr="00862A77">
              <w:rPr>
                <w:sz w:val="20"/>
                <w:szCs w:val="20"/>
              </w:rPr>
              <w:t xml:space="preserve"> Number of NbS champions engaged in the RUCaS program (where “engaged” includes participation in training, networks, or co-delivery of hybrid NbS), disaggregated by countries, sex, disability, organization, and repeat engagements).</w:t>
            </w:r>
          </w:p>
          <w:p w14:paraId="17D379EA" w14:textId="77777777" w:rsidR="00862A77" w:rsidRPr="00862A77" w:rsidRDefault="00862A77" w:rsidP="00862A77">
            <w:pPr>
              <w:spacing w:before="120" w:after="120"/>
              <w:rPr>
                <w:sz w:val="20"/>
                <w:szCs w:val="20"/>
              </w:rPr>
            </w:pPr>
            <w:r w:rsidRPr="00862A77">
              <w:rPr>
                <w:sz w:val="20"/>
                <w:szCs w:val="20"/>
              </w:rPr>
              <w:t>Number of collaboration agreements or initiatives established with government, universities or civil society actors.</w:t>
            </w:r>
          </w:p>
          <w:p w14:paraId="5ED3B948" w14:textId="73BC97F5" w:rsidR="00862A77" w:rsidRPr="00862A77" w:rsidRDefault="00862A77" w:rsidP="00862A77">
            <w:pPr>
              <w:spacing w:before="120" w:after="120"/>
              <w:rPr>
                <w:sz w:val="20"/>
                <w:szCs w:val="20"/>
              </w:rPr>
            </w:pPr>
            <w:r w:rsidRPr="00862A77">
              <w:rPr>
                <w:sz w:val="20"/>
                <w:szCs w:val="20"/>
              </w:rPr>
              <w:t>Evidence of increased knowledge and capacity to achieve NbS scaling among inclusive cohort of NbS champions.</w:t>
            </w:r>
          </w:p>
        </w:tc>
        <w:tc>
          <w:tcPr>
            <w:tcW w:w="3006" w:type="dxa"/>
          </w:tcPr>
          <w:p w14:paraId="18494D4B" w14:textId="77777777" w:rsidR="00862A77" w:rsidRDefault="00862A77" w:rsidP="00862A77">
            <w:pPr>
              <w:spacing w:before="120" w:after="120"/>
              <w:rPr>
                <w:sz w:val="20"/>
                <w:szCs w:val="20"/>
              </w:rPr>
            </w:pPr>
            <w:r w:rsidRPr="00862A77">
              <w:rPr>
                <w:sz w:val="20"/>
                <w:szCs w:val="20"/>
              </w:rPr>
              <w:t>3.1 A gender diverse and equal opportunity cohort of NbS champions promote environmental resilience and climate adaptation across the Mekong</w:t>
            </w:r>
          </w:p>
          <w:p w14:paraId="4AAB2DFE" w14:textId="77777777" w:rsidR="00862A77" w:rsidRDefault="00862A77" w:rsidP="00862A77">
            <w:pPr>
              <w:spacing w:before="120" w:after="120"/>
              <w:rPr>
                <w:sz w:val="20"/>
                <w:szCs w:val="20"/>
              </w:rPr>
            </w:pPr>
            <w:r w:rsidRPr="00862A77">
              <w:rPr>
                <w:sz w:val="20"/>
                <w:szCs w:val="20"/>
              </w:rPr>
              <w:t>3.2 At least four Knowledge exchange events (one in each country) and regional conference promote discussion of wider application of NbS</w:t>
            </w:r>
          </w:p>
          <w:p w14:paraId="604AE7FE" w14:textId="77777777" w:rsidR="00862A77" w:rsidRDefault="00862A77" w:rsidP="00862A77">
            <w:pPr>
              <w:spacing w:before="120" w:after="120"/>
              <w:rPr>
                <w:sz w:val="20"/>
                <w:szCs w:val="20"/>
              </w:rPr>
            </w:pPr>
            <w:r w:rsidRPr="00862A77">
              <w:rPr>
                <w:sz w:val="20"/>
                <w:szCs w:val="20"/>
              </w:rPr>
              <w:t>3.3 At least four in-person targeted technical trainings and workshops to build practical capacity to plan, design, monitor, and scale inclusive and climate-resilient NbS.</w:t>
            </w:r>
          </w:p>
          <w:p w14:paraId="34B2EFCA" w14:textId="77777777" w:rsidR="00862A77" w:rsidRDefault="00862A77" w:rsidP="00862A77">
            <w:pPr>
              <w:spacing w:before="120" w:after="120"/>
              <w:rPr>
                <w:sz w:val="20"/>
                <w:szCs w:val="20"/>
              </w:rPr>
            </w:pPr>
            <w:r w:rsidRPr="00862A77">
              <w:rPr>
                <w:sz w:val="20"/>
                <w:szCs w:val="20"/>
              </w:rPr>
              <w:t>3.4 formal arrangements for future collaboration and capacity building in place.</w:t>
            </w:r>
          </w:p>
          <w:p w14:paraId="7B77F7DD" w14:textId="4FA5DD2B" w:rsidR="00862A77" w:rsidRPr="00862A77" w:rsidRDefault="00862A77" w:rsidP="00862A77">
            <w:pPr>
              <w:spacing w:before="120" w:after="120"/>
              <w:rPr>
                <w:sz w:val="20"/>
                <w:szCs w:val="20"/>
              </w:rPr>
            </w:pPr>
            <w:r w:rsidRPr="00862A77">
              <w:rPr>
                <w:sz w:val="20"/>
                <w:szCs w:val="20"/>
              </w:rPr>
              <w:t>3.5 RUCaS contribution to regional sharing and collaboration</w:t>
            </w:r>
          </w:p>
        </w:tc>
      </w:tr>
    </w:tbl>
    <w:p w14:paraId="42F2668E" w14:textId="514DBA9E" w:rsidR="007970D2" w:rsidRDefault="007970D2" w:rsidP="005447A4">
      <w:pPr>
        <w:spacing w:before="360"/>
        <w:jc w:val="thaiDistribute"/>
      </w:pPr>
      <w:r>
        <w:t xml:space="preserve">Overall, </w:t>
      </w:r>
      <w:r w:rsidR="00CD49F3">
        <w:t xml:space="preserve">substantial progress was made toward achieving </w:t>
      </w:r>
      <w:r>
        <w:t>EOPO</w:t>
      </w:r>
      <w:r w:rsidR="005F1184">
        <w:t xml:space="preserve"> 3</w:t>
      </w:r>
      <w:r>
        <w:t xml:space="preserve">, </w:t>
      </w:r>
      <w:r w:rsidR="00CD49F3">
        <w:t xml:space="preserve">with important lessons learned regarding the sustainability of </w:t>
      </w:r>
      <w:r>
        <w:t xml:space="preserve">regional partnerships and </w:t>
      </w:r>
      <w:r w:rsidR="00CD49F3">
        <w:t xml:space="preserve">NbS </w:t>
      </w:r>
      <w:r>
        <w:t xml:space="preserve">capacity </w:t>
      </w:r>
      <w:r w:rsidR="00CD49F3">
        <w:t xml:space="preserve">built during the program </w:t>
      </w:r>
      <w:r>
        <w:t xml:space="preserve">which could be improved in a possible </w:t>
      </w:r>
      <w:r w:rsidR="00CD49F3">
        <w:t>future</w:t>
      </w:r>
      <w:r>
        <w:t xml:space="preserve"> phase of RUCaS. </w:t>
      </w:r>
    </w:p>
    <w:p w14:paraId="14302416" w14:textId="2EF78D83" w:rsidR="00585420" w:rsidRDefault="00826DBC" w:rsidP="00DF2235">
      <w:r w:rsidRPr="003D4B91">
        <w:t>Though p</w:t>
      </w:r>
      <w:r w:rsidR="001C4A09" w:rsidRPr="003D4B91">
        <w:t xml:space="preserve">artnerships </w:t>
      </w:r>
      <w:r w:rsidR="00220415" w:rsidRPr="003D4B91">
        <w:t xml:space="preserve">with the purpose of achieving scaling </w:t>
      </w:r>
      <w:r w:rsidR="005A7C66" w:rsidRPr="003D4B91">
        <w:t>were</w:t>
      </w:r>
      <w:r w:rsidR="001C4A09" w:rsidRPr="003D4B91">
        <w:t xml:space="preserve"> a </w:t>
      </w:r>
      <w:r w:rsidR="005A7C66" w:rsidRPr="003D4B91">
        <w:t>key component</w:t>
      </w:r>
      <w:r w:rsidR="001C4A09" w:rsidRPr="003D4B91">
        <w:t xml:space="preserve"> of </w:t>
      </w:r>
      <w:r w:rsidR="004513F7" w:rsidRPr="003D4B91">
        <w:t>EOPO 3</w:t>
      </w:r>
      <w:r w:rsidR="001C4A09" w:rsidRPr="003D4B91">
        <w:t xml:space="preserve">, it </w:t>
      </w:r>
      <w:r w:rsidR="005A7C66" w:rsidRPr="003D4B91">
        <w:t>was</w:t>
      </w:r>
      <w:r w:rsidR="001C4A09" w:rsidRPr="003D4B91">
        <w:t xml:space="preserve"> not clear </w:t>
      </w:r>
      <w:r w:rsidR="000F1D50">
        <w:t xml:space="preserve">in the program logic </w:t>
      </w:r>
      <w:r w:rsidR="001C4A09" w:rsidRPr="003D4B91">
        <w:t xml:space="preserve">who the partnerships </w:t>
      </w:r>
      <w:r w:rsidR="005A7C66" w:rsidRPr="003D4B91">
        <w:t>were</w:t>
      </w:r>
      <w:r w:rsidR="001C4A09" w:rsidRPr="003D4B91">
        <w:t xml:space="preserve"> between. </w:t>
      </w:r>
      <w:r w:rsidR="005A7C66" w:rsidRPr="003D4B91">
        <w:t>The reported</w:t>
      </w:r>
      <w:r w:rsidRPr="003D4B91">
        <w:t xml:space="preserve"> progress</w:t>
      </w:r>
      <w:r w:rsidR="005A7C66" w:rsidRPr="003D4B91">
        <w:t xml:space="preserve"> toward output 3.4</w:t>
      </w:r>
      <w:r w:rsidRPr="003D4B91">
        <w:t xml:space="preserve"> </w:t>
      </w:r>
      <w:r w:rsidR="005A7C66" w:rsidRPr="003D4B91">
        <w:t>in program documentation</w:t>
      </w:r>
      <w:r w:rsidR="001D6AA9" w:rsidRPr="003D4B91">
        <w:t xml:space="preserve"> </w:t>
      </w:r>
      <w:r w:rsidR="005A7C66" w:rsidRPr="003D4B91">
        <w:t>emphasised</w:t>
      </w:r>
      <w:r w:rsidRPr="003D4B91">
        <w:t xml:space="preserve"> partnerships between WSCA and local partners</w:t>
      </w:r>
      <w:r w:rsidR="000F1D50">
        <w:t xml:space="preserve">. In this case, establishment of partnerships was achieved: </w:t>
      </w:r>
      <w:r w:rsidR="00C7502A" w:rsidRPr="003D4B91">
        <w:t>Appendix</w:t>
      </w:r>
      <w:r w:rsidR="001D6AA9" w:rsidRPr="003D4B91">
        <w:t xml:space="preserve"> C of the RUCaS 2025 </w:t>
      </w:r>
      <w:r w:rsidR="00086BA8" w:rsidRPr="003D4B91">
        <w:t>mid-term</w:t>
      </w:r>
      <w:r w:rsidR="00647805" w:rsidRPr="003D4B91">
        <w:t xml:space="preserve"> report</w:t>
      </w:r>
      <w:r w:rsidR="001D6AA9" w:rsidRPr="003D4B91">
        <w:t xml:space="preserve"> outline</w:t>
      </w:r>
      <w:r w:rsidR="005A7C66" w:rsidRPr="003D4B91">
        <w:t>d</w:t>
      </w:r>
      <w:r w:rsidR="001D6AA9" w:rsidRPr="003D4B91">
        <w:t xml:space="preserve"> the 22 collaborative agreements and five Memorand</w:t>
      </w:r>
      <w:r w:rsidR="00387A2C" w:rsidRPr="003D4B91">
        <w:t>a</w:t>
      </w:r>
      <w:r w:rsidR="001D6AA9" w:rsidRPr="003D4B91">
        <w:t xml:space="preserve"> of Understanding (</w:t>
      </w:r>
      <w:proofErr w:type="spellStart"/>
      <w:r w:rsidR="001D6AA9" w:rsidRPr="003D4B91">
        <w:t>MoUs</w:t>
      </w:r>
      <w:proofErr w:type="spellEnd"/>
      <w:r w:rsidR="001D6AA9" w:rsidRPr="003D4B91">
        <w:t xml:space="preserve">) that were signed. </w:t>
      </w:r>
      <w:r w:rsidR="00585420">
        <w:t>However</w:t>
      </w:r>
      <w:r w:rsidR="005A7C66" w:rsidRPr="003D4B91">
        <w:t xml:space="preserve">, partnerships that were independent of </w:t>
      </w:r>
      <w:r w:rsidR="000F1D50">
        <w:lastRenderedPageBreak/>
        <w:t xml:space="preserve">(though possibly supported by) </w:t>
      </w:r>
      <w:r w:rsidR="005A7C66" w:rsidRPr="003D4B91">
        <w:t>the RUCaS</w:t>
      </w:r>
      <w:r w:rsidR="00585420">
        <w:t xml:space="preserve"> implementing</w:t>
      </w:r>
      <w:r w:rsidR="005A7C66" w:rsidRPr="003D4B91">
        <w:t xml:space="preserve"> team needed to be established to ensure sustainability beyond the conclusion of the program.</w:t>
      </w:r>
      <w:r w:rsidR="00585420">
        <w:rPr>
          <w:rStyle w:val="FootnoteReference"/>
        </w:rPr>
        <w:footnoteReference w:id="31"/>
      </w:r>
      <w:r w:rsidR="000F1D50">
        <w:t xml:space="preserve"> </w:t>
      </w:r>
    </w:p>
    <w:p w14:paraId="131F4F2F" w14:textId="21EF5288" w:rsidR="004966B1" w:rsidRPr="003D4B91" w:rsidRDefault="000F1D50" w:rsidP="00DF2235">
      <w:r>
        <w:t>Indeed, o</w:t>
      </w:r>
      <w:r w:rsidR="001105E1" w:rsidRPr="003D4B91">
        <w:t>ther aspects of the program logic suggest</w:t>
      </w:r>
      <w:r w:rsidR="005A7C66" w:rsidRPr="003D4B91">
        <w:t>ed</w:t>
      </w:r>
      <w:r w:rsidR="001105E1" w:rsidRPr="003D4B91">
        <w:t xml:space="preserve"> that partnerships between actors in the </w:t>
      </w:r>
      <w:r w:rsidR="00C7502A" w:rsidRPr="003D4B91">
        <w:t>Mekong subregion</w:t>
      </w:r>
      <w:r w:rsidR="001105E1" w:rsidRPr="003D4B91">
        <w:t xml:space="preserve"> </w:t>
      </w:r>
      <w:r w:rsidR="005A7C66" w:rsidRPr="003D4B91">
        <w:t>were</w:t>
      </w:r>
      <w:r w:rsidR="001105E1" w:rsidRPr="003D4B91">
        <w:t xml:space="preserve"> the objective</w:t>
      </w:r>
      <w:r w:rsidR="005A7C66" w:rsidRPr="003D4B91">
        <w:t xml:space="preserve"> of </w:t>
      </w:r>
      <w:r w:rsidR="004513F7" w:rsidRPr="003D4B91">
        <w:t>EOPO 3</w:t>
      </w:r>
      <w:r w:rsidR="001105E1" w:rsidRPr="003D4B91">
        <w:t xml:space="preserve">, notably </w:t>
      </w:r>
      <w:r w:rsidR="001D6AA9" w:rsidRPr="003D4B91">
        <w:t>through</w:t>
      </w:r>
      <w:r w:rsidR="001105E1" w:rsidRPr="003D4B91">
        <w:t xml:space="preserve"> a cohort of ‘NbS champions’ (output 1.1) and regional knowledge sharing </w:t>
      </w:r>
      <w:r w:rsidR="001D6AA9" w:rsidRPr="003D4B91">
        <w:t xml:space="preserve">and </w:t>
      </w:r>
      <w:r w:rsidR="001105E1" w:rsidRPr="003D4B91">
        <w:t xml:space="preserve">collaboration (output 3.5). </w:t>
      </w:r>
      <w:r w:rsidR="001D6AA9" w:rsidRPr="003D4B91">
        <w:t xml:space="preserve">It was clear that there </w:t>
      </w:r>
      <w:r w:rsidR="004966B1" w:rsidRPr="003D4B91">
        <w:t>we</w:t>
      </w:r>
      <w:r w:rsidR="001D6AA9" w:rsidRPr="003D4B91">
        <w:t>re m</w:t>
      </w:r>
      <w:r w:rsidR="001105E1" w:rsidRPr="003D4B91">
        <w:t>ultiple NbS champions amongst RUCaS partners</w:t>
      </w:r>
      <w:r w:rsidR="004966B1" w:rsidRPr="003D4B91">
        <w:t xml:space="preserve"> in Phase 1</w:t>
      </w:r>
      <w:r w:rsidR="001105E1" w:rsidRPr="003D4B91">
        <w:t xml:space="preserve"> who </w:t>
      </w:r>
      <w:r w:rsidR="004966B1" w:rsidRPr="003D4B91">
        <w:t>wer</w:t>
      </w:r>
      <w:r w:rsidR="001105E1" w:rsidRPr="003D4B91">
        <w:t>e highly motivated and working to promote climate resilience</w:t>
      </w:r>
      <w:r w:rsidR="004966B1" w:rsidRPr="003D4B91">
        <w:t xml:space="preserve"> in urban planning</w:t>
      </w:r>
      <w:r w:rsidR="001105E1" w:rsidRPr="003D4B91">
        <w:t xml:space="preserve"> across the </w:t>
      </w:r>
      <w:r w:rsidR="00C7502A" w:rsidRPr="003D4B91">
        <w:t>Mekong subregion</w:t>
      </w:r>
      <w:r w:rsidR="001105E1" w:rsidRPr="003D4B91">
        <w:t xml:space="preserve">. Some of these champions included members of Cambodia’s MLMUPC and Battambang local government, Thailand’s </w:t>
      </w:r>
      <w:r w:rsidR="004966B1" w:rsidRPr="003D4B91">
        <w:t>Department of Climate Change and Environment (DCCE)</w:t>
      </w:r>
      <w:r w:rsidR="00655B90" w:rsidRPr="003D4B91">
        <w:t xml:space="preserve"> and the Bangkok Metropolitan Administration (BMA)</w:t>
      </w:r>
      <w:r w:rsidR="001105E1" w:rsidRPr="003D4B91">
        <w:t xml:space="preserve">, Lao PDR’s </w:t>
      </w:r>
      <w:r w:rsidR="004966B1" w:rsidRPr="003D4B91">
        <w:t>MAE,</w:t>
      </w:r>
      <w:r w:rsidR="001105E1" w:rsidRPr="003D4B91">
        <w:t xml:space="preserve"> and academics at both universities in Viet Nam and at RUPP</w:t>
      </w:r>
      <w:r w:rsidR="00A80E17" w:rsidRPr="003D4B91">
        <w:t>.</w:t>
      </w:r>
      <w:r w:rsidR="003E56F4" w:rsidRPr="003D4B91">
        <w:rPr>
          <w:rStyle w:val="FootnoteReference"/>
        </w:rPr>
        <w:footnoteReference w:id="32"/>
      </w:r>
      <w:r w:rsidR="001105E1" w:rsidRPr="003D4B91">
        <w:t xml:space="preserve"> </w:t>
      </w:r>
      <w:r w:rsidR="007970D2">
        <w:t xml:space="preserve">However, </w:t>
      </w:r>
      <w:r w:rsidR="007970D2" w:rsidRPr="004513F7">
        <w:t>most champions, particularly across countries, were not in contact with each other.</w:t>
      </w:r>
      <w:r w:rsidR="007970D2">
        <w:t xml:space="preserve"> </w:t>
      </w:r>
      <w:r w:rsidR="001105E1" w:rsidRPr="003D4B91">
        <w:t>Regional knowledge sharing did take place, notably through the regional conferences</w:t>
      </w:r>
      <w:r w:rsidR="00DF2235" w:rsidRPr="003D4B91">
        <w:t xml:space="preserve"> (which received much enthusiasm from partners)</w:t>
      </w:r>
      <w:r w:rsidR="001105E1" w:rsidRPr="003D4B91">
        <w:t xml:space="preserve">. </w:t>
      </w:r>
      <w:r w:rsidR="00DF2235" w:rsidRPr="003D4B91">
        <w:t xml:space="preserve">Though this was an excellent start to regional knowledge sharing in Phase 1, </w:t>
      </w:r>
      <w:r w:rsidR="004966B1" w:rsidRPr="003D4B91">
        <w:t xml:space="preserve">it was facilitated entirely by RUCaS </w:t>
      </w:r>
      <w:r w:rsidR="00387A2C" w:rsidRPr="003D4B91">
        <w:t>and future events such as these are unlikely to take place without further external support</w:t>
      </w:r>
      <w:r w:rsidR="00DF2235" w:rsidRPr="003D4B91">
        <w:t xml:space="preserve">. </w:t>
      </w:r>
    </w:p>
    <w:p w14:paraId="5CD1F20E" w14:textId="77777777" w:rsidR="005447A4" w:rsidRDefault="00DF2235" w:rsidP="00DF2235">
      <w:r w:rsidRPr="003D4B91">
        <w:t>T</w:t>
      </w:r>
      <w:r w:rsidR="001105E1" w:rsidRPr="003D4B91">
        <w:t xml:space="preserve">here </w:t>
      </w:r>
      <w:r w:rsidRPr="003D4B91">
        <w:t>wa</w:t>
      </w:r>
      <w:r w:rsidR="001105E1" w:rsidRPr="003D4B91">
        <w:t xml:space="preserve">s minimal evidence of regional collaboration, and informants suggested that this was because </w:t>
      </w:r>
      <w:r w:rsidR="005A7C66" w:rsidRPr="003D4B91">
        <w:t>of a lack of relevant tasks that required a regional approach</w:t>
      </w:r>
      <w:r w:rsidR="001105E1" w:rsidRPr="003D4B91">
        <w:t xml:space="preserve">. </w:t>
      </w:r>
      <w:r w:rsidR="00BC7004" w:rsidRPr="003D4B91">
        <w:t>Furthermore</w:t>
      </w:r>
      <w:r w:rsidR="00220415" w:rsidRPr="003D4B91">
        <w:t>, DFAT</w:t>
      </w:r>
      <w:r w:rsidR="00BC7004" w:rsidRPr="003D4B91">
        <w:t xml:space="preserve"> </w:t>
      </w:r>
      <w:r w:rsidR="00AD2CF2" w:rsidRPr="003D4B91">
        <w:t xml:space="preserve">Bangkok </w:t>
      </w:r>
      <w:r w:rsidR="00BC7004" w:rsidRPr="003D4B91">
        <w:t xml:space="preserve">Post </w:t>
      </w:r>
      <w:r w:rsidR="00AD2CF2" w:rsidRPr="003D4B91">
        <w:t xml:space="preserve">staff </w:t>
      </w:r>
      <w:r w:rsidR="00220415" w:rsidRPr="003D4B91">
        <w:t>felt that RUCaS seemed more like a program operating in four different countries than a regional program (apart from the regional conferences)</w:t>
      </w:r>
      <w:r w:rsidR="00947A72" w:rsidRPr="003D4B91">
        <w:t>. They</w:t>
      </w:r>
      <w:r w:rsidRPr="003D4B91">
        <w:t xml:space="preserve"> acknowledged that it </w:t>
      </w:r>
      <w:r w:rsidR="00BC7004" w:rsidRPr="003D4B91">
        <w:t>was</w:t>
      </w:r>
      <w:r w:rsidRPr="003D4B91">
        <w:t xml:space="preserve"> difficult for an urban development program to have regional collaboration given that cities generally do not span boundaries (as water catchments</w:t>
      </w:r>
      <w:r w:rsidR="004966B1" w:rsidRPr="003D4B91">
        <w:t xml:space="preserve"> do</w:t>
      </w:r>
      <w:r w:rsidRPr="003D4B91">
        <w:t>, for example).</w:t>
      </w:r>
      <w:r w:rsidR="00220415" w:rsidRPr="003D4B91">
        <w:t xml:space="preserve"> </w:t>
      </w:r>
      <w:r w:rsidRPr="003D4B91">
        <w:t xml:space="preserve">However, </w:t>
      </w:r>
      <w:r w:rsidR="00BC7004" w:rsidRPr="003D4B91">
        <w:t xml:space="preserve">DFAT </w:t>
      </w:r>
      <w:r w:rsidR="00AD2CF2" w:rsidRPr="003D4B91">
        <w:t xml:space="preserve">Bangkok </w:t>
      </w:r>
      <w:r w:rsidR="00BC7004" w:rsidRPr="003D4B91">
        <w:t>Post representatives</w:t>
      </w:r>
      <w:r w:rsidR="00947A72" w:rsidRPr="003D4B91">
        <w:t xml:space="preserve"> </w:t>
      </w:r>
      <w:r w:rsidRPr="003D4B91">
        <w:t xml:space="preserve">felt that this could be improved by facilitating more of an exchange of knowledge and expertise </w:t>
      </w:r>
      <w:r w:rsidRPr="003D4B91">
        <w:rPr>
          <w:i/>
          <w:iCs/>
        </w:rPr>
        <w:t>between</w:t>
      </w:r>
      <w:r w:rsidRPr="003D4B91">
        <w:t xml:space="preserve"> countries</w:t>
      </w:r>
      <w:r w:rsidR="004966B1" w:rsidRPr="003D4B91">
        <w:t>,</w:t>
      </w:r>
      <w:r w:rsidRPr="003D4B91">
        <w:t xml:space="preserve"> rather than </w:t>
      </w:r>
      <w:r w:rsidR="004966B1" w:rsidRPr="003D4B91">
        <w:t xml:space="preserve">by </w:t>
      </w:r>
      <w:r w:rsidRPr="003D4B91">
        <w:t xml:space="preserve">WSCA imparting </w:t>
      </w:r>
      <w:r w:rsidR="00BC7004" w:rsidRPr="003D4B91">
        <w:t xml:space="preserve">its </w:t>
      </w:r>
      <w:r w:rsidRPr="003D4B91">
        <w:t>expertise</w:t>
      </w:r>
      <w:r w:rsidR="004966B1" w:rsidRPr="003D4B91">
        <w:t xml:space="preserve"> to beneficiaries</w:t>
      </w:r>
      <w:r w:rsidR="005F1184">
        <w:t xml:space="preserve"> (which could also help RUCaS in supporting the development of partnerships between countries)</w:t>
      </w:r>
      <w:r w:rsidRPr="003D4B91">
        <w:t xml:space="preserve">. There were </w:t>
      </w:r>
      <w:r w:rsidR="00BC7004" w:rsidRPr="003D4B91">
        <w:t xml:space="preserve">positive </w:t>
      </w:r>
      <w:r w:rsidRPr="003D4B91">
        <w:t xml:space="preserve">examples of this type of exchange already: </w:t>
      </w:r>
    </w:p>
    <w:p w14:paraId="3CF686F4" w14:textId="58EED0ED" w:rsidR="00826DBC" w:rsidRDefault="001105E1" w:rsidP="00DF2235">
      <w:r w:rsidRPr="003D4B91">
        <w:t xml:space="preserve">Souphanouvong University, </w:t>
      </w:r>
      <w:proofErr w:type="spellStart"/>
      <w:r w:rsidRPr="003D4B91">
        <w:t>Kasetsart</w:t>
      </w:r>
      <w:proofErr w:type="spellEnd"/>
      <w:r w:rsidRPr="003D4B91">
        <w:t xml:space="preserve"> University, Can Tho University, and HUCE</w:t>
      </w:r>
      <w:r w:rsidR="004966B1" w:rsidRPr="003D4B91">
        <w:t>,</w:t>
      </w:r>
      <w:r w:rsidRPr="003D4B91">
        <w:t xml:space="preserve"> </w:t>
      </w:r>
      <w:r w:rsidR="00BC7004" w:rsidRPr="003D4B91">
        <w:t>collaborated</w:t>
      </w:r>
      <w:r w:rsidRPr="003D4B91">
        <w:t xml:space="preserve"> </w:t>
      </w:r>
      <w:r w:rsidR="00DF2235" w:rsidRPr="003D4B91">
        <w:t xml:space="preserve">to </w:t>
      </w:r>
      <w:r w:rsidR="00BC7004" w:rsidRPr="003D4B91">
        <w:t>install and analyse the data from</w:t>
      </w:r>
      <w:r w:rsidR="00DF2235" w:rsidRPr="003D4B91">
        <w:t xml:space="preserve"> the </w:t>
      </w:r>
      <w:r w:rsidRPr="003D4B91">
        <w:t>environmental monitoring sensors</w:t>
      </w:r>
      <w:r w:rsidR="00A80E17" w:rsidRPr="003D4B91">
        <w:t>.</w:t>
      </w:r>
      <w:r w:rsidR="004966B1" w:rsidRPr="003D4B91">
        <w:rPr>
          <w:rStyle w:val="FootnoteReference"/>
        </w:rPr>
        <w:footnoteReference w:id="33"/>
      </w:r>
      <w:r w:rsidR="00402B95" w:rsidRPr="003D4B91">
        <w:t xml:space="preserve"> O</w:t>
      </w:r>
      <w:r w:rsidR="00890F6C" w:rsidRPr="003D4B91">
        <w:t>verall</w:t>
      </w:r>
      <w:r w:rsidR="00402B95" w:rsidRPr="003D4B91">
        <w:t>, however,</w:t>
      </w:r>
      <w:r w:rsidR="00890F6C" w:rsidRPr="003D4B91">
        <w:t xml:space="preserve"> it seemed that, given the disconnected nature of urban centres, the pursuit of ‘regionality’ in a program like RUCaS detracts from the work it </w:t>
      </w:r>
      <w:r w:rsidR="00402B95" w:rsidRPr="003D4B91">
        <w:t>could potentially</w:t>
      </w:r>
      <w:r w:rsidR="00890F6C" w:rsidRPr="003D4B91">
        <w:t xml:space="preserve"> achieve separately in urban centres. The exception to this </w:t>
      </w:r>
      <w:r w:rsidR="00402B95" w:rsidRPr="003D4B91">
        <w:t>is</w:t>
      </w:r>
      <w:r w:rsidR="00890F6C" w:rsidRPr="003D4B91">
        <w:t xml:space="preserve"> the efficiencies that can be achieved through regional learning events (e.g. by inviting partners from multiple countries to one place for a workshop) and through implementation through a single/</w:t>
      </w:r>
      <w:r w:rsidR="00402B95" w:rsidRPr="003D4B91">
        <w:t>coalition</w:t>
      </w:r>
      <w:r w:rsidR="00890F6C" w:rsidRPr="003D4B91">
        <w:t xml:space="preserve"> of partners (although this latter point pertains only to program management and is not related to whether an investment is deemed ‘regional’).</w:t>
      </w:r>
    </w:p>
    <w:p w14:paraId="4FB49C46" w14:textId="77777777" w:rsidR="002A53D1" w:rsidRDefault="005447A4" w:rsidP="00B14CED">
      <w:pPr>
        <w:pBdr>
          <w:top w:val="single" w:sz="4" w:space="1" w:color="auto"/>
          <w:left w:val="single" w:sz="4" w:space="4" w:color="auto"/>
          <w:bottom w:val="single" w:sz="4" w:space="1" w:color="auto"/>
          <w:right w:val="single" w:sz="4" w:space="4" w:color="auto"/>
        </w:pBdr>
        <w:spacing w:before="240" w:after="240"/>
      </w:pPr>
      <w:r>
        <w:rPr>
          <w:i/>
          <w:iCs/>
        </w:rPr>
        <w:lastRenderedPageBreak/>
        <w:t>“</w:t>
      </w:r>
      <w:r w:rsidRPr="00477F3A">
        <w:rPr>
          <w:i/>
          <w:iCs/>
        </w:rPr>
        <w:t xml:space="preserve">We work in four countries, but each country works separately. They only had a chance to connect at the regional conference, and more recently invited to workshop in Laos. </w:t>
      </w:r>
      <w:r>
        <w:rPr>
          <w:i/>
          <w:iCs/>
        </w:rPr>
        <w:t>They</w:t>
      </w:r>
      <w:r w:rsidRPr="00477F3A">
        <w:rPr>
          <w:i/>
          <w:iCs/>
        </w:rPr>
        <w:t xml:space="preserve"> haven’t had a chance to collaborate across countries beforehand</w:t>
      </w:r>
      <w:r>
        <w:rPr>
          <w:i/>
          <w:iCs/>
        </w:rPr>
        <w:t>.”</w:t>
      </w:r>
      <w:r w:rsidRPr="006A3FD4">
        <w:t>-RUCaS in-country staff</w:t>
      </w:r>
    </w:p>
    <w:p w14:paraId="2225AF6B" w14:textId="69507C12" w:rsidR="005447A4" w:rsidRPr="005447A4" w:rsidRDefault="005447A4" w:rsidP="00B14CED">
      <w:pPr>
        <w:pBdr>
          <w:top w:val="single" w:sz="4" w:space="1" w:color="auto"/>
          <w:left w:val="single" w:sz="4" w:space="4" w:color="auto"/>
          <w:bottom w:val="single" w:sz="4" w:space="1" w:color="auto"/>
          <w:right w:val="single" w:sz="4" w:space="4" w:color="auto"/>
        </w:pBdr>
        <w:spacing w:before="240" w:after="240"/>
        <w:rPr>
          <w:i/>
          <w:iCs/>
        </w:rPr>
      </w:pPr>
      <w:r>
        <w:rPr>
          <w:i/>
          <w:iCs/>
        </w:rPr>
        <w:t>“</w:t>
      </w:r>
      <w:r w:rsidRPr="00CC4F99">
        <w:rPr>
          <w:i/>
          <w:iCs/>
        </w:rPr>
        <w:t xml:space="preserve">MAP 2 looked at transboundary issues, but there are no transboundary cities. Instead, you have the same problems in different cities so if there was a solution in one place, then </w:t>
      </w:r>
      <w:r>
        <w:rPr>
          <w:i/>
          <w:iCs/>
        </w:rPr>
        <w:t>RUCaS</w:t>
      </w:r>
      <w:r w:rsidRPr="00CC4F99">
        <w:rPr>
          <w:i/>
          <w:iCs/>
        </w:rPr>
        <w:t xml:space="preserve"> could do a roadshow of the solution and then </w:t>
      </w:r>
      <w:r>
        <w:rPr>
          <w:i/>
          <w:iCs/>
        </w:rPr>
        <w:t xml:space="preserve">partners could </w:t>
      </w:r>
      <w:r w:rsidRPr="00CC4F99">
        <w:rPr>
          <w:i/>
          <w:iCs/>
        </w:rPr>
        <w:t xml:space="preserve">get help to do it in their own city. </w:t>
      </w:r>
      <w:r>
        <w:rPr>
          <w:i/>
          <w:iCs/>
        </w:rPr>
        <w:t>That way</w:t>
      </w:r>
      <w:r w:rsidRPr="00CC4F99">
        <w:rPr>
          <w:i/>
          <w:iCs/>
        </w:rPr>
        <w:t xml:space="preserve"> it looks more like partners are helping each other, rather than Monash helping them.</w:t>
      </w:r>
      <w:r>
        <w:rPr>
          <w:i/>
          <w:iCs/>
        </w:rPr>
        <w:t>”</w:t>
      </w:r>
      <w:r w:rsidRPr="00CC4F99">
        <w:rPr>
          <w:i/>
          <w:iCs/>
        </w:rPr>
        <w:t xml:space="preserve"> </w:t>
      </w:r>
      <w:r w:rsidRPr="006A3FD4">
        <w:t>-DFAT</w:t>
      </w:r>
    </w:p>
    <w:p w14:paraId="43176CB4" w14:textId="21D85981" w:rsidR="005447A4" w:rsidRPr="005447A4" w:rsidRDefault="005447A4" w:rsidP="00B14CED">
      <w:pPr>
        <w:pBdr>
          <w:top w:val="single" w:sz="4" w:space="1" w:color="auto"/>
          <w:left w:val="single" w:sz="4" w:space="4" w:color="auto"/>
          <w:bottom w:val="single" w:sz="4" w:space="1" w:color="auto"/>
          <w:right w:val="single" w:sz="4" w:space="4" w:color="auto"/>
        </w:pBdr>
        <w:spacing w:before="240" w:after="240"/>
        <w:rPr>
          <w:i/>
          <w:iCs/>
        </w:rPr>
      </w:pPr>
      <w:r>
        <w:rPr>
          <w:i/>
          <w:iCs/>
        </w:rPr>
        <w:t>“</w:t>
      </w:r>
      <w:r w:rsidRPr="00220415">
        <w:rPr>
          <w:i/>
          <w:iCs/>
        </w:rPr>
        <w:t>I was very happy to participate in the regional workshops in Phnom Penh and Thailand. I stayed right until the end! Hopefully this will happen again.</w:t>
      </w:r>
      <w:r>
        <w:rPr>
          <w:i/>
          <w:iCs/>
        </w:rPr>
        <w:t>”</w:t>
      </w:r>
      <w:r>
        <w:t>-RUCaS government partner</w:t>
      </w:r>
    </w:p>
    <w:p w14:paraId="4D8A6E01" w14:textId="665C55A6" w:rsidR="00B14CED" w:rsidRPr="00B14CED" w:rsidRDefault="00B14CED" w:rsidP="00B14CED">
      <w:pPr>
        <w:pBdr>
          <w:top w:val="single" w:sz="4" w:space="1" w:color="auto"/>
          <w:left w:val="single" w:sz="4" w:space="4" w:color="auto"/>
          <w:bottom w:val="single" w:sz="4" w:space="1" w:color="auto"/>
          <w:right w:val="single" w:sz="4" w:space="4" w:color="auto"/>
        </w:pBdr>
        <w:spacing w:before="240" w:after="240"/>
        <w:rPr>
          <w:i/>
          <w:iCs/>
        </w:rPr>
      </w:pPr>
      <w:r>
        <w:rPr>
          <w:i/>
          <w:iCs/>
        </w:rPr>
        <w:t xml:space="preserve">“It’s a nice park, but it lacks an NbS approach. This is because of lack of awareness.” </w:t>
      </w:r>
      <w:r>
        <w:t>-RUCaS in-country staff</w:t>
      </w:r>
    </w:p>
    <w:p w14:paraId="70B10B6A" w14:textId="4006222E" w:rsidR="00B14CED" w:rsidRPr="00B14CED" w:rsidRDefault="00B14CED" w:rsidP="00B14CED">
      <w:pPr>
        <w:pBdr>
          <w:top w:val="single" w:sz="4" w:space="1" w:color="auto"/>
          <w:left w:val="single" w:sz="4" w:space="4" w:color="auto"/>
          <w:bottom w:val="single" w:sz="4" w:space="1" w:color="auto"/>
          <w:right w:val="single" w:sz="4" w:space="4" w:color="auto"/>
        </w:pBdr>
        <w:spacing w:before="240" w:after="240"/>
        <w:rPr>
          <w:i/>
          <w:iCs/>
        </w:rPr>
      </w:pPr>
      <w:r>
        <w:rPr>
          <w:i/>
          <w:iCs/>
        </w:rPr>
        <w:t>“</w:t>
      </w:r>
      <w:r w:rsidRPr="00991C9C">
        <w:rPr>
          <w:i/>
          <w:iCs/>
        </w:rPr>
        <w:t>But there isn’t good understanding of what NbS is. There’s lots of grey infrastructure in their descriptions of NbS.</w:t>
      </w:r>
      <w:r>
        <w:rPr>
          <w:i/>
          <w:iCs/>
        </w:rPr>
        <w:t>”</w:t>
      </w:r>
      <w:r>
        <w:t>-Interested third party</w:t>
      </w:r>
    </w:p>
    <w:p w14:paraId="12A5013A" w14:textId="0777C189" w:rsidR="008A502F" w:rsidRPr="003D4B91" w:rsidRDefault="004513F7" w:rsidP="0065563B">
      <w:r w:rsidRPr="003D4B91">
        <w:t>EOPO 3</w:t>
      </w:r>
      <w:r w:rsidR="00DF2235" w:rsidRPr="003D4B91">
        <w:t xml:space="preserve"> also emphasise</w:t>
      </w:r>
      <w:r w:rsidR="00BC7004" w:rsidRPr="003D4B91">
        <w:t>d</w:t>
      </w:r>
      <w:r w:rsidR="00DF2235" w:rsidRPr="003D4B91">
        <w:t xml:space="preserve"> capacity as a requirement for scaling</w:t>
      </w:r>
      <w:r w:rsidR="00A80E17" w:rsidRPr="003D4B91">
        <w:t>, and</w:t>
      </w:r>
      <w:r w:rsidR="00220415" w:rsidRPr="003D4B91">
        <w:t xml:space="preserve"> inclusion of outputs 3.2 and 3.3 suggest</w:t>
      </w:r>
      <w:r w:rsidR="00BC7004" w:rsidRPr="003D4B91">
        <w:t>ed</w:t>
      </w:r>
      <w:r w:rsidR="00220415" w:rsidRPr="003D4B91">
        <w:t xml:space="preserve"> that capacity </w:t>
      </w:r>
      <w:r w:rsidR="00A80E17" w:rsidRPr="003D4B91">
        <w:t xml:space="preserve">in RUCaS Phase 1 </w:t>
      </w:r>
      <w:r w:rsidR="00220415" w:rsidRPr="003D4B91">
        <w:t xml:space="preserve">was broadly defined as </w:t>
      </w:r>
      <w:r w:rsidR="00BA6A7A">
        <w:t>‘</w:t>
      </w:r>
      <w:r w:rsidR="00220415" w:rsidRPr="003D4B91">
        <w:t>knowledge of NbS</w:t>
      </w:r>
      <w:r w:rsidR="00BA6A7A">
        <w:t>’</w:t>
      </w:r>
      <w:r w:rsidR="00BA6A7A" w:rsidRPr="003D4B91">
        <w:t xml:space="preserve">. </w:t>
      </w:r>
      <w:r w:rsidR="00220415" w:rsidRPr="003D4B91">
        <w:t xml:space="preserve">Numerous knowledge events and technical trainings </w:t>
      </w:r>
      <w:r w:rsidR="00947A72" w:rsidRPr="003D4B91">
        <w:t xml:space="preserve">successfully </w:t>
      </w:r>
      <w:r w:rsidR="00220415" w:rsidRPr="003D4B91">
        <w:t>took place across the region,</w:t>
      </w:r>
      <w:r w:rsidR="00BC7004" w:rsidRPr="003D4B91">
        <w:t xml:space="preserve"> as </w:t>
      </w:r>
      <w:r w:rsidR="00220415" w:rsidRPr="003D4B91">
        <w:t>outlined in the RUCaS</w:t>
      </w:r>
      <w:r w:rsidR="00A80E17" w:rsidRPr="003D4B91">
        <w:t xml:space="preserve"> </w:t>
      </w:r>
      <w:r w:rsidR="00387A2C" w:rsidRPr="003D4B91">
        <w:t>mid-term</w:t>
      </w:r>
      <w:r w:rsidR="00220415" w:rsidRPr="003D4B91">
        <w:t xml:space="preserve"> and annual reports. These included two regional conferences in Bangkok in 2023 and 2025. Nearly all informants praised the program for the knowledge exchange events and trainings</w:t>
      </w:r>
      <w:r w:rsidR="002B2AAE" w:rsidRPr="003D4B91">
        <w:t xml:space="preserve">. However, a </w:t>
      </w:r>
      <w:r w:rsidR="008A502F" w:rsidRPr="003D4B91">
        <w:t>concern raised by several informants (e.g. BMA, MLMUPC) was that whilst they felt they had learned a lot through the RUCaS program knowledge exchange events and training, they did not (yet) feel confident to implement NbS on their own and still needed further training</w:t>
      </w:r>
      <w:r w:rsidR="009E7999">
        <w:t xml:space="preserve">. This </w:t>
      </w:r>
      <w:r w:rsidR="002B2AAE" w:rsidRPr="003D4B91">
        <w:t>indicate</w:t>
      </w:r>
      <w:r w:rsidR="00BA6A7A">
        <w:t>d</w:t>
      </w:r>
      <w:r w:rsidR="002B2AAE" w:rsidRPr="003D4B91">
        <w:t xml:space="preserve"> that </w:t>
      </w:r>
      <w:r w:rsidR="001024C4">
        <w:t xml:space="preserve">substantial </w:t>
      </w:r>
      <w:r w:rsidR="00F60F98" w:rsidRPr="003D4B91">
        <w:t>progress was made</w:t>
      </w:r>
      <w:r w:rsidR="001024C4">
        <w:t xml:space="preserve"> toward achieving</w:t>
      </w:r>
      <w:r w:rsidR="00F60F98" w:rsidRPr="003D4B91">
        <w:t xml:space="preserve"> EOPO 3</w:t>
      </w:r>
      <w:r w:rsidR="001024C4">
        <w:t>; however, there was still much work to be done to ensure the sustainability of the gains made regarding NbS capacity development.</w:t>
      </w:r>
      <w:r w:rsidR="008A502F" w:rsidRPr="003D4B91">
        <w:t xml:space="preserve"> Several informants noted that the RUCaS knowledge events targeted NbS champions, urban planners and decision-makers (which was appropriate), but that actors responsible for </w:t>
      </w:r>
      <w:r w:rsidR="008A502F" w:rsidRPr="003D4B91">
        <w:rPr>
          <w:i/>
          <w:iCs/>
        </w:rPr>
        <w:t xml:space="preserve">implementing </w:t>
      </w:r>
      <w:r w:rsidR="008A502F" w:rsidRPr="003D4B91">
        <w:t xml:space="preserve">NbS </w:t>
      </w:r>
      <w:r w:rsidR="00EB2B0A">
        <w:t>(</w:t>
      </w:r>
      <w:r w:rsidR="008A502F" w:rsidRPr="003D4B91">
        <w:t>such as provincial level government representatives, designers and contractors</w:t>
      </w:r>
      <w:r w:rsidR="00EB2B0A">
        <w:t>)</w:t>
      </w:r>
      <w:r w:rsidR="008A502F" w:rsidRPr="003D4B91">
        <w:t xml:space="preserve"> often implement NbS incorrectly and therefore were also in need of NbS capacity development.</w:t>
      </w:r>
      <w:r w:rsidR="00B2794E" w:rsidRPr="003D4B91">
        <w:rPr>
          <w:rStyle w:val="FootnoteReference"/>
        </w:rPr>
        <w:footnoteReference w:id="34"/>
      </w:r>
    </w:p>
    <w:p w14:paraId="26DE9D2D" w14:textId="2C669B2A" w:rsidR="003D1B30" w:rsidRDefault="003E56F4" w:rsidP="00947A72">
      <w:r w:rsidRPr="003D4B91">
        <w:t xml:space="preserve">With respect to inclusivity, there was </w:t>
      </w:r>
      <w:r w:rsidR="00947A72" w:rsidRPr="003D4B91">
        <w:t>representation of diverse groups amongst the broader RUCaS cohort (i.e. event participants)</w:t>
      </w:r>
      <w:r w:rsidRPr="003D4B91">
        <w:t>; however, t</w:t>
      </w:r>
      <w:r w:rsidR="00947A72" w:rsidRPr="003D4B91">
        <w:t xml:space="preserve">he cohort of NbS champions themselves </w:t>
      </w:r>
      <w:r w:rsidRPr="003D4B91">
        <w:t>we</w:t>
      </w:r>
      <w:r w:rsidR="00947A72" w:rsidRPr="003D4B91">
        <w:t>re mostly able-bodied men.</w:t>
      </w:r>
      <w:r w:rsidR="00A80E17" w:rsidRPr="003D4B91">
        <w:rPr>
          <w:rStyle w:val="FootnoteReference"/>
        </w:rPr>
        <w:footnoteReference w:id="35"/>
      </w:r>
      <w:r w:rsidR="00947A72" w:rsidRPr="003D4B91">
        <w:t xml:space="preserve"> This may speak more to the lack of representation of women and marginalised groups in government and academia in the </w:t>
      </w:r>
      <w:r w:rsidR="00C7502A" w:rsidRPr="003D4B91">
        <w:t>Mekong subregion</w:t>
      </w:r>
      <w:r w:rsidR="00947A72" w:rsidRPr="003D4B91">
        <w:t xml:space="preserve"> and is therefore out of the control of RUCaS. </w:t>
      </w:r>
      <w:r w:rsidRPr="003D4B91">
        <w:t>Meanwhile, women, PWDs</w:t>
      </w:r>
      <w:r w:rsidR="009A1918" w:rsidRPr="003D4B91">
        <w:t>,</w:t>
      </w:r>
      <w:r w:rsidRPr="003D4B91">
        <w:t xml:space="preserve"> and those representing </w:t>
      </w:r>
      <w:r w:rsidR="009A1918" w:rsidRPr="003D4B91">
        <w:t xml:space="preserve">other </w:t>
      </w:r>
      <w:r w:rsidRPr="003D4B91">
        <w:t xml:space="preserve">minorities involved in RUCaS </w:t>
      </w:r>
      <w:r w:rsidR="009A1918" w:rsidRPr="003D4B91">
        <w:t>we</w:t>
      </w:r>
      <w:r w:rsidRPr="003D4B91">
        <w:t xml:space="preserve">re typically from organisations </w:t>
      </w:r>
      <w:r w:rsidR="003349AE">
        <w:t>focused</w:t>
      </w:r>
      <w:r w:rsidRPr="003D4B91">
        <w:t xml:space="preserve"> on GEDSI, and they </w:t>
      </w:r>
      <w:r w:rsidR="009A1918" w:rsidRPr="003D4B91">
        <w:t>we</w:t>
      </w:r>
      <w:r w:rsidRPr="003D4B91">
        <w:t xml:space="preserve">re therefore </w:t>
      </w:r>
      <w:r w:rsidRPr="003D4B91">
        <w:lastRenderedPageBreak/>
        <w:t>not yet part of the cohort of NbS champions (though many GEDSI actors showed interest in learning more about NbS).</w:t>
      </w:r>
      <w:r w:rsidR="009A1918" w:rsidRPr="003D4B91">
        <w:t xml:space="preserve"> </w:t>
      </w:r>
      <w:r w:rsidRPr="003D4B91">
        <w:t xml:space="preserve">This </w:t>
      </w:r>
      <w:r w:rsidR="009A1918" w:rsidRPr="003D4B91">
        <w:t>is</w:t>
      </w:r>
      <w:r w:rsidRPr="003D4B91">
        <w:t xml:space="preserve"> further discussed in Section 3.5. </w:t>
      </w:r>
    </w:p>
    <w:p w14:paraId="67A505FC" w14:textId="77777777" w:rsidR="00B14CED" w:rsidRDefault="00B14CED" w:rsidP="00B14CED">
      <w:pPr>
        <w:pBdr>
          <w:top w:val="single" w:sz="4" w:space="1" w:color="auto"/>
          <w:left w:val="single" w:sz="4" w:space="4" w:color="auto"/>
          <w:bottom w:val="single" w:sz="4" w:space="1" w:color="auto"/>
          <w:right w:val="single" w:sz="4" w:space="4" w:color="auto"/>
        </w:pBdr>
        <w:shd w:val="clear" w:color="auto" w:fill="F2F2F2" w:themeFill="background1" w:themeFillShade="F2"/>
        <w:spacing w:before="240" w:after="240"/>
      </w:pPr>
      <w:r w:rsidRPr="00E96DCB">
        <w:rPr>
          <w:b/>
          <w:bCs/>
        </w:rPr>
        <w:t>Recommendation 4:</w:t>
      </w:r>
      <w:r>
        <w:t xml:space="preserve"> </w:t>
      </w:r>
      <w:r w:rsidRPr="00E96DCB">
        <w:t>The implementers of any future phase of RUCaS should facilitate learning events for those involved in funding, planning, designing and constructing NbS in the region that exhibit (either virtually or through in-person site-visits) examples of working NbS in a range of contexts</w:t>
      </w:r>
      <w:r>
        <w:t xml:space="preserve">, </w:t>
      </w:r>
      <w:r w:rsidRPr="00E96DCB">
        <w:t xml:space="preserve">budgets </w:t>
      </w:r>
      <w:r>
        <w:t>and scales of impact</w:t>
      </w:r>
      <w:r w:rsidRPr="00E96DCB">
        <w:t xml:space="preserve"> (in addition to examples from China and Thailand).</w:t>
      </w:r>
    </w:p>
    <w:p w14:paraId="7843FA1E" w14:textId="130CA633" w:rsidR="00302D4A" w:rsidRPr="003D4B91" w:rsidRDefault="00C20AF1" w:rsidP="008A4889">
      <w:pPr>
        <w:pStyle w:val="Heading20"/>
        <w:numPr>
          <w:ilvl w:val="1"/>
          <w:numId w:val="1"/>
        </w:numPr>
        <w:jc w:val="both"/>
      </w:pPr>
      <w:bookmarkStart w:id="138" w:name="_Toc219855018"/>
      <w:bookmarkStart w:id="139" w:name="_Toc219645709"/>
      <w:bookmarkStart w:id="140" w:name="_Toc219645710"/>
      <w:bookmarkStart w:id="141" w:name="_Toc219645711"/>
      <w:bookmarkStart w:id="142" w:name="_Toc219645712"/>
      <w:bookmarkStart w:id="143" w:name="_Toc219645713"/>
      <w:bookmarkStart w:id="144" w:name="_Toc219645714"/>
      <w:bookmarkStart w:id="145" w:name="_Toc219645715"/>
      <w:bookmarkStart w:id="146" w:name="_Toc219645716"/>
      <w:bookmarkStart w:id="147" w:name="_Toc219645717"/>
      <w:bookmarkStart w:id="148" w:name="_Toc219645718"/>
      <w:bookmarkStart w:id="149" w:name="_Ref219842156"/>
      <w:bookmarkStart w:id="150" w:name="_Toc225951859"/>
      <w:bookmarkEnd w:id="138"/>
      <w:bookmarkEnd w:id="139"/>
      <w:bookmarkEnd w:id="140"/>
      <w:bookmarkEnd w:id="141"/>
      <w:bookmarkEnd w:id="142"/>
      <w:bookmarkEnd w:id="143"/>
      <w:bookmarkEnd w:id="144"/>
      <w:bookmarkEnd w:id="145"/>
      <w:bookmarkEnd w:id="146"/>
      <w:bookmarkEnd w:id="147"/>
      <w:bookmarkEnd w:id="148"/>
      <w:r w:rsidRPr="003D4B91">
        <w:t>GEDSI</w:t>
      </w:r>
      <w:bookmarkEnd w:id="149"/>
      <w:bookmarkEnd w:id="150"/>
    </w:p>
    <w:p w14:paraId="02A741C3" w14:textId="58920FA7" w:rsidR="00B801C5" w:rsidRPr="003D4B91" w:rsidRDefault="00745406" w:rsidP="00B801C5">
      <w:pPr>
        <w:rPr>
          <w:i/>
          <w:iCs/>
        </w:rPr>
      </w:pPr>
      <w:bookmarkStart w:id="151" w:name="_Hlk219451125"/>
      <w:r w:rsidRPr="003D4B91">
        <w:t>Based on the elements pertaining to GEDSI in the MEL Framework, the evaluation team broadly interpreted the underlying logic to be: if the RUCaS team reflected GEDSI principles in the program activities and outputs, and provided GEDSI training to NbS champions in the Mekong subregion, and engaged the support and advice of a GEDSI TAG</w:t>
      </w:r>
      <w:r w:rsidR="001133C6" w:rsidRPr="003D4B91">
        <w:t>, and developed a GEDSI NbS guideline, then GEDSI will be embedded in the NbS case studies and broader NbS policies in the region.</w:t>
      </w:r>
      <w:r w:rsidRPr="003D4B91">
        <w:t xml:space="preserve"> </w:t>
      </w:r>
      <w:r w:rsidR="00B801C5" w:rsidRPr="003D4B91">
        <w:rPr>
          <w:i/>
          <w:iCs/>
        </w:rPr>
        <w:fldChar w:fldCharType="begin"/>
      </w:r>
      <w:r w:rsidR="00B801C5" w:rsidRPr="003D4B91">
        <w:rPr>
          <w:i/>
          <w:iCs/>
        </w:rPr>
        <w:instrText xml:space="preserve"> REF _Ref219672586 \h  \* MERGEFORMAT </w:instrText>
      </w:r>
      <w:r w:rsidR="00B801C5" w:rsidRPr="003D4B91">
        <w:rPr>
          <w:i/>
          <w:iCs/>
        </w:rPr>
      </w:r>
      <w:r w:rsidR="00B801C5" w:rsidRPr="003D4B91">
        <w:rPr>
          <w:i/>
          <w:iCs/>
        </w:rPr>
        <w:fldChar w:fldCharType="separate"/>
      </w:r>
      <w:r w:rsidR="007007C5" w:rsidRPr="003D4B91">
        <w:t xml:space="preserve">Table </w:t>
      </w:r>
      <w:r w:rsidR="007007C5">
        <w:rPr>
          <w:noProof/>
        </w:rPr>
        <w:t>4</w:t>
      </w:r>
      <w:r w:rsidR="00B801C5" w:rsidRPr="003D4B91">
        <w:rPr>
          <w:i/>
          <w:iCs/>
        </w:rPr>
        <w:fldChar w:fldCharType="end"/>
      </w:r>
      <w:r w:rsidR="00B801C5" w:rsidRPr="003D4B91">
        <w:rPr>
          <w:i/>
          <w:iCs/>
        </w:rPr>
        <w:t xml:space="preserve"> </w:t>
      </w:r>
      <w:r w:rsidR="00B801C5" w:rsidRPr="003D4B91">
        <w:t>summarises the cross-cutting focus, expected change and outputs for GEDSI.</w:t>
      </w:r>
    </w:p>
    <w:p w14:paraId="2A489E96" w14:textId="53732D0F" w:rsidR="00B801C5" w:rsidRDefault="00B801C5" w:rsidP="00B801C5">
      <w:pPr>
        <w:pStyle w:val="Caption"/>
      </w:pPr>
      <w:bookmarkStart w:id="152" w:name="_Ref219672586"/>
      <w:r w:rsidRPr="003D4B91">
        <w:t xml:space="preserve">Table </w:t>
      </w:r>
      <w:fldSimple w:instr=" SEQ Table \* ARABIC ">
        <w:r w:rsidR="007007C5">
          <w:rPr>
            <w:noProof/>
          </w:rPr>
          <w:t>4</w:t>
        </w:r>
      </w:fldSimple>
      <w:bookmarkEnd w:id="152"/>
      <w:r w:rsidRPr="003D4B91">
        <w:t xml:space="preserve"> GEDSI – Cross-cutting focus, Expected Change and Outputs</w:t>
      </w:r>
    </w:p>
    <w:tbl>
      <w:tblPr>
        <w:tblStyle w:val="TableGrid"/>
        <w:tblW w:w="0" w:type="auto"/>
        <w:tblLook w:val="04A0" w:firstRow="1" w:lastRow="0" w:firstColumn="1" w:lastColumn="0" w:noHBand="0" w:noVBand="1"/>
      </w:tblPr>
      <w:tblGrid>
        <w:gridCol w:w="3005"/>
        <w:gridCol w:w="3005"/>
        <w:gridCol w:w="3006"/>
      </w:tblGrid>
      <w:tr w:rsidR="00557239" w14:paraId="0431C5AD" w14:textId="77777777" w:rsidTr="00EA0050">
        <w:trPr>
          <w:trHeight w:val="123"/>
          <w:tblHeader/>
        </w:trPr>
        <w:tc>
          <w:tcPr>
            <w:tcW w:w="3005" w:type="dxa"/>
            <w:shd w:val="clear" w:color="auto" w:fill="FFFFFF" w:themeFill="background1"/>
          </w:tcPr>
          <w:p w14:paraId="2CB5350A" w14:textId="5533C9A4" w:rsidR="00557239" w:rsidRPr="00796AB5" w:rsidRDefault="00557239" w:rsidP="000F76B5">
            <w:pPr>
              <w:rPr>
                <w:b/>
                <w:bCs/>
                <w:sz w:val="20"/>
                <w:szCs w:val="20"/>
              </w:rPr>
            </w:pPr>
            <w:r w:rsidRPr="00796AB5">
              <w:rPr>
                <w:b/>
                <w:bCs/>
                <w:sz w:val="20"/>
                <w:szCs w:val="20"/>
              </w:rPr>
              <w:t>Cross cut</w:t>
            </w:r>
            <w:r w:rsidR="00796AB5" w:rsidRPr="00796AB5">
              <w:rPr>
                <w:b/>
                <w:bCs/>
                <w:sz w:val="20"/>
                <w:szCs w:val="20"/>
              </w:rPr>
              <w:t>ting focus</w:t>
            </w:r>
          </w:p>
        </w:tc>
        <w:tc>
          <w:tcPr>
            <w:tcW w:w="3005" w:type="dxa"/>
            <w:shd w:val="clear" w:color="auto" w:fill="FFFFFF" w:themeFill="background1"/>
          </w:tcPr>
          <w:p w14:paraId="3EC091B5" w14:textId="33C0055A" w:rsidR="00557239" w:rsidRPr="00796AB5" w:rsidRDefault="00796AB5" w:rsidP="000F76B5">
            <w:pPr>
              <w:rPr>
                <w:b/>
                <w:bCs/>
                <w:sz w:val="20"/>
                <w:szCs w:val="20"/>
              </w:rPr>
            </w:pPr>
            <w:r w:rsidRPr="00796AB5">
              <w:rPr>
                <w:b/>
                <w:bCs/>
                <w:sz w:val="20"/>
                <w:szCs w:val="20"/>
              </w:rPr>
              <w:t>Expected change</w:t>
            </w:r>
          </w:p>
        </w:tc>
        <w:tc>
          <w:tcPr>
            <w:tcW w:w="3006" w:type="dxa"/>
            <w:shd w:val="clear" w:color="auto" w:fill="FFFFFF" w:themeFill="background1"/>
          </w:tcPr>
          <w:p w14:paraId="7CA294C2" w14:textId="786D3564" w:rsidR="00557239" w:rsidRPr="00796AB5" w:rsidRDefault="00557239" w:rsidP="000F76B5">
            <w:pPr>
              <w:rPr>
                <w:b/>
                <w:bCs/>
                <w:sz w:val="20"/>
                <w:szCs w:val="20"/>
              </w:rPr>
            </w:pPr>
            <w:r w:rsidRPr="00796AB5">
              <w:rPr>
                <w:b/>
                <w:bCs/>
                <w:sz w:val="20"/>
                <w:szCs w:val="20"/>
              </w:rPr>
              <w:t>Outputs</w:t>
            </w:r>
          </w:p>
        </w:tc>
      </w:tr>
      <w:tr w:rsidR="00557239" w14:paraId="36859BFE" w14:textId="77777777" w:rsidTr="0024443D">
        <w:tc>
          <w:tcPr>
            <w:tcW w:w="3005" w:type="dxa"/>
          </w:tcPr>
          <w:p w14:paraId="0479203E" w14:textId="1D8CA26B" w:rsidR="00557239" w:rsidRPr="00796AB5" w:rsidRDefault="00557239" w:rsidP="00796AB5">
            <w:pPr>
              <w:spacing w:before="120" w:after="120"/>
              <w:rPr>
                <w:sz w:val="20"/>
                <w:szCs w:val="20"/>
              </w:rPr>
            </w:pPr>
            <w:r w:rsidRPr="00796AB5">
              <w:rPr>
                <w:sz w:val="20"/>
                <w:szCs w:val="20"/>
              </w:rPr>
              <w:t>A cross-cutting focus is: GEDSI principles are demonstrated and embedded in the program implementation.</w:t>
            </w:r>
          </w:p>
        </w:tc>
        <w:tc>
          <w:tcPr>
            <w:tcW w:w="3005" w:type="dxa"/>
          </w:tcPr>
          <w:p w14:paraId="35D6AC50" w14:textId="373F961F" w:rsidR="00557239" w:rsidRPr="00796AB5" w:rsidRDefault="00557239" w:rsidP="00796AB5">
            <w:pPr>
              <w:spacing w:before="120" w:after="120"/>
              <w:rPr>
                <w:sz w:val="20"/>
                <w:szCs w:val="20"/>
              </w:rPr>
            </w:pPr>
            <w:r w:rsidRPr="00796AB5">
              <w:rPr>
                <w:sz w:val="20"/>
                <w:szCs w:val="20"/>
              </w:rPr>
              <w:t>Expected change: GEDSI principles are embedded in the development of case studies, pilots, and the formulation of policy recommendation in all countries.</w:t>
            </w:r>
          </w:p>
        </w:tc>
        <w:tc>
          <w:tcPr>
            <w:tcW w:w="3006" w:type="dxa"/>
          </w:tcPr>
          <w:p w14:paraId="4D4C6FFA" w14:textId="77777777" w:rsidR="00796AB5" w:rsidRPr="00796AB5" w:rsidRDefault="00796AB5" w:rsidP="00796AB5">
            <w:pPr>
              <w:spacing w:before="120" w:after="120"/>
              <w:rPr>
                <w:sz w:val="20"/>
                <w:szCs w:val="20"/>
              </w:rPr>
            </w:pPr>
            <w:r w:rsidRPr="00796AB5">
              <w:rPr>
                <w:sz w:val="20"/>
                <w:szCs w:val="20"/>
              </w:rPr>
              <w:t>Output 4.1 GEDSI principles are reflected in: program analysis, reports and recommendations; policy impact; and capacity building and partnerships.</w:t>
            </w:r>
          </w:p>
          <w:p w14:paraId="0870A8C2" w14:textId="77777777" w:rsidR="00796AB5" w:rsidRPr="00796AB5" w:rsidRDefault="00796AB5" w:rsidP="00796AB5">
            <w:pPr>
              <w:spacing w:before="120" w:after="120"/>
              <w:rPr>
                <w:sz w:val="20"/>
                <w:szCs w:val="20"/>
              </w:rPr>
            </w:pPr>
            <w:r w:rsidRPr="00796AB5">
              <w:rPr>
                <w:sz w:val="20"/>
                <w:szCs w:val="20"/>
              </w:rPr>
              <w:t>Output 4.2 Regional GEDSI and NbS workshop and training</w:t>
            </w:r>
          </w:p>
          <w:p w14:paraId="6506D345" w14:textId="77777777" w:rsidR="00796AB5" w:rsidRPr="00796AB5" w:rsidRDefault="00796AB5" w:rsidP="00796AB5">
            <w:pPr>
              <w:spacing w:before="120" w:after="120"/>
              <w:rPr>
                <w:sz w:val="20"/>
                <w:szCs w:val="20"/>
              </w:rPr>
            </w:pPr>
            <w:r w:rsidRPr="00796AB5">
              <w:rPr>
                <w:sz w:val="20"/>
                <w:szCs w:val="20"/>
              </w:rPr>
              <w:t>Output 4.3 GEDSI technical advisory group supporting mainstreaming</w:t>
            </w:r>
          </w:p>
          <w:p w14:paraId="079D3EF9" w14:textId="51E3F221" w:rsidR="00557239" w:rsidRPr="00796AB5" w:rsidRDefault="00796AB5" w:rsidP="00796AB5">
            <w:pPr>
              <w:spacing w:before="120" w:after="120"/>
              <w:rPr>
                <w:sz w:val="20"/>
                <w:szCs w:val="20"/>
              </w:rPr>
            </w:pPr>
            <w:r w:rsidRPr="00796AB5">
              <w:rPr>
                <w:sz w:val="20"/>
                <w:szCs w:val="20"/>
              </w:rPr>
              <w:t>Output 4.4 Development, integration and consideration of GEDSI for urban NbS Guideline</w:t>
            </w:r>
          </w:p>
        </w:tc>
      </w:tr>
    </w:tbl>
    <w:bookmarkEnd w:id="151"/>
    <w:p w14:paraId="0A06A18E" w14:textId="4AB2FF08" w:rsidR="00286DC9" w:rsidRPr="003D4B91" w:rsidRDefault="00286DC9" w:rsidP="00772DD8">
      <w:pPr>
        <w:spacing w:before="240"/>
      </w:pPr>
      <w:r w:rsidRPr="003D4B91">
        <w:t>The cross-cutting focus on GEDSI was incorporated into the RUCaS program initially with the GEDSI strategy in April 2023 and then with further funding as part of Amendment 2 in late 2024</w:t>
      </w:r>
      <w:r w:rsidR="001133C6" w:rsidRPr="003D4B91">
        <w:t xml:space="preserve"> (which was more than </w:t>
      </w:r>
      <w:r w:rsidR="00204C74" w:rsidRPr="003D4B91">
        <w:t>halfway</w:t>
      </w:r>
      <w:r w:rsidR="001133C6" w:rsidRPr="003D4B91">
        <w:t xml:space="preserve"> through the program)</w:t>
      </w:r>
      <w:r w:rsidRPr="003D4B91">
        <w:t>. The GEDSI strategy stated that ‘</w:t>
      </w:r>
      <w:r w:rsidRPr="003D4B91">
        <w:rPr>
          <w:i/>
          <w:iCs/>
        </w:rPr>
        <w:t>RUCaS is targeting transformative GEDSI activities (focusing on engagement and co-creation for influencing codes and policy) towards building pathways to achieve empowering and transformative outcomes through NbS</w:t>
      </w:r>
      <w:r w:rsidRPr="003D4B91">
        <w:t>.’ Specifically, the updated MEL Framework defined the expected GEDSI changes through RUCaS to be that ‘</w:t>
      </w:r>
      <w:r w:rsidRPr="003D4B91">
        <w:rPr>
          <w:i/>
          <w:iCs/>
        </w:rPr>
        <w:t>GEDSI principles are embedded in the development of case studies, pilots, and the formulation of policy recommendation in all countries</w:t>
      </w:r>
      <w:r w:rsidRPr="003D4B91">
        <w:t xml:space="preserve">’ and that this would be brought about through activities and outputs such as 1) the engagement of </w:t>
      </w:r>
      <w:r w:rsidR="00A80E17" w:rsidRPr="003D4B91">
        <w:t>a</w:t>
      </w:r>
      <w:r w:rsidRPr="003D4B91">
        <w:t xml:space="preserve"> GEDSI Technical Advisory Group (TAG), 2) a regional GEDSI and NbS workshop, and 3) the development of a GEDSI for urban NbS </w:t>
      </w:r>
      <w:r w:rsidR="00A80E17" w:rsidRPr="003D4B91">
        <w:t>guideline</w:t>
      </w:r>
      <w:r w:rsidRPr="003D4B91">
        <w:t>.</w:t>
      </w:r>
      <w:r w:rsidR="009B17DC" w:rsidRPr="003D4B91">
        <w:t xml:space="preserve"> </w:t>
      </w:r>
      <w:r w:rsidRPr="003D4B91">
        <w:t>Overall, the RUCaS program succeeded in delivering these three activities and outputs</w:t>
      </w:r>
      <w:r w:rsidR="00A80E17" w:rsidRPr="003D4B91">
        <w:t>,</w:t>
      </w:r>
      <w:r w:rsidRPr="003D4B91">
        <w:t xml:space="preserve"> and these contributed to GEDSI principles and considerations being somewhat incorporated into some of the case studies, pilots and other NbS-related guidelines developed through RUCaS. The GEDSI changes </w:t>
      </w:r>
      <w:r w:rsidRPr="003D4B91">
        <w:lastRenderedPageBreak/>
        <w:t>achieved, as well as the challenges to better progress towards improving GEDSI in the RUCaS program</w:t>
      </w:r>
      <w:r w:rsidR="00A80E17" w:rsidRPr="003D4B91">
        <w:t>,</w:t>
      </w:r>
      <w:r w:rsidRPr="003D4B91">
        <w:t xml:space="preserve"> are described below.</w:t>
      </w:r>
    </w:p>
    <w:p w14:paraId="3B7086AC" w14:textId="59CFC5B0" w:rsidR="00286DC9" w:rsidRPr="003D4B91" w:rsidRDefault="00286DC9" w:rsidP="00331F30">
      <w:pPr>
        <w:pBdr>
          <w:top w:val="nil"/>
          <w:left w:val="nil"/>
          <w:bottom w:val="nil"/>
          <w:right w:val="nil"/>
          <w:between w:val="nil"/>
        </w:pBdr>
      </w:pPr>
      <w:r w:rsidRPr="003D4B91">
        <w:t xml:space="preserve">The </w:t>
      </w:r>
      <w:r w:rsidRPr="003D4B91">
        <w:rPr>
          <w:b/>
          <w:bCs/>
        </w:rPr>
        <w:t>GEDSI TAG</w:t>
      </w:r>
      <w:r w:rsidRPr="003D4B91">
        <w:t xml:space="preserve"> was engaged in late 2024 and comprised </w:t>
      </w:r>
      <w:r w:rsidR="00A80E17" w:rsidRPr="003D4B91">
        <w:t>seven</w:t>
      </w:r>
      <w:r w:rsidRPr="003D4B91">
        <w:t xml:space="preserve"> members (including </w:t>
      </w:r>
      <w:r w:rsidR="00A80E17" w:rsidRPr="003D4B91">
        <w:t>six</w:t>
      </w:r>
      <w:r w:rsidRPr="003D4B91">
        <w:t xml:space="preserve"> women and </w:t>
      </w:r>
      <w:r w:rsidR="00A80E17" w:rsidRPr="003D4B91">
        <w:t>two</w:t>
      </w:r>
      <w:r w:rsidRPr="003D4B91">
        <w:t xml:space="preserve"> PWDs) representing GEDSI </w:t>
      </w:r>
      <w:r w:rsidR="00A80E17" w:rsidRPr="003D4B91">
        <w:t>CSOs</w:t>
      </w:r>
      <w:r w:rsidRPr="003D4B91">
        <w:t xml:space="preserve"> from across all </w:t>
      </w:r>
      <w:r w:rsidR="00A80E17" w:rsidRPr="003D4B91">
        <w:t>four</w:t>
      </w:r>
      <w:r w:rsidRPr="003D4B91">
        <w:t xml:space="preserve"> countries. The group’s main tasks included coordinating the GEDSI training at the regional conference (and other trainings), providing advice for and reviewing the GEDSI NbS guideline, and providing support or advice for various activities to incorporate GEDSI principles into the case studies, pilots or other NbS guidelines developed through RUCaS. As is often the case with GEDSI advocates, many members of the GEDSI TAG were the key focal point in their countries for the group or identity that they represented. This meant that they were highly experienced and knowledgeable (and therefore a great asset for the RUCaS program); however, there were some downsides to this including the risk of burnout, limited time available to dedicate to RUCaS and a missed opportunity to support other GEDSI organisations and advocates (who were perhaps not as prominent) in the region. </w:t>
      </w:r>
    </w:p>
    <w:p w14:paraId="66EB5644" w14:textId="681223AB" w:rsidR="00286DC9" w:rsidRPr="003D4B91" w:rsidRDefault="00286DC9" w:rsidP="00331F30">
      <w:pPr>
        <w:pBdr>
          <w:top w:val="nil"/>
          <w:left w:val="nil"/>
          <w:bottom w:val="nil"/>
          <w:right w:val="nil"/>
          <w:between w:val="nil"/>
        </w:pBdr>
        <w:jc w:val="both"/>
        <w:rPr>
          <w:color w:val="000000"/>
        </w:rPr>
      </w:pPr>
      <w:r w:rsidRPr="003D4B91">
        <w:rPr>
          <w:color w:val="000000"/>
        </w:rPr>
        <w:t xml:space="preserve">As noted in the discussion of </w:t>
      </w:r>
      <w:r w:rsidR="004513F7" w:rsidRPr="003D4B91">
        <w:rPr>
          <w:color w:val="000000"/>
        </w:rPr>
        <w:t>EOPO 3</w:t>
      </w:r>
      <w:r w:rsidRPr="003D4B91">
        <w:rPr>
          <w:color w:val="000000"/>
        </w:rPr>
        <w:t xml:space="preserve">, several GEDSI TAG members noted that their inputs into the NbS guidelines were based on a limited understanding of NbS. Whilst they expressed high motivation and interest in learning more about NbS, and that the training they had participated in through RUCaS had been helpful, they did not feel adequately skilled to provide GEDSI advice on NbS projects. </w:t>
      </w:r>
    </w:p>
    <w:p w14:paraId="157D2B74" w14:textId="4F61A713" w:rsidR="00286DC9" w:rsidRPr="003D4B91" w:rsidRDefault="00286DC9" w:rsidP="00331F30">
      <w:pPr>
        <w:pBdr>
          <w:top w:val="nil"/>
          <w:left w:val="nil"/>
          <w:bottom w:val="nil"/>
          <w:right w:val="nil"/>
          <w:between w:val="nil"/>
        </w:pBdr>
      </w:pPr>
      <w:r w:rsidRPr="003D4B91">
        <w:rPr>
          <w:color w:val="000000"/>
        </w:rPr>
        <w:t xml:space="preserve">The </w:t>
      </w:r>
      <w:r w:rsidRPr="003D4B91">
        <w:rPr>
          <w:b/>
          <w:bCs/>
          <w:color w:val="000000"/>
        </w:rPr>
        <w:t>GEDSI NbS guideline</w:t>
      </w:r>
      <w:r w:rsidRPr="003D4B91">
        <w:rPr>
          <w:rStyle w:val="FootnoteReference"/>
          <w:color w:val="000000"/>
        </w:rPr>
        <w:footnoteReference w:id="36"/>
      </w:r>
      <w:r w:rsidR="0033243D">
        <w:rPr>
          <w:color w:val="000000"/>
        </w:rPr>
        <w:t xml:space="preserve">, led by the GEDSI lead, </w:t>
      </w:r>
      <w:r w:rsidR="00071BD9" w:rsidRPr="003D4B91">
        <w:rPr>
          <w:color w:val="000000"/>
        </w:rPr>
        <w:t>was</w:t>
      </w:r>
      <w:r w:rsidRPr="003D4B91">
        <w:rPr>
          <w:color w:val="000000"/>
        </w:rPr>
        <w:t xml:space="preserve"> put together by the RUCaS team based on a series of consultations with members of the GEDSI TAG (as well as the broader RUCaS partner network during the 2025 Regional Conference in Bangkok). There </w:t>
      </w:r>
      <w:r w:rsidR="00422536" w:rsidRPr="003D4B91">
        <w:rPr>
          <w:color w:val="000000"/>
        </w:rPr>
        <w:t>were</w:t>
      </w:r>
      <w:r w:rsidRPr="003D4B91">
        <w:rPr>
          <w:color w:val="000000"/>
        </w:rPr>
        <w:t xml:space="preserve"> also several rounds of feedback on the first drafts of the guideline. A key concern raised by several informants (both within and outside of the GEDSI TAG) was that the guideline </w:t>
      </w:r>
      <w:r w:rsidR="00422536" w:rsidRPr="003D4B91">
        <w:rPr>
          <w:color w:val="000000"/>
        </w:rPr>
        <w:t>was</w:t>
      </w:r>
      <w:r w:rsidRPr="003D4B91">
        <w:rPr>
          <w:color w:val="000000"/>
        </w:rPr>
        <w:t xml:space="preserve"> too long and theoretical for their intended audience: implementers of NbS who tend to be from technically </w:t>
      </w:r>
      <w:r w:rsidR="003349AE">
        <w:rPr>
          <w:color w:val="000000"/>
        </w:rPr>
        <w:t>focused</w:t>
      </w:r>
      <w:r w:rsidRPr="003D4B91">
        <w:rPr>
          <w:color w:val="000000"/>
        </w:rPr>
        <w:t xml:space="preserve"> fields such as engineering with no prior experience of GEDSI. Another concern </w:t>
      </w:r>
      <w:r w:rsidR="00422536" w:rsidRPr="003D4B91">
        <w:rPr>
          <w:color w:val="000000"/>
        </w:rPr>
        <w:t>wa</w:t>
      </w:r>
      <w:r w:rsidRPr="003D4B91">
        <w:rPr>
          <w:color w:val="000000"/>
        </w:rPr>
        <w:t>s that</w:t>
      </w:r>
      <w:r w:rsidR="00D1554F">
        <w:rPr>
          <w:color w:val="000000"/>
        </w:rPr>
        <w:t xml:space="preserve"> whilst there was a dissemination plan, local partners were not aware of the plan, and there were no intentions to first test the guideline in their intended contexts (for subsequent refinement)</w:t>
      </w:r>
      <w:r w:rsidR="007C06F0">
        <w:rPr>
          <w:color w:val="000000"/>
        </w:rPr>
        <w:t xml:space="preserve"> at the time of the evaluation</w:t>
      </w:r>
      <w:r w:rsidR="00D1554F">
        <w:rPr>
          <w:color w:val="000000"/>
        </w:rPr>
        <w:t>. Altogether, this suggest</w:t>
      </w:r>
      <w:r w:rsidR="00BA6A7A">
        <w:rPr>
          <w:color w:val="000000"/>
        </w:rPr>
        <w:t>ed</w:t>
      </w:r>
      <w:r w:rsidR="00D1554F">
        <w:rPr>
          <w:color w:val="000000"/>
        </w:rPr>
        <w:t xml:space="preserve"> a risk that the guideline would not be applicable or relevant in its intended contexts and </w:t>
      </w:r>
      <w:r w:rsidRPr="003D4B91">
        <w:rPr>
          <w:color w:val="000000"/>
        </w:rPr>
        <w:t>remain unused</w:t>
      </w:r>
      <w:r w:rsidR="00422536" w:rsidRPr="003D4B91">
        <w:rPr>
          <w:color w:val="000000"/>
        </w:rPr>
        <w:t xml:space="preserve"> </w:t>
      </w:r>
      <w:r w:rsidR="00B801C5" w:rsidRPr="003D4B91">
        <w:rPr>
          <w:color w:val="000000"/>
        </w:rPr>
        <w:t xml:space="preserve">(a similar concern raised in the discussion about </w:t>
      </w:r>
      <w:r w:rsidR="004513F7" w:rsidRPr="003D4B91">
        <w:rPr>
          <w:color w:val="000000"/>
        </w:rPr>
        <w:t>EOPO 2</w:t>
      </w:r>
      <w:r w:rsidR="00B801C5" w:rsidRPr="003D4B91">
        <w:rPr>
          <w:color w:val="000000"/>
        </w:rPr>
        <w:t xml:space="preserve"> with respect to the other knowledge products developed through the program)</w:t>
      </w:r>
      <w:r w:rsidRPr="003D4B91">
        <w:rPr>
          <w:color w:val="000000"/>
        </w:rPr>
        <w:t xml:space="preserve">. </w:t>
      </w:r>
      <w:r w:rsidR="00D1554F">
        <w:rPr>
          <w:color w:val="000000"/>
        </w:rPr>
        <w:t>Key lessons learned for a potential future phase of RUCaS include a) the need for a more collaborative process for the development or progression of a GEDSI NbS guideline and b) the need to incorporate real-world testing and refinement into the development and dissemination of such a guideline.</w:t>
      </w:r>
    </w:p>
    <w:p w14:paraId="4D6EB271" w14:textId="184C680B" w:rsidR="00286DC9" w:rsidRPr="003D4B91" w:rsidRDefault="00286DC9" w:rsidP="00331F30">
      <w:r w:rsidRPr="003D4B91">
        <w:t xml:space="preserve">Ultimately, the RUCaS program aimed to </w:t>
      </w:r>
      <w:r w:rsidRPr="003D4B91">
        <w:rPr>
          <w:b/>
          <w:bCs/>
        </w:rPr>
        <w:t xml:space="preserve">incorporate GEDSI into the development of case studies, pilots, and the formulation of policy recommendation in all countries </w:t>
      </w:r>
      <w:r w:rsidRPr="003D4B91">
        <w:t xml:space="preserve">and there are several examples of this. </w:t>
      </w:r>
      <w:r w:rsidR="00422536" w:rsidRPr="003D4B91">
        <w:t>These included</w:t>
      </w:r>
      <w:r w:rsidRPr="003D4B91">
        <w:t xml:space="preserve"> the co-design process for the Battambang Road 501 (Cambodia) case study, the Luang Prabang greywater treatment pilot (Lao PDR), the </w:t>
      </w:r>
      <w:r w:rsidR="00086BA8">
        <w:t>Can Tho University</w:t>
      </w:r>
      <w:r w:rsidRPr="003D4B91">
        <w:t xml:space="preserve"> bioswale design (Viet Nam)</w:t>
      </w:r>
      <w:r w:rsidR="00422536" w:rsidRPr="003D4B91">
        <w:t>,</w:t>
      </w:r>
      <w:r w:rsidRPr="003D4B91">
        <w:t xml:space="preserve"> and the consultation with PWDs to conduct an access analysis at On Nut Park (Thailand). There are also examples of GEDSI considerations in the NbS guideline and policies being developed through RUCaS e.g. the </w:t>
      </w:r>
      <w:r w:rsidRPr="00A5084A">
        <w:rPr>
          <w:i/>
          <w:iCs/>
        </w:rPr>
        <w:t>Guidelines for Risk Assessment of Disused Land</w:t>
      </w:r>
      <w:r w:rsidRPr="003D4B91">
        <w:t xml:space="preserve"> </w:t>
      </w:r>
      <w:r w:rsidR="00FA559C">
        <w:t>(</w:t>
      </w:r>
      <w:r w:rsidRPr="003D4B91">
        <w:t>Thailand</w:t>
      </w:r>
      <w:r w:rsidR="00FA559C">
        <w:t>)</w:t>
      </w:r>
      <w:r w:rsidRPr="003D4B91">
        <w:t xml:space="preserve"> and the </w:t>
      </w:r>
      <w:r w:rsidR="00FA559C" w:rsidRPr="00A5084A">
        <w:rPr>
          <w:i/>
          <w:iCs/>
        </w:rPr>
        <w:t xml:space="preserve">National Urban </w:t>
      </w:r>
      <w:proofErr w:type="spellStart"/>
      <w:r w:rsidR="00FA559C" w:rsidRPr="00A5084A">
        <w:rPr>
          <w:i/>
          <w:iCs/>
        </w:rPr>
        <w:t>EbA</w:t>
      </w:r>
      <w:proofErr w:type="spellEnd"/>
      <w:r w:rsidR="00FA559C" w:rsidRPr="00A5084A">
        <w:rPr>
          <w:i/>
          <w:iCs/>
        </w:rPr>
        <w:t xml:space="preserve"> Guidelines </w:t>
      </w:r>
      <w:r w:rsidRPr="00A5084A">
        <w:rPr>
          <w:i/>
          <w:iCs/>
        </w:rPr>
        <w:t xml:space="preserve">for </w:t>
      </w:r>
      <w:r w:rsidR="00FA559C" w:rsidRPr="00A5084A">
        <w:rPr>
          <w:i/>
          <w:iCs/>
        </w:rPr>
        <w:t>Flood Risk Reduction</w:t>
      </w:r>
      <w:r w:rsidR="00FA559C" w:rsidRPr="003D4B91">
        <w:t xml:space="preserve"> </w:t>
      </w:r>
      <w:r w:rsidRPr="003D4B91">
        <w:lastRenderedPageBreak/>
        <w:t>(Lao PDR).</w:t>
      </w:r>
      <w:r w:rsidRPr="003D4B91">
        <w:rPr>
          <w:rStyle w:val="FootnoteReference"/>
        </w:rPr>
        <w:footnoteReference w:id="37"/>
      </w:r>
      <w:r w:rsidRPr="003D4B91">
        <w:t xml:space="preserve"> </w:t>
      </w:r>
      <w:r w:rsidRPr="003D4B91">
        <w:rPr>
          <w:color w:val="000000"/>
        </w:rPr>
        <w:t xml:space="preserve">Some informants explained how incorporating GEDSI into the BCA tool—one of the most highly valued aspects of RUCaS—had been difficult. The BCA tool was dependent on the findings of previous studies and, as mentioned in the GEDSI strategy, data about the monetised value of GEDSI specific outcomes </w:t>
      </w:r>
      <w:r w:rsidR="00071BD9" w:rsidRPr="003D4B91">
        <w:rPr>
          <w:color w:val="000000"/>
        </w:rPr>
        <w:t>did</w:t>
      </w:r>
      <w:r w:rsidRPr="003D4B91">
        <w:rPr>
          <w:color w:val="000000"/>
        </w:rPr>
        <w:t xml:space="preserve"> not yet exist on a wide enough scale. </w:t>
      </w:r>
    </w:p>
    <w:p w14:paraId="67D687BF" w14:textId="5DE9E9E4" w:rsidR="00772DD8" w:rsidRPr="00CA0130" w:rsidRDefault="00772DD8" w:rsidP="005628ED">
      <w:pPr>
        <w:pBdr>
          <w:top w:val="single" w:sz="4" w:space="1" w:color="auto"/>
          <w:left w:val="single" w:sz="4" w:space="1" w:color="auto"/>
          <w:bottom w:val="single" w:sz="4" w:space="1" w:color="auto"/>
          <w:right w:val="single" w:sz="4" w:space="1" w:color="auto"/>
        </w:pBdr>
        <w:spacing w:before="240" w:after="240"/>
        <w:rPr>
          <w:i/>
          <w:iCs/>
        </w:rPr>
      </w:pPr>
      <w:r>
        <w:rPr>
          <w:i/>
          <w:iCs/>
        </w:rPr>
        <w:t>“For example, d</w:t>
      </w:r>
      <w:r w:rsidRPr="001A2024">
        <w:rPr>
          <w:i/>
          <w:iCs/>
        </w:rPr>
        <w:t xml:space="preserve">oes having a green space 200m from the home </w:t>
      </w:r>
      <w:r>
        <w:rPr>
          <w:i/>
          <w:iCs/>
        </w:rPr>
        <w:t>differ in value</w:t>
      </w:r>
      <w:r w:rsidRPr="001A2024">
        <w:rPr>
          <w:i/>
          <w:iCs/>
        </w:rPr>
        <w:t xml:space="preserve"> for men and women? There’s no evidence of monetary value on this. We just don’t know. </w:t>
      </w:r>
      <w:r>
        <w:rPr>
          <w:i/>
          <w:iCs/>
        </w:rPr>
        <w:t>I’m no</w:t>
      </w:r>
      <w:r w:rsidRPr="001A2024">
        <w:rPr>
          <w:i/>
          <w:iCs/>
        </w:rPr>
        <w:t xml:space="preserve">t sure about whether this is going to happen. </w:t>
      </w:r>
      <w:r>
        <w:rPr>
          <w:i/>
          <w:iCs/>
        </w:rPr>
        <w:t>There is a h</w:t>
      </w:r>
      <w:r w:rsidRPr="001A2024">
        <w:rPr>
          <w:i/>
          <w:iCs/>
        </w:rPr>
        <w:t>uge field around valuing intangible things,</w:t>
      </w:r>
      <w:r>
        <w:rPr>
          <w:i/>
          <w:iCs/>
        </w:rPr>
        <w:t xml:space="preserve"> but it’s m</w:t>
      </w:r>
      <w:r w:rsidRPr="001A2024">
        <w:rPr>
          <w:i/>
          <w:iCs/>
        </w:rPr>
        <w:t xml:space="preserve">ostly </w:t>
      </w:r>
      <w:r>
        <w:rPr>
          <w:i/>
          <w:iCs/>
        </w:rPr>
        <w:t>focused</w:t>
      </w:r>
      <w:r w:rsidRPr="001A2024">
        <w:rPr>
          <w:i/>
          <w:iCs/>
        </w:rPr>
        <w:t xml:space="preserve"> on environmental benefits and health benefits. </w:t>
      </w:r>
      <w:r>
        <w:rPr>
          <w:i/>
          <w:iCs/>
        </w:rPr>
        <w:t>It d</w:t>
      </w:r>
      <w:r w:rsidRPr="001A2024">
        <w:rPr>
          <w:i/>
          <w:iCs/>
        </w:rPr>
        <w:t>oesn’t go much into social</w:t>
      </w:r>
      <w:r>
        <w:rPr>
          <w:i/>
          <w:iCs/>
        </w:rPr>
        <w:t xml:space="preserve"> benefits.”</w:t>
      </w:r>
      <w:r>
        <w:t>-Australian partner</w:t>
      </w:r>
    </w:p>
    <w:p w14:paraId="273D1B65" w14:textId="116B56B4" w:rsidR="005628ED" w:rsidRPr="005628ED" w:rsidRDefault="005628ED" w:rsidP="005628ED">
      <w:pPr>
        <w:pBdr>
          <w:top w:val="single" w:sz="4" w:space="1" w:color="auto"/>
          <w:left w:val="single" w:sz="4" w:space="1" w:color="auto"/>
          <w:bottom w:val="single" w:sz="4" w:space="1" w:color="auto"/>
          <w:right w:val="single" w:sz="4" w:space="1" w:color="auto"/>
        </w:pBdr>
        <w:spacing w:before="240" w:after="240"/>
        <w:rPr>
          <w:i/>
          <w:iCs/>
        </w:rPr>
      </w:pPr>
      <w:r>
        <w:rPr>
          <w:i/>
          <w:iCs/>
        </w:rPr>
        <w:t>“</w:t>
      </w:r>
      <w:r w:rsidRPr="000A4EBA">
        <w:rPr>
          <w:i/>
          <w:iCs/>
        </w:rPr>
        <w:t>GEDSI is very new for me – I just learned this concept in this project.</w:t>
      </w:r>
      <w:r>
        <w:rPr>
          <w:i/>
          <w:iCs/>
        </w:rPr>
        <w:t>”</w:t>
      </w:r>
      <w:r w:rsidRPr="000A4EBA">
        <w:rPr>
          <w:i/>
          <w:iCs/>
        </w:rPr>
        <w:t xml:space="preserve"> </w:t>
      </w:r>
      <w:r>
        <w:t>-RUCaS university partner</w:t>
      </w:r>
    </w:p>
    <w:p w14:paraId="2AC089F8" w14:textId="0627282E" w:rsidR="00286DC9" w:rsidRPr="003D4B91" w:rsidRDefault="00286DC9" w:rsidP="00331F30">
      <w:pPr>
        <w:pBdr>
          <w:top w:val="nil"/>
          <w:left w:val="nil"/>
          <w:bottom w:val="nil"/>
          <w:right w:val="nil"/>
          <w:between w:val="nil"/>
        </w:pBdr>
      </w:pPr>
      <w:r w:rsidRPr="003D4B91">
        <w:rPr>
          <w:color w:val="000000"/>
        </w:rPr>
        <w:t xml:space="preserve">The added GEDSI focus to RUCaS also had some positive impacts beyond the mandate of the program itself. Many of the government representatives were already familiar with GEDSI (and it seemed that this had been largely in response to various donor requirements) and said that the RUCaS program had been a good refresher on the importance of GEDSI principles for their work. Some of the partners who are </w:t>
      </w:r>
      <w:r w:rsidR="003349AE">
        <w:rPr>
          <w:color w:val="000000"/>
        </w:rPr>
        <w:t>focused</w:t>
      </w:r>
      <w:r w:rsidRPr="003D4B91">
        <w:rPr>
          <w:color w:val="000000"/>
        </w:rPr>
        <w:t xml:space="preserve"> on technical fields, such as engineering, explained that their first exposure to GEDSI had been through the RUCaS program and that this was leading to changes within their own work and organisations. However, they felt that they would need a lot of support to meaningfully incorporate GEDSI principles into their work and that</w:t>
      </w:r>
      <w:r w:rsidR="00422536" w:rsidRPr="003D4B91">
        <w:rPr>
          <w:color w:val="000000"/>
        </w:rPr>
        <w:t>,</w:t>
      </w:r>
      <w:r w:rsidRPr="003D4B91">
        <w:rPr>
          <w:color w:val="000000"/>
        </w:rPr>
        <w:t xml:space="preserve"> in general</w:t>
      </w:r>
      <w:r w:rsidR="00422536" w:rsidRPr="003D4B91">
        <w:rPr>
          <w:color w:val="000000"/>
        </w:rPr>
        <w:t>,</w:t>
      </w:r>
      <w:r w:rsidRPr="003D4B91">
        <w:rPr>
          <w:color w:val="000000"/>
        </w:rPr>
        <w:t xml:space="preserve"> there was a lack of GEDSI incorporated into the policies and regulations that were relevant to their technical work.</w:t>
      </w:r>
      <w:r w:rsidRPr="003D4B91">
        <w:t xml:space="preserve"> Furthermore, t</w:t>
      </w:r>
      <w:r w:rsidRPr="003D4B91">
        <w:rPr>
          <w:color w:val="000000"/>
        </w:rPr>
        <w:t xml:space="preserve">here were a small number of partners who felt that GEDSI was not part of their mandate and would be better addressed by those working in other (socially </w:t>
      </w:r>
      <w:r w:rsidR="003349AE">
        <w:rPr>
          <w:color w:val="000000"/>
        </w:rPr>
        <w:t>focused</w:t>
      </w:r>
      <w:r w:rsidRPr="003D4B91">
        <w:rPr>
          <w:color w:val="000000"/>
        </w:rPr>
        <w:t>) departments/ministries. A positive, perhaps unintended, result was that the RUCaS GEDSI activities had been a ‘gateway’ for community development approaches such as needs assessment, community consultation etc. to be incorporated in RUCaS, which had not happened previously. That is, the addition of a GEDSI focus provided an avenue for the incorporation of good community development principles into RUCaS, thereby strengthening the entire program.</w:t>
      </w:r>
    </w:p>
    <w:p w14:paraId="3779BEAB" w14:textId="358B2817" w:rsidR="00286DC9" w:rsidRPr="003D4B91" w:rsidRDefault="00286DC9" w:rsidP="00331F30">
      <w:pPr>
        <w:pBdr>
          <w:top w:val="nil"/>
          <w:left w:val="nil"/>
          <w:bottom w:val="nil"/>
          <w:right w:val="nil"/>
          <w:between w:val="nil"/>
        </w:pBdr>
        <w:rPr>
          <w:color w:val="000000"/>
        </w:rPr>
      </w:pPr>
      <w:r w:rsidRPr="003D4B91">
        <w:t xml:space="preserve">Overall, RUCaS achieved some </w:t>
      </w:r>
      <w:r w:rsidR="009357CF" w:rsidRPr="003D4B91">
        <w:t>progress</w:t>
      </w:r>
      <w:r w:rsidRPr="003D4B91">
        <w:t xml:space="preserve"> towards supporting GEDSI as part of its activities; however, the depth and sustainability</w:t>
      </w:r>
      <w:r w:rsidRPr="003D4B91">
        <w:rPr>
          <w:rStyle w:val="FootnoteReference"/>
        </w:rPr>
        <w:footnoteReference w:id="38"/>
      </w:r>
      <w:r w:rsidRPr="003D4B91">
        <w:t xml:space="preserve"> of this work </w:t>
      </w:r>
      <w:r w:rsidR="00596855">
        <w:t>was uncertain</w:t>
      </w:r>
      <w:r w:rsidRPr="003D4B91">
        <w:t>. One of the aims described in the GEDSI strategy (p</w:t>
      </w:r>
      <w:r w:rsidR="00422536" w:rsidRPr="003D4B91">
        <w:t xml:space="preserve">. </w:t>
      </w:r>
      <w:r w:rsidRPr="003D4B91">
        <w:t>5) was to ‘</w:t>
      </w:r>
      <w:r w:rsidRPr="003D4B91">
        <w:rPr>
          <w:color w:val="000000"/>
        </w:rPr>
        <w:t xml:space="preserve">educate those engaging to understand GEDSI as an integrated responsibility and opportunity. Not just the domain of social experts or social agencies.’ </w:t>
      </w:r>
      <w:r w:rsidR="00275606" w:rsidRPr="003D4B91">
        <w:rPr>
          <w:color w:val="000000"/>
        </w:rPr>
        <w:t>Yet</w:t>
      </w:r>
      <w:r w:rsidRPr="003D4B91">
        <w:rPr>
          <w:color w:val="000000"/>
        </w:rPr>
        <w:t xml:space="preserve"> GEDSI capabilities and responsibility appeared to remain siloed. On one hand, the GEDSI TAG were the major contributors to the GEDSI NbS guideline and facilitated consultations with diverse groups for some of the case studies, but </w:t>
      </w:r>
      <w:r w:rsidR="00422536" w:rsidRPr="003D4B91">
        <w:rPr>
          <w:color w:val="000000"/>
        </w:rPr>
        <w:t xml:space="preserve">they </w:t>
      </w:r>
      <w:r w:rsidRPr="003D4B91">
        <w:rPr>
          <w:color w:val="000000"/>
        </w:rPr>
        <w:t xml:space="preserve">did not feel confident contributing to the NbS aspects of RUCaS. On the other hand, those responsible for NbS broadly expressed an understanding of the importance of GEDSI, but none were confident that they could take responsibility for coordinating or incorporating GEDSI principles into their work. </w:t>
      </w:r>
    </w:p>
    <w:p w14:paraId="50123DEA" w14:textId="6166C380" w:rsidR="00B801C5" w:rsidRDefault="00286DC9" w:rsidP="00331F30">
      <w:pPr>
        <w:pBdr>
          <w:top w:val="nil"/>
          <w:left w:val="nil"/>
          <w:bottom w:val="nil"/>
          <w:right w:val="nil"/>
          <w:between w:val="nil"/>
        </w:pBdr>
      </w:pPr>
      <w:r w:rsidRPr="003D4B91">
        <w:t xml:space="preserve">The </w:t>
      </w:r>
      <w:r w:rsidR="00354FEF">
        <w:t>need for more</w:t>
      </w:r>
      <w:r w:rsidRPr="003D4B91">
        <w:t xml:space="preserve"> depth and sustainability of GEDSI outcomes in RUCaS can be explained by several factors, and these lessons suggest some of the ways in which a future phase of RUCaS could be improved. Firstly, GEDSI was brought in as </w:t>
      </w:r>
      <w:r w:rsidR="0033243D">
        <w:t xml:space="preserve">an </w:t>
      </w:r>
      <w:r w:rsidRPr="003D4B91">
        <w:t xml:space="preserve">add-on to RUCaS, rather than being fully integrated into the program from the beginning. This had practical implications in that it is </w:t>
      </w:r>
      <w:r w:rsidRPr="003D4B91">
        <w:lastRenderedPageBreak/>
        <w:t xml:space="preserve">difficult to retrofit case studies, design processes or tools (such as the BCA) to incorporate considerations of GEDSI. Secondly, it was clear that whilst RUCaS program staff and partners embraced the importance of GEDSI over the course of the program, the value of incorporating GEDSI principles into their technical NbS or design work was not an existing priority or skill for many. Developing GEDSI </w:t>
      </w:r>
      <w:r w:rsidRPr="003D4B91">
        <w:rPr>
          <w:i/>
          <w:iCs/>
        </w:rPr>
        <w:t>capacity</w:t>
      </w:r>
      <w:r w:rsidRPr="003D4B91">
        <w:t xml:space="preserve"> as well as </w:t>
      </w:r>
      <w:r w:rsidRPr="003D4B91">
        <w:rPr>
          <w:i/>
          <w:iCs/>
        </w:rPr>
        <w:t>motivation</w:t>
      </w:r>
      <w:r w:rsidRPr="003D4B91">
        <w:t xml:space="preserve"> among implementing organisations and their staff is a substantial undertaking</w:t>
      </w:r>
      <w:r w:rsidR="00A33789" w:rsidRPr="003D4B91">
        <w:t>,</w:t>
      </w:r>
      <w:r w:rsidRPr="003D4B91">
        <w:rPr>
          <w:rStyle w:val="FootnoteReference"/>
        </w:rPr>
        <w:footnoteReference w:id="39"/>
      </w:r>
      <w:r w:rsidRPr="003D4B91">
        <w:t xml:space="preserve"> and in the case of RUCaS, this needed to take place alongside working towards GEDSI changes in the case studies and partner country contexts. Thirdly, the timeframe for achieving GEDSI ‘</w:t>
      </w:r>
      <w:r w:rsidRPr="003D4B91">
        <w:rPr>
          <w:i/>
          <w:iCs/>
        </w:rPr>
        <w:t xml:space="preserve">transformative outcomes through </w:t>
      </w:r>
      <w:proofErr w:type="spellStart"/>
      <w:r w:rsidRPr="003D4B91">
        <w:rPr>
          <w:i/>
          <w:iCs/>
        </w:rPr>
        <w:t>NbS’</w:t>
      </w:r>
      <w:proofErr w:type="spellEnd"/>
      <w:r w:rsidRPr="003D4B91">
        <w:rPr>
          <w:i/>
          <w:iCs/>
        </w:rPr>
        <w:t xml:space="preserve"> </w:t>
      </w:r>
      <w:r w:rsidRPr="003D4B91">
        <w:t>(as described in the GEDSI strategy) in the context of a four</w:t>
      </w:r>
      <w:r w:rsidR="00A33789" w:rsidRPr="003D4B91">
        <w:t>-</w:t>
      </w:r>
      <w:r w:rsidRPr="003D4B91">
        <w:t xml:space="preserve">year program is too short. </w:t>
      </w:r>
      <w:r w:rsidR="00B801C5" w:rsidRPr="003D4B91">
        <w:t>Finally</w:t>
      </w:r>
      <w:r w:rsidRPr="003D4B91">
        <w:t>, the GEDSI strategy was too ambitious and not sufficiently practical to enable any organisation—let alone an organisation with limited existing GEDSI capacity or motivation—to achieve meaningful GEDSI change. For example, the strategy described RUCaS as aiming to achieve GEDSI ‘</w:t>
      </w:r>
      <w:r w:rsidRPr="003D4B91">
        <w:rPr>
          <w:i/>
          <w:iCs/>
        </w:rPr>
        <w:t>transformative outcomes through NbS’</w:t>
      </w:r>
      <w:r w:rsidR="00A33789" w:rsidRPr="003D4B91">
        <w:t>,</w:t>
      </w:r>
      <w:r w:rsidRPr="003D4B91">
        <w:t xml:space="preserve"> where ‘transformative’ means to change underlying power structures and norms. Altogether, this presented the RUCaS program with an impossible task: to change power structures and norms through an NbS program, without the required capacity in-house and within four years. </w:t>
      </w:r>
    </w:p>
    <w:p w14:paraId="2ABE037A" w14:textId="77777777" w:rsidR="002A53D1" w:rsidRDefault="000F76B5" w:rsidP="000F76B5">
      <w:pPr>
        <w:pBdr>
          <w:top w:val="single" w:sz="4" w:space="1" w:color="auto"/>
          <w:left w:val="single" w:sz="4" w:space="4" w:color="auto"/>
          <w:bottom w:val="single" w:sz="4" w:space="1" w:color="auto"/>
          <w:right w:val="single" w:sz="4" w:space="4" w:color="auto"/>
        </w:pBdr>
        <w:spacing w:before="240" w:after="240"/>
      </w:pPr>
      <w:r>
        <w:rPr>
          <w:i/>
          <w:iCs/>
          <w:color w:val="000000" w:themeColor="text1"/>
        </w:rPr>
        <w:t>“</w:t>
      </w:r>
      <w:r w:rsidRPr="000A4EBA">
        <w:rPr>
          <w:i/>
          <w:iCs/>
          <w:color w:val="000000" w:themeColor="text1"/>
        </w:rPr>
        <w:t xml:space="preserve">There was commitment to GEDSI on paper, but it was not </w:t>
      </w:r>
      <w:proofErr w:type="gramStart"/>
      <w:r w:rsidRPr="000A4EBA">
        <w:rPr>
          <w:i/>
          <w:iCs/>
          <w:color w:val="000000" w:themeColor="text1"/>
        </w:rPr>
        <w:t>really there</w:t>
      </w:r>
      <w:proofErr w:type="gramEnd"/>
      <w:r w:rsidRPr="000A4EBA">
        <w:rPr>
          <w:i/>
          <w:iCs/>
          <w:color w:val="000000" w:themeColor="text1"/>
        </w:rPr>
        <w:t xml:space="preserve"> in reality. It took a year and a half to bring it to a point where the organisation had some internal GEDSI capacity, and then to bring it into the case studies and finally, to get it to the point where it was more overt in communications, as well as who we invited</w:t>
      </w:r>
      <w:r>
        <w:rPr>
          <w:i/>
          <w:iCs/>
          <w:color w:val="000000" w:themeColor="text1"/>
        </w:rPr>
        <w:t xml:space="preserve"> to events</w:t>
      </w:r>
      <w:r w:rsidRPr="000A4EBA">
        <w:rPr>
          <w:i/>
          <w:iCs/>
          <w:color w:val="000000" w:themeColor="text1"/>
        </w:rPr>
        <w:t>.</w:t>
      </w:r>
      <w:r>
        <w:rPr>
          <w:i/>
          <w:iCs/>
          <w:color w:val="000000" w:themeColor="text1"/>
        </w:rPr>
        <w:t>”</w:t>
      </w:r>
      <w:r>
        <w:t>-</w:t>
      </w:r>
      <w:proofErr w:type="spellStart"/>
      <w:r>
        <w:t>RUCaS</w:t>
      </w:r>
      <w:proofErr w:type="spellEnd"/>
      <w:r>
        <w:t xml:space="preserve"> staff</w:t>
      </w:r>
    </w:p>
    <w:p w14:paraId="55EF0703" w14:textId="4949AEA6" w:rsidR="000F76B5" w:rsidRPr="000F76B5" w:rsidRDefault="000F76B5" w:rsidP="000F76B5">
      <w:pPr>
        <w:pBdr>
          <w:top w:val="single" w:sz="4" w:space="1" w:color="auto"/>
          <w:left w:val="single" w:sz="4" w:space="4" w:color="auto"/>
          <w:bottom w:val="single" w:sz="4" w:space="1" w:color="auto"/>
          <w:right w:val="single" w:sz="4" w:space="4" w:color="auto"/>
        </w:pBdr>
        <w:spacing w:before="240" w:after="240"/>
        <w:rPr>
          <w:color w:val="000000" w:themeColor="text1"/>
        </w:rPr>
      </w:pPr>
      <w:r>
        <w:rPr>
          <w:i/>
          <w:iCs/>
          <w:color w:val="000000" w:themeColor="text1"/>
        </w:rPr>
        <w:t>“</w:t>
      </w:r>
      <w:r w:rsidRPr="000A4EBA">
        <w:rPr>
          <w:i/>
          <w:iCs/>
          <w:color w:val="000000" w:themeColor="text1"/>
        </w:rPr>
        <w:t>A key challenge for WSCA going ahead is that they are still coming from an engineering and economic analysis about NbS solutions. If they’re going to use DFAT money, GEDSI analysis needs to be woven much more into those disciplines, so it’s streamlined and coordinated. There needs to be a far more robust approach to engaging with communities as well.</w:t>
      </w:r>
      <w:r>
        <w:rPr>
          <w:i/>
          <w:iCs/>
          <w:color w:val="000000" w:themeColor="text1"/>
        </w:rPr>
        <w:t>”</w:t>
      </w:r>
      <w:r>
        <w:t>-RUCaS staff</w:t>
      </w:r>
    </w:p>
    <w:p w14:paraId="1DAEF47E" w14:textId="19384BCF" w:rsidR="00286DC9" w:rsidRPr="003D4B91" w:rsidRDefault="00286DC9" w:rsidP="00331F30">
      <w:pPr>
        <w:pBdr>
          <w:top w:val="nil"/>
          <w:left w:val="nil"/>
          <w:bottom w:val="nil"/>
          <w:right w:val="nil"/>
          <w:between w:val="nil"/>
        </w:pBdr>
      </w:pPr>
      <w:r w:rsidRPr="003D4B91">
        <w:t>It is positive to see that RUCaS nevertheless achieved some GEDSI results, and this can be largely attributed to the engagement of staff who had experience in community development in the region, as well as the establishment and engagement of the</w:t>
      </w:r>
      <w:r w:rsidR="0033243D">
        <w:t xml:space="preserve"> GEDSI Lead and</w:t>
      </w:r>
      <w:r w:rsidRPr="003D4B91">
        <w:t xml:space="preserve"> GEDSI TAG members. However, a future phase of RUCaS will need to change its approach to meaningfully incorporate GEDSI through a) inclusion of GEDSI in the beginning of the program design, b) hiring staff responsible for GEDSI who have experience in GEDSI</w:t>
      </w:r>
      <w:r w:rsidR="00354FEF">
        <w:t xml:space="preserve"> and</w:t>
      </w:r>
      <w:r w:rsidRPr="003D4B91">
        <w:t xml:space="preserve"> community development</w:t>
      </w:r>
      <w:r w:rsidR="00354FEF">
        <w:t xml:space="preserve"> (and, ideally, also in </w:t>
      </w:r>
      <w:r w:rsidRPr="003D4B91">
        <w:t>a field such as engineering</w:t>
      </w:r>
      <w:r w:rsidR="00354FEF">
        <w:t>, economics, or climate resilience)</w:t>
      </w:r>
      <w:r w:rsidR="00A33789" w:rsidRPr="003D4B91">
        <w:t>,</w:t>
      </w:r>
      <w:r w:rsidRPr="003D4B91">
        <w:rPr>
          <w:rStyle w:val="FootnoteReference"/>
        </w:rPr>
        <w:footnoteReference w:id="40"/>
      </w:r>
      <w:r w:rsidRPr="003D4B91">
        <w:t xml:space="preserve"> c) conducting an in-depth GEDSI analysis of the program context prior to detailed program design and using this to inform the GEDSI strategy, d) dedicating resources to training program staff to develop their GEDSI capacity and motivation</w:t>
      </w:r>
      <w:r w:rsidR="00A33789" w:rsidRPr="003D4B91">
        <w:t>,</w:t>
      </w:r>
      <w:r w:rsidRPr="003D4B91">
        <w:rPr>
          <w:rStyle w:val="FootnoteReference"/>
        </w:rPr>
        <w:footnoteReference w:id="41"/>
      </w:r>
      <w:r w:rsidRPr="003D4B91">
        <w:t xml:space="preserve"> and e) ensuring that the GEDSI strategy and </w:t>
      </w:r>
      <w:r w:rsidRPr="003D4B91">
        <w:lastRenderedPageBreak/>
        <w:t xml:space="preserve">GEDSI components of </w:t>
      </w:r>
      <w:r w:rsidR="00596855">
        <w:t>t</w:t>
      </w:r>
      <w:r w:rsidRPr="003D4B91">
        <w:t>he program design are feasible and achievable given the capacity of the program staff, resources, time-frame and context.</w:t>
      </w:r>
    </w:p>
    <w:p w14:paraId="2B2F4383" w14:textId="77777777" w:rsidR="00BF60CF" w:rsidRDefault="00BF60CF" w:rsidP="00BF60CF">
      <w:pPr>
        <w:pBdr>
          <w:top w:val="single" w:sz="4" w:space="1" w:color="auto"/>
          <w:left w:val="single" w:sz="4" w:space="4" w:color="auto"/>
          <w:bottom w:val="single" w:sz="4" w:space="1" w:color="auto"/>
          <w:right w:val="single" w:sz="4" w:space="4" w:color="auto"/>
        </w:pBdr>
        <w:shd w:val="clear" w:color="auto" w:fill="F2F2F2" w:themeFill="background1" w:themeFillShade="F2"/>
        <w:spacing w:before="240" w:after="240"/>
      </w:pPr>
      <w:r w:rsidRPr="00E96DCB">
        <w:rPr>
          <w:b/>
          <w:bCs/>
        </w:rPr>
        <w:t>Recommendation 5:</w:t>
      </w:r>
      <w:r>
        <w:t xml:space="preserve"> </w:t>
      </w:r>
      <w:r w:rsidRPr="00E96DCB">
        <w:t>DFAT and the implementing team should ensure that GEDSI is resourced and included from the very beginning of any future phase of the RUCaS program. This includes the definition of clear and feasible GEDSI-related EOPO/IO in the program design, conducting in-depth GEDSI analysis prior to detailed design, and the development of a clear and feasible GEDSI strategy.</w:t>
      </w:r>
    </w:p>
    <w:p w14:paraId="4F3DC9F6" w14:textId="77777777" w:rsidR="00BF60CF" w:rsidRDefault="00BF60CF" w:rsidP="00BF60CF">
      <w:pPr>
        <w:pBdr>
          <w:top w:val="single" w:sz="4" w:space="1" w:color="auto"/>
          <w:left w:val="single" w:sz="4" w:space="4" w:color="auto"/>
          <w:bottom w:val="single" w:sz="4" w:space="1" w:color="auto"/>
          <w:right w:val="single" w:sz="4" w:space="4" w:color="auto"/>
        </w:pBdr>
        <w:shd w:val="clear" w:color="auto" w:fill="F2F2F2" w:themeFill="background1" w:themeFillShade="F2"/>
        <w:spacing w:before="240" w:after="240"/>
      </w:pPr>
      <w:r w:rsidRPr="00E96DCB">
        <w:rPr>
          <w:b/>
          <w:bCs/>
        </w:rPr>
        <w:t>Recommendation 6:</w:t>
      </w:r>
      <w:r>
        <w:t xml:space="preserve"> </w:t>
      </w:r>
      <w:r w:rsidRPr="00E96DCB">
        <w:t>The implementing team of any future phase of the RUCaS program should hire staff to be responsible for implementing the program GEDSI outcomes (preferably separate roles for gender equality, disability inclusion and representation of other marginalised groups) who have expertise in GEDSI, community development and technical fields such as engineering (that is, experts who can work across these disciplines).</w:t>
      </w:r>
    </w:p>
    <w:p w14:paraId="1079C640" w14:textId="77777777" w:rsidR="00BF60CF" w:rsidRDefault="00BF60CF" w:rsidP="00BF60CF">
      <w:pPr>
        <w:pBdr>
          <w:top w:val="single" w:sz="4" w:space="1" w:color="auto"/>
          <w:left w:val="single" w:sz="4" w:space="4" w:color="auto"/>
          <w:bottom w:val="single" w:sz="4" w:space="1" w:color="auto"/>
          <w:right w:val="single" w:sz="4" w:space="4" w:color="auto"/>
        </w:pBdr>
        <w:shd w:val="clear" w:color="auto" w:fill="F2F2F2" w:themeFill="background1" w:themeFillShade="F2"/>
        <w:spacing w:before="240" w:after="240"/>
      </w:pPr>
      <w:r w:rsidRPr="00E96DCB">
        <w:rPr>
          <w:b/>
          <w:bCs/>
        </w:rPr>
        <w:t>Recommendation 7:</w:t>
      </w:r>
      <w:r>
        <w:t xml:space="preserve"> </w:t>
      </w:r>
      <w:r w:rsidRPr="00E96DCB">
        <w:t>The implementing team of any future phase of the RUCaS program should facilitate GEDSI capacity development, firstly for the implementing team (and implementing partner organisations) and then for NbS champions, planners and implementers in the region.</w:t>
      </w:r>
    </w:p>
    <w:p w14:paraId="53D6BEB8" w14:textId="28611F6A" w:rsidR="00C20AF1" w:rsidRPr="003D4B91" w:rsidRDefault="00C20AF1" w:rsidP="00EF773E">
      <w:pPr>
        <w:pStyle w:val="Heading20"/>
        <w:numPr>
          <w:ilvl w:val="1"/>
          <w:numId w:val="1"/>
        </w:numPr>
        <w:spacing w:before="480"/>
        <w:jc w:val="both"/>
      </w:pPr>
      <w:bookmarkStart w:id="153" w:name="_Ref219838950"/>
      <w:bookmarkStart w:id="154" w:name="_Toc225951860"/>
      <w:r w:rsidRPr="003D4B91">
        <w:t>Efficiency</w:t>
      </w:r>
      <w:bookmarkEnd w:id="153"/>
      <w:bookmarkEnd w:id="154"/>
    </w:p>
    <w:p w14:paraId="18EBF462" w14:textId="77777777" w:rsidR="001843CA" w:rsidRDefault="00234C36" w:rsidP="00234C36">
      <w:r w:rsidRPr="003D4B91">
        <w:t xml:space="preserve">According to DFAT standards, efficiency is a measure of the extent to which an investment </w:t>
      </w:r>
    </w:p>
    <w:p w14:paraId="710B0267" w14:textId="36814976" w:rsidR="00234C36" w:rsidRPr="003D4B91" w:rsidRDefault="00234C36" w:rsidP="00234C36">
      <w:r w:rsidRPr="003D4B91">
        <w:t>makes appropriate use of Australia’s and other partners’ human, financial and time resources to achieve its intended outcomes and includes consideration of the governance and management arrangements for the investment.</w:t>
      </w:r>
      <w:r w:rsidRPr="003D4B91">
        <w:rPr>
          <w:rStyle w:val="FootnoteReference"/>
        </w:rPr>
        <w:footnoteReference w:id="42"/>
      </w:r>
      <w:r w:rsidRPr="003D4B91">
        <w:t xml:space="preserve"> In the case of RUCaS, </w:t>
      </w:r>
      <w:r w:rsidR="00524952">
        <w:t xml:space="preserve">whilst progress was made toward achieving </w:t>
      </w:r>
      <w:r w:rsidRPr="003D4B91">
        <w:t>the EOPO by the end of the program (</w:t>
      </w:r>
      <w:r w:rsidR="0017197E">
        <w:t xml:space="preserve">including </w:t>
      </w:r>
      <w:r w:rsidRPr="003D4B91">
        <w:t>the GEDSI cross-cutting focus)</w:t>
      </w:r>
      <w:r w:rsidR="00524952">
        <w:t>, none were fully achieved and this means that there was room for improvement in terms of efficiency</w:t>
      </w:r>
      <w:r w:rsidRPr="003D4B91">
        <w:t>. This is unsurprising, given that the program logic (as summarised in the Updated MEL Framework) was</w:t>
      </w:r>
      <w:r w:rsidR="008812AF">
        <w:t xml:space="preserve"> broadly</w:t>
      </w:r>
      <w:r w:rsidRPr="003D4B91">
        <w:t xml:space="preserve"> implausible, unclear and rested on unreasonable assumptions (as discussed in detail in Appendix </w:t>
      </w:r>
      <w:r w:rsidR="00BB016F" w:rsidRPr="003D4B91">
        <w:t>D</w:t>
      </w:r>
      <w:r w:rsidRPr="003D4B91">
        <w:t xml:space="preserve">: RUCaS Evaluability Assessment and mentioned elsewhere in this report). </w:t>
      </w:r>
    </w:p>
    <w:p w14:paraId="2D386C93" w14:textId="026A8A52" w:rsidR="00BD60F4" w:rsidRDefault="00234C36" w:rsidP="00234C36">
      <w:r w:rsidRPr="003D4B91">
        <w:t xml:space="preserve">The evaluation team noted—both in RUCaS documentation and through the interviews with informants—that some of the work achieved through the RUCaS program was outside of the program logic as defined in the MEL Framework. The RUCaS mid-term report (2025) detailed several of the </w:t>
      </w:r>
      <w:r w:rsidR="00BD60F4">
        <w:t>‘parallel projects that are integrating NbS approaches’ through ‘leveraging’ by RUCaS in all four countries.</w:t>
      </w:r>
      <w:r w:rsidR="00BD60F4">
        <w:rPr>
          <w:rStyle w:val="FootnoteReference"/>
        </w:rPr>
        <w:footnoteReference w:id="43"/>
      </w:r>
      <w:r w:rsidR="00BD60F4">
        <w:t xml:space="preserve"> Some of this work drew on RUCaS resources and staff time and some was supported by external funding. </w:t>
      </w:r>
      <w:r w:rsidRPr="003D4B91">
        <w:t>These extra benefits can be assessed as positive because they reflect</w:t>
      </w:r>
      <w:r w:rsidR="00BA6A7A">
        <w:t>ed</w:t>
      </w:r>
      <w:r w:rsidRPr="003D4B91">
        <w:t xml:space="preserve"> the responsiveness and flexibility of the RUCaS program</w:t>
      </w:r>
      <w:r w:rsidR="00BD60F4">
        <w:t>. Put another way: RUCaS was able to support the integration of NbS in</w:t>
      </w:r>
      <w:r w:rsidR="001430A4">
        <w:t xml:space="preserve"> implementation activities </w:t>
      </w:r>
      <w:r w:rsidR="00BD60F4">
        <w:t xml:space="preserve">outside of the </w:t>
      </w:r>
      <w:r w:rsidR="001430A4">
        <w:t>RUCaS program</w:t>
      </w:r>
      <w:r w:rsidR="00BD60F4">
        <w:t xml:space="preserve">. </w:t>
      </w:r>
      <w:r w:rsidR="00BD60F4" w:rsidRPr="003D4B91">
        <w:t xml:space="preserve">However, this drew resources and focus away from </w:t>
      </w:r>
      <w:r w:rsidR="00E6044D">
        <w:t>RUCaS’ intended outcomes which thus impacted the assessment of the program’s efficiency</w:t>
      </w:r>
      <w:r w:rsidR="00BD60F4">
        <w:t>. The</w:t>
      </w:r>
      <w:r w:rsidR="00E6044D">
        <w:t xml:space="preserve"> key</w:t>
      </w:r>
      <w:r w:rsidR="00BD60F4">
        <w:t xml:space="preserve"> lesson</w:t>
      </w:r>
      <w:r w:rsidR="00E6044D">
        <w:t>s</w:t>
      </w:r>
      <w:r w:rsidR="00BD60F4">
        <w:t xml:space="preserve"> learned </w:t>
      </w:r>
      <w:r w:rsidR="00E6044D">
        <w:t>here are</w:t>
      </w:r>
      <w:r w:rsidR="00BD60F4">
        <w:t xml:space="preserve"> that any future phase of RUCaS should a)</w:t>
      </w:r>
      <w:r w:rsidR="00E6044D">
        <w:t xml:space="preserve"> ensure that the program logic for any </w:t>
      </w:r>
      <w:r w:rsidR="00E6044D">
        <w:lastRenderedPageBreak/>
        <w:t>future phase of RUCaS clearly sets out what the program can feasibly achieve with its given resources and b)</w:t>
      </w:r>
      <w:r w:rsidR="00BD60F4">
        <w:t xml:space="preserve"> focus its resources on what it mean</w:t>
      </w:r>
      <w:r w:rsidR="00524952">
        <w:t>s</w:t>
      </w:r>
      <w:r w:rsidR="00BD60F4">
        <w:t xml:space="preserve"> to achieve</w:t>
      </w:r>
      <w:r w:rsidR="00E6044D">
        <w:t>.</w:t>
      </w:r>
      <w:r w:rsidR="00BD60F4">
        <w:t xml:space="preserve"> </w:t>
      </w:r>
    </w:p>
    <w:p w14:paraId="08ECDA4F" w14:textId="77DF4632" w:rsidR="00234C36" w:rsidRDefault="00234C36" w:rsidP="00234C36">
      <w:r w:rsidRPr="003D4B91">
        <w:t xml:space="preserve">There were several indications that, </w:t>
      </w:r>
      <w:proofErr w:type="gramStart"/>
      <w:r w:rsidRPr="003D4B91">
        <w:t>in spite of</w:t>
      </w:r>
      <w:proofErr w:type="gramEnd"/>
      <w:r w:rsidRPr="003D4B91">
        <w:t xml:space="preserve"> the limitations posed by the program logic, the RUCaS team broadly made the best of the human, financial and time resources they had to be productive. The expertise and experience of the RUCaS and ICEM staff were widely regarded as a major strength of the program. Government representatives and implementing partners across the four countries consistently expressed appreciation for the high level of experience and technical expertise provided by both the Australia-based WSCA team, the ICEM team, and the in-country RUCaS staff. </w:t>
      </w:r>
    </w:p>
    <w:p w14:paraId="0CE7A8A4" w14:textId="77777777" w:rsidR="002A53D1" w:rsidRDefault="00EF773E" w:rsidP="002A53D1">
      <w:pPr>
        <w:pBdr>
          <w:top w:val="single" w:sz="4" w:space="1" w:color="auto"/>
          <w:left w:val="single" w:sz="4" w:space="4" w:color="auto"/>
          <w:bottom w:val="single" w:sz="4" w:space="1" w:color="auto"/>
          <w:right w:val="single" w:sz="4" w:space="4" w:color="auto"/>
        </w:pBdr>
        <w:spacing w:before="240" w:after="240" w:line="276" w:lineRule="auto"/>
      </w:pPr>
      <w:r>
        <w:rPr>
          <w:i/>
          <w:iCs/>
        </w:rPr>
        <w:t>“</w:t>
      </w:r>
      <w:r w:rsidRPr="00217A21">
        <w:rPr>
          <w:i/>
          <w:iCs/>
        </w:rPr>
        <w:t xml:space="preserve">There are many organisations who do </w:t>
      </w:r>
      <w:r>
        <w:rPr>
          <w:i/>
          <w:iCs/>
        </w:rPr>
        <w:t xml:space="preserve">NbS </w:t>
      </w:r>
      <w:r w:rsidRPr="00217A21">
        <w:rPr>
          <w:i/>
          <w:iCs/>
        </w:rPr>
        <w:t xml:space="preserve">in the region. </w:t>
      </w:r>
      <w:r>
        <w:rPr>
          <w:i/>
          <w:iCs/>
        </w:rPr>
        <w:t>RUCaS</w:t>
      </w:r>
      <w:r w:rsidRPr="00217A21">
        <w:rPr>
          <w:i/>
          <w:iCs/>
        </w:rPr>
        <w:t xml:space="preserve"> is </w:t>
      </w:r>
      <w:r>
        <w:rPr>
          <w:i/>
          <w:iCs/>
        </w:rPr>
        <w:t xml:space="preserve">a </w:t>
      </w:r>
      <w:r w:rsidRPr="00217A21">
        <w:rPr>
          <w:i/>
          <w:iCs/>
        </w:rPr>
        <w:t xml:space="preserve">high-quality guarantee. </w:t>
      </w:r>
      <w:r>
        <w:rPr>
          <w:i/>
          <w:iCs/>
        </w:rPr>
        <w:t>I</w:t>
      </w:r>
      <w:r w:rsidRPr="00217A21">
        <w:rPr>
          <w:i/>
          <w:iCs/>
        </w:rPr>
        <w:t>t’s done by a university, it’s trustworthy.</w:t>
      </w:r>
      <w:r>
        <w:rPr>
          <w:i/>
          <w:iCs/>
        </w:rPr>
        <w:t>”</w:t>
      </w:r>
      <w:r w:rsidRPr="00217A21">
        <w:rPr>
          <w:i/>
          <w:iCs/>
        </w:rPr>
        <w:t xml:space="preserve">  </w:t>
      </w:r>
      <w:r>
        <w:t>-Interested third party</w:t>
      </w:r>
    </w:p>
    <w:p w14:paraId="352A7CD5" w14:textId="26D322B8" w:rsidR="00EF773E" w:rsidRPr="00EF773E" w:rsidRDefault="00EF773E" w:rsidP="002A53D1">
      <w:pPr>
        <w:pBdr>
          <w:top w:val="single" w:sz="4" w:space="1" w:color="auto"/>
          <w:left w:val="single" w:sz="4" w:space="4" w:color="auto"/>
          <w:bottom w:val="single" w:sz="4" w:space="1" w:color="auto"/>
          <w:right w:val="single" w:sz="4" w:space="4" w:color="auto"/>
        </w:pBdr>
        <w:spacing w:before="240" w:after="240" w:line="276" w:lineRule="auto"/>
        <w:rPr>
          <w:i/>
          <w:iCs/>
        </w:rPr>
      </w:pPr>
      <w:r>
        <w:rPr>
          <w:i/>
          <w:iCs/>
        </w:rPr>
        <w:t>“</w:t>
      </w:r>
      <w:proofErr w:type="spellStart"/>
      <w:r>
        <w:rPr>
          <w:i/>
          <w:iCs/>
        </w:rPr>
        <w:t>RUCaS</w:t>
      </w:r>
      <w:proofErr w:type="spellEnd"/>
      <w:r>
        <w:rPr>
          <w:i/>
          <w:iCs/>
        </w:rPr>
        <w:t xml:space="preserve"> h</w:t>
      </w:r>
      <w:r w:rsidRPr="00430415">
        <w:rPr>
          <w:i/>
          <w:iCs/>
        </w:rPr>
        <w:t xml:space="preserve">ad to build form scratch in a piece wise way and our entry </w:t>
      </w:r>
      <w:r>
        <w:rPr>
          <w:i/>
          <w:iCs/>
        </w:rPr>
        <w:t>point</w:t>
      </w:r>
      <w:r w:rsidRPr="00430415">
        <w:rPr>
          <w:i/>
          <w:iCs/>
        </w:rPr>
        <w:t xml:space="preserve"> in each place was different. e.g. in Vietnam, codes didn’t permit anything, so we had to start</w:t>
      </w:r>
      <w:r>
        <w:rPr>
          <w:i/>
          <w:iCs/>
        </w:rPr>
        <w:t xml:space="preserve"> with </w:t>
      </w:r>
      <w:r w:rsidRPr="00430415">
        <w:rPr>
          <w:i/>
          <w:iCs/>
        </w:rPr>
        <w:t>the university and bring people in, so they’d hopefully take it outside and do it elsewhere. In other places, e.g. Thailand we could do it more top down. Different entry points – sometimes top down and sometimes bottom up</w:t>
      </w:r>
      <w:r>
        <w:rPr>
          <w:i/>
          <w:iCs/>
        </w:rPr>
        <w:t>.”</w:t>
      </w:r>
      <w:r>
        <w:t>-RUCaS staff</w:t>
      </w:r>
    </w:p>
    <w:p w14:paraId="017FBBCE" w14:textId="3268D2E6" w:rsidR="00234C36" w:rsidRPr="003D4B91" w:rsidRDefault="00234C36" w:rsidP="00234C36">
      <w:r w:rsidRPr="003D4B91">
        <w:t xml:space="preserve">The decision to implement RUCaS through a partnership between WSCA (and Australian-based academic institute) and ICEM (a Viet Nam-based organisation familiar with implementing development interventions in the Mekong </w:t>
      </w:r>
      <w:r w:rsidR="00F90884">
        <w:t>sub</w:t>
      </w:r>
      <w:r w:rsidRPr="003D4B91">
        <w:t xml:space="preserve">region) </w:t>
      </w:r>
      <w:r w:rsidR="0079501D">
        <w:t xml:space="preserve">and, in turn, through NGOs and universities working locally, </w:t>
      </w:r>
      <w:r w:rsidRPr="003D4B91">
        <w:t>built efficiencies into the program. Whilst the informants reported tensions that inevitably arise during such partnerships</w:t>
      </w:r>
      <w:r w:rsidR="0017197E" w:rsidRPr="003D4B91">
        <w:t>—</w:t>
      </w:r>
      <w:r w:rsidRPr="003D4B91">
        <w:t>particularly when there are differing organisational mandates, experience and approaches</w:t>
      </w:r>
      <w:r w:rsidR="0017197E" w:rsidRPr="003D4B91">
        <w:t>—</w:t>
      </w:r>
      <w:r w:rsidRPr="003D4B91">
        <w:t>each organisation brought its strengths. WSCA brought its technical expertise in NbS, academic rigour and expertise in knowledge sharing. ICEM brough</w:t>
      </w:r>
      <w:r w:rsidR="0033243D">
        <w:t>t</w:t>
      </w:r>
      <w:r w:rsidRPr="003D4B91">
        <w:t xml:space="preserve"> its intimate </w:t>
      </w:r>
      <w:r w:rsidR="0079501D">
        <w:t xml:space="preserve">contextual </w:t>
      </w:r>
      <w:r w:rsidRPr="003D4B91">
        <w:t>knowledge of the</w:t>
      </w:r>
      <w:r w:rsidR="0079501D">
        <w:t xml:space="preserve"> </w:t>
      </w:r>
      <w:r w:rsidRPr="003D4B91">
        <w:t>region (particularly Viet Nam and Cambodia) and networks with locally based designers and contractors</w:t>
      </w:r>
      <w:r w:rsidR="0079501D">
        <w:t>. The local NGOs and universities that WSCA and ICEM worked with brough</w:t>
      </w:r>
      <w:r w:rsidR="0033243D">
        <w:t>t</w:t>
      </w:r>
      <w:r w:rsidR="0079501D">
        <w:t xml:space="preserve"> contextual knowledge and expertise in community development</w:t>
      </w:r>
      <w:r w:rsidRPr="003D4B91">
        <w:t>. Any future phase of RUCaS should consider an implementation partnership arrangement such as this to leverage and balance the strengths of an academic institution with locally based organisation</w:t>
      </w:r>
      <w:r w:rsidR="0079501D">
        <w:t>s</w:t>
      </w:r>
      <w:r w:rsidRPr="003D4B91">
        <w:t xml:space="preserve"> that </w:t>
      </w:r>
      <w:r w:rsidR="0079501D">
        <w:t>have</w:t>
      </w:r>
      <w:r w:rsidR="0079501D" w:rsidRPr="003D4B91">
        <w:t xml:space="preserve"> </w:t>
      </w:r>
      <w:r w:rsidRPr="003D4B91">
        <w:t>expertise in community development</w:t>
      </w:r>
      <w:r w:rsidR="0079501D">
        <w:t xml:space="preserve"> and local networks</w:t>
      </w:r>
      <w:r w:rsidRPr="003D4B91">
        <w:t xml:space="preserve">. </w:t>
      </w:r>
    </w:p>
    <w:p w14:paraId="1C547CAB" w14:textId="08C39047" w:rsidR="00234C36" w:rsidRPr="003D4B91" w:rsidRDefault="00234C36" w:rsidP="00234C36">
      <w:r w:rsidRPr="003D4B91">
        <w:t>It was also suggested, by several informants, that a future phase of RUCaS would benefit from having larger in-country teams with staff who had more technical capacity. This was to decrease reliance on Australia-based staff who could not always be physically present in the region as well as to improve efficiency of implementation through hiring staff who combine a strong understanding of the local contexts and languages with technical expertise in NbS. Leveraging partnerships with local universities was also seen as an important opportunity to strengthen and localise technical knowledge (something that was taking place in all countries but could be leveraged more in a future phase of RUCaS).</w:t>
      </w:r>
    </w:p>
    <w:p w14:paraId="703F73C0" w14:textId="43DA43BF" w:rsidR="00234C36" w:rsidRDefault="00234C36" w:rsidP="00234C36">
      <w:r w:rsidRPr="003D4B91">
        <w:t xml:space="preserve">Another approach that proved efficient, was the way in which RUCaS engaged appropriate partners across the four countries—both in government as well as in locally-based implementing organisations. In Lao PDR, Cambodia, and Thailand, the program engaged government ministries that were well positioned to increase the overall acceptability of NbS and to cultivate networks of capable and motivated champions. In Viet Nam, where government </w:t>
      </w:r>
      <w:r w:rsidRPr="003D4B91">
        <w:lastRenderedPageBreak/>
        <w:t xml:space="preserve">engagement proved particularly complex, RUCaS adapted effectively by working through two local universities as an alternative entry point. The decision to partner with local organisations </w:t>
      </w:r>
      <w:r w:rsidRPr="00446D44">
        <w:t xml:space="preserve">such as </w:t>
      </w:r>
      <w:r w:rsidR="00446D44" w:rsidRPr="00446D44">
        <w:t xml:space="preserve">Groupe de Recherche et </w:t>
      </w:r>
      <w:proofErr w:type="spellStart"/>
      <w:r w:rsidR="00446D44" w:rsidRPr="00446D44">
        <w:t>d'Échange</w:t>
      </w:r>
      <w:proofErr w:type="spellEnd"/>
      <w:r w:rsidR="00446D44" w:rsidRPr="00446D44">
        <w:t xml:space="preserve"> </w:t>
      </w:r>
      <w:proofErr w:type="spellStart"/>
      <w:r w:rsidR="00446D44" w:rsidRPr="00446D44">
        <w:t>Technologique</w:t>
      </w:r>
      <w:proofErr w:type="spellEnd"/>
      <w:r w:rsidR="00446D44" w:rsidRPr="00446D44">
        <w:t xml:space="preserve"> (</w:t>
      </w:r>
      <w:r w:rsidRPr="00446D44">
        <w:t>GRET</w:t>
      </w:r>
      <w:r w:rsidR="00446D44" w:rsidRPr="00446D44">
        <w:t>)</w:t>
      </w:r>
      <w:r w:rsidRPr="00446D44">
        <w:t xml:space="preserve"> and GGGI for impleme</w:t>
      </w:r>
      <w:r w:rsidRPr="003D4B91">
        <w:t>ntation was considered efficient, particularly given the small size of in-country RUCaS teams and the strong contextual knowledge held by these organisations. More broadly, RUCaS selected partner countries and institutions where collaboration was feasible. Existing relationships played a critical role in Thailand and Cambodia, where trusted individuals within government helped convene a steering committee (in Thailand) and facilitate broader engagement.</w:t>
      </w:r>
    </w:p>
    <w:p w14:paraId="0C78D011" w14:textId="77777777" w:rsidR="00F95403" w:rsidRDefault="00F95403" w:rsidP="00F95403">
      <w:pPr>
        <w:pBdr>
          <w:top w:val="single" w:sz="4" w:space="1" w:color="auto"/>
          <w:left w:val="single" w:sz="4" w:space="4" w:color="auto"/>
          <w:bottom w:val="single" w:sz="4" w:space="1" w:color="auto"/>
          <w:right w:val="single" w:sz="4" w:space="4" w:color="auto"/>
        </w:pBdr>
        <w:shd w:val="clear" w:color="auto" w:fill="F2F2F2" w:themeFill="background1" w:themeFillShade="F2"/>
        <w:spacing w:before="240" w:after="240"/>
      </w:pPr>
      <w:r w:rsidRPr="00E96DCB">
        <w:rPr>
          <w:b/>
          <w:bCs/>
        </w:rPr>
        <w:t>Recommendation 8:</w:t>
      </w:r>
      <w:r>
        <w:t xml:space="preserve"> </w:t>
      </w:r>
      <w:r w:rsidRPr="00E96DCB">
        <w:t xml:space="preserve">The implementers of any future phase of the RUCaS program should aim to have most of its </w:t>
      </w:r>
      <w:r>
        <w:t xml:space="preserve">implementation </w:t>
      </w:r>
      <w:r w:rsidRPr="00E96DCB">
        <w:t>team based in the target countries and comprise staff who have local language skills and understanding of local culture and political economy as well as NbS technical capacity.</w:t>
      </w:r>
    </w:p>
    <w:p w14:paraId="522BEB0E" w14:textId="2CFCAB9C" w:rsidR="00C20AF1" w:rsidRPr="003D4B91" w:rsidRDefault="00C20AF1" w:rsidP="00F95403">
      <w:pPr>
        <w:pStyle w:val="Heading20"/>
        <w:numPr>
          <w:ilvl w:val="1"/>
          <w:numId w:val="1"/>
        </w:numPr>
        <w:spacing w:before="480"/>
        <w:ind w:left="357" w:hanging="357"/>
        <w:jc w:val="both"/>
      </w:pPr>
      <w:bookmarkStart w:id="155" w:name="_Toc219855021"/>
      <w:bookmarkStart w:id="156" w:name="_Toc219855022"/>
      <w:bookmarkStart w:id="157" w:name="_Ref219837732"/>
      <w:bookmarkStart w:id="158" w:name="_Ref219839447"/>
      <w:bookmarkStart w:id="159" w:name="_Toc225951861"/>
      <w:bookmarkEnd w:id="155"/>
      <w:bookmarkEnd w:id="156"/>
      <w:r w:rsidRPr="003D4B91">
        <w:t>Sustainability</w:t>
      </w:r>
      <w:bookmarkEnd w:id="157"/>
      <w:bookmarkEnd w:id="158"/>
      <w:bookmarkEnd w:id="159"/>
    </w:p>
    <w:p w14:paraId="4A77DFFA" w14:textId="51C95B0B" w:rsidR="003E56F4" w:rsidRPr="003D4B91" w:rsidRDefault="003E56F4" w:rsidP="003E56F4">
      <w:r w:rsidRPr="003D4B91">
        <w:t xml:space="preserve">The </w:t>
      </w:r>
      <w:r w:rsidR="00446D44" w:rsidRPr="00AC4035">
        <w:t>Organisation for Economic Co-operation and Development</w:t>
      </w:r>
      <w:r w:rsidR="00446D44" w:rsidRPr="003D4B91">
        <w:t xml:space="preserve"> </w:t>
      </w:r>
      <w:r w:rsidR="00A5084A">
        <w:t xml:space="preserve">(OECD) </w:t>
      </w:r>
      <w:r w:rsidR="00446D44" w:rsidRPr="003D4B91">
        <w:t xml:space="preserve">Development Assistance Committee </w:t>
      </w:r>
      <w:r w:rsidR="00446D44">
        <w:t>(</w:t>
      </w:r>
      <w:r w:rsidRPr="003D4B91">
        <w:t>DAC</w:t>
      </w:r>
      <w:r w:rsidR="00446D44">
        <w:t>)</w:t>
      </w:r>
      <w:r w:rsidRPr="003D4B91">
        <w:t xml:space="preserve"> definition of sustainability is: “</w:t>
      </w:r>
      <w:r w:rsidRPr="003D4B91">
        <w:rPr>
          <w:i/>
          <w:iCs/>
        </w:rPr>
        <w:t xml:space="preserve">The extent to which the net benefits of the intervention </w:t>
      </w:r>
      <w:proofErr w:type="gramStart"/>
      <w:r w:rsidRPr="003D4B91">
        <w:rPr>
          <w:i/>
          <w:iCs/>
        </w:rPr>
        <w:t>continue, or</w:t>
      </w:r>
      <w:proofErr w:type="gramEnd"/>
      <w:r w:rsidRPr="003D4B91">
        <w:rPr>
          <w:i/>
          <w:iCs/>
        </w:rPr>
        <w:t xml:space="preserve"> are likely to continue</w:t>
      </w:r>
      <w:r w:rsidRPr="003D4B91">
        <w:t>”.</w:t>
      </w:r>
      <w:r w:rsidRPr="003D4B91">
        <w:rPr>
          <w:vertAlign w:val="superscript"/>
        </w:rPr>
        <w:footnoteReference w:id="44"/>
      </w:r>
      <w:r w:rsidRPr="003D4B91">
        <w:t xml:space="preserve"> For this evaluation of RUCaS, therefore, the KEQs concerning sustainability </w:t>
      </w:r>
      <w:r w:rsidR="003349AE">
        <w:t>focused</w:t>
      </w:r>
      <w:r w:rsidRPr="003D4B91">
        <w:t xml:space="preserve"> on the extent to which the </w:t>
      </w:r>
      <w:r w:rsidR="00C041D4" w:rsidRPr="003D4B91">
        <w:rPr>
          <w:b/>
          <w:bCs/>
        </w:rPr>
        <w:t>case studies</w:t>
      </w:r>
      <w:r w:rsidRPr="003D4B91">
        <w:t xml:space="preserve"> and </w:t>
      </w:r>
      <w:r w:rsidRPr="003D4B91">
        <w:rPr>
          <w:b/>
          <w:bCs/>
        </w:rPr>
        <w:t>approaches</w:t>
      </w:r>
      <w:r w:rsidRPr="003D4B91">
        <w:t xml:space="preserve"> in RUCaS would be maintained beyond the life of the program and what factors would enable or constrain this. As is common in such evaluations, the program was not yet complete at the time of data collection or report writing</w:t>
      </w:r>
      <w:r w:rsidR="00FD6F4F" w:rsidRPr="003D4B91">
        <w:t>,</w:t>
      </w:r>
      <w:r w:rsidRPr="003D4B91">
        <w:t xml:space="preserve"> so the assessment of the sustainability of RUCaS was made based on </w:t>
      </w:r>
      <w:r w:rsidRPr="003D4B91">
        <w:rPr>
          <w:i/>
          <w:iCs/>
        </w:rPr>
        <w:t>indications of potential sustainability</w:t>
      </w:r>
      <w:r w:rsidRPr="003D4B91">
        <w:t>.</w:t>
      </w:r>
      <w:r w:rsidRPr="003D4B91">
        <w:rPr>
          <w:vertAlign w:val="superscript"/>
        </w:rPr>
        <w:footnoteReference w:id="45"/>
      </w:r>
      <w:r w:rsidRPr="003D4B91">
        <w:t xml:space="preserve"> </w:t>
      </w:r>
    </w:p>
    <w:p w14:paraId="73D86856" w14:textId="77777777" w:rsidR="003E56F4" w:rsidRDefault="003E56F4" w:rsidP="00FD6F4F">
      <w:pPr>
        <w:pStyle w:val="Heading3"/>
      </w:pPr>
      <w:bookmarkStart w:id="160" w:name="_Toc225951862"/>
      <w:r w:rsidRPr="003D4B91">
        <w:t>Case studies</w:t>
      </w:r>
      <w:bookmarkEnd w:id="160"/>
    </w:p>
    <w:p w14:paraId="2E6E43DE" w14:textId="2C2993BD" w:rsidR="006A3261" w:rsidRDefault="00DA61D1" w:rsidP="006A3261">
      <w:r>
        <w:t>EOPO 1 sought to increase the acceptance of NbS by partners in the Mekong subregion through establishing ‘</w:t>
      </w:r>
      <w:r w:rsidRPr="00A86E65">
        <w:t>clear pathways for the RUCaS case studies to be progressed to full implementation (by either local or likeminded partners)</w:t>
      </w:r>
      <w:r>
        <w:t xml:space="preserve">’. </w:t>
      </w:r>
      <w:r w:rsidR="001F6310">
        <w:t xml:space="preserve">Whilst there was evidence </w:t>
      </w:r>
      <w:r>
        <w:t>that case studies</w:t>
      </w:r>
      <w:r w:rsidR="001F6310">
        <w:t xml:space="preserve"> in all four countries</w:t>
      </w:r>
      <w:r>
        <w:t xml:space="preserve"> had progressed beyond the ‘concept’ phase</w:t>
      </w:r>
      <w:r w:rsidR="001F6310">
        <w:t xml:space="preserve">, </w:t>
      </w:r>
      <w:r>
        <w:t xml:space="preserve">there were </w:t>
      </w:r>
      <w:r w:rsidR="001F6310">
        <w:t xml:space="preserve">significant barriers to </w:t>
      </w:r>
      <w:r w:rsidR="00A86E65">
        <w:t>ensuring</w:t>
      </w:r>
      <w:r w:rsidR="001F6310">
        <w:t xml:space="preserve"> </w:t>
      </w:r>
      <w:r w:rsidR="00813161">
        <w:t xml:space="preserve">that this progression </w:t>
      </w:r>
      <w:r>
        <w:t>would continue without the support of RUCaS</w:t>
      </w:r>
      <w:r w:rsidR="00813161">
        <w:t xml:space="preserve">. </w:t>
      </w:r>
      <w:r w:rsidR="00B87D1D">
        <w:t>Lessons learned highlighted that a</w:t>
      </w:r>
      <w:r w:rsidR="005032BD" w:rsidRPr="003D4B91">
        <w:t xml:space="preserve">vailable finances </w:t>
      </w:r>
      <w:r w:rsidR="00773713" w:rsidRPr="003D4B91">
        <w:t>we</w:t>
      </w:r>
      <w:r w:rsidR="005032BD" w:rsidRPr="003D4B91">
        <w:t>re a widespread concern, though some cases ha</w:t>
      </w:r>
      <w:r w:rsidR="00773713" w:rsidRPr="003D4B91">
        <w:t>d</w:t>
      </w:r>
      <w:r w:rsidR="005032BD" w:rsidRPr="003D4B91">
        <w:t xml:space="preserve"> found methods to move forward (e.g. using corporate social responsibility funds in Thailand). However, informants in all countries specified that they </w:t>
      </w:r>
      <w:r w:rsidR="00C041D4" w:rsidRPr="003D4B91">
        <w:t>did not</w:t>
      </w:r>
      <w:r w:rsidR="005032BD" w:rsidRPr="003D4B91">
        <w:t xml:space="preserve"> know the true cost of NbS and/or they consider</w:t>
      </w:r>
      <w:r w:rsidR="00773713" w:rsidRPr="003D4B91">
        <w:t>ed</w:t>
      </w:r>
      <w:r w:rsidR="005032BD" w:rsidRPr="003D4B91">
        <w:t xml:space="preserve"> NbS to be expensive.</w:t>
      </w:r>
      <w:r w:rsidR="00B87D1D">
        <w:t xml:space="preserve"> Though the cost-benefit of NbS had been communicated, estimated costs had predominantly not been, and partners remained uncertain about the amount they would need to invest to see the communicated benefits.</w:t>
      </w:r>
      <w:r w:rsidR="005032BD" w:rsidRPr="003D4B91">
        <w:t xml:space="preserve"> Combined with a persistent trust in grey infrastructure and a lack of physical examples of NbS in the region (as discussed in</w:t>
      </w:r>
      <w:r>
        <w:t xml:space="preserve"> Section </w:t>
      </w:r>
      <w:r>
        <w:fldChar w:fldCharType="begin"/>
      </w:r>
      <w:r>
        <w:instrText xml:space="preserve"> REF _Ref170413458 \r \h </w:instrText>
      </w:r>
      <w:r>
        <w:fldChar w:fldCharType="separate"/>
      </w:r>
      <w:r w:rsidR="007007C5">
        <w:t>3.4</w:t>
      </w:r>
      <w:r>
        <w:fldChar w:fldCharType="end"/>
      </w:r>
      <w:r w:rsidR="005032BD" w:rsidRPr="003D4B91">
        <w:t xml:space="preserve"> </w:t>
      </w:r>
      <w:r w:rsidR="004513F7" w:rsidRPr="003D4B91">
        <w:t>EOPO 1</w:t>
      </w:r>
      <w:r w:rsidR="005032BD" w:rsidRPr="003D4B91">
        <w:t>), many partners remain</w:t>
      </w:r>
      <w:r w:rsidR="00B87D1D">
        <w:t>ed</w:t>
      </w:r>
      <w:r w:rsidR="005032BD" w:rsidRPr="003D4B91">
        <w:t xml:space="preserve"> unable to (or unmotivated to) find the necessary finances. Even the cost of </w:t>
      </w:r>
      <w:r w:rsidR="00B87D1D">
        <w:t xml:space="preserve">maintaining </w:t>
      </w:r>
      <w:r w:rsidR="005032BD" w:rsidRPr="003D4B91">
        <w:t xml:space="preserve">the environmental monitoring sensors was </w:t>
      </w:r>
      <w:r w:rsidR="005032BD" w:rsidRPr="003D4B91">
        <w:lastRenderedPageBreak/>
        <w:t xml:space="preserve">a concern </w:t>
      </w:r>
      <w:r w:rsidR="0013609E">
        <w:t xml:space="preserve">(see </w:t>
      </w:r>
      <w:r w:rsidR="00F3458D">
        <w:t>Section</w:t>
      </w:r>
      <w:r w:rsidR="0013609E">
        <w:t xml:space="preserve"> </w:t>
      </w:r>
      <w:r w:rsidR="00F3458D">
        <w:fldChar w:fldCharType="begin"/>
      </w:r>
      <w:r w:rsidR="00F3458D">
        <w:instrText xml:space="preserve"> REF _Ref170413458 \r \h </w:instrText>
      </w:r>
      <w:r w:rsidR="00F3458D">
        <w:fldChar w:fldCharType="separate"/>
      </w:r>
      <w:r w:rsidR="007007C5">
        <w:t>3.4</w:t>
      </w:r>
      <w:r w:rsidR="00F3458D">
        <w:fldChar w:fldCharType="end"/>
      </w:r>
      <w:r w:rsidR="0013609E">
        <w:t xml:space="preserve"> </w:t>
      </w:r>
      <w:r w:rsidR="00F3458D">
        <w:t>EOPO 1</w:t>
      </w:r>
      <w:r>
        <w:t xml:space="preserve"> </w:t>
      </w:r>
      <w:r w:rsidR="0013609E">
        <w:t>for more detail)</w:t>
      </w:r>
      <w:r w:rsidR="005032BD" w:rsidRPr="003D4B91">
        <w:t>. Land availability was another barrier raised in many of the case studies.</w:t>
      </w:r>
    </w:p>
    <w:p w14:paraId="7903CB20" w14:textId="3D92241C" w:rsidR="00F95403" w:rsidRPr="00F95403" w:rsidRDefault="00F95403" w:rsidP="00F95403">
      <w:pPr>
        <w:pBdr>
          <w:top w:val="single" w:sz="4" w:space="1" w:color="auto"/>
          <w:left w:val="single" w:sz="4" w:space="4" w:color="auto"/>
          <w:bottom w:val="single" w:sz="4" w:space="1" w:color="auto"/>
          <w:right w:val="single" w:sz="4" w:space="4" w:color="auto"/>
        </w:pBdr>
        <w:spacing w:before="240" w:after="240"/>
        <w:rPr>
          <w:i/>
          <w:iCs/>
        </w:rPr>
      </w:pPr>
      <w:r>
        <w:rPr>
          <w:i/>
          <w:iCs/>
        </w:rPr>
        <w:t>“</w:t>
      </w:r>
      <w:r w:rsidRPr="005032BD">
        <w:rPr>
          <w:i/>
          <w:iCs/>
        </w:rPr>
        <w:t>We asked the participants [of the workshop] about concerns, and I think almost every group said the ideas are good, but what about the cost of the prototype and the maintenance? At the end [of the workshop], that was still unknown.</w:t>
      </w:r>
      <w:r>
        <w:rPr>
          <w:i/>
          <w:iCs/>
        </w:rPr>
        <w:t>”</w:t>
      </w:r>
      <w:r w:rsidRPr="005032BD">
        <w:rPr>
          <w:i/>
          <w:iCs/>
        </w:rPr>
        <w:t xml:space="preserve"> </w:t>
      </w:r>
      <w:r>
        <w:t>-DFAT</w:t>
      </w:r>
    </w:p>
    <w:p w14:paraId="4B040A47" w14:textId="369EB955" w:rsidR="00655B90" w:rsidRPr="003D4B91" w:rsidRDefault="00655B90" w:rsidP="006A3261">
      <w:r w:rsidRPr="003D4B91">
        <w:t xml:space="preserve">Progress (and sustainability) of the case studies also relies on the availability of skilled and motivated </w:t>
      </w:r>
      <w:r w:rsidR="00773713" w:rsidRPr="003D4B91">
        <w:t>stakeholders</w:t>
      </w:r>
      <w:r w:rsidRPr="003D4B91">
        <w:t xml:space="preserve">. Though progress </w:t>
      </w:r>
      <w:r w:rsidR="00B87D1D" w:rsidRPr="003D4B91">
        <w:t>ha</w:t>
      </w:r>
      <w:r w:rsidR="00B87D1D">
        <w:t>d</w:t>
      </w:r>
      <w:r w:rsidR="00B87D1D" w:rsidRPr="003D4B91">
        <w:t xml:space="preserve"> </w:t>
      </w:r>
      <w:r w:rsidRPr="003D4B91">
        <w:t>been made through capacity building, there remain</w:t>
      </w:r>
      <w:r w:rsidR="00EB2B0A">
        <w:t>ed</w:t>
      </w:r>
      <w:r w:rsidRPr="003D4B91">
        <w:t xml:space="preserve"> concerns about partners being </w:t>
      </w:r>
      <w:r w:rsidR="00773713" w:rsidRPr="003D4B91">
        <w:t>un</w:t>
      </w:r>
      <w:r w:rsidRPr="003D4B91">
        <w:t xml:space="preserve">able to use relevant tools on their own (e.g. </w:t>
      </w:r>
      <w:r w:rsidR="00773713" w:rsidRPr="003D4B91">
        <w:t xml:space="preserve">the </w:t>
      </w:r>
      <w:r w:rsidRPr="003D4B91">
        <w:t>BCA</w:t>
      </w:r>
      <w:r w:rsidR="00773713" w:rsidRPr="003D4B91">
        <w:t xml:space="preserve"> tool</w:t>
      </w:r>
      <w:r w:rsidRPr="003D4B91">
        <w:t>),</w:t>
      </w:r>
      <w:r w:rsidR="00AF7715" w:rsidRPr="003D4B91">
        <w:t xml:space="preserve"> and</w:t>
      </w:r>
      <w:r w:rsidRPr="003D4B91">
        <w:t xml:space="preserve"> some d</w:t>
      </w:r>
      <w:r w:rsidR="00EB2B0A">
        <w:t>id</w:t>
      </w:r>
      <w:r w:rsidRPr="003D4B91">
        <w:t xml:space="preserve"> not (yet) feel confident to implement NbS on their own. Many partners suggested that capacity building efforts also needed to target more government officials (at both national and sub-national levels) as well as local designers and contractors who are the actors needed to complete the required work. Finally, partners had an expectation that future NbS maintenance would rest with relevant communities; this assumption poses a great deal of risk,</w:t>
      </w:r>
      <w:r w:rsidR="00B87D1D">
        <w:rPr>
          <w:rStyle w:val="FootnoteReference"/>
        </w:rPr>
        <w:footnoteReference w:id="46"/>
      </w:r>
      <w:r w:rsidRPr="003D4B91">
        <w:t xml:space="preserve"> and clear management plans would be needed to ensure long-term maintenance of NbS. </w:t>
      </w:r>
    </w:p>
    <w:p w14:paraId="7CB98D31" w14:textId="75E03D1F" w:rsidR="00655B90" w:rsidRPr="003D4B91" w:rsidRDefault="00655B90" w:rsidP="006A3261">
      <w:r w:rsidRPr="003D4B91">
        <w:t xml:space="preserve">As discussed, scaling of NbS (and sustainability of those endeavours) still requires efforts to ensure policies and regulations for NbS are developed and enforced. </w:t>
      </w:r>
      <w:r w:rsidR="006B2C26" w:rsidRPr="003D4B91">
        <w:t xml:space="preserve">Some of this </w:t>
      </w:r>
      <w:r w:rsidR="00EB2B0A">
        <w:t>wa</w:t>
      </w:r>
      <w:r w:rsidR="006B2C26" w:rsidRPr="003D4B91">
        <w:t>s underway, notably in Cambodia and Thailand; however, progress i</w:t>
      </w:r>
      <w:r w:rsidR="00EB2B0A">
        <w:t>n</w:t>
      </w:r>
      <w:r w:rsidR="006B2C26" w:rsidRPr="003D4B91">
        <w:t xml:space="preserve"> Viet Nam </w:t>
      </w:r>
      <w:r w:rsidR="00EB2B0A">
        <w:t>wa</w:t>
      </w:r>
      <w:r w:rsidR="006B2C26" w:rsidRPr="003D4B91">
        <w:t xml:space="preserve">s constrained by difficulties in working with government. The partnerships with the Vietnamese universities in the respective case studies were a great alternative, and these </w:t>
      </w:r>
      <w:r w:rsidR="00EB2B0A">
        <w:t>we</w:t>
      </w:r>
      <w:r w:rsidR="00EB2B0A" w:rsidRPr="003D4B91">
        <w:t xml:space="preserve">re </w:t>
      </w:r>
      <w:r w:rsidR="006B2C26" w:rsidRPr="003D4B91">
        <w:t>likely to continue beyond the scope of RUCaS.</w:t>
      </w:r>
      <w:r w:rsidR="00773713" w:rsidRPr="003D4B91">
        <w:t xml:space="preserve"> The methodology of the scaling ‘roadmaps’ also </w:t>
      </w:r>
      <w:r w:rsidR="00EB2B0A" w:rsidRPr="003D4B91">
        <w:t>require</w:t>
      </w:r>
      <w:r w:rsidR="00EB2B0A">
        <w:t>d</w:t>
      </w:r>
      <w:r w:rsidR="00EB2B0A" w:rsidRPr="003D4B91">
        <w:t xml:space="preserve"> </w:t>
      </w:r>
      <w:r w:rsidR="00773713" w:rsidRPr="003D4B91">
        <w:t>revision to ensure the collective action that will be needed to ensure scaling of NbS in each of the four countries.</w:t>
      </w:r>
    </w:p>
    <w:p w14:paraId="54C8470B" w14:textId="3121F7F7" w:rsidR="003E56F4" w:rsidRPr="003D4B91" w:rsidRDefault="00AF7715" w:rsidP="006B2C26">
      <w:pPr>
        <w:pStyle w:val="Heading3"/>
      </w:pPr>
      <w:bookmarkStart w:id="161" w:name="_Toc225951863"/>
      <w:r w:rsidRPr="003D4B91">
        <w:t xml:space="preserve">Technical </w:t>
      </w:r>
      <w:r w:rsidR="00217932" w:rsidRPr="003D4B91">
        <w:t>G</w:t>
      </w:r>
      <w:r w:rsidR="003E56F4" w:rsidRPr="003D4B91">
        <w:t>uidelines</w:t>
      </w:r>
      <w:bookmarkEnd w:id="161"/>
    </w:p>
    <w:p w14:paraId="27538E2A" w14:textId="3AA253A2" w:rsidR="006B2C26" w:rsidRDefault="006B2C26" w:rsidP="006B2C26">
      <w:r w:rsidRPr="003D4B91">
        <w:t xml:space="preserve">As discussed for </w:t>
      </w:r>
      <w:r w:rsidR="004513F7" w:rsidRPr="003D4B91">
        <w:t>EOPO 2</w:t>
      </w:r>
      <w:r w:rsidRPr="003D4B91">
        <w:t>, the guidelines produced within Phase 1 of RUCaS still require</w:t>
      </w:r>
      <w:r w:rsidR="00EB2B0A">
        <w:t>d</w:t>
      </w:r>
      <w:r w:rsidRPr="003D4B91">
        <w:t xml:space="preserve"> plans for</w:t>
      </w:r>
      <w:r w:rsidR="00813161">
        <w:t xml:space="preserve"> </w:t>
      </w:r>
      <w:r w:rsidR="00F90884">
        <w:t xml:space="preserve">testing, </w:t>
      </w:r>
      <w:r w:rsidR="00F90884" w:rsidRPr="003D4B91">
        <w:t>dissemination</w:t>
      </w:r>
      <w:r w:rsidRPr="003D4B91">
        <w:t xml:space="preserve"> and implementation, including commitment from partners to use them. In some instances, funding </w:t>
      </w:r>
      <w:r w:rsidR="00773713" w:rsidRPr="003D4B91">
        <w:t xml:space="preserve">and/or support from government </w:t>
      </w:r>
      <w:r w:rsidR="00EB2B0A">
        <w:t>wa</w:t>
      </w:r>
      <w:r w:rsidRPr="003D4B91">
        <w:t xml:space="preserve">s needed to ensure implementation. Implementation also requires training for the relevant stakeholders who would be expected to use the guidelines. </w:t>
      </w:r>
    </w:p>
    <w:p w14:paraId="75A033B5" w14:textId="77777777" w:rsidR="002A53D1" w:rsidRDefault="00F95403" w:rsidP="00F95403">
      <w:pPr>
        <w:pBdr>
          <w:top w:val="single" w:sz="4" w:space="1" w:color="auto"/>
          <w:left w:val="single" w:sz="4" w:space="4" w:color="auto"/>
          <w:bottom w:val="single" w:sz="4" w:space="1" w:color="auto"/>
          <w:right w:val="single" w:sz="4" w:space="4" w:color="auto"/>
        </w:pBdr>
        <w:spacing w:before="240" w:after="240"/>
      </w:pPr>
      <w:r>
        <w:rPr>
          <w:i/>
          <w:iCs/>
        </w:rPr>
        <w:t xml:space="preserve">“The guidelines need to be </w:t>
      </w:r>
      <w:r w:rsidRPr="00656B43">
        <w:rPr>
          <w:i/>
          <w:iCs/>
        </w:rPr>
        <w:t>implemented, monitored, enforced, and then reiterated</w:t>
      </w:r>
      <w:r>
        <w:rPr>
          <w:i/>
          <w:iCs/>
        </w:rPr>
        <w:t xml:space="preserve"> or </w:t>
      </w:r>
      <w:r w:rsidRPr="00656B43">
        <w:rPr>
          <w:i/>
          <w:iCs/>
        </w:rPr>
        <w:t xml:space="preserve">revised based on </w:t>
      </w:r>
      <w:r>
        <w:rPr>
          <w:i/>
          <w:iCs/>
        </w:rPr>
        <w:t xml:space="preserve">the </w:t>
      </w:r>
      <w:r w:rsidRPr="00656B43">
        <w:rPr>
          <w:i/>
          <w:iCs/>
        </w:rPr>
        <w:t>findings</w:t>
      </w:r>
      <w:r>
        <w:rPr>
          <w:i/>
          <w:iCs/>
        </w:rPr>
        <w:t>.”</w:t>
      </w:r>
      <w:r w:rsidRPr="00656B43">
        <w:rPr>
          <w:i/>
          <w:iCs/>
        </w:rPr>
        <w:t xml:space="preserve"> </w:t>
      </w:r>
      <w:r>
        <w:t>-</w:t>
      </w:r>
      <w:proofErr w:type="spellStart"/>
      <w:r>
        <w:t>RUCaS</w:t>
      </w:r>
      <w:proofErr w:type="spellEnd"/>
      <w:r>
        <w:t xml:space="preserve"> in-country staff</w:t>
      </w:r>
    </w:p>
    <w:p w14:paraId="46713581" w14:textId="00C3E120" w:rsidR="00F95403" w:rsidRPr="00F95403" w:rsidRDefault="00F95403" w:rsidP="00F95403">
      <w:pPr>
        <w:pBdr>
          <w:top w:val="single" w:sz="4" w:space="1" w:color="auto"/>
          <w:left w:val="single" w:sz="4" w:space="4" w:color="auto"/>
          <w:bottom w:val="single" w:sz="4" w:space="1" w:color="auto"/>
          <w:right w:val="single" w:sz="4" w:space="4" w:color="auto"/>
        </w:pBdr>
        <w:spacing w:before="240" w:after="240"/>
        <w:rPr>
          <w:i/>
          <w:iCs/>
        </w:rPr>
      </w:pPr>
      <w:r>
        <w:rPr>
          <w:i/>
          <w:iCs/>
        </w:rPr>
        <w:t xml:space="preserve">“Without government support, the </w:t>
      </w:r>
      <w:r w:rsidRPr="00656B43">
        <w:rPr>
          <w:i/>
          <w:iCs/>
        </w:rPr>
        <w:t>guidelines will just be a book that stays on the shelf</w:t>
      </w:r>
      <w:r>
        <w:rPr>
          <w:i/>
          <w:iCs/>
        </w:rPr>
        <w:t>. T</w:t>
      </w:r>
      <w:r w:rsidRPr="00656B43">
        <w:rPr>
          <w:i/>
          <w:iCs/>
        </w:rPr>
        <w:t>here won’t be implementation.</w:t>
      </w:r>
      <w:r>
        <w:rPr>
          <w:i/>
          <w:iCs/>
        </w:rPr>
        <w:t>”</w:t>
      </w:r>
      <w:r w:rsidRPr="00656B43">
        <w:rPr>
          <w:i/>
          <w:iCs/>
        </w:rPr>
        <w:t xml:space="preserve"> </w:t>
      </w:r>
      <w:r>
        <w:t>-RUCaS university partner</w:t>
      </w:r>
    </w:p>
    <w:p w14:paraId="7D0741C2" w14:textId="29D02943" w:rsidR="00540742" w:rsidRDefault="00540742" w:rsidP="00F95403">
      <w:pPr>
        <w:pStyle w:val="Heading3"/>
        <w:spacing w:before="480"/>
      </w:pPr>
      <w:bookmarkStart w:id="162" w:name="_Toc225951864"/>
      <w:r>
        <w:t>Partnerships and Networks</w:t>
      </w:r>
      <w:bookmarkEnd w:id="162"/>
    </w:p>
    <w:p w14:paraId="5FDE4F9C" w14:textId="6C5D6436" w:rsidR="00540742" w:rsidRDefault="00540742" w:rsidP="006B2C26">
      <w:r>
        <w:t>While progress was made in establishing partnerships between WSCA and local partners, true sustainability</w:t>
      </w:r>
      <w:r w:rsidRPr="00540742">
        <w:t xml:space="preserve"> </w:t>
      </w:r>
      <w:r w:rsidRPr="003D4B91">
        <w:t>beyond the conclusion of the program</w:t>
      </w:r>
      <w:r>
        <w:t xml:space="preserve"> will rely on </w:t>
      </w:r>
      <w:r w:rsidRPr="003D4B91">
        <w:t xml:space="preserve">partnerships that </w:t>
      </w:r>
      <w:r>
        <w:t>a</w:t>
      </w:r>
      <w:r w:rsidRPr="003D4B91">
        <w:t>re independent of the RUCaS team.</w:t>
      </w:r>
      <w:r>
        <w:t xml:space="preserve"> These were not yet in place at the time of the evaluation, and only minimal regional collaboration had taken place. Sustainability of partnerships could be </w:t>
      </w:r>
      <w:r>
        <w:lastRenderedPageBreak/>
        <w:t>strengthened in a possibl</w:t>
      </w:r>
      <w:r w:rsidR="00BA6BFF">
        <w:t>e</w:t>
      </w:r>
      <w:r>
        <w:t xml:space="preserve"> </w:t>
      </w:r>
      <w:r w:rsidR="00813161">
        <w:t>future</w:t>
      </w:r>
      <w:r>
        <w:t xml:space="preserve"> phase by creating more opportunities for shared learning and </w:t>
      </w:r>
      <w:r w:rsidR="00BA6BFF">
        <w:t xml:space="preserve">exchange of expertise between partners </w:t>
      </w:r>
      <w:r w:rsidR="00813161">
        <w:t>within and between</w:t>
      </w:r>
      <w:r w:rsidR="00BA6BFF">
        <w:t xml:space="preserve"> countries.</w:t>
      </w:r>
    </w:p>
    <w:p w14:paraId="753351E4" w14:textId="5AE50539" w:rsidR="00BA6BFF" w:rsidRPr="003D4B91" w:rsidRDefault="00BA6BFF" w:rsidP="006B2C26">
      <w:r>
        <w:t xml:space="preserve">The sustainability of the networks created </w:t>
      </w:r>
      <w:r w:rsidR="00EB2B0A">
        <w:t>during</w:t>
      </w:r>
      <w:r>
        <w:t xml:space="preserve"> RUCaS Phase 1 was </w:t>
      </w:r>
      <w:r w:rsidR="00813161">
        <w:t>uncertain</w:t>
      </w:r>
      <w:r>
        <w:t xml:space="preserve">. Firstly, </w:t>
      </w:r>
      <w:r w:rsidRPr="004513F7">
        <w:t xml:space="preserve">most </w:t>
      </w:r>
      <w:r>
        <w:t xml:space="preserve">NbS </w:t>
      </w:r>
      <w:r w:rsidRPr="004513F7">
        <w:t>champions</w:t>
      </w:r>
      <w:r>
        <w:t xml:space="preserve"> (</w:t>
      </w:r>
      <w:r w:rsidRPr="004513F7">
        <w:t xml:space="preserve">particularly </w:t>
      </w:r>
      <w:r w:rsidR="00813161">
        <w:t>between different</w:t>
      </w:r>
      <w:r w:rsidRPr="004513F7">
        <w:t xml:space="preserve"> countries</w:t>
      </w:r>
      <w:r>
        <w:t>)</w:t>
      </w:r>
      <w:r w:rsidRPr="004513F7">
        <w:t xml:space="preserve"> </w:t>
      </w:r>
      <w:r w:rsidR="00813161">
        <w:t xml:space="preserve">reported that they </w:t>
      </w:r>
      <w:r w:rsidRPr="004513F7">
        <w:t>were not in contact with each other</w:t>
      </w:r>
      <w:r w:rsidR="00FC4288">
        <w:t>,</w:t>
      </w:r>
      <w:r>
        <w:t xml:space="preserve"> </w:t>
      </w:r>
      <w:r w:rsidR="00FC4288">
        <w:t>except</w:t>
      </w:r>
      <w:r>
        <w:t xml:space="preserve"> through RUCaS-led events. Secondly, the RUCaS network reached nearly 1,500 participants,</w:t>
      </w:r>
      <w:r>
        <w:rPr>
          <w:rStyle w:val="FootnoteReference"/>
        </w:rPr>
        <w:footnoteReference w:id="47"/>
      </w:r>
      <w:r>
        <w:t xml:space="preserve"> but </w:t>
      </w:r>
      <w:r w:rsidR="00FC4288">
        <w:t>there was no evidence</w:t>
      </w:r>
      <w:r>
        <w:t xml:space="preserve"> that these participants remained connected as a community of practice beyond RUCaS-led events. Finally, </w:t>
      </w:r>
      <w:r w:rsidR="00312C4F">
        <w:t xml:space="preserve">few members of </w:t>
      </w:r>
      <w:r>
        <w:t>the GEDSI TAG</w:t>
      </w:r>
      <w:r w:rsidR="00312C4F">
        <w:t xml:space="preserve"> reported being in contact with each other</w:t>
      </w:r>
      <w:r w:rsidR="00FC4288">
        <w:t xml:space="preserve"> about NbS related matters,</w:t>
      </w:r>
      <w:r w:rsidR="00312C4F">
        <w:t xml:space="preserve"> independent of RUCaS’ coordination. As such, none of the networks demonstrated evidence that they would be maintained without direct </w:t>
      </w:r>
      <w:r w:rsidR="00FC4288">
        <w:t>support</w:t>
      </w:r>
      <w:r w:rsidR="00312C4F">
        <w:t xml:space="preserve"> from RUCaS (i.e. beyond the end of Phase 1). A future phase of RUCaS could leverage existing network platforms to improve sustainability.</w:t>
      </w:r>
    </w:p>
    <w:p w14:paraId="1D1A9430" w14:textId="55190CC8" w:rsidR="003E56F4" w:rsidRPr="003D4B91" w:rsidRDefault="003E56F4" w:rsidP="00962124">
      <w:pPr>
        <w:pStyle w:val="Heading3"/>
      </w:pPr>
      <w:bookmarkStart w:id="163" w:name="_Toc225951865"/>
      <w:r w:rsidRPr="003D4B91">
        <w:t>GEDSI</w:t>
      </w:r>
      <w:bookmarkEnd w:id="163"/>
    </w:p>
    <w:p w14:paraId="55CB0B96" w14:textId="5D90885B" w:rsidR="00E86623" w:rsidRPr="003D4B91" w:rsidRDefault="00E86623" w:rsidP="00E86623">
      <w:r w:rsidRPr="003D4B91">
        <w:t xml:space="preserve">The sustainability of the GEDSI changes achieved through the RUCaS program was </w:t>
      </w:r>
      <w:r w:rsidR="00FC4288">
        <w:t>uncertain</w:t>
      </w:r>
      <w:r w:rsidRPr="003D4B91">
        <w:t>. Firstly, there was no indication that ongoing funds (beyond RUCaS funding) would be dedicated by partners to engaging GEDSI representative groups or advisors for ongoing NbS work in the case studies or other NbS interventions. (This is unsurprising given that a lack of ongoing funding was a barrier to progressing any aspect of most of the case studies as mentioned above.) Secondly, whilst RUCaS has certainly built the capacity and motivation of NbS champions to integrate GEDSI into their work</w:t>
      </w:r>
      <w:r w:rsidR="00AF7715" w:rsidRPr="003D4B91">
        <w:t>,</w:t>
      </w:r>
      <w:r w:rsidRPr="003D4B91">
        <w:t xml:space="preserve"> and of GEDSI advocates to learn more about NbS, neither of these groups felt confident to plan for, design and implement inclusive NbS </w:t>
      </w:r>
      <w:proofErr w:type="gramStart"/>
      <w:r w:rsidR="00AF7715" w:rsidRPr="003D4B91">
        <w:t xml:space="preserve">as of </w:t>
      </w:r>
      <w:r w:rsidRPr="003D4B91">
        <w:t>yet</w:t>
      </w:r>
      <w:proofErr w:type="gramEnd"/>
      <w:r w:rsidRPr="003D4B91">
        <w:t xml:space="preserve">. This is a long-term change that likely </w:t>
      </w:r>
      <w:r w:rsidR="00312C4F" w:rsidRPr="003D4B91">
        <w:t>need</w:t>
      </w:r>
      <w:r w:rsidR="00312C4F">
        <w:t>ed</w:t>
      </w:r>
      <w:r w:rsidR="00312C4F" w:rsidRPr="003D4B91">
        <w:t xml:space="preserve"> </w:t>
      </w:r>
      <w:r w:rsidRPr="003D4B91">
        <w:t xml:space="preserve">longer than the timeframe of </w:t>
      </w:r>
      <w:r w:rsidR="00AF7715" w:rsidRPr="003D4B91">
        <w:t>Phase 1</w:t>
      </w:r>
      <w:r w:rsidRPr="003D4B91">
        <w:t xml:space="preserve"> of RUCaS to come about sustainably. Finally, the GEDSI NbS guideline could potentially support a system to ensure that GEDSI is considered in policy recommendations for NbS in the </w:t>
      </w:r>
      <w:r w:rsidR="00C7502A" w:rsidRPr="003D4B91">
        <w:t>Mekong subregion</w:t>
      </w:r>
      <w:r w:rsidR="00AF7715" w:rsidRPr="003D4B91">
        <w:t>, b</w:t>
      </w:r>
      <w:r w:rsidRPr="003D4B91">
        <w:t>ut in its state</w:t>
      </w:r>
      <w:r w:rsidR="00FC4288">
        <w:t xml:space="preserve"> at the time of the evaluation</w:t>
      </w:r>
      <w:r w:rsidRPr="003D4B91">
        <w:t xml:space="preserve">, it </w:t>
      </w:r>
      <w:r w:rsidR="00EB2B0A">
        <w:t>wa</w:t>
      </w:r>
      <w:r w:rsidR="00EB2B0A" w:rsidRPr="003D4B91">
        <w:t xml:space="preserve">s </w:t>
      </w:r>
      <w:r w:rsidRPr="003D4B91">
        <w:t>not translated, nor practical for its intended users</w:t>
      </w:r>
      <w:r w:rsidR="00D23EE0" w:rsidRPr="003D4B91">
        <w:t>.</w:t>
      </w:r>
      <w:r w:rsidR="00D23EE0" w:rsidRPr="003D4B91">
        <w:rPr>
          <w:rStyle w:val="FootnoteReference"/>
        </w:rPr>
        <w:footnoteReference w:id="48"/>
      </w:r>
      <w:r w:rsidR="00D23EE0" w:rsidRPr="003D4B91">
        <w:t xml:space="preserve"> </w:t>
      </w:r>
      <w:r w:rsidRPr="003D4B91">
        <w:t xml:space="preserve">Without the guideline being field tested, there </w:t>
      </w:r>
      <w:r w:rsidR="00EB2B0A">
        <w:t>wa</w:t>
      </w:r>
      <w:r w:rsidR="00EB2B0A" w:rsidRPr="003D4B91">
        <w:t xml:space="preserve">s </w:t>
      </w:r>
      <w:r w:rsidRPr="003D4B91">
        <w:t xml:space="preserve">a high risk that its benefit </w:t>
      </w:r>
      <w:r w:rsidR="00FC4288">
        <w:t>would</w:t>
      </w:r>
      <w:r w:rsidR="00FC4288" w:rsidRPr="003D4B91">
        <w:t xml:space="preserve"> </w:t>
      </w:r>
      <w:r w:rsidRPr="003D4B91">
        <w:t>not be realised beyond the end of</w:t>
      </w:r>
      <w:r w:rsidR="005C599C" w:rsidRPr="003D4B91">
        <w:t xml:space="preserve"> Phase 1 of</w:t>
      </w:r>
      <w:r w:rsidRPr="003D4B91">
        <w:t xml:space="preserve"> the program.</w:t>
      </w:r>
    </w:p>
    <w:p w14:paraId="0F4E1956" w14:textId="7494178C" w:rsidR="00E61B18" w:rsidRPr="003D4B91" w:rsidRDefault="00A213A6" w:rsidP="00A82B7C">
      <w:r w:rsidRPr="003D4B91">
        <w:t xml:space="preserve">Overall, whilst the RUCaS program made some important achievements, the sustainability of much of this work </w:t>
      </w:r>
      <w:r w:rsidR="00EB2B0A" w:rsidRPr="003D4B91">
        <w:t>remain</w:t>
      </w:r>
      <w:r w:rsidR="00EB2B0A">
        <w:t>ed</w:t>
      </w:r>
      <w:r w:rsidR="00EB2B0A" w:rsidRPr="003D4B91">
        <w:t xml:space="preserve"> </w:t>
      </w:r>
      <w:r w:rsidRPr="003D4B91">
        <w:t xml:space="preserve">in question. This </w:t>
      </w:r>
      <w:r w:rsidR="00FC4288">
        <w:t>was</w:t>
      </w:r>
      <w:r w:rsidR="00FC4288" w:rsidRPr="003D4B91">
        <w:t xml:space="preserve"> </w:t>
      </w:r>
      <w:r w:rsidRPr="003D4B91">
        <w:t xml:space="preserve">largely due to a lack of guaranteed funding: for progressing the NbS case studies, field testing and implementing NbS policies and guidelines, or paying inclusive NbS experts. RUCaS did leave a legacy of several highly motivated NbS champions across the </w:t>
      </w:r>
      <w:r w:rsidR="00C7502A" w:rsidRPr="003D4B91">
        <w:t>Mekong subregion</w:t>
      </w:r>
      <w:r w:rsidRPr="003D4B91">
        <w:t>, whose capacity to implement NbS improved through</w:t>
      </w:r>
      <w:r w:rsidR="00FC4288">
        <w:t>out</w:t>
      </w:r>
      <w:r w:rsidRPr="003D4B91">
        <w:t xml:space="preserve"> the program. Nevertheless, a future phase of RUCaS should be more </w:t>
      </w:r>
      <w:r w:rsidR="003349AE">
        <w:t>focused</w:t>
      </w:r>
      <w:r w:rsidRPr="003D4B91">
        <w:t xml:space="preserve"> on ensuring that whatever positive outcomes it brings about can last beyond the support of the RUCaS team.</w:t>
      </w:r>
    </w:p>
    <w:p w14:paraId="7AAA38A3" w14:textId="5B36E171" w:rsidR="006B5613" w:rsidRPr="003D4B91" w:rsidRDefault="006B5613" w:rsidP="00A923AC">
      <w:pPr>
        <w:pStyle w:val="Heading1"/>
        <w:numPr>
          <w:ilvl w:val="0"/>
          <w:numId w:val="1"/>
        </w:numPr>
        <w:jc w:val="both"/>
      </w:pPr>
      <w:bookmarkStart w:id="164" w:name="_Toc225951866"/>
      <w:r w:rsidRPr="003D4B91">
        <w:t>Conclusion</w:t>
      </w:r>
      <w:bookmarkEnd w:id="164"/>
    </w:p>
    <w:p w14:paraId="60998AAB" w14:textId="12756828" w:rsidR="00607CB6" w:rsidRPr="003D4B91" w:rsidRDefault="00607CB6" w:rsidP="00607CB6">
      <w:r w:rsidRPr="003D4B91">
        <w:t xml:space="preserve">This evaluation found that the RUCaS program made a valuable and timely contribution to advancing NbS for urban climate resilience in the </w:t>
      </w:r>
      <w:r w:rsidR="00C7502A" w:rsidRPr="003D4B91">
        <w:t>Mekong subregion</w:t>
      </w:r>
      <w:r w:rsidRPr="003D4B91">
        <w:t>, while also revealing important limitations in design, ambition, and sustainability that constrain</w:t>
      </w:r>
      <w:r w:rsidR="00F954CA">
        <w:t>ed</w:t>
      </w:r>
      <w:r w:rsidRPr="003D4B91">
        <w:t xml:space="preserve"> its overall effectiveness. Across Lao PDR, Thailand, Cambodia, and Viet Nam, RUCaS responded to a clear and well-articulated demand for alternatives to grey infrastructure and filled a gap in NbS </w:t>
      </w:r>
      <w:r w:rsidRPr="003D4B91">
        <w:lastRenderedPageBreak/>
        <w:t>knowledge, skills, and international expertise. Government agencies, universities, civil society organisations, and DFAT posts consistently recognised the professionalism of the RUCaS team and the relevance of its learning events, technical guidance, and convening role. In this sense, RUCaS was highly relevant and widely valued.</w:t>
      </w:r>
    </w:p>
    <w:p w14:paraId="7D69AB51" w14:textId="426E7D51" w:rsidR="00607CB6" w:rsidRPr="003D4B91" w:rsidRDefault="00607CB6" w:rsidP="00607CB6">
      <w:r w:rsidRPr="003D4B91">
        <w:t>The program’s strongest achievements lie in capacity building, knowledge generation, and relationship development. RUCaS nurtured a cohort of motivated NbS champions, facilitated regional and national learning, produced innovative concept designs, and developed guidance, tools, and frameworks that have the potential to inform future policy and practice. Its work on benefit–cost analysis</w:t>
      </w:r>
      <w:proofErr w:type="gramStart"/>
      <w:r w:rsidRPr="003D4B91">
        <w:t>, in particular, addressed</w:t>
      </w:r>
      <w:proofErr w:type="gramEnd"/>
      <w:r w:rsidRPr="003D4B91">
        <w:t xml:space="preserve"> a core barrier to NbS uptake by beginning to clarify the financial case for hybrid NbS over time. </w:t>
      </w:r>
    </w:p>
    <w:p w14:paraId="19AE7575" w14:textId="6395883C" w:rsidR="00C12FDA" w:rsidRDefault="00607CB6" w:rsidP="00CA3862">
      <w:r w:rsidRPr="003D4B91">
        <w:t xml:space="preserve">However, when assessed against its EOPO, RUCaS </w:t>
      </w:r>
      <w:r w:rsidR="00F954CA">
        <w:t xml:space="preserve">only partially </w:t>
      </w:r>
      <w:r w:rsidRPr="003D4B91">
        <w:t>achieve</w:t>
      </w:r>
      <w:r w:rsidR="00F954CA">
        <w:t>d</w:t>
      </w:r>
      <w:r w:rsidRPr="003D4B91">
        <w:t xml:space="preserve"> what it set out to do.</w:t>
      </w:r>
      <w:r w:rsidR="00C12FDA">
        <w:t xml:space="preserve"> </w:t>
      </w:r>
      <w:r w:rsidR="0002623B">
        <w:t>W</w:t>
      </w:r>
      <w:r w:rsidR="0002623B" w:rsidRPr="0002623B">
        <w:t>hil</w:t>
      </w:r>
      <w:r w:rsidR="00C12FDA">
        <w:t xml:space="preserve">st </w:t>
      </w:r>
      <w:r w:rsidR="0002623B">
        <w:t xml:space="preserve">direct interventions (e.g. detailed design and environmental monitoring) took place in </w:t>
      </w:r>
      <w:r w:rsidR="00C12FDA">
        <w:t>five</w:t>
      </w:r>
      <w:r w:rsidR="0002623B">
        <w:t xml:space="preserve"> case studies</w:t>
      </w:r>
      <w:r w:rsidR="00C12FDA">
        <w:t xml:space="preserve"> and small-scale construction in </w:t>
      </w:r>
      <w:r w:rsidR="001430A4">
        <w:t xml:space="preserve">two </w:t>
      </w:r>
      <w:r w:rsidR="00C12FDA">
        <w:t>of these (</w:t>
      </w:r>
      <w:r w:rsidR="00DD43BE">
        <w:t>e.g.</w:t>
      </w:r>
      <w:r w:rsidR="00C12FDA">
        <w:t xml:space="preserve"> Luang Prabang), </w:t>
      </w:r>
      <w:r w:rsidR="00EA3469">
        <w:t xml:space="preserve">the pathways </w:t>
      </w:r>
      <w:r w:rsidR="00EA3469" w:rsidRPr="00A86E65">
        <w:t>for the RUCaS case studies to be progressed to full implementation by either local or likeminded partn</w:t>
      </w:r>
      <w:r w:rsidR="00EA3469">
        <w:t>ers were only just being established at the conclusion of</w:t>
      </w:r>
      <w:r w:rsidR="00C12FDA" w:rsidRPr="003D4B91">
        <w:t xml:space="preserve"> Phase 1</w:t>
      </w:r>
      <w:r w:rsidR="00C12FDA">
        <w:t xml:space="preserve"> (indicator for EOPO 1). This undermined the </w:t>
      </w:r>
      <w:r w:rsidR="00EA3469">
        <w:t>achievement</w:t>
      </w:r>
      <w:r w:rsidR="00C12FDA">
        <w:t xml:space="preserve"> of EOPO 1 and further constrained EOPO 2. </w:t>
      </w:r>
      <w:r w:rsidRPr="003D4B91">
        <w:t xml:space="preserve">These shortfalls are best understood not as a lack of effort or competence, but as a consequence of </w:t>
      </w:r>
      <w:r w:rsidR="00C12FDA">
        <w:t>several limitations</w:t>
      </w:r>
      <w:r w:rsidRPr="003D4B91">
        <w:t xml:space="preserve"> in the program logic</w:t>
      </w:r>
      <w:r w:rsidR="00EA3469">
        <w:t xml:space="preserve"> and</w:t>
      </w:r>
      <w:r w:rsidRPr="003D4B91">
        <w:t xml:space="preserve"> </w:t>
      </w:r>
      <w:r w:rsidR="00EA3469">
        <w:t xml:space="preserve">assumptions that were not borne out, </w:t>
      </w:r>
      <w:r w:rsidRPr="003D4B91">
        <w:t>compounded by fragmented funding, short timeframes, limited in-country staffing, and insufficient attention to feasibility, co-design, and financing from the outset.</w:t>
      </w:r>
      <w:r w:rsidR="00EA3469">
        <w:t xml:space="preserve"> Greater progress was made toward EOPO 3, but the sustainability of these results beyond the RUCaS program were uncertain.</w:t>
      </w:r>
    </w:p>
    <w:p w14:paraId="0A0B3688" w14:textId="780B6667" w:rsidR="00CA3862" w:rsidRPr="003D4B91" w:rsidRDefault="00CA3862" w:rsidP="00CA3862">
      <w:r w:rsidRPr="003D4B91">
        <w:t xml:space="preserve">RUCaS partially delivered its planned GEDSI activities; namely the integration of GEDSI into some of the case studies and the development of the GEDSI NbS guideline, supported by an active GEDSI TAG. However, </w:t>
      </w:r>
      <w:r w:rsidR="00C12FDA">
        <w:t xml:space="preserve">there was much room for improvement in relation to the GEDSI outcomes for this program. </w:t>
      </w:r>
      <w:r w:rsidRPr="003D4B91">
        <w:t>This is partly due to GEDSI being a late add-on to the program</w:t>
      </w:r>
      <w:r w:rsidR="00AF7715" w:rsidRPr="003D4B91">
        <w:t xml:space="preserve">, </w:t>
      </w:r>
      <w:r w:rsidRPr="003D4B91">
        <w:t xml:space="preserve">an unclear and unrealistic GEDSI strategy, the lack of a genuine GEDSI analysis at the beginning of the program, and a lack of GEDSI capacity in the context of </w:t>
      </w:r>
      <w:r w:rsidR="00204C74" w:rsidRPr="003D4B91">
        <w:t xml:space="preserve">technically </w:t>
      </w:r>
      <w:r w:rsidR="003349AE">
        <w:t>focused</w:t>
      </w:r>
      <w:r w:rsidRPr="003D4B91">
        <w:t xml:space="preserve"> development investments among the RUCaS implementing team.</w:t>
      </w:r>
    </w:p>
    <w:p w14:paraId="77035EBD" w14:textId="686477A0" w:rsidR="00607CB6" w:rsidRPr="003D4B91" w:rsidRDefault="00607CB6" w:rsidP="00607CB6">
      <w:r w:rsidRPr="003D4B91">
        <w:t>Concerns about sustainability cut across all EOPO, IO and outputs. While RUCaS left behind motivated individuals, conceptual designs,</w:t>
      </w:r>
      <w:r w:rsidR="00C12FDA">
        <w:t xml:space="preserve"> some direct interventions,</w:t>
      </w:r>
      <w:r w:rsidRPr="003D4B91">
        <w:t xml:space="preserve"> and high-quality knowledge products, many of these gains </w:t>
      </w:r>
      <w:r w:rsidR="00025A55" w:rsidRPr="003D4B91">
        <w:t xml:space="preserve">(as described above) </w:t>
      </w:r>
      <w:r w:rsidRPr="003D4B91">
        <w:t xml:space="preserve">will not endure without further investment, clearer dissemination and implementation pathways, stronger local capacity, and tangible demonstration sites. </w:t>
      </w:r>
    </w:p>
    <w:p w14:paraId="7C04BA6F" w14:textId="2D975DFE" w:rsidR="00BB016F" w:rsidRPr="003D4B91" w:rsidRDefault="00607CB6" w:rsidP="00607CB6">
      <w:pPr>
        <w:sectPr w:rsidR="00BB016F" w:rsidRPr="003D4B91" w:rsidSect="004716DD">
          <w:pgSz w:w="11906" w:h="16838"/>
          <w:pgMar w:top="1440" w:right="1440" w:bottom="1440" w:left="1440" w:header="708" w:footer="708" w:gutter="0"/>
          <w:pgNumType w:start="1"/>
          <w:cols w:space="708"/>
          <w:docGrid w:linePitch="360"/>
        </w:sectPr>
      </w:pPr>
      <w:r w:rsidRPr="003D4B91">
        <w:t xml:space="preserve">Overall, RUCaS </w:t>
      </w:r>
      <w:r w:rsidR="00F90884">
        <w:t>did</w:t>
      </w:r>
      <w:r w:rsidR="00C12FDA">
        <w:t xml:space="preserve"> not</w:t>
      </w:r>
      <w:r w:rsidR="0033243D">
        <w:t xml:space="preserve"> fully</w:t>
      </w:r>
      <w:r w:rsidR="00C12FDA">
        <w:t xml:space="preserve"> complete</w:t>
      </w:r>
      <w:r w:rsidRPr="003D4B91">
        <w:t xml:space="preserve"> what it set out to do in Phase 1, but </w:t>
      </w:r>
      <w:r w:rsidR="00C12FDA">
        <w:t xml:space="preserve">progress </w:t>
      </w:r>
      <w:r w:rsidR="00F90884">
        <w:t>w</w:t>
      </w:r>
      <w:r w:rsidR="00C12FDA">
        <w:t xml:space="preserve">as made and </w:t>
      </w:r>
      <w:r w:rsidR="00875FE7" w:rsidRPr="003D4B91">
        <w:t>productive work</w:t>
      </w:r>
      <w:r w:rsidRPr="003D4B91">
        <w:t xml:space="preserve"> </w:t>
      </w:r>
      <w:r w:rsidR="00F90884">
        <w:t>w</w:t>
      </w:r>
      <w:r w:rsidRPr="003D4B91">
        <w:t xml:space="preserve">as done by a highly competent and motivated team, regardless. Any future phase should build on these foundations with a more realistic and feasible </w:t>
      </w:r>
      <w:r w:rsidR="00C12FDA">
        <w:t xml:space="preserve">program </w:t>
      </w:r>
      <w:r w:rsidRPr="003D4B91">
        <w:t xml:space="preserve">design—one that prioritises </w:t>
      </w:r>
      <w:r w:rsidR="00AF21D6">
        <w:t>completed case studies of NbS</w:t>
      </w:r>
      <w:r w:rsidRPr="003D4B91">
        <w:t xml:space="preserve"> in the </w:t>
      </w:r>
      <w:r w:rsidR="00C7502A" w:rsidRPr="003D4B91">
        <w:t>Mekong subregion</w:t>
      </w:r>
      <w:r w:rsidRPr="003D4B91">
        <w:t>, financial feasibility, genuine co-design, meaningful incorporation of GEDSI which begins with building GEDSI competence within the implementing team and partners, and sustainability in line with DFAT standards and partner country contexts</w:t>
      </w:r>
      <w:r w:rsidR="00410EE4" w:rsidRPr="003D4B91">
        <w:t xml:space="preserve">. </w:t>
      </w:r>
    </w:p>
    <w:p w14:paraId="7B15B08B" w14:textId="39EE6A3B" w:rsidR="00BB016F" w:rsidRDefault="00BB016F" w:rsidP="00BB016F">
      <w:pPr>
        <w:pStyle w:val="Heading1"/>
      </w:pPr>
      <w:bookmarkStart w:id="165" w:name="_Toc225951867"/>
      <w:r w:rsidRPr="003D4B91">
        <w:lastRenderedPageBreak/>
        <w:t>Appendix A: RUCaS Updated MEL Framework</w:t>
      </w:r>
      <w:bookmarkEnd w:id="165"/>
    </w:p>
    <w:p w14:paraId="59841E42" w14:textId="5C6D63CE" w:rsidR="001343FF" w:rsidRDefault="001343FF" w:rsidP="001343FF">
      <w:r w:rsidRPr="001343FF">
        <w:rPr>
          <w:b/>
          <w:bCs/>
        </w:rPr>
        <w:t>Program Goal</w:t>
      </w:r>
      <w:r w:rsidRPr="001343FF">
        <w:tab/>
        <w:t>Resilient, sustainable, inclusive and prosperous cities where Hybrid Nature-based Solutions (NbS) drive climate change adaptation and enhance economic, social and environmental values.</w:t>
      </w:r>
    </w:p>
    <w:p w14:paraId="7E330957" w14:textId="43E599EB" w:rsidR="001343FF" w:rsidRPr="001343FF" w:rsidRDefault="001343FF" w:rsidP="001343FF">
      <w:r w:rsidRPr="00D232A7">
        <w:rPr>
          <w:b/>
          <w:bCs/>
        </w:rPr>
        <w:t>Overall aim of RUCaS</w:t>
      </w:r>
      <w:r>
        <w:tab/>
        <w:t xml:space="preserve">Mekong country partners </w:t>
      </w:r>
      <w:proofErr w:type="gramStart"/>
      <w:r>
        <w:t>have</w:t>
      </w:r>
      <w:proofErr w:type="gramEnd"/>
      <w:r>
        <w:t xml:space="preserve"> improved technical capacity, local demonstrations of concept, enhanced institutional buy-in and regional collaboration to support scaling NbS and hybrid solutions for more climate resilient development of urban areas and their surrounds.</w:t>
      </w:r>
    </w:p>
    <w:tbl>
      <w:tblPr>
        <w:tblW w:w="138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1843"/>
        <w:gridCol w:w="2126"/>
        <w:gridCol w:w="2127"/>
        <w:gridCol w:w="2976"/>
        <w:gridCol w:w="3119"/>
      </w:tblGrid>
      <w:tr w:rsidR="00347F58" w:rsidRPr="00F21B7A" w14:paraId="0032D59C" w14:textId="77777777" w:rsidTr="00BE25F1">
        <w:trPr>
          <w:trHeight w:val="285"/>
          <w:tblHeader/>
        </w:trPr>
        <w:tc>
          <w:tcPr>
            <w:tcW w:w="1696" w:type="dxa"/>
            <w:shd w:val="clear" w:color="auto" w:fill="F2F2F2" w:themeFill="background1" w:themeFillShade="F2"/>
            <w:vAlign w:val="center"/>
          </w:tcPr>
          <w:p w14:paraId="723344E8" w14:textId="77777777" w:rsidR="00347F58" w:rsidRPr="00F21B7A" w:rsidRDefault="00347F58" w:rsidP="00F21B7A">
            <w:pPr>
              <w:spacing w:after="0" w:line="240" w:lineRule="auto"/>
              <w:rPr>
                <w:b/>
                <w:sz w:val="20"/>
                <w:szCs w:val="20"/>
              </w:rPr>
            </w:pPr>
            <w:r w:rsidRPr="00F21B7A">
              <w:rPr>
                <w:b/>
                <w:sz w:val="20"/>
                <w:szCs w:val="20"/>
              </w:rPr>
              <w:t>End of Program Outcomes (EOPOs)</w:t>
            </w:r>
          </w:p>
        </w:tc>
        <w:tc>
          <w:tcPr>
            <w:tcW w:w="1843" w:type="dxa"/>
            <w:shd w:val="clear" w:color="auto" w:fill="F2F2F2" w:themeFill="background1" w:themeFillShade="F2"/>
            <w:vAlign w:val="center"/>
          </w:tcPr>
          <w:p w14:paraId="33E7799C" w14:textId="77777777" w:rsidR="00347F58" w:rsidRPr="00F21B7A" w:rsidRDefault="00347F58" w:rsidP="00F21B7A">
            <w:pPr>
              <w:spacing w:after="0" w:line="240" w:lineRule="auto"/>
              <w:jc w:val="center"/>
              <w:rPr>
                <w:b/>
                <w:sz w:val="20"/>
                <w:szCs w:val="20"/>
              </w:rPr>
            </w:pPr>
            <w:r w:rsidRPr="00F21B7A">
              <w:rPr>
                <w:b/>
                <w:sz w:val="20"/>
                <w:szCs w:val="20"/>
              </w:rPr>
              <w:t xml:space="preserve">EOPO Indicators </w:t>
            </w:r>
          </w:p>
        </w:tc>
        <w:tc>
          <w:tcPr>
            <w:tcW w:w="2126" w:type="dxa"/>
            <w:shd w:val="clear" w:color="auto" w:fill="F2F2F2" w:themeFill="background1" w:themeFillShade="F2"/>
            <w:vAlign w:val="center"/>
          </w:tcPr>
          <w:p w14:paraId="52311CEE" w14:textId="77777777" w:rsidR="00347F58" w:rsidRPr="00F21B7A" w:rsidRDefault="00347F58" w:rsidP="00F21B7A">
            <w:pPr>
              <w:spacing w:after="0" w:line="240" w:lineRule="auto"/>
              <w:jc w:val="center"/>
              <w:rPr>
                <w:b/>
                <w:sz w:val="20"/>
                <w:szCs w:val="20"/>
              </w:rPr>
            </w:pPr>
            <w:r w:rsidRPr="00F21B7A">
              <w:rPr>
                <w:b/>
                <w:sz w:val="20"/>
                <w:szCs w:val="20"/>
              </w:rPr>
              <w:t>Intermediate outcomes (IOs)</w:t>
            </w:r>
          </w:p>
          <w:p w14:paraId="412FA656" w14:textId="77777777" w:rsidR="00347F58" w:rsidRPr="00F21B7A" w:rsidRDefault="00347F58" w:rsidP="00F21B7A">
            <w:pPr>
              <w:spacing w:after="0" w:line="240" w:lineRule="auto"/>
              <w:jc w:val="center"/>
              <w:rPr>
                <w:b/>
                <w:sz w:val="20"/>
                <w:szCs w:val="20"/>
              </w:rPr>
            </w:pPr>
            <w:r w:rsidRPr="00F21B7A">
              <w:rPr>
                <w:b/>
                <w:sz w:val="20"/>
                <w:szCs w:val="20"/>
              </w:rPr>
              <w:t>Expected changes</w:t>
            </w:r>
          </w:p>
        </w:tc>
        <w:tc>
          <w:tcPr>
            <w:tcW w:w="2127" w:type="dxa"/>
            <w:shd w:val="clear" w:color="auto" w:fill="F2F2F2" w:themeFill="background1" w:themeFillShade="F2"/>
            <w:vAlign w:val="center"/>
          </w:tcPr>
          <w:p w14:paraId="5C0CFCD8" w14:textId="77777777" w:rsidR="00347F58" w:rsidRPr="00F21B7A" w:rsidRDefault="00347F58" w:rsidP="00F21B7A">
            <w:pPr>
              <w:spacing w:after="0" w:line="240" w:lineRule="auto"/>
              <w:jc w:val="center"/>
              <w:rPr>
                <w:b/>
                <w:sz w:val="20"/>
                <w:szCs w:val="20"/>
              </w:rPr>
            </w:pPr>
            <w:r w:rsidRPr="00F21B7A">
              <w:rPr>
                <w:b/>
                <w:sz w:val="20"/>
                <w:szCs w:val="20"/>
              </w:rPr>
              <w:t>IO Indicators</w:t>
            </w:r>
          </w:p>
          <w:p w14:paraId="794CCEDF" w14:textId="77777777" w:rsidR="00347F58" w:rsidRPr="00F21B7A" w:rsidRDefault="00347F58" w:rsidP="00F21B7A">
            <w:pPr>
              <w:spacing w:after="0" w:line="240" w:lineRule="auto"/>
              <w:jc w:val="center"/>
              <w:rPr>
                <w:b/>
                <w:sz w:val="20"/>
                <w:szCs w:val="20"/>
              </w:rPr>
            </w:pPr>
            <w:r w:rsidRPr="00F21B7A">
              <w:rPr>
                <w:b/>
                <w:sz w:val="20"/>
                <w:szCs w:val="20"/>
              </w:rPr>
              <w:t>How the changes measured</w:t>
            </w:r>
          </w:p>
        </w:tc>
        <w:tc>
          <w:tcPr>
            <w:tcW w:w="2976" w:type="dxa"/>
            <w:shd w:val="clear" w:color="auto" w:fill="F2F2F2" w:themeFill="background1" w:themeFillShade="F2"/>
            <w:vAlign w:val="center"/>
          </w:tcPr>
          <w:p w14:paraId="12A92A24" w14:textId="77777777" w:rsidR="00347F58" w:rsidRPr="00F21B7A" w:rsidRDefault="00347F58" w:rsidP="00F21B7A">
            <w:pPr>
              <w:spacing w:after="0" w:line="240" w:lineRule="auto"/>
              <w:rPr>
                <w:b/>
                <w:sz w:val="20"/>
                <w:szCs w:val="20"/>
              </w:rPr>
            </w:pPr>
            <w:r w:rsidRPr="00F21B7A">
              <w:rPr>
                <w:b/>
                <w:sz w:val="20"/>
                <w:szCs w:val="20"/>
              </w:rPr>
              <w:t>Narratives (how we want to communicate the stories of changes)</w:t>
            </w:r>
          </w:p>
        </w:tc>
        <w:tc>
          <w:tcPr>
            <w:tcW w:w="3119" w:type="dxa"/>
            <w:shd w:val="clear" w:color="auto" w:fill="F2F2F2" w:themeFill="background1" w:themeFillShade="F2"/>
            <w:vAlign w:val="center"/>
          </w:tcPr>
          <w:p w14:paraId="7EC2548E" w14:textId="77777777" w:rsidR="00347F58" w:rsidRPr="00F21B7A" w:rsidRDefault="00347F58" w:rsidP="00F21B7A">
            <w:pPr>
              <w:spacing w:after="0" w:line="240" w:lineRule="auto"/>
              <w:jc w:val="center"/>
              <w:rPr>
                <w:b/>
                <w:sz w:val="20"/>
                <w:szCs w:val="20"/>
              </w:rPr>
            </w:pPr>
            <w:r w:rsidRPr="00F21B7A">
              <w:rPr>
                <w:b/>
                <w:sz w:val="20"/>
                <w:szCs w:val="20"/>
              </w:rPr>
              <w:t>Outputs/ Targets</w:t>
            </w:r>
          </w:p>
        </w:tc>
      </w:tr>
      <w:tr w:rsidR="00E0028B" w:rsidRPr="00F21B7A" w14:paraId="37DCB22F" w14:textId="77777777" w:rsidTr="00BE25F1">
        <w:trPr>
          <w:trHeight w:val="285"/>
        </w:trPr>
        <w:tc>
          <w:tcPr>
            <w:tcW w:w="1696" w:type="dxa"/>
            <w:shd w:val="clear" w:color="auto" w:fill="FFFFFF" w:themeFill="background1"/>
            <w:vAlign w:val="center"/>
          </w:tcPr>
          <w:p w14:paraId="68925DF3" w14:textId="55661C0F" w:rsidR="00E0028B" w:rsidRPr="00F21B7A" w:rsidRDefault="00E0028B" w:rsidP="00F21B7A">
            <w:pPr>
              <w:spacing w:before="120" w:after="120"/>
              <w:rPr>
                <w:b/>
                <w:sz w:val="20"/>
                <w:szCs w:val="20"/>
              </w:rPr>
            </w:pPr>
            <w:r w:rsidRPr="00F21B7A">
              <w:rPr>
                <w:b/>
                <w:sz w:val="20"/>
                <w:szCs w:val="20"/>
              </w:rPr>
              <w:t>EOPO1.</w:t>
            </w:r>
            <w:r w:rsidRPr="00F21B7A">
              <w:rPr>
                <w:sz w:val="20"/>
                <w:szCs w:val="20"/>
              </w:rPr>
              <w:t xml:space="preserve"> The value of hybrid NbS is accepted.</w:t>
            </w:r>
          </w:p>
        </w:tc>
        <w:tc>
          <w:tcPr>
            <w:tcW w:w="1843" w:type="dxa"/>
            <w:shd w:val="clear" w:color="auto" w:fill="FFFFFF" w:themeFill="background1"/>
            <w:vAlign w:val="center"/>
          </w:tcPr>
          <w:p w14:paraId="494F5553" w14:textId="77777777" w:rsidR="00E0028B" w:rsidRPr="00F21B7A" w:rsidRDefault="00E0028B" w:rsidP="00F21B7A">
            <w:pPr>
              <w:spacing w:before="120" w:after="120"/>
              <w:rPr>
                <w:sz w:val="20"/>
                <w:szCs w:val="20"/>
              </w:rPr>
            </w:pPr>
            <w:r w:rsidRPr="00F21B7A">
              <w:rPr>
                <w:sz w:val="20"/>
                <w:szCs w:val="20"/>
              </w:rPr>
              <w:t>Number and evidence of case studies with integrated GEDSI principles that Mekong subregion partners and like-minded partners</w:t>
            </w:r>
            <w:r w:rsidRPr="00F21B7A">
              <w:rPr>
                <w:b/>
                <w:bCs/>
                <w:sz w:val="20"/>
                <w:szCs w:val="20"/>
              </w:rPr>
              <w:t xml:space="preserve"> have taken from concept to demonstration</w:t>
            </w:r>
            <w:r w:rsidRPr="00F21B7A">
              <w:rPr>
                <w:sz w:val="20"/>
                <w:szCs w:val="20"/>
              </w:rPr>
              <w:t>.</w:t>
            </w:r>
          </w:p>
          <w:p w14:paraId="522B271E" w14:textId="77777777" w:rsidR="00E0028B" w:rsidRPr="00F21B7A" w:rsidRDefault="00E0028B" w:rsidP="00F21B7A">
            <w:pPr>
              <w:spacing w:before="120" w:after="120"/>
              <w:rPr>
                <w:b/>
                <w:sz w:val="20"/>
                <w:szCs w:val="20"/>
              </w:rPr>
            </w:pPr>
          </w:p>
        </w:tc>
        <w:tc>
          <w:tcPr>
            <w:tcW w:w="2126" w:type="dxa"/>
            <w:shd w:val="clear" w:color="auto" w:fill="FFFFFF" w:themeFill="background1"/>
            <w:vAlign w:val="center"/>
          </w:tcPr>
          <w:p w14:paraId="03891DE2" w14:textId="77777777" w:rsidR="00E0028B" w:rsidRPr="00F21B7A" w:rsidRDefault="00E0028B" w:rsidP="00F21B7A">
            <w:pPr>
              <w:spacing w:before="120" w:after="120"/>
              <w:rPr>
                <w:sz w:val="20"/>
                <w:szCs w:val="20"/>
              </w:rPr>
            </w:pPr>
            <w:r w:rsidRPr="00F21B7A">
              <w:rPr>
                <w:rFonts w:eastAsia="Times New Roman" w:cs="Calibri"/>
                <w:sz w:val="20"/>
                <w:szCs w:val="20"/>
              </w:rPr>
              <w:t xml:space="preserve">IO1: Mekong subregion partners </w:t>
            </w:r>
            <w:r w:rsidRPr="00F21B7A">
              <w:rPr>
                <w:rFonts w:eastAsia="Times New Roman" w:cs="Calibri"/>
                <w:b/>
                <w:bCs/>
                <w:sz w:val="20"/>
                <w:szCs w:val="20"/>
              </w:rPr>
              <w:t>buy in</w:t>
            </w:r>
            <w:r w:rsidRPr="00F21B7A">
              <w:rPr>
                <w:rFonts w:eastAsia="Times New Roman" w:cs="Calibri"/>
                <w:sz w:val="20"/>
                <w:szCs w:val="20"/>
              </w:rPr>
              <w:t xml:space="preserve"> to the value of Hybrid NbS in strengthening economic, social, and environmental resilience.</w:t>
            </w:r>
          </w:p>
          <w:p w14:paraId="5C887CB1" w14:textId="77777777" w:rsidR="00E0028B" w:rsidRPr="00F21B7A" w:rsidRDefault="00E0028B" w:rsidP="00F21B7A">
            <w:pPr>
              <w:spacing w:before="120" w:after="120"/>
              <w:rPr>
                <w:b/>
                <w:sz w:val="20"/>
                <w:szCs w:val="20"/>
              </w:rPr>
            </w:pPr>
          </w:p>
        </w:tc>
        <w:tc>
          <w:tcPr>
            <w:tcW w:w="2127" w:type="dxa"/>
            <w:shd w:val="clear" w:color="auto" w:fill="FFFFFF" w:themeFill="background1"/>
            <w:vAlign w:val="center"/>
          </w:tcPr>
          <w:p w14:paraId="08A47171" w14:textId="77777777" w:rsidR="00E0028B" w:rsidRPr="00F21B7A" w:rsidRDefault="00E0028B" w:rsidP="00F21B7A">
            <w:pPr>
              <w:spacing w:before="120" w:after="120"/>
              <w:rPr>
                <w:sz w:val="20"/>
                <w:szCs w:val="20"/>
              </w:rPr>
            </w:pPr>
            <w:r w:rsidRPr="00F21B7A">
              <w:rPr>
                <w:sz w:val="20"/>
                <w:szCs w:val="20"/>
              </w:rPr>
              <w:t xml:space="preserve">Number of case studies </w:t>
            </w:r>
            <w:r w:rsidRPr="00F21B7A">
              <w:rPr>
                <w:b/>
                <w:bCs/>
                <w:sz w:val="20"/>
                <w:szCs w:val="20"/>
              </w:rPr>
              <w:t>localised and carried out in close consultation</w:t>
            </w:r>
            <w:r w:rsidRPr="00F21B7A">
              <w:rPr>
                <w:sz w:val="20"/>
                <w:szCs w:val="20"/>
              </w:rPr>
              <w:t xml:space="preserve"> </w:t>
            </w:r>
            <w:r w:rsidRPr="00F21B7A">
              <w:rPr>
                <w:b/>
                <w:bCs/>
                <w:sz w:val="20"/>
                <w:szCs w:val="20"/>
              </w:rPr>
              <w:t>with</w:t>
            </w:r>
            <w:r w:rsidRPr="00F21B7A">
              <w:rPr>
                <w:sz w:val="20"/>
                <w:szCs w:val="20"/>
              </w:rPr>
              <w:t xml:space="preserve"> and guidance from Mekong subregion partners.</w:t>
            </w:r>
          </w:p>
          <w:p w14:paraId="7B24877C" w14:textId="77777777" w:rsidR="00E0028B" w:rsidRPr="00F21B7A" w:rsidRDefault="00E0028B" w:rsidP="00F21B7A">
            <w:pPr>
              <w:spacing w:before="120" w:after="120"/>
              <w:rPr>
                <w:b/>
                <w:sz w:val="20"/>
                <w:szCs w:val="20"/>
              </w:rPr>
            </w:pPr>
          </w:p>
        </w:tc>
        <w:tc>
          <w:tcPr>
            <w:tcW w:w="2976" w:type="dxa"/>
            <w:shd w:val="clear" w:color="auto" w:fill="FFFFFF" w:themeFill="background1"/>
            <w:vAlign w:val="center"/>
          </w:tcPr>
          <w:p w14:paraId="27A0AF14" w14:textId="77777777" w:rsidR="00E0028B" w:rsidRPr="00F21B7A" w:rsidRDefault="00E0028B" w:rsidP="00037A46">
            <w:pPr>
              <w:numPr>
                <w:ilvl w:val="0"/>
                <w:numId w:val="12"/>
              </w:numPr>
              <w:pBdr>
                <w:top w:val="nil"/>
                <w:left w:val="nil"/>
                <w:bottom w:val="nil"/>
                <w:right w:val="nil"/>
                <w:between w:val="nil"/>
              </w:pBdr>
              <w:spacing w:before="120" w:after="120"/>
              <w:ind w:left="249" w:hanging="249"/>
              <w:rPr>
                <w:sz w:val="20"/>
                <w:szCs w:val="20"/>
              </w:rPr>
            </w:pPr>
            <w:r w:rsidRPr="00F21B7A">
              <w:rPr>
                <w:sz w:val="20"/>
                <w:szCs w:val="20"/>
              </w:rPr>
              <w:t xml:space="preserve">RUCaS case studies are taken from concept to demonstration by national partners and likeminded donors. </w:t>
            </w:r>
          </w:p>
          <w:p w14:paraId="5A69607D" w14:textId="77777777" w:rsidR="00E0028B" w:rsidRPr="00F21B7A" w:rsidRDefault="00E0028B" w:rsidP="00037A46">
            <w:pPr>
              <w:numPr>
                <w:ilvl w:val="0"/>
                <w:numId w:val="12"/>
              </w:numPr>
              <w:pBdr>
                <w:top w:val="nil"/>
                <w:left w:val="nil"/>
                <w:bottom w:val="nil"/>
                <w:right w:val="nil"/>
                <w:between w:val="nil"/>
              </w:pBdr>
              <w:spacing w:before="120" w:after="120"/>
              <w:ind w:left="249" w:hanging="249"/>
              <w:rPr>
                <w:sz w:val="20"/>
                <w:szCs w:val="20"/>
              </w:rPr>
            </w:pPr>
            <w:r w:rsidRPr="00F21B7A">
              <w:rPr>
                <w:sz w:val="20"/>
                <w:szCs w:val="20"/>
              </w:rPr>
              <w:t>All cases have integrated GEDSI principles (embedding GEDSI in valuing and scaling hybrid NbS)</w:t>
            </w:r>
          </w:p>
          <w:p w14:paraId="436EA38C" w14:textId="17A78D87" w:rsidR="00E0028B" w:rsidRPr="00F21B7A" w:rsidRDefault="00E0028B" w:rsidP="00F21B7A">
            <w:pPr>
              <w:spacing w:before="120" w:after="120"/>
              <w:rPr>
                <w:b/>
                <w:sz w:val="20"/>
                <w:szCs w:val="20"/>
              </w:rPr>
            </w:pPr>
            <w:r w:rsidRPr="00F21B7A">
              <w:rPr>
                <w:sz w:val="20"/>
                <w:szCs w:val="20"/>
              </w:rPr>
              <w:t>All cases have been localised and carried out in close consultation with and guidance from local partners.</w:t>
            </w:r>
          </w:p>
        </w:tc>
        <w:tc>
          <w:tcPr>
            <w:tcW w:w="3119" w:type="dxa"/>
            <w:shd w:val="clear" w:color="auto" w:fill="FFFFFF" w:themeFill="background1"/>
            <w:vAlign w:val="center"/>
          </w:tcPr>
          <w:p w14:paraId="253C18E6" w14:textId="77777777" w:rsidR="00B11822" w:rsidRPr="00F21B7A" w:rsidRDefault="00B11822" w:rsidP="00F21B7A">
            <w:pPr>
              <w:spacing w:before="120" w:after="120"/>
              <w:rPr>
                <w:bCs/>
                <w:sz w:val="20"/>
                <w:szCs w:val="20"/>
              </w:rPr>
            </w:pPr>
            <w:r w:rsidRPr="00F21B7A">
              <w:rPr>
                <w:bCs/>
                <w:sz w:val="20"/>
                <w:szCs w:val="20"/>
              </w:rPr>
              <w:t>1.1 Eight concept studies (in both large and secondary cities) that demonstrate the local relevance and application</w:t>
            </w:r>
          </w:p>
          <w:p w14:paraId="0685034F" w14:textId="6DC7FB2A" w:rsidR="00E0028B" w:rsidRPr="00F21B7A" w:rsidRDefault="00B11822" w:rsidP="00F21B7A">
            <w:pPr>
              <w:spacing w:before="120" w:after="120"/>
              <w:rPr>
                <w:bCs/>
                <w:sz w:val="20"/>
                <w:szCs w:val="20"/>
              </w:rPr>
            </w:pPr>
            <w:r w:rsidRPr="00F21B7A">
              <w:rPr>
                <w:bCs/>
                <w:sz w:val="20"/>
                <w:szCs w:val="20"/>
              </w:rPr>
              <w:t>1.2 At least four integrated pilots/direct interventions (e.g. design of hybrid NbS, NbS demonstration, environmental monitoring) linked to national and development agency investment projects to accelerate opportunities for technical, social and economic innovations at scale</w:t>
            </w:r>
          </w:p>
        </w:tc>
      </w:tr>
      <w:tr w:rsidR="006E5CC5" w:rsidRPr="00F21B7A" w14:paraId="09727BC2" w14:textId="77777777" w:rsidTr="00BE25F1">
        <w:trPr>
          <w:trHeight w:val="285"/>
        </w:trPr>
        <w:tc>
          <w:tcPr>
            <w:tcW w:w="1696" w:type="dxa"/>
            <w:shd w:val="clear" w:color="auto" w:fill="FFFFFF" w:themeFill="background1"/>
            <w:vAlign w:val="center"/>
          </w:tcPr>
          <w:p w14:paraId="0CC91D24" w14:textId="3BCBB34B" w:rsidR="006E5CC5" w:rsidRPr="00F21B7A" w:rsidRDefault="006E5CC5" w:rsidP="00F21B7A">
            <w:pPr>
              <w:spacing w:before="120" w:after="120"/>
              <w:rPr>
                <w:b/>
                <w:sz w:val="20"/>
                <w:szCs w:val="20"/>
              </w:rPr>
            </w:pPr>
            <w:r w:rsidRPr="00F21B7A">
              <w:rPr>
                <w:b/>
                <w:sz w:val="20"/>
                <w:szCs w:val="20"/>
              </w:rPr>
              <w:t xml:space="preserve">EOPO2. </w:t>
            </w:r>
            <w:r w:rsidRPr="00F21B7A">
              <w:rPr>
                <w:sz w:val="20"/>
                <w:szCs w:val="20"/>
              </w:rPr>
              <w:t>The foundations for upscaling are being put in place.</w:t>
            </w:r>
          </w:p>
        </w:tc>
        <w:tc>
          <w:tcPr>
            <w:tcW w:w="1843" w:type="dxa"/>
            <w:shd w:val="clear" w:color="auto" w:fill="FFFFFF" w:themeFill="background1"/>
            <w:vAlign w:val="center"/>
          </w:tcPr>
          <w:p w14:paraId="1A6FA53A" w14:textId="10AA1A1E" w:rsidR="006E5CC5" w:rsidRPr="00F21B7A" w:rsidRDefault="006E5CC5" w:rsidP="00F21B7A">
            <w:pPr>
              <w:spacing w:before="120" w:after="120"/>
              <w:rPr>
                <w:sz w:val="20"/>
                <w:szCs w:val="20"/>
              </w:rPr>
            </w:pPr>
            <w:r w:rsidRPr="00F21B7A">
              <w:rPr>
                <w:rFonts w:eastAsia="Times New Roman" w:cs="Calibri"/>
                <w:sz w:val="20"/>
                <w:szCs w:val="20"/>
              </w:rPr>
              <w:t>N</w:t>
            </w:r>
            <w:r w:rsidRPr="00F21B7A">
              <w:rPr>
                <w:sz w:val="20"/>
                <w:szCs w:val="20"/>
              </w:rPr>
              <w:t xml:space="preserve">umber and evidence of national and/or local-level urban climate policies, regulations, </w:t>
            </w:r>
            <w:r w:rsidRPr="00F21B7A">
              <w:rPr>
                <w:sz w:val="20"/>
                <w:szCs w:val="20"/>
              </w:rPr>
              <w:lastRenderedPageBreak/>
              <w:t xml:space="preserve">planning documents, or technical standards and tools that </w:t>
            </w:r>
            <w:r w:rsidRPr="00F21B7A">
              <w:rPr>
                <w:b/>
                <w:bCs/>
                <w:sz w:val="20"/>
                <w:szCs w:val="20"/>
              </w:rPr>
              <w:t>integrate NbS principles supported by RUCaS</w:t>
            </w:r>
          </w:p>
        </w:tc>
        <w:tc>
          <w:tcPr>
            <w:tcW w:w="2126" w:type="dxa"/>
            <w:shd w:val="clear" w:color="auto" w:fill="FFFFFF" w:themeFill="background1"/>
            <w:vAlign w:val="center"/>
          </w:tcPr>
          <w:p w14:paraId="48226FEC" w14:textId="68B8AA84" w:rsidR="006E5CC5" w:rsidRPr="00F21B7A" w:rsidRDefault="006E5CC5" w:rsidP="00F21B7A">
            <w:pPr>
              <w:spacing w:before="120" w:after="120"/>
              <w:rPr>
                <w:rFonts w:eastAsia="Times New Roman" w:cs="Calibri"/>
                <w:sz w:val="20"/>
                <w:szCs w:val="20"/>
              </w:rPr>
            </w:pPr>
            <w:r w:rsidRPr="00F21B7A">
              <w:rPr>
                <w:b/>
                <w:sz w:val="20"/>
                <w:szCs w:val="20"/>
              </w:rPr>
              <w:lastRenderedPageBreak/>
              <w:t xml:space="preserve">IO2: </w:t>
            </w:r>
            <w:r w:rsidRPr="00F21B7A">
              <w:rPr>
                <w:sz w:val="20"/>
                <w:szCs w:val="20"/>
              </w:rPr>
              <w:t xml:space="preserve">Mekong authorities and partners </w:t>
            </w:r>
            <w:r w:rsidRPr="00F21B7A">
              <w:rPr>
                <w:sz w:val="20"/>
                <w:szCs w:val="20"/>
                <w:u w:val="single"/>
              </w:rPr>
              <w:t>consider</w:t>
            </w:r>
            <w:r w:rsidRPr="00F21B7A">
              <w:rPr>
                <w:sz w:val="20"/>
                <w:szCs w:val="20"/>
              </w:rPr>
              <w:t xml:space="preserve"> hybrid NbS in policies, regulations, and technical </w:t>
            </w:r>
            <w:r w:rsidRPr="00F21B7A">
              <w:rPr>
                <w:sz w:val="20"/>
                <w:szCs w:val="20"/>
              </w:rPr>
              <w:lastRenderedPageBreak/>
              <w:t>guidance and tools for climate change adaptation.</w:t>
            </w:r>
          </w:p>
        </w:tc>
        <w:tc>
          <w:tcPr>
            <w:tcW w:w="2127" w:type="dxa"/>
            <w:shd w:val="clear" w:color="auto" w:fill="FFFFFF" w:themeFill="background1"/>
            <w:vAlign w:val="center"/>
          </w:tcPr>
          <w:p w14:paraId="6C2C8002" w14:textId="0F727DF2" w:rsidR="006E5CC5" w:rsidRPr="00F21B7A" w:rsidRDefault="006E5CC5" w:rsidP="00F21B7A">
            <w:pPr>
              <w:spacing w:before="120" w:after="120"/>
              <w:rPr>
                <w:sz w:val="20"/>
                <w:szCs w:val="20"/>
              </w:rPr>
            </w:pPr>
            <w:r w:rsidRPr="00F21B7A">
              <w:rPr>
                <w:sz w:val="20"/>
                <w:szCs w:val="20"/>
              </w:rPr>
              <w:lastRenderedPageBreak/>
              <w:t xml:space="preserve">Number of policies, regulations and technical guidance or tools </w:t>
            </w:r>
            <w:r w:rsidRPr="00F21B7A">
              <w:rPr>
                <w:b/>
                <w:bCs/>
                <w:sz w:val="20"/>
                <w:szCs w:val="20"/>
              </w:rPr>
              <w:t>advocated through policy dialogues</w:t>
            </w:r>
            <w:r w:rsidRPr="00F21B7A">
              <w:rPr>
                <w:sz w:val="20"/>
                <w:szCs w:val="20"/>
              </w:rPr>
              <w:t xml:space="preserve"> with </w:t>
            </w:r>
            <w:r w:rsidRPr="00F21B7A">
              <w:rPr>
                <w:sz w:val="20"/>
                <w:szCs w:val="20"/>
              </w:rPr>
              <w:lastRenderedPageBreak/>
              <w:t>Mekong subregion partners.</w:t>
            </w:r>
          </w:p>
        </w:tc>
        <w:tc>
          <w:tcPr>
            <w:tcW w:w="2976" w:type="dxa"/>
            <w:shd w:val="clear" w:color="auto" w:fill="FFFFFF" w:themeFill="background1"/>
            <w:vAlign w:val="center"/>
          </w:tcPr>
          <w:p w14:paraId="36566749" w14:textId="77777777" w:rsidR="006E5CC5" w:rsidRPr="00F21B7A" w:rsidRDefault="006E5CC5" w:rsidP="00037A46">
            <w:pPr>
              <w:numPr>
                <w:ilvl w:val="0"/>
                <w:numId w:val="12"/>
              </w:numPr>
              <w:pBdr>
                <w:top w:val="nil"/>
                <w:left w:val="nil"/>
                <w:bottom w:val="nil"/>
                <w:right w:val="nil"/>
                <w:between w:val="nil"/>
              </w:pBdr>
              <w:spacing w:before="120" w:after="120"/>
              <w:ind w:left="249" w:hanging="249"/>
              <w:rPr>
                <w:sz w:val="20"/>
                <w:szCs w:val="20"/>
              </w:rPr>
            </w:pPr>
            <w:r w:rsidRPr="00F21B7A">
              <w:rPr>
                <w:sz w:val="20"/>
                <w:szCs w:val="20"/>
              </w:rPr>
              <w:lastRenderedPageBreak/>
              <w:t xml:space="preserve">NbS enabling policies and technical guidance developed based on RUCaS case studies and integrated GEDSI principles have been adopted by Mekong partners </w:t>
            </w:r>
            <w:r w:rsidRPr="00F21B7A">
              <w:rPr>
                <w:sz w:val="20"/>
                <w:szCs w:val="20"/>
              </w:rPr>
              <w:lastRenderedPageBreak/>
              <w:t xml:space="preserve">for climate change adaptation. </w:t>
            </w:r>
          </w:p>
          <w:p w14:paraId="2BC5221B" w14:textId="77777777" w:rsidR="006E5CC5" w:rsidRPr="00F21B7A" w:rsidRDefault="006E5CC5" w:rsidP="00037A46">
            <w:pPr>
              <w:numPr>
                <w:ilvl w:val="0"/>
                <w:numId w:val="12"/>
              </w:numPr>
              <w:pBdr>
                <w:top w:val="nil"/>
                <w:left w:val="nil"/>
                <w:bottom w:val="nil"/>
                <w:right w:val="nil"/>
                <w:between w:val="nil"/>
              </w:pBdr>
              <w:spacing w:before="120" w:after="120"/>
              <w:ind w:left="249" w:hanging="249"/>
              <w:rPr>
                <w:sz w:val="20"/>
                <w:szCs w:val="20"/>
              </w:rPr>
            </w:pPr>
            <w:r w:rsidRPr="00F21B7A">
              <w:rPr>
                <w:sz w:val="20"/>
                <w:szCs w:val="20"/>
              </w:rPr>
              <w:t xml:space="preserve">Australian tools and guidelines translated into Mekong languages, used for training, shared via RUCaS website, and used by Mekong partners for climate change adaptation. </w:t>
            </w:r>
          </w:p>
          <w:p w14:paraId="0237AD50" w14:textId="44BA1D55" w:rsidR="006E5CC5" w:rsidRPr="00F21B7A" w:rsidRDefault="006E5CC5" w:rsidP="00037A46">
            <w:pPr>
              <w:numPr>
                <w:ilvl w:val="0"/>
                <w:numId w:val="12"/>
              </w:numPr>
              <w:pBdr>
                <w:top w:val="nil"/>
                <w:left w:val="nil"/>
                <w:bottom w:val="nil"/>
                <w:right w:val="nil"/>
                <w:between w:val="nil"/>
              </w:pBdr>
              <w:spacing w:before="120" w:after="120"/>
              <w:ind w:left="249" w:hanging="249"/>
              <w:rPr>
                <w:sz w:val="20"/>
                <w:szCs w:val="20"/>
              </w:rPr>
            </w:pPr>
            <w:r w:rsidRPr="00F21B7A">
              <w:rPr>
                <w:sz w:val="20"/>
                <w:szCs w:val="20"/>
              </w:rPr>
              <w:t>RUCaS scaling strategies facilitate policy dialogues to promote adoption of hybrid NbS into national/city level policies and plans.</w:t>
            </w:r>
          </w:p>
        </w:tc>
        <w:tc>
          <w:tcPr>
            <w:tcW w:w="3119" w:type="dxa"/>
            <w:shd w:val="clear" w:color="auto" w:fill="FFFFFF" w:themeFill="background1"/>
            <w:vAlign w:val="center"/>
          </w:tcPr>
          <w:p w14:paraId="7B28B645" w14:textId="77777777" w:rsidR="006E5CC5" w:rsidRPr="00F21B7A" w:rsidRDefault="006E5CC5" w:rsidP="00F21B7A">
            <w:pPr>
              <w:spacing w:before="120" w:after="120"/>
              <w:rPr>
                <w:bCs/>
                <w:sz w:val="20"/>
                <w:szCs w:val="20"/>
              </w:rPr>
            </w:pPr>
            <w:r w:rsidRPr="00F21B7A">
              <w:rPr>
                <w:bCs/>
                <w:sz w:val="20"/>
                <w:szCs w:val="20"/>
              </w:rPr>
              <w:lastRenderedPageBreak/>
              <w:t xml:space="preserve">2.1 RUCaS framework (Research based, practical framework for climate resilient urban investment decisions) </w:t>
            </w:r>
          </w:p>
          <w:p w14:paraId="7C73E0A9" w14:textId="77777777" w:rsidR="006E5CC5" w:rsidRPr="00F21B7A" w:rsidRDefault="006E5CC5" w:rsidP="00F21B7A">
            <w:pPr>
              <w:spacing w:before="120" w:after="120"/>
              <w:rPr>
                <w:bCs/>
                <w:sz w:val="20"/>
                <w:szCs w:val="20"/>
              </w:rPr>
            </w:pPr>
            <w:r w:rsidRPr="00F21B7A">
              <w:rPr>
                <w:bCs/>
                <w:sz w:val="20"/>
                <w:szCs w:val="20"/>
              </w:rPr>
              <w:t xml:space="preserve">2.2 Training resources, tools and databases prioritised by Mekong </w:t>
            </w:r>
            <w:r w:rsidRPr="00F21B7A">
              <w:rPr>
                <w:bCs/>
                <w:sz w:val="20"/>
                <w:szCs w:val="20"/>
              </w:rPr>
              <w:lastRenderedPageBreak/>
              <w:t>partners to guide urban infrastructure investment</w:t>
            </w:r>
          </w:p>
          <w:p w14:paraId="0CD0B9EB" w14:textId="77777777" w:rsidR="006E5CC5" w:rsidRPr="00F21B7A" w:rsidRDefault="006E5CC5" w:rsidP="00F21B7A">
            <w:pPr>
              <w:spacing w:before="120" w:after="120"/>
              <w:rPr>
                <w:bCs/>
                <w:sz w:val="20"/>
                <w:szCs w:val="20"/>
              </w:rPr>
            </w:pPr>
            <w:r w:rsidRPr="00F21B7A">
              <w:rPr>
                <w:bCs/>
                <w:sz w:val="20"/>
                <w:szCs w:val="20"/>
              </w:rPr>
              <w:t>2.3 Four Climate Resilient Development Scaling Strategies for 4 countries providing tangible actions, and broader policy and practice reform recommendations</w:t>
            </w:r>
          </w:p>
          <w:p w14:paraId="2D008EC9" w14:textId="5D44913C" w:rsidR="006E5CC5" w:rsidRPr="00F21B7A" w:rsidRDefault="006E5CC5" w:rsidP="00F21B7A">
            <w:pPr>
              <w:spacing w:before="120" w:after="120"/>
              <w:rPr>
                <w:bCs/>
                <w:sz w:val="20"/>
                <w:szCs w:val="20"/>
              </w:rPr>
            </w:pPr>
            <w:r w:rsidRPr="00F21B7A">
              <w:rPr>
                <w:bCs/>
                <w:sz w:val="20"/>
                <w:szCs w:val="20"/>
              </w:rPr>
              <w:t>2.4 NbS enabling policies and technical guidance developed based on RUCaS case studies and integrate GEDSI principles that are adopted by Mekong partners for climate change adaption</w:t>
            </w:r>
          </w:p>
        </w:tc>
      </w:tr>
      <w:tr w:rsidR="00100B18" w:rsidRPr="00F21B7A" w14:paraId="14B41A01" w14:textId="77777777" w:rsidTr="00BE25F1">
        <w:trPr>
          <w:trHeight w:val="285"/>
        </w:trPr>
        <w:tc>
          <w:tcPr>
            <w:tcW w:w="1696" w:type="dxa"/>
            <w:shd w:val="clear" w:color="auto" w:fill="FFFFFF" w:themeFill="background1"/>
            <w:vAlign w:val="center"/>
          </w:tcPr>
          <w:p w14:paraId="698B40A8" w14:textId="27A9218B" w:rsidR="00100B18" w:rsidRPr="00F21B7A" w:rsidRDefault="00100B18" w:rsidP="00F21B7A">
            <w:pPr>
              <w:spacing w:before="120" w:after="120"/>
              <w:rPr>
                <w:b/>
                <w:sz w:val="20"/>
                <w:szCs w:val="20"/>
              </w:rPr>
            </w:pPr>
            <w:r w:rsidRPr="00F21B7A">
              <w:rPr>
                <w:b/>
                <w:sz w:val="20"/>
                <w:szCs w:val="20"/>
              </w:rPr>
              <w:lastRenderedPageBreak/>
              <w:t>EOPO3.</w:t>
            </w:r>
            <w:r w:rsidRPr="00F21B7A">
              <w:rPr>
                <w:sz w:val="20"/>
                <w:szCs w:val="20"/>
              </w:rPr>
              <w:t xml:space="preserve"> Partnerships and capacity for achieving scaling are established.</w:t>
            </w:r>
          </w:p>
        </w:tc>
        <w:tc>
          <w:tcPr>
            <w:tcW w:w="1843" w:type="dxa"/>
            <w:shd w:val="clear" w:color="auto" w:fill="FFFFFF" w:themeFill="background1"/>
            <w:vAlign w:val="center"/>
          </w:tcPr>
          <w:p w14:paraId="1E788666" w14:textId="77777777" w:rsidR="00100B18" w:rsidRPr="00F21B7A" w:rsidRDefault="00100B18" w:rsidP="00F21B7A">
            <w:pPr>
              <w:spacing w:before="120" w:after="120"/>
              <w:rPr>
                <w:rFonts w:eastAsia="Times New Roman" w:cs="Calibri"/>
                <w:sz w:val="20"/>
                <w:szCs w:val="20"/>
              </w:rPr>
            </w:pPr>
            <w:r w:rsidRPr="00F21B7A">
              <w:rPr>
                <w:sz w:val="20"/>
                <w:szCs w:val="20"/>
              </w:rPr>
              <w:t xml:space="preserve">Evidence of </w:t>
            </w:r>
            <w:r w:rsidRPr="00F21B7A">
              <w:rPr>
                <w:b/>
                <w:bCs/>
                <w:sz w:val="20"/>
                <w:szCs w:val="20"/>
              </w:rPr>
              <w:t>established, inclusive cohort of NbS champions</w:t>
            </w:r>
            <w:r w:rsidRPr="00F21B7A">
              <w:rPr>
                <w:sz w:val="20"/>
                <w:szCs w:val="20"/>
              </w:rPr>
              <w:t xml:space="preserve"> that is </w:t>
            </w:r>
            <w:r w:rsidRPr="00F21B7A">
              <w:rPr>
                <w:b/>
                <w:bCs/>
                <w:sz w:val="20"/>
                <w:szCs w:val="20"/>
              </w:rPr>
              <w:t>maintained</w:t>
            </w:r>
            <w:r w:rsidRPr="00F21B7A">
              <w:rPr>
                <w:sz w:val="20"/>
                <w:szCs w:val="20"/>
              </w:rPr>
              <w:t xml:space="preserve"> and </w:t>
            </w:r>
            <w:r w:rsidRPr="00F21B7A">
              <w:rPr>
                <w:b/>
                <w:bCs/>
                <w:sz w:val="20"/>
                <w:szCs w:val="20"/>
              </w:rPr>
              <w:t>linked to networks</w:t>
            </w:r>
            <w:r w:rsidRPr="00F21B7A">
              <w:rPr>
                <w:sz w:val="20"/>
                <w:szCs w:val="20"/>
              </w:rPr>
              <w:t xml:space="preserve"> across the Mekong to promote and collaborate on hybrid NbS.</w:t>
            </w:r>
          </w:p>
          <w:p w14:paraId="10C8B3AD" w14:textId="77777777" w:rsidR="00100B18" w:rsidRPr="00F21B7A" w:rsidRDefault="00100B18" w:rsidP="00F21B7A">
            <w:pPr>
              <w:spacing w:before="120" w:after="120"/>
              <w:rPr>
                <w:rFonts w:eastAsia="Times New Roman" w:cs="Calibri"/>
                <w:sz w:val="20"/>
                <w:szCs w:val="20"/>
              </w:rPr>
            </w:pPr>
          </w:p>
          <w:p w14:paraId="1E3C6CF0" w14:textId="77777777" w:rsidR="00100B18" w:rsidRPr="00F21B7A" w:rsidRDefault="00100B18" w:rsidP="00F21B7A">
            <w:pPr>
              <w:spacing w:before="120" w:after="120"/>
              <w:rPr>
                <w:rFonts w:eastAsia="Times New Roman" w:cs="Calibri"/>
                <w:sz w:val="20"/>
                <w:szCs w:val="20"/>
              </w:rPr>
            </w:pPr>
          </w:p>
        </w:tc>
        <w:tc>
          <w:tcPr>
            <w:tcW w:w="2126" w:type="dxa"/>
            <w:shd w:val="clear" w:color="auto" w:fill="FFFFFF" w:themeFill="background1"/>
            <w:vAlign w:val="center"/>
          </w:tcPr>
          <w:p w14:paraId="7EA1A54C" w14:textId="77777777" w:rsidR="00100B18" w:rsidRPr="00F21B7A" w:rsidRDefault="00100B18" w:rsidP="00F21B7A">
            <w:pPr>
              <w:spacing w:before="120" w:after="120"/>
              <w:rPr>
                <w:sz w:val="20"/>
                <w:szCs w:val="20"/>
              </w:rPr>
            </w:pPr>
            <w:r w:rsidRPr="00F21B7A">
              <w:rPr>
                <w:sz w:val="20"/>
                <w:szCs w:val="20"/>
              </w:rPr>
              <w:lastRenderedPageBreak/>
              <w:t>IO3: Inclusive cohort of NbS champions</w:t>
            </w:r>
            <w:r w:rsidRPr="00F21B7A">
              <w:rPr>
                <w:b/>
                <w:bCs/>
                <w:sz w:val="20"/>
                <w:szCs w:val="20"/>
              </w:rPr>
              <w:t xml:space="preserve"> established</w:t>
            </w:r>
            <w:r w:rsidRPr="00F21B7A">
              <w:rPr>
                <w:sz w:val="20"/>
                <w:szCs w:val="20"/>
              </w:rPr>
              <w:t xml:space="preserve"> to promote hybrid NbS</w:t>
            </w:r>
          </w:p>
          <w:p w14:paraId="0F2BE8FD" w14:textId="54CC9F29" w:rsidR="00100B18" w:rsidRPr="00F21B7A" w:rsidRDefault="00100B18" w:rsidP="00C122D6">
            <w:pPr>
              <w:spacing w:before="120" w:after="120"/>
              <w:rPr>
                <w:b/>
                <w:sz w:val="20"/>
                <w:szCs w:val="20"/>
              </w:rPr>
            </w:pPr>
            <w:r w:rsidRPr="00F21B7A">
              <w:rPr>
                <w:sz w:val="20"/>
                <w:szCs w:val="20"/>
              </w:rPr>
              <w:t xml:space="preserve">Evidence of </w:t>
            </w:r>
            <w:r w:rsidRPr="00F21B7A">
              <w:rPr>
                <w:b/>
                <w:bCs/>
                <w:sz w:val="20"/>
                <w:szCs w:val="20"/>
              </w:rPr>
              <w:t>strengthened capacity</w:t>
            </w:r>
            <w:r w:rsidRPr="00F21B7A">
              <w:rPr>
                <w:sz w:val="20"/>
                <w:szCs w:val="20"/>
              </w:rPr>
              <w:t xml:space="preserve"> within an inclusive cohort of NbS champions to</w:t>
            </w:r>
            <w:r w:rsidR="00C122D6">
              <w:rPr>
                <w:sz w:val="20"/>
                <w:szCs w:val="20"/>
              </w:rPr>
              <w:t xml:space="preserve"> </w:t>
            </w:r>
            <w:r w:rsidRPr="00F21B7A">
              <w:rPr>
                <w:sz w:val="20"/>
                <w:szCs w:val="20"/>
              </w:rPr>
              <w:t>achieve NbS scaling</w:t>
            </w:r>
            <w:r w:rsidRPr="00F21B7A">
              <w:rPr>
                <w:rFonts w:eastAsia="Times New Roman" w:cs="Calibri"/>
                <w:sz w:val="20"/>
                <w:szCs w:val="20"/>
              </w:rPr>
              <w:t xml:space="preserve"> </w:t>
            </w:r>
          </w:p>
        </w:tc>
        <w:tc>
          <w:tcPr>
            <w:tcW w:w="2127" w:type="dxa"/>
            <w:shd w:val="clear" w:color="auto" w:fill="FFFFFF" w:themeFill="background1"/>
            <w:vAlign w:val="center"/>
          </w:tcPr>
          <w:p w14:paraId="7DD7D250" w14:textId="7AE4EE7B" w:rsidR="00100B18" w:rsidRPr="00F21B7A" w:rsidRDefault="00100B18" w:rsidP="00F21B7A">
            <w:pPr>
              <w:spacing w:before="120" w:after="120"/>
              <w:rPr>
                <w:sz w:val="20"/>
                <w:szCs w:val="20"/>
              </w:rPr>
            </w:pPr>
            <w:r w:rsidRPr="00F21B7A">
              <w:rPr>
                <w:sz w:val="20"/>
                <w:szCs w:val="20"/>
              </w:rPr>
              <w:t xml:space="preserve">Number of NbS champions </w:t>
            </w:r>
            <w:r w:rsidRPr="00F21B7A">
              <w:rPr>
                <w:b/>
                <w:bCs/>
                <w:sz w:val="20"/>
                <w:szCs w:val="20"/>
              </w:rPr>
              <w:t>engaged</w:t>
            </w:r>
            <w:r w:rsidRPr="00F21B7A">
              <w:rPr>
                <w:sz w:val="20"/>
                <w:szCs w:val="20"/>
              </w:rPr>
              <w:t xml:space="preserve"> in the RUCaS program (where “engaged” includes participation in training, networks, or co-delivery of hybrid NbS), disaggregated by countries, sex, disability, organization, and repeat engagements).</w:t>
            </w:r>
          </w:p>
          <w:p w14:paraId="78AD2AAD" w14:textId="7E881A0F" w:rsidR="00100B18" w:rsidRPr="00F21B7A" w:rsidRDefault="00100B18" w:rsidP="00F21B7A">
            <w:pPr>
              <w:spacing w:before="120" w:after="120"/>
              <w:rPr>
                <w:sz w:val="20"/>
                <w:szCs w:val="20"/>
              </w:rPr>
            </w:pPr>
            <w:r w:rsidRPr="00F21B7A">
              <w:rPr>
                <w:sz w:val="20"/>
                <w:szCs w:val="20"/>
              </w:rPr>
              <w:lastRenderedPageBreak/>
              <w:t>Number of collaboration agreements or initiatives established with government, universities or civil society actors.</w:t>
            </w:r>
          </w:p>
          <w:p w14:paraId="2295F56C" w14:textId="264B19D9" w:rsidR="00100B18" w:rsidRPr="00F21B7A" w:rsidRDefault="00100B18" w:rsidP="00F21B7A">
            <w:pPr>
              <w:spacing w:before="120" w:after="120"/>
              <w:rPr>
                <w:sz w:val="20"/>
                <w:szCs w:val="20"/>
              </w:rPr>
            </w:pPr>
            <w:r w:rsidRPr="00F21B7A">
              <w:rPr>
                <w:sz w:val="20"/>
                <w:szCs w:val="20"/>
              </w:rPr>
              <w:t xml:space="preserve">Evidence </w:t>
            </w:r>
            <w:r w:rsidRPr="00F21B7A">
              <w:rPr>
                <w:b/>
                <w:bCs/>
                <w:sz w:val="20"/>
                <w:szCs w:val="20"/>
              </w:rPr>
              <w:t xml:space="preserve">of increased knowledge and capacity </w:t>
            </w:r>
            <w:r w:rsidRPr="00F21B7A">
              <w:rPr>
                <w:sz w:val="20"/>
                <w:szCs w:val="20"/>
              </w:rPr>
              <w:t>to achieve NbS scaling among inclusive cohort of NbS champions.</w:t>
            </w:r>
          </w:p>
        </w:tc>
        <w:tc>
          <w:tcPr>
            <w:tcW w:w="2976" w:type="dxa"/>
            <w:shd w:val="clear" w:color="auto" w:fill="FFFFFF" w:themeFill="background1"/>
            <w:vAlign w:val="center"/>
          </w:tcPr>
          <w:p w14:paraId="2A2B5BFF" w14:textId="77777777" w:rsidR="00100B18" w:rsidRPr="00F21B7A" w:rsidRDefault="00100B18" w:rsidP="00037A46">
            <w:pPr>
              <w:numPr>
                <w:ilvl w:val="0"/>
                <w:numId w:val="12"/>
              </w:numPr>
              <w:pBdr>
                <w:top w:val="nil"/>
                <w:left w:val="nil"/>
                <w:bottom w:val="nil"/>
                <w:right w:val="nil"/>
                <w:between w:val="nil"/>
              </w:pBdr>
              <w:spacing w:before="120" w:after="120"/>
              <w:ind w:left="249" w:hanging="249"/>
              <w:rPr>
                <w:sz w:val="20"/>
                <w:szCs w:val="20"/>
              </w:rPr>
            </w:pPr>
            <w:r w:rsidRPr="00F21B7A">
              <w:rPr>
                <w:sz w:val="20"/>
                <w:szCs w:val="20"/>
              </w:rPr>
              <w:lastRenderedPageBreak/>
              <w:t xml:space="preserve">RUCaS has established a strong, inclusive cohort of NbS champions in each country and linked to networks across the Mekong. Partnerships with RUCaS have been expanded and deepened. New agencies engaged across the subregion while existing partners continues to actively support the program governance. Collaboration agreements have been </w:t>
            </w:r>
            <w:r w:rsidRPr="00F21B7A">
              <w:rPr>
                <w:sz w:val="20"/>
                <w:szCs w:val="20"/>
              </w:rPr>
              <w:lastRenderedPageBreak/>
              <w:t xml:space="preserve">developed to deepen the cooperation. </w:t>
            </w:r>
          </w:p>
          <w:p w14:paraId="5C750806" w14:textId="77777777" w:rsidR="00100B18" w:rsidRPr="00F21B7A" w:rsidRDefault="00100B18" w:rsidP="00037A46">
            <w:pPr>
              <w:numPr>
                <w:ilvl w:val="0"/>
                <w:numId w:val="12"/>
              </w:numPr>
              <w:pBdr>
                <w:top w:val="nil"/>
                <w:left w:val="nil"/>
                <w:bottom w:val="nil"/>
                <w:right w:val="nil"/>
                <w:between w:val="nil"/>
              </w:pBdr>
              <w:spacing w:before="120" w:after="120"/>
              <w:ind w:left="249" w:hanging="249"/>
              <w:rPr>
                <w:sz w:val="20"/>
                <w:szCs w:val="20"/>
              </w:rPr>
            </w:pPr>
            <w:r w:rsidRPr="00F21B7A">
              <w:rPr>
                <w:sz w:val="20"/>
                <w:szCs w:val="20"/>
              </w:rPr>
              <w:t>Knowledge exchanges and trainings were well attended and contributed to building networks and capability.</w:t>
            </w:r>
          </w:p>
          <w:p w14:paraId="6DF4FCF5" w14:textId="10C1A579" w:rsidR="00100B18" w:rsidRPr="00F21B7A" w:rsidRDefault="00100B18" w:rsidP="00037A46">
            <w:pPr>
              <w:numPr>
                <w:ilvl w:val="0"/>
                <w:numId w:val="12"/>
              </w:numPr>
              <w:pBdr>
                <w:top w:val="nil"/>
                <w:left w:val="nil"/>
                <w:bottom w:val="nil"/>
                <w:right w:val="nil"/>
                <w:between w:val="nil"/>
              </w:pBdr>
              <w:spacing w:before="120" w:after="120"/>
              <w:ind w:left="249" w:hanging="249"/>
              <w:rPr>
                <w:sz w:val="20"/>
                <w:szCs w:val="20"/>
              </w:rPr>
            </w:pPr>
            <w:r w:rsidRPr="00F21B7A">
              <w:rPr>
                <w:sz w:val="20"/>
                <w:szCs w:val="20"/>
              </w:rPr>
              <w:t>Regional collaboration strengthened though regional conference (both under the program and with related programs) and cross-country trainings.</w:t>
            </w:r>
          </w:p>
        </w:tc>
        <w:tc>
          <w:tcPr>
            <w:tcW w:w="3119" w:type="dxa"/>
            <w:shd w:val="clear" w:color="auto" w:fill="FFFFFF" w:themeFill="background1"/>
            <w:vAlign w:val="center"/>
          </w:tcPr>
          <w:p w14:paraId="1D4A9561" w14:textId="77777777" w:rsidR="00100B18" w:rsidRPr="00F21B7A" w:rsidRDefault="00100B18" w:rsidP="00F21B7A">
            <w:pPr>
              <w:spacing w:before="120" w:after="120"/>
              <w:rPr>
                <w:bCs/>
                <w:sz w:val="20"/>
                <w:szCs w:val="20"/>
              </w:rPr>
            </w:pPr>
            <w:r w:rsidRPr="00F21B7A">
              <w:rPr>
                <w:bCs/>
                <w:sz w:val="20"/>
                <w:szCs w:val="20"/>
              </w:rPr>
              <w:lastRenderedPageBreak/>
              <w:t>3.1 A gender diverse and equal opportunity cohort of NbS champions promote environmental resilience and climate adaptation across the Mekong</w:t>
            </w:r>
          </w:p>
          <w:p w14:paraId="51516A00" w14:textId="77777777" w:rsidR="00100B18" w:rsidRPr="00F21B7A" w:rsidRDefault="00100B18" w:rsidP="00F21B7A">
            <w:pPr>
              <w:spacing w:before="120" w:after="120"/>
              <w:rPr>
                <w:bCs/>
                <w:sz w:val="20"/>
                <w:szCs w:val="20"/>
              </w:rPr>
            </w:pPr>
            <w:r w:rsidRPr="00F21B7A">
              <w:rPr>
                <w:bCs/>
                <w:sz w:val="20"/>
                <w:szCs w:val="20"/>
              </w:rPr>
              <w:t xml:space="preserve">3.2 At least four Knowledge exchange events (one in each country) and regional conference promote discussion of wider application of NbS </w:t>
            </w:r>
          </w:p>
          <w:p w14:paraId="3B5C71F2" w14:textId="77777777" w:rsidR="00100B18" w:rsidRPr="00F21B7A" w:rsidRDefault="00100B18" w:rsidP="00F21B7A">
            <w:pPr>
              <w:spacing w:before="120" w:after="120"/>
              <w:rPr>
                <w:bCs/>
                <w:sz w:val="20"/>
                <w:szCs w:val="20"/>
              </w:rPr>
            </w:pPr>
            <w:r w:rsidRPr="00F21B7A">
              <w:rPr>
                <w:bCs/>
                <w:sz w:val="20"/>
                <w:szCs w:val="20"/>
              </w:rPr>
              <w:t xml:space="preserve">3.3 At least four in-person targeted technical trainings and </w:t>
            </w:r>
            <w:r w:rsidRPr="00F21B7A">
              <w:rPr>
                <w:bCs/>
                <w:sz w:val="20"/>
                <w:szCs w:val="20"/>
              </w:rPr>
              <w:lastRenderedPageBreak/>
              <w:t>workshops to build practical capacity to plan, design, monitor, and scale inclusive and climate-resilient NbS.</w:t>
            </w:r>
          </w:p>
          <w:p w14:paraId="6CB3696D" w14:textId="77777777" w:rsidR="00100B18" w:rsidRPr="00F21B7A" w:rsidRDefault="00100B18" w:rsidP="00F21B7A">
            <w:pPr>
              <w:spacing w:before="120" w:after="120"/>
              <w:rPr>
                <w:bCs/>
                <w:sz w:val="20"/>
                <w:szCs w:val="20"/>
              </w:rPr>
            </w:pPr>
            <w:r w:rsidRPr="00F21B7A">
              <w:rPr>
                <w:bCs/>
                <w:sz w:val="20"/>
                <w:szCs w:val="20"/>
              </w:rPr>
              <w:t>3.4 Formal arrangements for future collaboration and capacity building in place.</w:t>
            </w:r>
          </w:p>
          <w:p w14:paraId="6A994334" w14:textId="7166F827" w:rsidR="00100B18" w:rsidRPr="00F21B7A" w:rsidRDefault="00100B18" w:rsidP="00F21B7A">
            <w:pPr>
              <w:spacing w:before="120" w:after="120"/>
              <w:rPr>
                <w:bCs/>
                <w:sz w:val="20"/>
                <w:szCs w:val="20"/>
              </w:rPr>
            </w:pPr>
            <w:r w:rsidRPr="00F21B7A">
              <w:rPr>
                <w:bCs/>
                <w:sz w:val="20"/>
                <w:szCs w:val="20"/>
              </w:rPr>
              <w:t>3.5 RUCaS contribution to regional sharing and collaboration</w:t>
            </w:r>
          </w:p>
        </w:tc>
      </w:tr>
      <w:tr w:rsidR="00100B18" w:rsidRPr="00F21B7A" w14:paraId="3C1A91A5" w14:textId="77777777" w:rsidTr="00BE25F1">
        <w:trPr>
          <w:trHeight w:val="285"/>
        </w:trPr>
        <w:tc>
          <w:tcPr>
            <w:tcW w:w="1696" w:type="dxa"/>
            <w:shd w:val="clear" w:color="auto" w:fill="FFFFFF" w:themeFill="background1"/>
            <w:vAlign w:val="center"/>
          </w:tcPr>
          <w:p w14:paraId="33FD15F1" w14:textId="16CC7669" w:rsidR="00100B18" w:rsidRPr="00F21B7A" w:rsidRDefault="00100B18" w:rsidP="008075B2">
            <w:pPr>
              <w:spacing w:before="120" w:after="120"/>
              <w:rPr>
                <w:b/>
                <w:sz w:val="20"/>
                <w:szCs w:val="20"/>
              </w:rPr>
            </w:pPr>
            <w:r w:rsidRPr="00F21B7A">
              <w:rPr>
                <w:b/>
                <w:sz w:val="20"/>
                <w:szCs w:val="20"/>
              </w:rPr>
              <w:lastRenderedPageBreak/>
              <w:t xml:space="preserve">Cross cutting focus: </w:t>
            </w:r>
            <w:r w:rsidRPr="00F21B7A">
              <w:rPr>
                <w:sz w:val="20"/>
                <w:szCs w:val="20"/>
              </w:rPr>
              <w:t>GEDSI principles are demonstrated and embedded in the program implementation.</w:t>
            </w:r>
          </w:p>
        </w:tc>
        <w:tc>
          <w:tcPr>
            <w:tcW w:w="1843" w:type="dxa"/>
            <w:shd w:val="clear" w:color="auto" w:fill="FFFFFF" w:themeFill="background1"/>
            <w:vAlign w:val="center"/>
          </w:tcPr>
          <w:p w14:paraId="0F3F7E51" w14:textId="3CE74E4C" w:rsidR="00100B18" w:rsidRPr="00F21B7A" w:rsidRDefault="00100B18" w:rsidP="008075B2">
            <w:pPr>
              <w:spacing w:before="120" w:after="120"/>
              <w:rPr>
                <w:sz w:val="20"/>
                <w:szCs w:val="20"/>
              </w:rPr>
            </w:pPr>
            <w:r w:rsidRPr="00F21B7A">
              <w:rPr>
                <w:sz w:val="20"/>
                <w:szCs w:val="20"/>
              </w:rPr>
              <w:t>Evidence that GEDSI principles are embedded across case studies, pilots, and policy processes in all countries, demonstrating influence on decision-making and inclusive design outcomes.</w:t>
            </w:r>
          </w:p>
        </w:tc>
        <w:tc>
          <w:tcPr>
            <w:tcW w:w="2126" w:type="dxa"/>
            <w:shd w:val="clear" w:color="auto" w:fill="FFFFFF" w:themeFill="background1"/>
            <w:vAlign w:val="center"/>
          </w:tcPr>
          <w:p w14:paraId="11DDB302" w14:textId="10B37D46" w:rsidR="00100B18" w:rsidRPr="00F21B7A" w:rsidRDefault="00100B18" w:rsidP="008075B2">
            <w:pPr>
              <w:spacing w:before="120" w:after="120"/>
              <w:rPr>
                <w:sz w:val="20"/>
                <w:szCs w:val="20"/>
              </w:rPr>
            </w:pPr>
            <w:r w:rsidRPr="00F21B7A">
              <w:rPr>
                <w:sz w:val="20"/>
                <w:szCs w:val="20"/>
              </w:rPr>
              <w:t>GEDSI principles are embedded in the development of case studies, pilots, and the formulation of policy recommendation in all countries.</w:t>
            </w:r>
          </w:p>
        </w:tc>
        <w:tc>
          <w:tcPr>
            <w:tcW w:w="2127" w:type="dxa"/>
            <w:shd w:val="clear" w:color="auto" w:fill="FFFFFF" w:themeFill="background1"/>
            <w:vAlign w:val="center"/>
          </w:tcPr>
          <w:p w14:paraId="50D99ABB" w14:textId="77777777" w:rsidR="00100B18" w:rsidRPr="00F21B7A" w:rsidRDefault="00100B18" w:rsidP="008075B2">
            <w:pPr>
              <w:spacing w:before="120" w:after="120"/>
              <w:rPr>
                <w:sz w:val="20"/>
                <w:szCs w:val="20"/>
              </w:rPr>
            </w:pPr>
            <w:r w:rsidRPr="00F21B7A">
              <w:rPr>
                <w:sz w:val="20"/>
                <w:szCs w:val="20"/>
              </w:rPr>
              <w:t>GEDSI principles are reflected in the three IOs (already integrated in the respective indicators, narratives and outputs).</w:t>
            </w:r>
          </w:p>
          <w:p w14:paraId="106D38D5" w14:textId="77777777" w:rsidR="00100B18" w:rsidRPr="00F21B7A" w:rsidRDefault="00100B18" w:rsidP="008075B2">
            <w:pPr>
              <w:spacing w:before="120" w:after="120"/>
              <w:rPr>
                <w:sz w:val="20"/>
                <w:szCs w:val="20"/>
              </w:rPr>
            </w:pPr>
            <w:r w:rsidRPr="00F21B7A">
              <w:rPr>
                <w:sz w:val="20"/>
                <w:szCs w:val="20"/>
              </w:rPr>
              <w:t xml:space="preserve">Evidence of meaningful engagement by GEDSI technical advisory groups and GEDSI representative agencies in RUCaS activities supporting </w:t>
            </w:r>
            <w:r w:rsidRPr="00F21B7A">
              <w:rPr>
                <w:sz w:val="20"/>
                <w:szCs w:val="20"/>
              </w:rPr>
              <w:lastRenderedPageBreak/>
              <w:t>the drive towards transformative change.</w:t>
            </w:r>
          </w:p>
          <w:p w14:paraId="68D08E29" w14:textId="77777777" w:rsidR="00100B18" w:rsidRPr="00F21B7A" w:rsidRDefault="00100B18" w:rsidP="008075B2">
            <w:pPr>
              <w:spacing w:before="120" w:after="120"/>
              <w:rPr>
                <w:sz w:val="20"/>
                <w:szCs w:val="20"/>
              </w:rPr>
            </w:pPr>
            <w:r w:rsidRPr="00F21B7A">
              <w:rPr>
                <w:sz w:val="20"/>
                <w:szCs w:val="20"/>
              </w:rPr>
              <w:t>Evidence that information from the GEDSI for urban NbS Guideline is being used by Mekong subregion partners.</w:t>
            </w:r>
          </w:p>
          <w:p w14:paraId="01291571" w14:textId="77777777" w:rsidR="00100B18" w:rsidRPr="00F21B7A" w:rsidRDefault="00100B18" w:rsidP="008075B2">
            <w:pPr>
              <w:spacing w:before="120" w:after="120"/>
              <w:rPr>
                <w:sz w:val="20"/>
                <w:szCs w:val="20"/>
              </w:rPr>
            </w:pPr>
          </w:p>
        </w:tc>
        <w:tc>
          <w:tcPr>
            <w:tcW w:w="2976" w:type="dxa"/>
            <w:shd w:val="clear" w:color="auto" w:fill="FFFFFF" w:themeFill="background1"/>
            <w:vAlign w:val="center"/>
          </w:tcPr>
          <w:p w14:paraId="23EAB0C2" w14:textId="77777777" w:rsidR="00100B18" w:rsidRPr="00F21B7A" w:rsidRDefault="00100B18" w:rsidP="00037A46">
            <w:pPr>
              <w:numPr>
                <w:ilvl w:val="0"/>
                <w:numId w:val="12"/>
              </w:numPr>
              <w:pBdr>
                <w:top w:val="nil"/>
                <w:left w:val="nil"/>
                <w:bottom w:val="nil"/>
                <w:right w:val="nil"/>
                <w:between w:val="nil"/>
              </w:pBdr>
              <w:spacing w:before="120" w:after="120"/>
              <w:ind w:left="249" w:hanging="249"/>
              <w:rPr>
                <w:sz w:val="20"/>
                <w:szCs w:val="20"/>
              </w:rPr>
            </w:pPr>
            <w:r w:rsidRPr="00F21B7A">
              <w:rPr>
                <w:sz w:val="20"/>
                <w:szCs w:val="20"/>
              </w:rPr>
              <w:lastRenderedPageBreak/>
              <w:t>GEDSI principles are demonstrated and embedded in the case studies and capacity building activities. A clear narrative of the GEDSI cohort’s impact on policy reflects take-up of GEDSI advice.</w:t>
            </w:r>
          </w:p>
          <w:p w14:paraId="7D8BD199" w14:textId="77777777" w:rsidR="00100B18" w:rsidRPr="00F21B7A" w:rsidRDefault="00100B18" w:rsidP="00037A46">
            <w:pPr>
              <w:numPr>
                <w:ilvl w:val="0"/>
                <w:numId w:val="12"/>
              </w:numPr>
              <w:pBdr>
                <w:top w:val="nil"/>
                <w:left w:val="nil"/>
                <w:bottom w:val="nil"/>
                <w:right w:val="nil"/>
                <w:between w:val="nil"/>
              </w:pBdr>
              <w:spacing w:before="120" w:after="120"/>
              <w:ind w:left="249" w:hanging="249"/>
              <w:rPr>
                <w:sz w:val="20"/>
                <w:szCs w:val="20"/>
              </w:rPr>
            </w:pPr>
            <w:r w:rsidRPr="00F21B7A">
              <w:rPr>
                <w:sz w:val="20"/>
                <w:szCs w:val="20"/>
              </w:rPr>
              <w:t>RUCaS increased diversity of NbS champions.</w:t>
            </w:r>
          </w:p>
          <w:p w14:paraId="20284EFE" w14:textId="77F4D397" w:rsidR="00100B18" w:rsidRPr="00F21B7A" w:rsidRDefault="00100B18" w:rsidP="00037A46">
            <w:pPr>
              <w:numPr>
                <w:ilvl w:val="0"/>
                <w:numId w:val="12"/>
              </w:numPr>
              <w:pBdr>
                <w:top w:val="nil"/>
                <w:left w:val="nil"/>
                <w:bottom w:val="nil"/>
                <w:right w:val="nil"/>
                <w:between w:val="nil"/>
              </w:pBdr>
              <w:spacing w:before="120" w:after="120"/>
              <w:ind w:left="249" w:hanging="249"/>
              <w:rPr>
                <w:sz w:val="20"/>
                <w:szCs w:val="20"/>
              </w:rPr>
            </w:pPr>
            <w:r w:rsidRPr="00F21B7A">
              <w:rPr>
                <w:sz w:val="20"/>
                <w:szCs w:val="20"/>
              </w:rPr>
              <w:t xml:space="preserve">Specific GEDSI output (GEDSI for urban NbS Guideline) has been developed in close consultation with GEDSI </w:t>
            </w:r>
            <w:r w:rsidRPr="00F21B7A">
              <w:rPr>
                <w:sz w:val="20"/>
                <w:szCs w:val="20"/>
              </w:rPr>
              <w:lastRenderedPageBreak/>
              <w:t>experts and Mekong partners and are applied by Mekong partners to enable integration of GEDSI consideration into the planning, design, implementation and monitoring of urban NbS.</w:t>
            </w:r>
          </w:p>
        </w:tc>
        <w:tc>
          <w:tcPr>
            <w:tcW w:w="3119" w:type="dxa"/>
            <w:shd w:val="clear" w:color="auto" w:fill="FFFFFF" w:themeFill="background1"/>
            <w:vAlign w:val="center"/>
          </w:tcPr>
          <w:p w14:paraId="7701FAC8" w14:textId="77777777" w:rsidR="00F21B7A" w:rsidRPr="00F21B7A" w:rsidRDefault="00F21B7A" w:rsidP="008075B2">
            <w:pPr>
              <w:spacing w:before="120" w:after="120"/>
              <w:rPr>
                <w:bCs/>
                <w:sz w:val="20"/>
                <w:szCs w:val="20"/>
              </w:rPr>
            </w:pPr>
            <w:r w:rsidRPr="00F21B7A">
              <w:rPr>
                <w:bCs/>
                <w:sz w:val="20"/>
                <w:szCs w:val="20"/>
              </w:rPr>
              <w:lastRenderedPageBreak/>
              <w:t xml:space="preserve">4.1 GEDSI principles are reflected in: program analysis, reports and recommendations; policy impact; and capacity building and partnerships. </w:t>
            </w:r>
          </w:p>
          <w:p w14:paraId="7A6D33C3" w14:textId="77777777" w:rsidR="00F21B7A" w:rsidRPr="00F21B7A" w:rsidRDefault="00F21B7A" w:rsidP="008075B2">
            <w:pPr>
              <w:spacing w:before="120" w:after="120"/>
              <w:rPr>
                <w:bCs/>
                <w:sz w:val="20"/>
                <w:szCs w:val="20"/>
              </w:rPr>
            </w:pPr>
            <w:r w:rsidRPr="00F21B7A">
              <w:rPr>
                <w:bCs/>
                <w:sz w:val="20"/>
                <w:szCs w:val="20"/>
              </w:rPr>
              <w:t>4.2 Regional GEDSI and NbS workshop and training</w:t>
            </w:r>
          </w:p>
          <w:p w14:paraId="44204D77" w14:textId="77777777" w:rsidR="00F21B7A" w:rsidRPr="00F21B7A" w:rsidRDefault="00F21B7A" w:rsidP="008075B2">
            <w:pPr>
              <w:spacing w:before="120" w:after="120"/>
              <w:rPr>
                <w:bCs/>
                <w:sz w:val="20"/>
                <w:szCs w:val="20"/>
              </w:rPr>
            </w:pPr>
            <w:r w:rsidRPr="00F21B7A">
              <w:rPr>
                <w:bCs/>
                <w:sz w:val="20"/>
                <w:szCs w:val="20"/>
              </w:rPr>
              <w:t>4.3 GEDSI technical advisory group supporting mainstreaming</w:t>
            </w:r>
          </w:p>
          <w:p w14:paraId="2A8B5324" w14:textId="48ED15B0" w:rsidR="00F21B7A" w:rsidRPr="00F21B7A" w:rsidRDefault="00F21B7A" w:rsidP="008075B2">
            <w:pPr>
              <w:spacing w:before="120" w:after="120"/>
              <w:rPr>
                <w:bCs/>
                <w:sz w:val="20"/>
                <w:szCs w:val="20"/>
              </w:rPr>
            </w:pPr>
            <w:r w:rsidRPr="00F21B7A">
              <w:rPr>
                <w:bCs/>
                <w:sz w:val="20"/>
                <w:szCs w:val="20"/>
              </w:rPr>
              <w:t>4.4 Development, integration and consideration of GEDSI for urban NbS Guideline</w:t>
            </w:r>
          </w:p>
          <w:p w14:paraId="456B2FEE" w14:textId="77777777" w:rsidR="00100B18" w:rsidRPr="00F21B7A" w:rsidRDefault="00100B18" w:rsidP="008075B2">
            <w:pPr>
              <w:spacing w:before="120" w:after="120"/>
              <w:rPr>
                <w:bCs/>
                <w:sz w:val="20"/>
                <w:szCs w:val="20"/>
              </w:rPr>
            </w:pPr>
          </w:p>
        </w:tc>
      </w:tr>
    </w:tbl>
    <w:p w14:paraId="563042EA" w14:textId="77777777" w:rsidR="00BB016F" w:rsidRPr="003D4B91" w:rsidRDefault="00BB016F" w:rsidP="00BB016F"/>
    <w:p w14:paraId="1483F1D0" w14:textId="4077CCD1" w:rsidR="00BB016F" w:rsidRPr="003D4B91" w:rsidRDefault="00BB016F" w:rsidP="00BB016F">
      <w:pPr>
        <w:sectPr w:rsidR="00BB016F" w:rsidRPr="003D4B91" w:rsidSect="00BB016F">
          <w:pgSz w:w="16838" w:h="11906" w:orient="landscape"/>
          <w:pgMar w:top="1440" w:right="1440" w:bottom="1440" w:left="1440" w:header="708" w:footer="708" w:gutter="0"/>
          <w:cols w:space="708"/>
          <w:docGrid w:linePitch="360"/>
        </w:sectPr>
      </w:pPr>
    </w:p>
    <w:p w14:paraId="0F498F71" w14:textId="4F06B73B" w:rsidR="000F583A" w:rsidRPr="003D4B91" w:rsidRDefault="000F583A" w:rsidP="00D55560">
      <w:pPr>
        <w:pStyle w:val="Heading1"/>
        <w:spacing w:after="480"/>
      </w:pPr>
      <w:bookmarkStart w:id="166" w:name="_Toc225951868"/>
      <w:r w:rsidRPr="003D4B91">
        <w:lastRenderedPageBreak/>
        <w:t xml:space="preserve">Appendix </w:t>
      </w:r>
      <w:r w:rsidR="00BB016F" w:rsidRPr="003D4B91">
        <w:t>B</w:t>
      </w:r>
      <w:r w:rsidRPr="003D4B91">
        <w:t xml:space="preserve">: </w:t>
      </w:r>
      <w:r w:rsidR="008D721B" w:rsidRPr="003D4B91">
        <w:t>Interviewees</w:t>
      </w:r>
      <w:bookmarkEnd w:id="166"/>
    </w:p>
    <w:tbl>
      <w:tblPr>
        <w:tblW w:w="8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0"/>
        <w:gridCol w:w="1900"/>
        <w:gridCol w:w="4540"/>
        <w:gridCol w:w="1140"/>
      </w:tblGrid>
      <w:tr w:rsidR="008A41F0" w:rsidRPr="003D4B91" w14:paraId="445850FB" w14:textId="77777777" w:rsidTr="00EA0050">
        <w:trPr>
          <w:trHeight w:val="435"/>
          <w:tblHeader/>
        </w:trPr>
        <w:tc>
          <w:tcPr>
            <w:tcW w:w="1120" w:type="dxa"/>
            <w:shd w:val="clear" w:color="auto" w:fill="FFFFFF" w:themeFill="background1"/>
            <w:vAlign w:val="bottom"/>
            <w:hideMark/>
          </w:tcPr>
          <w:p w14:paraId="2F64698A" w14:textId="77777777" w:rsidR="008A41F0" w:rsidRPr="003D4B91" w:rsidRDefault="008A41F0" w:rsidP="009049CB">
            <w:pPr>
              <w:spacing w:after="0" w:line="240" w:lineRule="auto"/>
              <w:jc w:val="center"/>
              <w:rPr>
                <w:b/>
                <w:bCs/>
                <w:sz w:val="16"/>
                <w:szCs w:val="16"/>
              </w:rPr>
            </w:pPr>
            <w:r w:rsidRPr="003D4B91">
              <w:rPr>
                <w:b/>
                <w:bCs/>
                <w:sz w:val="16"/>
                <w:szCs w:val="16"/>
              </w:rPr>
              <w:t>Program focus</w:t>
            </w:r>
          </w:p>
        </w:tc>
        <w:tc>
          <w:tcPr>
            <w:tcW w:w="1900" w:type="dxa"/>
            <w:shd w:val="clear" w:color="auto" w:fill="FFFFFF" w:themeFill="background1"/>
            <w:vAlign w:val="bottom"/>
            <w:hideMark/>
          </w:tcPr>
          <w:p w14:paraId="3A319FDC" w14:textId="77777777" w:rsidR="008A41F0" w:rsidRPr="003D4B91" w:rsidRDefault="008A41F0" w:rsidP="009049CB">
            <w:pPr>
              <w:spacing w:after="0" w:line="240" w:lineRule="auto"/>
              <w:jc w:val="center"/>
              <w:rPr>
                <w:b/>
                <w:bCs/>
                <w:sz w:val="16"/>
                <w:szCs w:val="16"/>
              </w:rPr>
            </w:pPr>
            <w:r w:rsidRPr="003D4B91">
              <w:rPr>
                <w:b/>
                <w:bCs/>
                <w:sz w:val="16"/>
                <w:szCs w:val="16"/>
              </w:rPr>
              <w:t>Name</w:t>
            </w:r>
          </w:p>
        </w:tc>
        <w:tc>
          <w:tcPr>
            <w:tcW w:w="4540" w:type="dxa"/>
            <w:shd w:val="clear" w:color="auto" w:fill="FFFFFF" w:themeFill="background1"/>
            <w:vAlign w:val="bottom"/>
            <w:hideMark/>
          </w:tcPr>
          <w:p w14:paraId="1CCE94C3" w14:textId="491D7844" w:rsidR="008A41F0" w:rsidRPr="003D4B91" w:rsidRDefault="003529D8" w:rsidP="009049CB">
            <w:pPr>
              <w:spacing w:after="0" w:line="240" w:lineRule="auto"/>
              <w:jc w:val="center"/>
              <w:rPr>
                <w:b/>
                <w:bCs/>
                <w:sz w:val="16"/>
                <w:szCs w:val="16"/>
              </w:rPr>
            </w:pPr>
            <w:r w:rsidRPr="003D4B91">
              <w:rPr>
                <w:b/>
                <w:bCs/>
                <w:sz w:val="16"/>
                <w:szCs w:val="16"/>
              </w:rPr>
              <w:t xml:space="preserve">Position, </w:t>
            </w:r>
            <w:r w:rsidR="008A41F0" w:rsidRPr="003D4B91">
              <w:rPr>
                <w:b/>
                <w:bCs/>
                <w:sz w:val="16"/>
                <w:szCs w:val="16"/>
              </w:rPr>
              <w:t>Organisation</w:t>
            </w:r>
          </w:p>
        </w:tc>
        <w:tc>
          <w:tcPr>
            <w:tcW w:w="1140" w:type="dxa"/>
            <w:shd w:val="clear" w:color="auto" w:fill="FFFFFF" w:themeFill="background1"/>
            <w:vAlign w:val="bottom"/>
            <w:hideMark/>
          </w:tcPr>
          <w:p w14:paraId="3C2DCE83" w14:textId="77777777" w:rsidR="008A41F0" w:rsidRPr="003D4B91" w:rsidRDefault="008A41F0" w:rsidP="009049CB">
            <w:pPr>
              <w:spacing w:after="0" w:line="240" w:lineRule="auto"/>
              <w:jc w:val="center"/>
              <w:rPr>
                <w:b/>
                <w:bCs/>
                <w:sz w:val="16"/>
                <w:szCs w:val="16"/>
              </w:rPr>
            </w:pPr>
            <w:r w:rsidRPr="003D4B91">
              <w:rPr>
                <w:b/>
                <w:bCs/>
                <w:sz w:val="16"/>
                <w:szCs w:val="16"/>
              </w:rPr>
              <w:t>Date</w:t>
            </w:r>
          </w:p>
        </w:tc>
      </w:tr>
      <w:tr w:rsidR="008A41F0" w:rsidRPr="003D4B91" w14:paraId="134A8E68" w14:textId="77777777" w:rsidTr="009049CB">
        <w:trPr>
          <w:trHeight w:val="285"/>
        </w:trPr>
        <w:tc>
          <w:tcPr>
            <w:tcW w:w="1120" w:type="dxa"/>
            <w:vAlign w:val="bottom"/>
            <w:hideMark/>
          </w:tcPr>
          <w:p w14:paraId="0B277B6A" w14:textId="48BD7EFC" w:rsidR="008A41F0" w:rsidRPr="003D4B91" w:rsidRDefault="00652614"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Lao PDR</w:t>
            </w:r>
          </w:p>
        </w:tc>
        <w:tc>
          <w:tcPr>
            <w:tcW w:w="1900" w:type="dxa"/>
            <w:vAlign w:val="bottom"/>
            <w:hideMark/>
          </w:tcPr>
          <w:p w14:paraId="04B636E7" w14:textId="4E31DCCC" w:rsidR="008A41F0" w:rsidRPr="003D4B91" w:rsidRDefault="00652614"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 xml:space="preserve">Manivanh </w:t>
            </w:r>
            <w:proofErr w:type="spellStart"/>
            <w:r w:rsidRPr="003D4B91">
              <w:rPr>
                <w:rFonts w:ascii="Aptos" w:eastAsia="Times New Roman" w:hAnsi="Aptos" w:cs="Times New Roman"/>
                <w:color w:val="000000"/>
                <w:kern w:val="0"/>
                <w:sz w:val="16"/>
                <w:szCs w:val="16"/>
                <w:lang w:eastAsia="en-AU"/>
                <w14:ligatures w14:val="none"/>
              </w:rPr>
              <w:t>Suyavong</w:t>
            </w:r>
            <w:proofErr w:type="spellEnd"/>
          </w:p>
        </w:tc>
        <w:tc>
          <w:tcPr>
            <w:tcW w:w="4540" w:type="dxa"/>
            <w:vAlign w:val="bottom"/>
            <w:hideMark/>
          </w:tcPr>
          <w:p w14:paraId="5D64E188" w14:textId="74794AE0" w:rsidR="008A41F0" w:rsidRPr="003D4B91" w:rsidRDefault="00652614"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Executive Director, GDA Laos</w:t>
            </w:r>
          </w:p>
        </w:tc>
        <w:tc>
          <w:tcPr>
            <w:tcW w:w="1140" w:type="dxa"/>
            <w:vAlign w:val="bottom"/>
            <w:hideMark/>
          </w:tcPr>
          <w:p w14:paraId="022CFF4B" w14:textId="2C345709" w:rsidR="008A41F0" w:rsidRPr="003D4B91" w:rsidRDefault="00652614" w:rsidP="008A41F0">
            <w:pPr>
              <w:spacing w:after="0" w:line="240" w:lineRule="auto"/>
              <w:jc w:val="right"/>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3 Nov 2025</w:t>
            </w:r>
          </w:p>
        </w:tc>
      </w:tr>
      <w:tr w:rsidR="008A41F0" w:rsidRPr="003D4B91" w14:paraId="3EC8332B" w14:textId="77777777" w:rsidTr="00156392">
        <w:trPr>
          <w:trHeight w:val="285"/>
        </w:trPr>
        <w:tc>
          <w:tcPr>
            <w:tcW w:w="1120" w:type="dxa"/>
            <w:vAlign w:val="bottom"/>
          </w:tcPr>
          <w:p w14:paraId="2E45DB11" w14:textId="1656ECA4" w:rsidR="008A41F0" w:rsidRPr="003D4B91" w:rsidRDefault="00E50A8F"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Lao PDR</w:t>
            </w:r>
          </w:p>
        </w:tc>
        <w:tc>
          <w:tcPr>
            <w:tcW w:w="1900" w:type="dxa"/>
            <w:vAlign w:val="bottom"/>
          </w:tcPr>
          <w:p w14:paraId="48F1D6E5" w14:textId="268353C1" w:rsidR="008A41F0" w:rsidRPr="003D4B91" w:rsidRDefault="00652614"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 xml:space="preserve">Maly </w:t>
            </w:r>
            <w:proofErr w:type="spellStart"/>
            <w:r w:rsidRPr="003D4B91">
              <w:rPr>
                <w:rFonts w:ascii="Aptos" w:eastAsia="Times New Roman" w:hAnsi="Aptos" w:cs="Times New Roman"/>
                <w:color w:val="000000"/>
                <w:kern w:val="0"/>
                <w:sz w:val="16"/>
                <w:szCs w:val="16"/>
                <w:lang w:eastAsia="en-AU"/>
                <w14:ligatures w14:val="none"/>
              </w:rPr>
              <w:t>Inthilathvongsy</w:t>
            </w:r>
            <w:proofErr w:type="spellEnd"/>
          </w:p>
        </w:tc>
        <w:tc>
          <w:tcPr>
            <w:tcW w:w="4540" w:type="dxa"/>
            <w:vAlign w:val="bottom"/>
          </w:tcPr>
          <w:p w14:paraId="00CDE01E" w14:textId="3E1F72B1" w:rsidR="008A41F0" w:rsidRPr="003D4B91" w:rsidRDefault="00652614"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Community Development Officer, GDA Laos</w:t>
            </w:r>
          </w:p>
        </w:tc>
        <w:tc>
          <w:tcPr>
            <w:tcW w:w="1140" w:type="dxa"/>
            <w:vAlign w:val="bottom"/>
          </w:tcPr>
          <w:p w14:paraId="751B98F7" w14:textId="0B356B57" w:rsidR="008A41F0" w:rsidRPr="003D4B91" w:rsidRDefault="00652614" w:rsidP="008A41F0">
            <w:pPr>
              <w:spacing w:after="0" w:line="240" w:lineRule="auto"/>
              <w:jc w:val="right"/>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3 Nov 2025</w:t>
            </w:r>
          </w:p>
        </w:tc>
      </w:tr>
      <w:tr w:rsidR="008A41F0" w:rsidRPr="003D4B91" w14:paraId="5A38CFFC" w14:textId="77777777" w:rsidTr="00156392">
        <w:trPr>
          <w:trHeight w:val="435"/>
        </w:trPr>
        <w:tc>
          <w:tcPr>
            <w:tcW w:w="1120" w:type="dxa"/>
            <w:vAlign w:val="bottom"/>
          </w:tcPr>
          <w:p w14:paraId="215FCC2B" w14:textId="16667670" w:rsidR="008A41F0" w:rsidRPr="003D4B91" w:rsidRDefault="00E50A8F"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Lao PDR</w:t>
            </w:r>
          </w:p>
        </w:tc>
        <w:tc>
          <w:tcPr>
            <w:tcW w:w="1900" w:type="dxa"/>
            <w:vAlign w:val="bottom"/>
          </w:tcPr>
          <w:p w14:paraId="73285566" w14:textId="390C8F50" w:rsidR="008A41F0" w:rsidRPr="003D4B91" w:rsidRDefault="00652614" w:rsidP="008A41F0">
            <w:pPr>
              <w:spacing w:after="0" w:line="240" w:lineRule="auto"/>
              <w:rPr>
                <w:rFonts w:ascii="Aptos" w:eastAsia="Times New Roman" w:hAnsi="Aptos" w:cs="Times New Roman"/>
                <w:color w:val="000000"/>
                <w:kern w:val="0"/>
                <w:sz w:val="16"/>
                <w:szCs w:val="16"/>
                <w:lang w:eastAsia="en-AU"/>
                <w14:ligatures w14:val="none"/>
              </w:rPr>
            </w:pPr>
            <w:proofErr w:type="spellStart"/>
            <w:r w:rsidRPr="003D4B91">
              <w:rPr>
                <w:rFonts w:ascii="Aptos" w:eastAsia="Times New Roman" w:hAnsi="Aptos" w:cs="Times New Roman"/>
                <w:color w:val="000000"/>
                <w:kern w:val="0"/>
                <w:sz w:val="16"/>
                <w:szCs w:val="16"/>
                <w:lang w:eastAsia="en-AU"/>
                <w14:ligatures w14:val="none"/>
              </w:rPr>
              <w:t>Vanhthone</w:t>
            </w:r>
            <w:proofErr w:type="spellEnd"/>
            <w:r w:rsidRPr="003D4B91">
              <w:rPr>
                <w:rFonts w:ascii="Aptos" w:eastAsia="Times New Roman" w:hAnsi="Aptos" w:cs="Times New Roman"/>
                <w:color w:val="000000"/>
                <w:kern w:val="0"/>
                <w:sz w:val="16"/>
                <w:szCs w:val="16"/>
                <w:lang w:eastAsia="en-AU"/>
                <w14:ligatures w14:val="none"/>
              </w:rPr>
              <w:t xml:space="preserve"> </w:t>
            </w:r>
            <w:proofErr w:type="spellStart"/>
            <w:r w:rsidRPr="003D4B91">
              <w:rPr>
                <w:rFonts w:ascii="Aptos" w:eastAsia="Times New Roman" w:hAnsi="Aptos" w:cs="Times New Roman"/>
                <w:color w:val="000000"/>
                <w:kern w:val="0"/>
                <w:sz w:val="16"/>
                <w:szCs w:val="16"/>
                <w:lang w:eastAsia="en-AU"/>
                <w14:ligatures w14:val="none"/>
              </w:rPr>
              <w:t>Phonnasane</w:t>
            </w:r>
            <w:proofErr w:type="spellEnd"/>
          </w:p>
        </w:tc>
        <w:tc>
          <w:tcPr>
            <w:tcW w:w="4540" w:type="dxa"/>
            <w:vAlign w:val="bottom"/>
          </w:tcPr>
          <w:p w14:paraId="6D612AB4" w14:textId="1C8AA921" w:rsidR="008A41F0" w:rsidRPr="003D4B91" w:rsidRDefault="00652614"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Deputy Director of Adaptation Division, Department of Environment, Ministry of Agriculture and Environment</w:t>
            </w:r>
          </w:p>
        </w:tc>
        <w:tc>
          <w:tcPr>
            <w:tcW w:w="1140" w:type="dxa"/>
            <w:vAlign w:val="bottom"/>
          </w:tcPr>
          <w:p w14:paraId="43B036F3" w14:textId="7E827A62" w:rsidR="008A41F0" w:rsidRPr="003D4B91" w:rsidRDefault="00652614" w:rsidP="008A41F0">
            <w:pPr>
              <w:spacing w:after="0" w:line="240" w:lineRule="auto"/>
              <w:jc w:val="right"/>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3 Nov 2025</w:t>
            </w:r>
          </w:p>
        </w:tc>
      </w:tr>
      <w:tr w:rsidR="008A41F0" w:rsidRPr="003D4B91" w14:paraId="07CC136C" w14:textId="77777777" w:rsidTr="00156392">
        <w:trPr>
          <w:trHeight w:val="285"/>
        </w:trPr>
        <w:tc>
          <w:tcPr>
            <w:tcW w:w="1120" w:type="dxa"/>
            <w:vAlign w:val="bottom"/>
          </w:tcPr>
          <w:p w14:paraId="508FC9DE" w14:textId="45B6D648" w:rsidR="008A41F0" w:rsidRPr="003D4B91" w:rsidRDefault="00E50A8F"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Lao PDR</w:t>
            </w:r>
          </w:p>
        </w:tc>
        <w:tc>
          <w:tcPr>
            <w:tcW w:w="1900" w:type="dxa"/>
            <w:vAlign w:val="bottom"/>
          </w:tcPr>
          <w:p w14:paraId="374022E4" w14:textId="595AF39A" w:rsidR="008A41F0" w:rsidRPr="003D4B91" w:rsidRDefault="00652614"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Eva Diaz Ugena</w:t>
            </w:r>
          </w:p>
        </w:tc>
        <w:tc>
          <w:tcPr>
            <w:tcW w:w="4540" w:type="dxa"/>
            <w:vAlign w:val="bottom"/>
          </w:tcPr>
          <w:p w14:paraId="3287451E" w14:textId="7AC1ADFD" w:rsidR="008A41F0" w:rsidRPr="003D4B91" w:rsidRDefault="00652614"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Deputy Country Representative, Lao PDR, Global Green Growth Institute (GGGI)</w:t>
            </w:r>
          </w:p>
        </w:tc>
        <w:tc>
          <w:tcPr>
            <w:tcW w:w="1140" w:type="dxa"/>
            <w:vAlign w:val="bottom"/>
          </w:tcPr>
          <w:p w14:paraId="0A7363E6" w14:textId="2D3BE042" w:rsidR="008A41F0" w:rsidRPr="003D4B91" w:rsidRDefault="00652614" w:rsidP="008A41F0">
            <w:pPr>
              <w:spacing w:after="0" w:line="240" w:lineRule="auto"/>
              <w:jc w:val="right"/>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3 Nov 2025</w:t>
            </w:r>
          </w:p>
        </w:tc>
      </w:tr>
      <w:tr w:rsidR="008A41F0" w:rsidRPr="003D4B91" w14:paraId="01E05FA9" w14:textId="77777777" w:rsidTr="00156392">
        <w:trPr>
          <w:trHeight w:val="285"/>
        </w:trPr>
        <w:tc>
          <w:tcPr>
            <w:tcW w:w="1120" w:type="dxa"/>
            <w:vAlign w:val="bottom"/>
          </w:tcPr>
          <w:p w14:paraId="3B11D7CC" w14:textId="509B25B2" w:rsidR="008A41F0" w:rsidRPr="003D4B91" w:rsidRDefault="00E50A8F"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Lao PDR</w:t>
            </w:r>
          </w:p>
        </w:tc>
        <w:tc>
          <w:tcPr>
            <w:tcW w:w="1900" w:type="dxa"/>
            <w:vAlign w:val="bottom"/>
          </w:tcPr>
          <w:p w14:paraId="3690847A" w14:textId="3A16388F" w:rsidR="008A41F0" w:rsidRPr="003D4B91" w:rsidRDefault="00652614"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Arnaud Vontobel</w:t>
            </w:r>
          </w:p>
        </w:tc>
        <w:tc>
          <w:tcPr>
            <w:tcW w:w="4540" w:type="dxa"/>
            <w:vAlign w:val="bottom"/>
          </w:tcPr>
          <w:p w14:paraId="61370E37" w14:textId="197AB56A" w:rsidR="008A41F0" w:rsidRPr="003D4B91" w:rsidRDefault="00E50A8F"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Country Representative, GRET Laos</w:t>
            </w:r>
          </w:p>
        </w:tc>
        <w:tc>
          <w:tcPr>
            <w:tcW w:w="1140" w:type="dxa"/>
            <w:vAlign w:val="bottom"/>
          </w:tcPr>
          <w:p w14:paraId="18294247" w14:textId="76210588" w:rsidR="008A41F0" w:rsidRPr="003D4B91" w:rsidRDefault="00E50A8F" w:rsidP="008A41F0">
            <w:pPr>
              <w:spacing w:after="0" w:line="240" w:lineRule="auto"/>
              <w:jc w:val="right"/>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4 Nov 2025</w:t>
            </w:r>
          </w:p>
        </w:tc>
      </w:tr>
      <w:tr w:rsidR="008A41F0" w:rsidRPr="003D4B91" w14:paraId="22BF085B" w14:textId="77777777" w:rsidTr="00156392">
        <w:trPr>
          <w:trHeight w:val="285"/>
        </w:trPr>
        <w:tc>
          <w:tcPr>
            <w:tcW w:w="1120" w:type="dxa"/>
            <w:vAlign w:val="bottom"/>
          </w:tcPr>
          <w:p w14:paraId="17C27CE9" w14:textId="7D7EEEFA" w:rsidR="008A41F0" w:rsidRPr="003D4B91" w:rsidRDefault="00E50A8F"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Lao PDR</w:t>
            </w:r>
          </w:p>
        </w:tc>
        <w:tc>
          <w:tcPr>
            <w:tcW w:w="1900" w:type="dxa"/>
            <w:vAlign w:val="bottom"/>
          </w:tcPr>
          <w:p w14:paraId="1B3EB810" w14:textId="12B579BA" w:rsidR="008A41F0" w:rsidRPr="003D4B91" w:rsidRDefault="00E50A8F"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Marie-Pierre Lalaude-</w:t>
            </w:r>
            <w:proofErr w:type="spellStart"/>
            <w:r w:rsidRPr="003D4B91">
              <w:rPr>
                <w:rFonts w:ascii="Aptos" w:eastAsia="Times New Roman" w:hAnsi="Aptos" w:cs="Times New Roman"/>
                <w:color w:val="000000"/>
                <w:kern w:val="0"/>
                <w:sz w:val="16"/>
                <w:szCs w:val="16"/>
                <w:lang w:eastAsia="en-AU"/>
                <w14:ligatures w14:val="none"/>
              </w:rPr>
              <w:t>Labayle</w:t>
            </w:r>
            <w:proofErr w:type="spellEnd"/>
          </w:p>
        </w:tc>
        <w:tc>
          <w:tcPr>
            <w:tcW w:w="4540" w:type="dxa"/>
            <w:vAlign w:val="bottom"/>
          </w:tcPr>
          <w:p w14:paraId="5027F7E2" w14:textId="62AB191C" w:rsidR="008A41F0" w:rsidRPr="003D4B91" w:rsidRDefault="00E50A8F"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 xml:space="preserve">Regional Program Manager </w:t>
            </w:r>
            <w:r w:rsidR="00204C74" w:rsidRPr="003D4B91">
              <w:rPr>
                <w:rFonts w:ascii="Aptos" w:eastAsia="Times New Roman" w:hAnsi="Aptos" w:cs="Times New Roman"/>
                <w:color w:val="000000"/>
                <w:kern w:val="0"/>
                <w:sz w:val="16"/>
                <w:szCs w:val="16"/>
                <w:lang w:eastAsia="en-AU"/>
                <w14:ligatures w14:val="none"/>
              </w:rPr>
              <w:t>Southeast</w:t>
            </w:r>
            <w:r w:rsidRPr="003D4B91">
              <w:rPr>
                <w:rFonts w:ascii="Aptos" w:eastAsia="Times New Roman" w:hAnsi="Aptos" w:cs="Times New Roman"/>
                <w:color w:val="000000"/>
                <w:kern w:val="0"/>
                <w:sz w:val="16"/>
                <w:szCs w:val="16"/>
                <w:lang w:eastAsia="en-AU"/>
                <w14:ligatures w14:val="none"/>
              </w:rPr>
              <w:t xml:space="preserve"> Asia, GRET Laos</w:t>
            </w:r>
          </w:p>
        </w:tc>
        <w:tc>
          <w:tcPr>
            <w:tcW w:w="1140" w:type="dxa"/>
            <w:vAlign w:val="bottom"/>
          </w:tcPr>
          <w:p w14:paraId="285D6A2D" w14:textId="2F896B58" w:rsidR="008A41F0" w:rsidRPr="003D4B91" w:rsidRDefault="00E50A8F" w:rsidP="008A41F0">
            <w:pPr>
              <w:spacing w:after="0" w:line="240" w:lineRule="auto"/>
              <w:jc w:val="right"/>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4 Nov 2025</w:t>
            </w:r>
          </w:p>
        </w:tc>
      </w:tr>
      <w:tr w:rsidR="008A41F0" w:rsidRPr="003D4B91" w14:paraId="0D103FB6" w14:textId="77777777" w:rsidTr="00156392">
        <w:trPr>
          <w:trHeight w:val="285"/>
        </w:trPr>
        <w:tc>
          <w:tcPr>
            <w:tcW w:w="1120" w:type="dxa"/>
            <w:vAlign w:val="bottom"/>
          </w:tcPr>
          <w:p w14:paraId="15B053E4" w14:textId="21792FFB" w:rsidR="008A41F0" w:rsidRPr="003D4B91" w:rsidRDefault="00E50A8F"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Lao PDR</w:t>
            </w:r>
          </w:p>
        </w:tc>
        <w:tc>
          <w:tcPr>
            <w:tcW w:w="1900" w:type="dxa"/>
            <w:vAlign w:val="bottom"/>
          </w:tcPr>
          <w:p w14:paraId="288F1A96" w14:textId="6CBB5E42" w:rsidR="008A41F0" w:rsidRPr="003D4B91" w:rsidRDefault="00E50A8F" w:rsidP="008A41F0">
            <w:pPr>
              <w:spacing w:after="0" w:line="240" w:lineRule="auto"/>
              <w:rPr>
                <w:rFonts w:ascii="Aptos" w:eastAsia="Times New Roman" w:hAnsi="Aptos" w:cs="Times New Roman"/>
                <w:color w:val="000000"/>
                <w:kern w:val="0"/>
                <w:sz w:val="16"/>
                <w:szCs w:val="16"/>
                <w:lang w:eastAsia="en-AU"/>
                <w14:ligatures w14:val="none"/>
              </w:rPr>
            </w:pPr>
            <w:proofErr w:type="spellStart"/>
            <w:r w:rsidRPr="003D4B91">
              <w:rPr>
                <w:rFonts w:ascii="Aptos" w:eastAsia="Times New Roman" w:hAnsi="Aptos" w:cs="Times New Roman"/>
                <w:color w:val="000000"/>
                <w:kern w:val="0"/>
                <w:sz w:val="16"/>
                <w:szCs w:val="16"/>
                <w:lang w:eastAsia="en-AU"/>
                <w14:ligatures w14:val="none"/>
              </w:rPr>
              <w:t>Souphanny</w:t>
            </w:r>
            <w:proofErr w:type="spellEnd"/>
            <w:r w:rsidRPr="003D4B91">
              <w:rPr>
                <w:rFonts w:ascii="Aptos" w:eastAsia="Times New Roman" w:hAnsi="Aptos" w:cs="Times New Roman"/>
                <w:color w:val="000000"/>
                <w:kern w:val="0"/>
                <w:sz w:val="16"/>
                <w:szCs w:val="16"/>
                <w:lang w:eastAsia="en-AU"/>
                <w14:ligatures w14:val="none"/>
              </w:rPr>
              <w:t xml:space="preserve"> </w:t>
            </w:r>
            <w:proofErr w:type="spellStart"/>
            <w:r w:rsidRPr="003D4B91">
              <w:rPr>
                <w:rFonts w:ascii="Aptos" w:eastAsia="Times New Roman" w:hAnsi="Aptos" w:cs="Times New Roman"/>
                <w:color w:val="000000"/>
                <w:kern w:val="0"/>
                <w:sz w:val="16"/>
                <w:szCs w:val="16"/>
                <w:lang w:eastAsia="en-AU"/>
                <w14:ligatures w14:val="none"/>
              </w:rPr>
              <w:t>Singsayyachack</w:t>
            </w:r>
            <w:proofErr w:type="spellEnd"/>
          </w:p>
        </w:tc>
        <w:tc>
          <w:tcPr>
            <w:tcW w:w="4540" w:type="dxa"/>
            <w:vAlign w:val="bottom"/>
          </w:tcPr>
          <w:p w14:paraId="14FBAE48" w14:textId="6FB66207" w:rsidR="008A41F0" w:rsidRPr="003D4B91" w:rsidRDefault="00E50A8F"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Project Manager, GRET Laos</w:t>
            </w:r>
          </w:p>
        </w:tc>
        <w:tc>
          <w:tcPr>
            <w:tcW w:w="1140" w:type="dxa"/>
            <w:vAlign w:val="bottom"/>
          </w:tcPr>
          <w:p w14:paraId="1659C611" w14:textId="69F7BE7F" w:rsidR="008A41F0" w:rsidRPr="003D4B91" w:rsidRDefault="00E50A8F" w:rsidP="008A41F0">
            <w:pPr>
              <w:spacing w:after="0" w:line="240" w:lineRule="auto"/>
              <w:jc w:val="right"/>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4 Nov 2025</w:t>
            </w:r>
          </w:p>
        </w:tc>
      </w:tr>
      <w:tr w:rsidR="008A41F0" w:rsidRPr="003D4B91" w14:paraId="6DA3D90F" w14:textId="77777777" w:rsidTr="00156392">
        <w:trPr>
          <w:trHeight w:val="285"/>
        </w:trPr>
        <w:tc>
          <w:tcPr>
            <w:tcW w:w="1120" w:type="dxa"/>
            <w:vAlign w:val="bottom"/>
          </w:tcPr>
          <w:p w14:paraId="4368F22C" w14:textId="36B76E23" w:rsidR="008A41F0" w:rsidRPr="003D4B91" w:rsidRDefault="00E50A8F"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Lao PDR</w:t>
            </w:r>
          </w:p>
        </w:tc>
        <w:tc>
          <w:tcPr>
            <w:tcW w:w="1900" w:type="dxa"/>
            <w:vAlign w:val="bottom"/>
          </w:tcPr>
          <w:p w14:paraId="2C1F5FA5" w14:textId="167C506F" w:rsidR="008A41F0" w:rsidRPr="003D4B91" w:rsidRDefault="00E50A8F" w:rsidP="008A41F0">
            <w:pPr>
              <w:spacing w:after="0" w:line="240" w:lineRule="auto"/>
              <w:rPr>
                <w:rFonts w:ascii="Aptos" w:eastAsia="Times New Roman" w:hAnsi="Aptos" w:cs="Times New Roman"/>
                <w:color w:val="000000"/>
                <w:kern w:val="0"/>
                <w:sz w:val="16"/>
                <w:szCs w:val="16"/>
                <w:lang w:eastAsia="en-AU"/>
                <w14:ligatures w14:val="none"/>
              </w:rPr>
            </w:pPr>
            <w:proofErr w:type="spellStart"/>
            <w:r w:rsidRPr="003D4B91">
              <w:rPr>
                <w:rFonts w:ascii="Aptos" w:eastAsia="Times New Roman" w:hAnsi="Aptos" w:cs="Times New Roman"/>
                <w:color w:val="000000"/>
                <w:kern w:val="0"/>
                <w:sz w:val="16"/>
                <w:szCs w:val="16"/>
                <w:lang w:eastAsia="en-AU"/>
                <w14:ligatures w14:val="none"/>
              </w:rPr>
              <w:t>Thongsavath</w:t>
            </w:r>
            <w:proofErr w:type="spellEnd"/>
            <w:r w:rsidRPr="003D4B91">
              <w:rPr>
                <w:rFonts w:ascii="Aptos" w:eastAsia="Times New Roman" w:hAnsi="Aptos" w:cs="Times New Roman"/>
                <w:color w:val="000000"/>
                <w:kern w:val="0"/>
                <w:sz w:val="16"/>
                <w:szCs w:val="16"/>
                <w:lang w:eastAsia="en-AU"/>
                <w14:ligatures w14:val="none"/>
              </w:rPr>
              <w:t xml:space="preserve"> </w:t>
            </w:r>
            <w:proofErr w:type="spellStart"/>
            <w:r w:rsidRPr="003D4B91">
              <w:rPr>
                <w:rFonts w:ascii="Aptos" w:eastAsia="Times New Roman" w:hAnsi="Aptos" w:cs="Times New Roman"/>
                <w:color w:val="000000"/>
                <w:kern w:val="0"/>
                <w:sz w:val="16"/>
                <w:szCs w:val="16"/>
                <w:lang w:eastAsia="en-AU"/>
                <w14:ligatures w14:val="none"/>
              </w:rPr>
              <w:t>Somdachit</w:t>
            </w:r>
            <w:proofErr w:type="spellEnd"/>
          </w:p>
        </w:tc>
        <w:tc>
          <w:tcPr>
            <w:tcW w:w="4540" w:type="dxa"/>
            <w:vAlign w:val="bottom"/>
          </w:tcPr>
          <w:p w14:paraId="4AA518BA" w14:textId="1EE14C9C" w:rsidR="008A41F0" w:rsidRPr="003D4B91" w:rsidRDefault="00E50A8F"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Project Officer, Water &amp; Wetlands – NATURA Project, Global Green Growth Institute (GGGI)</w:t>
            </w:r>
          </w:p>
        </w:tc>
        <w:tc>
          <w:tcPr>
            <w:tcW w:w="1140" w:type="dxa"/>
            <w:vAlign w:val="bottom"/>
          </w:tcPr>
          <w:p w14:paraId="3AB284F7" w14:textId="5ADDD360" w:rsidR="008A41F0" w:rsidRPr="003D4B91" w:rsidRDefault="00E50A8F" w:rsidP="008A41F0">
            <w:pPr>
              <w:spacing w:after="0" w:line="240" w:lineRule="auto"/>
              <w:jc w:val="right"/>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4 Nov 2025</w:t>
            </w:r>
          </w:p>
        </w:tc>
      </w:tr>
      <w:tr w:rsidR="008A41F0" w:rsidRPr="003D4B91" w14:paraId="7DB2F437" w14:textId="77777777" w:rsidTr="00156392">
        <w:trPr>
          <w:trHeight w:val="285"/>
        </w:trPr>
        <w:tc>
          <w:tcPr>
            <w:tcW w:w="1120" w:type="dxa"/>
            <w:vAlign w:val="bottom"/>
          </w:tcPr>
          <w:p w14:paraId="41CB12C7" w14:textId="23446648" w:rsidR="008A41F0" w:rsidRPr="003D4B91" w:rsidRDefault="00E50A8F"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Lao PDR</w:t>
            </w:r>
          </w:p>
        </w:tc>
        <w:tc>
          <w:tcPr>
            <w:tcW w:w="1900" w:type="dxa"/>
            <w:vAlign w:val="bottom"/>
          </w:tcPr>
          <w:p w14:paraId="269C3FBA" w14:textId="2C24359F" w:rsidR="008A41F0" w:rsidRPr="003D4B91" w:rsidRDefault="00E50A8F"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 xml:space="preserve">Thavone </w:t>
            </w:r>
            <w:proofErr w:type="spellStart"/>
            <w:r w:rsidRPr="003D4B91">
              <w:rPr>
                <w:rFonts w:ascii="Aptos" w:eastAsia="Times New Roman" w:hAnsi="Aptos" w:cs="Times New Roman"/>
                <w:color w:val="000000"/>
                <w:kern w:val="0"/>
                <w:sz w:val="16"/>
                <w:szCs w:val="16"/>
                <w:lang w:eastAsia="en-AU"/>
                <w14:ligatures w14:val="none"/>
              </w:rPr>
              <w:t>Panmanivong</w:t>
            </w:r>
            <w:proofErr w:type="spellEnd"/>
          </w:p>
        </w:tc>
        <w:tc>
          <w:tcPr>
            <w:tcW w:w="4540" w:type="dxa"/>
            <w:vAlign w:val="bottom"/>
          </w:tcPr>
          <w:p w14:paraId="53457778" w14:textId="5D78A9A0" w:rsidR="008A41F0" w:rsidRPr="003D4B91" w:rsidRDefault="00E50A8F"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Head of International Cooperation Division, International Relations Office, Souphanouvong University</w:t>
            </w:r>
          </w:p>
        </w:tc>
        <w:tc>
          <w:tcPr>
            <w:tcW w:w="1140" w:type="dxa"/>
            <w:vAlign w:val="bottom"/>
          </w:tcPr>
          <w:p w14:paraId="2B051993" w14:textId="6B57656C" w:rsidR="008A41F0" w:rsidRPr="003D4B91" w:rsidRDefault="00E50A8F" w:rsidP="008A41F0">
            <w:pPr>
              <w:spacing w:after="0" w:line="240" w:lineRule="auto"/>
              <w:jc w:val="right"/>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4 Nov 2025</w:t>
            </w:r>
          </w:p>
        </w:tc>
      </w:tr>
      <w:tr w:rsidR="008A41F0" w:rsidRPr="003D4B91" w14:paraId="258C75E0" w14:textId="77777777" w:rsidTr="00156392">
        <w:trPr>
          <w:trHeight w:val="285"/>
        </w:trPr>
        <w:tc>
          <w:tcPr>
            <w:tcW w:w="1120" w:type="dxa"/>
            <w:vAlign w:val="bottom"/>
          </w:tcPr>
          <w:p w14:paraId="554FDDB0" w14:textId="725942BD" w:rsidR="008A41F0" w:rsidRPr="003D4B91" w:rsidRDefault="00E50A8F"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Lao PDR</w:t>
            </w:r>
          </w:p>
        </w:tc>
        <w:tc>
          <w:tcPr>
            <w:tcW w:w="1900" w:type="dxa"/>
            <w:vAlign w:val="bottom"/>
          </w:tcPr>
          <w:p w14:paraId="73F87E94" w14:textId="260A4691" w:rsidR="008A41F0" w:rsidRPr="003D4B91" w:rsidRDefault="00E50A8F" w:rsidP="008A41F0">
            <w:pPr>
              <w:spacing w:after="0" w:line="240" w:lineRule="auto"/>
              <w:rPr>
                <w:rFonts w:ascii="Aptos" w:eastAsia="Times New Roman" w:hAnsi="Aptos" w:cs="Times New Roman"/>
                <w:color w:val="000000"/>
                <w:kern w:val="0"/>
                <w:sz w:val="16"/>
                <w:szCs w:val="16"/>
                <w:lang w:eastAsia="en-AU"/>
                <w14:ligatures w14:val="none"/>
              </w:rPr>
            </w:pPr>
            <w:proofErr w:type="spellStart"/>
            <w:r w:rsidRPr="003D4B91">
              <w:rPr>
                <w:rFonts w:ascii="Aptos" w:eastAsia="Times New Roman" w:hAnsi="Aptos" w:cs="Times New Roman"/>
                <w:color w:val="000000"/>
                <w:kern w:val="0"/>
                <w:sz w:val="16"/>
                <w:szCs w:val="16"/>
                <w:lang w:eastAsia="en-AU"/>
                <w14:ligatures w14:val="none"/>
              </w:rPr>
              <w:t>Anousith</w:t>
            </w:r>
            <w:proofErr w:type="spellEnd"/>
            <w:r w:rsidRPr="003D4B91">
              <w:rPr>
                <w:rFonts w:ascii="Aptos" w:eastAsia="Times New Roman" w:hAnsi="Aptos" w:cs="Times New Roman"/>
                <w:color w:val="000000"/>
                <w:kern w:val="0"/>
                <w:sz w:val="16"/>
                <w:szCs w:val="16"/>
                <w:lang w:eastAsia="en-AU"/>
                <w14:ligatures w14:val="none"/>
              </w:rPr>
              <w:t xml:space="preserve"> </w:t>
            </w:r>
            <w:proofErr w:type="spellStart"/>
            <w:r w:rsidRPr="003D4B91">
              <w:rPr>
                <w:rFonts w:ascii="Aptos" w:eastAsia="Times New Roman" w:hAnsi="Aptos" w:cs="Times New Roman"/>
                <w:color w:val="000000"/>
                <w:kern w:val="0"/>
                <w:sz w:val="16"/>
                <w:szCs w:val="16"/>
                <w:lang w:eastAsia="en-AU"/>
                <w14:ligatures w14:val="none"/>
              </w:rPr>
              <w:t>Vannaphon</w:t>
            </w:r>
            <w:proofErr w:type="spellEnd"/>
          </w:p>
        </w:tc>
        <w:tc>
          <w:tcPr>
            <w:tcW w:w="4540" w:type="dxa"/>
            <w:vAlign w:val="bottom"/>
          </w:tcPr>
          <w:p w14:paraId="1F1CE536" w14:textId="3EEC41B7" w:rsidR="008A41F0" w:rsidRPr="003D4B91" w:rsidRDefault="00E50A8F"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Deputy Head of Planning and Project Management Division, Souphanouvong University</w:t>
            </w:r>
          </w:p>
        </w:tc>
        <w:tc>
          <w:tcPr>
            <w:tcW w:w="1140" w:type="dxa"/>
            <w:vAlign w:val="bottom"/>
          </w:tcPr>
          <w:p w14:paraId="3291FC65" w14:textId="344EA0C3" w:rsidR="008A41F0" w:rsidRPr="003D4B91" w:rsidRDefault="00E50A8F" w:rsidP="008A41F0">
            <w:pPr>
              <w:spacing w:after="0" w:line="240" w:lineRule="auto"/>
              <w:jc w:val="right"/>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4 Nov 2025</w:t>
            </w:r>
          </w:p>
        </w:tc>
      </w:tr>
      <w:tr w:rsidR="008A41F0" w:rsidRPr="003D4B91" w14:paraId="3DB32735" w14:textId="77777777" w:rsidTr="00156392">
        <w:trPr>
          <w:trHeight w:val="285"/>
        </w:trPr>
        <w:tc>
          <w:tcPr>
            <w:tcW w:w="1120" w:type="dxa"/>
            <w:vAlign w:val="bottom"/>
          </w:tcPr>
          <w:p w14:paraId="1892DB48" w14:textId="64B0C893" w:rsidR="008A41F0" w:rsidRPr="003D4B91" w:rsidRDefault="00E50A8F"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Lao PDR</w:t>
            </w:r>
          </w:p>
        </w:tc>
        <w:tc>
          <w:tcPr>
            <w:tcW w:w="1900" w:type="dxa"/>
            <w:vAlign w:val="bottom"/>
          </w:tcPr>
          <w:p w14:paraId="54F328E1" w14:textId="1B20CFE4" w:rsidR="008A41F0" w:rsidRPr="003D4B91" w:rsidRDefault="00E50A8F" w:rsidP="008A41F0">
            <w:pPr>
              <w:spacing w:after="0" w:line="240" w:lineRule="auto"/>
              <w:rPr>
                <w:rFonts w:ascii="Aptos" w:eastAsia="Times New Roman" w:hAnsi="Aptos" w:cs="Times New Roman"/>
                <w:color w:val="000000"/>
                <w:kern w:val="0"/>
                <w:sz w:val="16"/>
                <w:szCs w:val="16"/>
                <w:lang w:eastAsia="en-AU"/>
                <w14:ligatures w14:val="none"/>
              </w:rPr>
            </w:pPr>
            <w:proofErr w:type="spellStart"/>
            <w:r w:rsidRPr="003D4B91">
              <w:rPr>
                <w:rFonts w:ascii="Aptos" w:eastAsia="Times New Roman" w:hAnsi="Aptos" w:cs="Times New Roman"/>
                <w:color w:val="000000"/>
                <w:kern w:val="0"/>
                <w:sz w:val="16"/>
                <w:szCs w:val="16"/>
                <w:lang w:eastAsia="en-AU"/>
                <w14:ligatures w14:val="none"/>
              </w:rPr>
              <w:t>Samnieng</w:t>
            </w:r>
            <w:proofErr w:type="spellEnd"/>
            <w:r w:rsidRPr="003D4B91">
              <w:rPr>
                <w:rFonts w:ascii="Aptos" w:eastAsia="Times New Roman" w:hAnsi="Aptos" w:cs="Times New Roman"/>
                <w:color w:val="000000"/>
                <w:kern w:val="0"/>
                <w:sz w:val="16"/>
                <w:szCs w:val="16"/>
                <w:lang w:eastAsia="en-AU"/>
                <w14:ligatures w14:val="none"/>
              </w:rPr>
              <w:t xml:space="preserve"> Thammavong</w:t>
            </w:r>
          </w:p>
        </w:tc>
        <w:tc>
          <w:tcPr>
            <w:tcW w:w="4540" w:type="dxa"/>
            <w:vAlign w:val="bottom"/>
          </w:tcPr>
          <w:p w14:paraId="0F7423C5" w14:textId="45FEE77B" w:rsidR="008A41F0" w:rsidRPr="003D4B91" w:rsidRDefault="00E50A8F"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Director, LDPA, Laos Disabled People’s Association (LDPA)</w:t>
            </w:r>
          </w:p>
        </w:tc>
        <w:tc>
          <w:tcPr>
            <w:tcW w:w="1140" w:type="dxa"/>
            <w:vAlign w:val="bottom"/>
          </w:tcPr>
          <w:p w14:paraId="758D02D9" w14:textId="092944E0" w:rsidR="008A41F0" w:rsidRPr="003D4B91" w:rsidRDefault="00E50A8F" w:rsidP="008A41F0">
            <w:pPr>
              <w:spacing w:after="0" w:line="240" w:lineRule="auto"/>
              <w:jc w:val="right"/>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19 Nov 2025</w:t>
            </w:r>
          </w:p>
        </w:tc>
      </w:tr>
      <w:tr w:rsidR="008A41F0" w:rsidRPr="003D4B91" w14:paraId="574FA775" w14:textId="77777777" w:rsidTr="00156392">
        <w:trPr>
          <w:trHeight w:val="285"/>
        </w:trPr>
        <w:tc>
          <w:tcPr>
            <w:tcW w:w="1120" w:type="dxa"/>
            <w:vAlign w:val="bottom"/>
          </w:tcPr>
          <w:p w14:paraId="1CF3F725" w14:textId="3537F41B" w:rsidR="008A41F0" w:rsidRPr="003D4B91" w:rsidRDefault="00E50A8F"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Thailand</w:t>
            </w:r>
          </w:p>
        </w:tc>
        <w:tc>
          <w:tcPr>
            <w:tcW w:w="1900" w:type="dxa"/>
            <w:vAlign w:val="bottom"/>
          </w:tcPr>
          <w:p w14:paraId="565D0694" w14:textId="3298E615" w:rsidR="008A41F0" w:rsidRPr="003D4B91" w:rsidRDefault="00E50A8F"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Rosalind Amornpitakpun</w:t>
            </w:r>
          </w:p>
        </w:tc>
        <w:tc>
          <w:tcPr>
            <w:tcW w:w="4540" w:type="dxa"/>
            <w:vAlign w:val="bottom"/>
          </w:tcPr>
          <w:p w14:paraId="49D24830" w14:textId="0E64A893" w:rsidR="008A41F0" w:rsidRPr="003D4B91" w:rsidRDefault="00E50A8F"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Director of Climate Change Adaptation Guideline and Capacity Development Subdivision, Department of Climate Change and Environment (DCCE)</w:t>
            </w:r>
          </w:p>
        </w:tc>
        <w:tc>
          <w:tcPr>
            <w:tcW w:w="1140" w:type="dxa"/>
            <w:vAlign w:val="bottom"/>
          </w:tcPr>
          <w:p w14:paraId="23282CE9" w14:textId="23864F63" w:rsidR="008A41F0" w:rsidRPr="003D4B91" w:rsidRDefault="00E50A8F" w:rsidP="008A41F0">
            <w:pPr>
              <w:spacing w:after="0" w:line="240" w:lineRule="auto"/>
              <w:jc w:val="right"/>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5 Nov 2025</w:t>
            </w:r>
          </w:p>
        </w:tc>
      </w:tr>
      <w:tr w:rsidR="008A41F0" w:rsidRPr="003D4B91" w14:paraId="1E6EACCC" w14:textId="77777777" w:rsidTr="00156392">
        <w:trPr>
          <w:trHeight w:val="285"/>
        </w:trPr>
        <w:tc>
          <w:tcPr>
            <w:tcW w:w="1120" w:type="dxa"/>
            <w:vAlign w:val="bottom"/>
          </w:tcPr>
          <w:p w14:paraId="25D811EA" w14:textId="2E56FAD9" w:rsidR="008A41F0" w:rsidRPr="003D4B91" w:rsidRDefault="008C3790"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Thailand</w:t>
            </w:r>
          </w:p>
        </w:tc>
        <w:tc>
          <w:tcPr>
            <w:tcW w:w="1900" w:type="dxa"/>
            <w:vAlign w:val="bottom"/>
          </w:tcPr>
          <w:p w14:paraId="6D3412C0" w14:textId="54C83E15" w:rsidR="008A41F0" w:rsidRPr="003D4B91" w:rsidRDefault="00E50A8F" w:rsidP="008A41F0">
            <w:pPr>
              <w:spacing w:after="0" w:line="240" w:lineRule="auto"/>
              <w:rPr>
                <w:rFonts w:ascii="Aptos" w:eastAsia="Times New Roman" w:hAnsi="Aptos" w:cs="Times New Roman"/>
                <w:color w:val="000000"/>
                <w:kern w:val="0"/>
                <w:sz w:val="16"/>
                <w:szCs w:val="16"/>
                <w:lang w:eastAsia="en-AU"/>
                <w14:ligatures w14:val="none"/>
              </w:rPr>
            </w:pPr>
            <w:proofErr w:type="spellStart"/>
            <w:r w:rsidRPr="003D4B91">
              <w:rPr>
                <w:rFonts w:ascii="Aptos" w:eastAsia="Times New Roman" w:hAnsi="Aptos" w:cs="Times New Roman"/>
                <w:color w:val="000000"/>
                <w:kern w:val="0"/>
                <w:sz w:val="16"/>
                <w:szCs w:val="16"/>
                <w:lang w:eastAsia="en-AU"/>
                <w14:ligatures w14:val="none"/>
              </w:rPr>
              <w:t>Sasiwan</w:t>
            </w:r>
            <w:proofErr w:type="spellEnd"/>
            <w:r w:rsidRPr="003D4B91">
              <w:rPr>
                <w:rFonts w:ascii="Aptos" w:eastAsia="Times New Roman" w:hAnsi="Aptos" w:cs="Times New Roman"/>
                <w:color w:val="000000"/>
                <w:kern w:val="0"/>
                <w:sz w:val="16"/>
                <w:szCs w:val="16"/>
                <w:lang w:eastAsia="en-AU"/>
                <w14:ligatures w14:val="none"/>
              </w:rPr>
              <w:t xml:space="preserve"> </w:t>
            </w:r>
            <w:proofErr w:type="spellStart"/>
            <w:r w:rsidRPr="003D4B91">
              <w:rPr>
                <w:rFonts w:ascii="Aptos" w:eastAsia="Times New Roman" w:hAnsi="Aptos" w:cs="Times New Roman"/>
                <w:color w:val="000000"/>
                <w:kern w:val="0"/>
                <w:sz w:val="16"/>
                <w:szCs w:val="16"/>
                <w:lang w:eastAsia="en-AU"/>
                <w14:ligatures w14:val="none"/>
              </w:rPr>
              <w:t>Wongsiriprasert</w:t>
            </w:r>
            <w:proofErr w:type="spellEnd"/>
          </w:p>
        </w:tc>
        <w:tc>
          <w:tcPr>
            <w:tcW w:w="4540" w:type="dxa"/>
            <w:vAlign w:val="bottom"/>
          </w:tcPr>
          <w:p w14:paraId="01C03A4D" w14:textId="2809FB1C" w:rsidR="008A41F0" w:rsidRPr="003D4B91" w:rsidRDefault="00E50A8F"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Director of Green Area Strategy Division, Environment Department, BMA</w:t>
            </w:r>
          </w:p>
        </w:tc>
        <w:tc>
          <w:tcPr>
            <w:tcW w:w="1140" w:type="dxa"/>
            <w:vAlign w:val="bottom"/>
          </w:tcPr>
          <w:p w14:paraId="46895AD6" w14:textId="6EDA8710" w:rsidR="008A41F0" w:rsidRPr="003D4B91" w:rsidRDefault="00E50A8F" w:rsidP="008A41F0">
            <w:pPr>
              <w:spacing w:after="0" w:line="240" w:lineRule="auto"/>
              <w:jc w:val="right"/>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6 Nov 2025</w:t>
            </w:r>
          </w:p>
        </w:tc>
      </w:tr>
      <w:tr w:rsidR="008A41F0" w:rsidRPr="003D4B91" w14:paraId="11BC983D" w14:textId="77777777" w:rsidTr="00156392">
        <w:trPr>
          <w:trHeight w:val="285"/>
        </w:trPr>
        <w:tc>
          <w:tcPr>
            <w:tcW w:w="1120" w:type="dxa"/>
            <w:vAlign w:val="bottom"/>
          </w:tcPr>
          <w:p w14:paraId="16E7CB8E" w14:textId="7BA32026" w:rsidR="008A41F0" w:rsidRPr="003D4B91" w:rsidRDefault="008C3790"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Thailand</w:t>
            </w:r>
          </w:p>
        </w:tc>
        <w:tc>
          <w:tcPr>
            <w:tcW w:w="1900" w:type="dxa"/>
            <w:vAlign w:val="bottom"/>
          </w:tcPr>
          <w:p w14:paraId="5578B7F6" w14:textId="4E9FCE47" w:rsidR="008A41F0" w:rsidRPr="003D4B91" w:rsidRDefault="00E50A8F" w:rsidP="008A41F0">
            <w:pPr>
              <w:spacing w:after="0" w:line="240" w:lineRule="auto"/>
              <w:rPr>
                <w:rFonts w:ascii="Aptos" w:eastAsia="Times New Roman" w:hAnsi="Aptos" w:cs="Times New Roman"/>
                <w:color w:val="000000"/>
                <w:kern w:val="0"/>
                <w:sz w:val="16"/>
                <w:szCs w:val="16"/>
                <w:lang w:eastAsia="en-AU"/>
                <w14:ligatures w14:val="none"/>
              </w:rPr>
            </w:pPr>
            <w:proofErr w:type="spellStart"/>
            <w:r w:rsidRPr="003D4B91">
              <w:rPr>
                <w:rFonts w:ascii="Aptos" w:eastAsia="Times New Roman" w:hAnsi="Aptos" w:cs="Times New Roman"/>
                <w:color w:val="000000"/>
                <w:kern w:val="0"/>
                <w:sz w:val="16"/>
                <w:szCs w:val="16"/>
                <w:lang w:eastAsia="en-AU"/>
                <w14:ligatures w14:val="none"/>
              </w:rPr>
              <w:t>Jintana</w:t>
            </w:r>
            <w:proofErr w:type="spellEnd"/>
            <w:r w:rsidRPr="003D4B91">
              <w:rPr>
                <w:rFonts w:ascii="Aptos" w:eastAsia="Times New Roman" w:hAnsi="Aptos" w:cs="Times New Roman"/>
                <w:color w:val="000000"/>
                <w:kern w:val="0"/>
                <w:sz w:val="16"/>
                <w:szCs w:val="16"/>
                <w:lang w:eastAsia="en-AU"/>
                <w14:ligatures w14:val="none"/>
              </w:rPr>
              <w:t xml:space="preserve"> </w:t>
            </w:r>
            <w:proofErr w:type="spellStart"/>
            <w:r w:rsidRPr="003D4B91">
              <w:rPr>
                <w:rFonts w:ascii="Aptos" w:eastAsia="Times New Roman" w:hAnsi="Aptos" w:cs="Times New Roman"/>
                <w:color w:val="000000"/>
                <w:kern w:val="0"/>
                <w:sz w:val="16"/>
                <w:szCs w:val="16"/>
                <w:lang w:eastAsia="en-AU"/>
                <w14:ligatures w14:val="none"/>
              </w:rPr>
              <w:t>Aiampisanuvong</w:t>
            </w:r>
            <w:proofErr w:type="spellEnd"/>
          </w:p>
        </w:tc>
        <w:tc>
          <w:tcPr>
            <w:tcW w:w="4540" w:type="dxa"/>
            <w:vAlign w:val="bottom"/>
          </w:tcPr>
          <w:p w14:paraId="13364D1C" w14:textId="5FB81DC5" w:rsidR="008A41F0" w:rsidRPr="003D4B91" w:rsidRDefault="00E50A8F"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Head of Sustainable Environment and Climate Change Mobilization Unit, Environment Department, BMA</w:t>
            </w:r>
          </w:p>
        </w:tc>
        <w:tc>
          <w:tcPr>
            <w:tcW w:w="1140" w:type="dxa"/>
            <w:vAlign w:val="bottom"/>
          </w:tcPr>
          <w:p w14:paraId="2538DE80" w14:textId="24F4F77E" w:rsidR="008A41F0" w:rsidRPr="003D4B91" w:rsidRDefault="008C3790" w:rsidP="008A41F0">
            <w:pPr>
              <w:spacing w:after="0" w:line="240" w:lineRule="auto"/>
              <w:jc w:val="right"/>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6 Nov 2025</w:t>
            </w:r>
          </w:p>
        </w:tc>
      </w:tr>
      <w:tr w:rsidR="008A41F0" w:rsidRPr="003D4B91" w14:paraId="015C2627" w14:textId="77777777" w:rsidTr="00156392">
        <w:trPr>
          <w:trHeight w:val="285"/>
        </w:trPr>
        <w:tc>
          <w:tcPr>
            <w:tcW w:w="1120" w:type="dxa"/>
            <w:vAlign w:val="bottom"/>
          </w:tcPr>
          <w:p w14:paraId="0B29176F" w14:textId="49428064" w:rsidR="008A41F0" w:rsidRPr="003D4B91" w:rsidRDefault="008C3790"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Thailand</w:t>
            </w:r>
          </w:p>
        </w:tc>
        <w:tc>
          <w:tcPr>
            <w:tcW w:w="1900" w:type="dxa"/>
            <w:vAlign w:val="bottom"/>
          </w:tcPr>
          <w:p w14:paraId="4274A470" w14:textId="08A0609F" w:rsidR="008A41F0" w:rsidRPr="003D4B91" w:rsidRDefault="00E50A8F" w:rsidP="008A41F0">
            <w:pPr>
              <w:spacing w:after="0" w:line="240" w:lineRule="auto"/>
              <w:rPr>
                <w:rFonts w:ascii="Aptos" w:eastAsia="Times New Roman" w:hAnsi="Aptos" w:cs="Times New Roman"/>
                <w:color w:val="000000"/>
                <w:kern w:val="0"/>
                <w:sz w:val="16"/>
                <w:szCs w:val="16"/>
                <w:lang w:eastAsia="en-AU"/>
                <w14:ligatures w14:val="none"/>
              </w:rPr>
            </w:pPr>
            <w:proofErr w:type="spellStart"/>
            <w:r w:rsidRPr="003D4B91">
              <w:rPr>
                <w:rFonts w:ascii="Aptos" w:eastAsia="Times New Roman" w:hAnsi="Aptos" w:cs="Times New Roman"/>
                <w:color w:val="000000"/>
                <w:kern w:val="0"/>
                <w:sz w:val="16"/>
                <w:szCs w:val="16"/>
                <w:lang w:eastAsia="en-AU"/>
                <w14:ligatures w14:val="none"/>
              </w:rPr>
              <w:t>Yanee</w:t>
            </w:r>
            <w:proofErr w:type="spellEnd"/>
            <w:r w:rsidRPr="003D4B91">
              <w:rPr>
                <w:rFonts w:ascii="Aptos" w:eastAsia="Times New Roman" w:hAnsi="Aptos" w:cs="Times New Roman"/>
                <w:color w:val="000000"/>
                <w:kern w:val="0"/>
                <w:sz w:val="16"/>
                <w:szCs w:val="16"/>
                <w:lang w:eastAsia="en-AU"/>
                <w14:ligatures w14:val="none"/>
              </w:rPr>
              <w:t xml:space="preserve"> </w:t>
            </w:r>
            <w:proofErr w:type="spellStart"/>
            <w:r w:rsidRPr="003D4B91">
              <w:rPr>
                <w:rFonts w:ascii="Aptos" w:eastAsia="Times New Roman" w:hAnsi="Aptos" w:cs="Times New Roman"/>
                <w:color w:val="000000"/>
                <w:kern w:val="0"/>
                <w:sz w:val="16"/>
                <w:szCs w:val="16"/>
                <w:lang w:eastAsia="en-AU"/>
                <w14:ligatures w14:val="none"/>
              </w:rPr>
              <w:t>Kaewprasit</w:t>
            </w:r>
            <w:proofErr w:type="spellEnd"/>
          </w:p>
        </w:tc>
        <w:tc>
          <w:tcPr>
            <w:tcW w:w="4540" w:type="dxa"/>
            <w:vAlign w:val="bottom"/>
          </w:tcPr>
          <w:p w14:paraId="0FD52F7D" w14:textId="732B0538" w:rsidR="008A41F0" w:rsidRPr="003D4B91" w:rsidRDefault="00E50A8F"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Chief of Sustainable Environmental Strategy Unit, Environment Department, BMA</w:t>
            </w:r>
          </w:p>
        </w:tc>
        <w:tc>
          <w:tcPr>
            <w:tcW w:w="1140" w:type="dxa"/>
            <w:vAlign w:val="bottom"/>
          </w:tcPr>
          <w:p w14:paraId="008B76E0" w14:textId="3B559387" w:rsidR="008A41F0" w:rsidRPr="003D4B91" w:rsidRDefault="008C3790" w:rsidP="008A41F0">
            <w:pPr>
              <w:spacing w:after="0" w:line="240" w:lineRule="auto"/>
              <w:jc w:val="right"/>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6 Nov 2025</w:t>
            </w:r>
          </w:p>
        </w:tc>
      </w:tr>
      <w:tr w:rsidR="008A41F0" w:rsidRPr="003D4B91" w14:paraId="77F42057" w14:textId="77777777" w:rsidTr="00156392">
        <w:trPr>
          <w:trHeight w:val="285"/>
        </w:trPr>
        <w:tc>
          <w:tcPr>
            <w:tcW w:w="1120" w:type="dxa"/>
            <w:vAlign w:val="bottom"/>
          </w:tcPr>
          <w:p w14:paraId="4730512E" w14:textId="2EBAAEE4" w:rsidR="008A41F0" w:rsidRPr="003D4B91" w:rsidRDefault="008C3790"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Thailand</w:t>
            </w:r>
          </w:p>
        </w:tc>
        <w:tc>
          <w:tcPr>
            <w:tcW w:w="1900" w:type="dxa"/>
            <w:vAlign w:val="bottom"/>
          </w:tcPr>
          <w:p w14:paraId="23A71ABA" w14:textId="4A8A9327" w:rsidR="008A41F0" w:rsidRPr="003D4B91" w:rsidRDefault="00E50A8F" w:rsidP="008A41F0">
            <w:pPr>
              <w:spacing w:after="0" w:line="240" w:lineRule="auto"/>
              <w:rPr>
                <w:rFonts w:ascii="Aptos" w:eastAsia="Times New Roman" w:hAnsi="Aptos" w:cs="Times New Roman"/>
                <w:color w:val="000000"/>
                <w:kern w:val="0"/>
                <w:sz w:val="16"/>
                <w:szCs w:val="16"/>
                <w:lang w:eastAsia="en-AU"/>
                <w14:ligatures w14:val="none"/>
              </w:rPr>
            </w:pPr>
            <w:proofErr w:type="spellStart"/>
            <w:r w:rsidRPr="003D4B91">
              <w:rPr>
                <w:rFonts w:ascii="Aptos" w:eastAsia="Times New Roman" w:hAnsi="Aptos" w:cs="Times New Roman"/>
                <w:color w:val="000000"/>
                <w:kern w:val="0"/>
                <w:sz w:val="16"/>
                <w:szCs w:val="16"/>
                <w:lang w:eastAsia="en-AU"/>
                <w14:ligatures w14:val="none"/>
              </w:rPr>
              <w:t>Jidanan</w:t>
            </w:r>
            <w:proofErr w:type="spellEnd"/>
            <w:r w:rsidRPr="003D4B91">
              <w:rPr>
                <w:rFonts w:ascii="Aptos" w:eastAsia="Times New Roman" w:hAnsi="Aptos" w:cs="Times New Roman"/>
                <w:color w:val="000000"/>
                <w:kern w:val="0"/>
                <w:sz w:val="16"/>
                <w:szCs w:val="16"/>
                <w:lang w:eastAsia="en-AU"/>
                <w14:ligatures w14:val="none"/>
              </w:rPr>
              <w:t xml:space="preserve"> Kaosaiphun</w:t>
            </w:r>
          </w:p>
        </w:tc>
        <w:tc>
          <w:tcPr>
            <w:tcW w:w="4540" w:type="dxa"/>
            <w:vAlign w:val="bottom"/>
          </w:tcPr>
          <w:p w14:paraId="5CB927F6" w14:textId="299E0E85" w:rsidR="008A41F0" w:rsidRPr="003D4B91" w:rsidRDefault="00E50A8F"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Environmentalist, Professional Level, Environment Department, BMA</w:t>
            </w:r>
          </w:p>
        </w:tc>
        <w:tc>
          <w:tcPr>
            <w:tcW w:w="1140" w:type="dxa"/>
            <w:vAlign w:val="bottom"/>
          </w:tcPr>
          <w:p w14:paraId="463EF2C4" w14:textId="69847ADF" w:rsidR="008A41F0" w:rsidRPr="003D4B91" w:rsidRDefault="008C3790" w:rsidP="008A41F0">
            <w:pPr>
              <w:spacing w:after="0" w:line="240" w:lineRule="auto"/>
              <w:jc w:val="right"/>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6 Nov 2025</w:t>
            </w:r>
          </w:p>
        </w:tc>
      </w:tr>
      <w:tr w:rsidR="008A41F0" w:rsidRPr="003D4B91" w14:paraId="17141BDB" w14:textId="77777777" w:rsidTr="00156392">
        <w:trPr>
          <w:trHeight w:val="285"/>
        </w:trPr>
        <w:tc>
          <w:tcPr>
            <w:tcW w:w="1120" w:type="dxa"/>
            <w:vAlign w:val="bottom"/>
          </w:tcPr>
          <w:p w14:paraId="6B89B352" w14:textId="0070E905" w:rsidR="008A41F0" w:rsidRPr="003D4B91" w:rsidRDefault="008C3790"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Thailand</w:t>
            </w:r>
          </w:p>
        </w:tc>
        <w:tc>
          <w:tcPr>
            <w:tcW w:w="1900" w:type="dxa"/>
            <w:vAlign w:val="bottom"/>
          </w:tcPr>
          <w:p w14:paraId="1CB14B99" w14:textId="468DE202" w:rsidR="008A41F0" w:rsidRPr="003D4B91" w:rsidRDefault="00E50A8F" w:rsidP="008A41F0">
            <w:pPr>
              <w:spacing w:after="0" w:line="240" w:lineRule="auto"/>
              <w:rPr>
                <w:rFonts w:ascii="Aptos" w:eastAsia="Times New Roman" w:hAnsi="Aptos" w:cs="Times New Roman"/>
                <w:color w:val="000000"/>
                <w:kern w:val="0"/>
                <w:sz w:val="16"/>
                <w:szCs w:val="16"/>
                <w:lang w:eastAsia="en-AU"/>
                <w14:ligatures w14:val="none"/>
              </w:rPr>
            </w:pPr>
            <w:proofErr w:type="spellStart"/>
            <w:r w:rsidRPr="003D4B91">
              <w:rPr>
                <w:rFonts w:ascii="Aptos" w:eastAsia="Times New Roman" w:hAnsi="Aptos" w:cs="Times New Roman"/>
                <w:color w:val="000000"/>
                <w:kern w:val="0"/>
                <w:sz w:val="16"/>
                <w:szCs w:val="16"/>
                <w:lang w:eastAsia="en-AU"/>
                <w14:ligatures w14:val="none"/>
              </w:rPr>
              <w:t>Napatsorn</w:t>
            </w:r>
            <w:proofErr w:type="spellEnd"/>
            <w:r w:rsidRPr="003D4B91">
              <w:rPr>
                <w:rFonts w:ascii="Aptos" w:eastAsia="Times New Roman" w:hAnsi="Aptos" w:cs="Times New Roman"/>
                <w:color w:val="000000"/>
                <w:kern w:val="0"/>
                <w:sz w:val="16"/>
                <w:szCs w:val="16"/>
                <w:lang w:eastAsia="en-AU"/>
                <w14:ligatures w14:val="none"/>
              </w:rPr>
              <w:t xml:space="preserve"> </w:t>
            </w:r>
            <w:proofErr w:type="spellStart"/>
            <w:r w:rsidRPr="003D4B91">
              <w:rPr>
                <w:rFonts w:ascii="Aptos" w:eastAsia="Times New Roman" w:hAnsi="Aptos" w:cs="Times New Roman"/>
                <w:color w:val="000000"/>
                <w:kern w:val="0"/>
                <w:sz w:val="16"/>
                <w:szCs w:val="16"/>
                <w:lang w:eastAsia="en-AU"/>
                <w14:ligatures w14:val="none"/>
              </w:rPr>
              <w:t>Somkhaoyai</w:t>
            </w:r>
            <w:proofErr w:type="spellEnd"/>
          </w:p>
        </w:tc>
        <w:tc>
          <w:tcPr>
            <w:tcW w:w="4540" w:type="dxa"/>
            <w:vAlign w:val="bottom"/>
          </w:tcPr>
          <w:p w14:paraId="58ADFB55" w14:textId="472016DC" w:rsidR="008A41F0" w:rsidRPr="003D4B91" w:rsidRDefault="00E50A8F"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Environmentalist, Practitioner Level, Environment Department, BMA</w:t>
            </w:r>
          </w:p>
        </w:tc>
        <w:tc>
          <w:tcPr>
            <w:tcW w:w="1140" w:type="dxa"/>
            <w:vAlign w:val="bottom"/>
          </w:tcPr>
          <w:p w14:paraId="258FC20C" w14:textId="61203E71" w:rsidR="008A41F0" w:rsidRPr="003D4B91" w:rsidRDefault="008C3790" w:rsidP="008A41F0">
            <w:pPr>
              <w:spacing w:after="0" w:line="240" w:lineRule="auto"/>
              <w:jc w:val="right"/>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6 Nov 2025</w:t>
            </w:r>
          </w:p>
        </w:tc>
      </w:tr>
      <w:tr w:rsidR="008A41F0" w:rsidRPr="003D4B91" w14:paraId="5F687989" w14:textId="77777777" w:rsidTr="00156392">
        <w:trPr>
          <w:trHeight w:val="285"/>
        </w:trPr>
        <w:tc>
          <w:tcPr>
            <w:tcW w:w="1120" w:type="dxa"/>
            <w:vAlign w:val="bottom"/>
          </w:tcPr>
          <w:p w14:paraId="797D5DB2" w14:textId="70A64052" w:rsidR="008A41F0" w:rsidRPr="003D4B91" w:rsidRDefault="008C3790"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Thailand</w:t>
            </w:r>
          </w:p>
        </w:tc>
        <w:tc>
          <w:tcPr>
            <w:tcW w:w="1900" w:type="dxa"/>
            <w:vAlign w:val="bottom"/>
          </w:tcPr>
          <w:p w14:paraId="59807E42" w14:textId="7B31CF4E" w:rsidR="008A41F0" w:rsidRPr="003D4B91" w:rsidRDefault="00E50A8F"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Narongsak</w:t>
            </w:r>
            <w:r w:rsidR="008C3790" w:rsidRPr="003D4B91">
              <w:rPr>
                <w:rFonts w:ascii="Aptos" w:eastAsia="Times New Roman" w:hAnsi="Aptos" w:cs="Times New Roman"/>
                <w:color w:val="000000"/>
                <w:kern w:val="0"/>
                <w:sz w:val="16"/>
                <w:szCs w:val="16"/>
                <w:lang w:eastAsia="en-AU"/>
                <w14:ligatures w14:val="none"/>
              </w:rPr>
              <w:t xml:space="preserve"> Haewprakhon</w:t>
            </w:r>
          </w:p>
        </w:tc>
        <w:tc>
          <w:tcPr>
            <w:tcW w:w="4540" w:type="dxa"/>
            <w:vAlign w:val="bottom"/>
          </w:tcPr>
          <w:p w14:paraId="317888E9" w14:textId="5E203B99" w:rsidR="008A41F0" w:rsidRPr="003D4B91" w:rsidRDefault="008C3790"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Environmentalist, Practitioner Level, Environment Department, BMA</w:t>
            </w:r>
          </w:p>
        </w:tc>
        <w:tc>
          <w:tcPr>
            <w:tcW w:w="1140" w:type="dxa"/>
            <w:vAlign w:val="bottom"/>
          </w:tcPr>
          <w:p w14:paraId="782931CD" w14:textId="3B4F2367" w:rsidR="008A41F0" w:rsidRPr="003D4B91" w:rsidRDefault="008C3790" w:rsidP="008A41F0">
            <w:pPr>
              <w:spacing w:after="0" w:line="240" w:lineRule="auto"/>
              <w:jc w:val="right"/>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6 Nov 2025</w:t>
            </w:r>
          </w:p>
        </w:tc>
      </w:tr>
      <w:tr w:rsidR="008A41F0" w:rsidRPr="003D4B91" w14:paraId="71CB42D6" w14:textId="77777777" w:rsidTr="00156392">
        <w:trPr>
          <w:trHeight w:val="285"/>
        </w:trPr>
        <w:tc>
          <w:tcPr>
            <w:tcW w:w="1120" w:type="dxa"/>
            <w:vAlign w:val="bottom"/>
          </w:tcPr>
          <w:p w14:paraId="460B648C" w14:textId="36C5A426" w:rsidR="008A41F0" w:rsidRPr="003D4B91" w:rsidRDefault="008C3790"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Thailand</w:t>
            </w:r>
          </w:p>
        </w:tc>
        <w:tc>
          <w:tcPr>
            <w:tcW w:w="1900" w:type="dxa"/>
            <w:vAlign w:val="bottom"/>
          </w:tcPr>
          <w:p w14:paraId="3E1D184A" w14:textId="2B2DA0E8" w:rsidR="008A41F0" w:rsidRPr="003D4B91" w:rsidRDefault="008C3790" w:rsidP="008A41F0">
            <w:pPr>
              <w:spacing w:after="0" w:line="240" w:lineRule="auto"/>
              <w:rPr>
                <w:rFonts w:ascii="Aptos" w:eastAsia="Times New Roman" w:hAnsi="Aptos" w:cs="Times New Roman"/>
                <w:color w:val="000000"/>
                <w:kern w:val="0"/>
                <w:sz w:val="16"/>
                <w:szCs w:val="16"/>
                <w:lang w:eastAsia="en-AU"/>
                <w14:ligatures w14:val="none"/>
              </w:rPr>
            </w:pPr>
            <w:proofErr w:type="spellStart"/>
            <w:r w:rsidRPr="003D4B91">
              <w:rPr>
                <w:rFonts w:ascii="Aptos" w:eastAsia="Times New Roman" w:hAnsi="Aptos" w:cs="Times New Roman"/>
                <w:color w:val="000000"/>
                <w:kern w:val="0"/>
                <w:sz w:val="16"/>
                <w:szCs w:val="16"/>
                <w:lang w:eastAsia="en-AU"/>
                <w14:ligatures w14:val="none"/>
              </w:rPr>
              <w:t>Chulalack</w:t>
            </w:r>
            <w:proofErr w:type="spellEnd"/>
            <w:r w:rsidRPr="003D4B91">
              <w:rPr>
                <w:rFonts w:ascii="Aptos" w:eastAsia="Times New Roman" w:hAnsi="Aptos" w:cs="Times New Roman"/>
                <w:color w:val="000000"/>
                <w:kern w:val="0"/>
                <w:sz w:val="16"/>
                <w:szCs w:val="16"/>
                <w:lang w:eastAsia="en-AU"/>
                <w14:ligatures w14:val="none"/>
              </w:rPr>
              <w:t xml:space="preserve"> </w:t>
            </w:r>
            <w:proofErr w:type="spellStart"/>
            <w:r w:rsidRPr="003D4B91">
              <w:rPr>
                <w:rFonts w:ascii="Aptos" w:eastAsia="Times New Roman" w:hAnsi="Aptos" w:cs="Times New Roman"/>
                <w:color w:val="000000"/>
                <w:kern w:val="0"/>
                <w:sz w:val="16"/>
                <w:szCs w:val="16"/>
                <w:lang w:eastAsia="en-AU"/>
                <w14:ligatures w14:val="none"/>
              </w:rPr>
              <w:t>Sitthichoptham</w:t>
            </w:r>
            <w:proofErr w:type="spellEnd"/>
          </w:p>
        </w:tc>
        <w:tc>
          <w:tcPr>
            <w:tcW w:w="4540" w:type="dxa"/>
            <w:vAlign w:val="bottom"/>
          </w:tcPr>
          <w:p w14:paraId="7D39A905" w14:textId="3DD0C8C6" w:rsidR="008A41F0" w:rsidRPr="003D4B91" w:rsidRDefault="008C3790"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Agricultural Technical Officer, Practitioner Level, Environment Department, BMA</w:t>
            </w:r>
          </w:p>
        </w:tc>
        <w:tc>
          <w:tcPr>
            <w:tcW w:w="1140" w:type="dxa"/>
            <w:vAlign w:val="bottom"/>
          </w:tcPr>
          <w:p w14:paraId="2816125D" w14:textId="44F11A0D" w:rsidR="008A41F0" w:rsidRPr="003D4B91" w:rsidRDefault="008C3790" w:rsidP="008A41F0">
            <w:pPr>
              <w:spacing w:after="0" w:line="240" w:lineRule="auto"/>
              <w:jc w:val="right"/>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6 Nov 2025</w:t>
            </w:r>
          </w:p>
        </w:tc>
      </w:tr>
      <w:tr w:rsidR="008A41F0" w:rsidRPr="003D4B91" w14:paraId="2BDFF592" w14:textId="77777777" w:rsidTr="00156392">
        <w:trPr>
          <w:trHeight w:val="285"/>
        </w:trPr>
        <w:tc>
          <w:tcPr>
            <w:tcW w:w="1120" w:type="dxa"/>
            <w:vAlign w:val="bottom"/>
          </w:tcPr>
          <w:p w14:paraId="1DD00FC5" w14:textId="06CA3E27" w:rsidR="008A41F0" w:rsidRPr="003D4B91" w:rsidRDefault="008C3790"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Thailand</w:t>
            </w:r>
          </w:p>
        </w:tc>
        <w:tc>
          <w:tcPr>
            <w:tcW w:w="1900" w:type="dxa"/>
            <w:vAlign w:val="bottom"/>
          </w:tcPr>
          <w:p w14:paraId="51F9AE24" w14:textId="6B1BE958" w:rsidR="008A41F0" w:rsidRPr="003D4B91" w:rsidRDefault="008C3790" w:rsidP="008A41F0">
            <w:pPr>
              <w:spacing w:after="0" w:line="240" w:lineRule="auto"/>
              <w:rPr>
                <w:rFonts w:ascii="Aptos" w:eastAsia="Times New Roman" w:hAnsi="Aptos" w:cs="Times New Roman"/>
                <w:color w:val="000000"/>
                <w:kern w:val="0"/>
                <w:sz w:val="16"/>
                <w:szCs w:val="16"/>
                <w:lang w:eastAsia="en-AU"/>
                <w14:ligatures w14:val="none"/>
              </w:rPr>
            </w:pPr>
            <w:proofErr w:type="spellStart"/>
            <w:r w:rsidRPr="003D4B91">
              <w:rPr>
                <w:rFonts w:ascii="Aptos" w:eastAsia="Times New Roman" w:hAnsi="Aptos" w:cs="Times New Roman"/>
                <w:color w:val="000000"/>
                <w:kern w:val="0"/>
                <w:sz w:val="16"/>
                <w:szCs w:val="16"/>
                <w:lang w:eastAsia="en-AU"/>
                <w14:ligatures w14:val="none"/>
              </w:rPr>
              <w:t>Hathairat</w:t>
            </w:r>
            <w:proofErr w:type="spellEnd"/>
            <w:r w:rsidRPr="003D4B91">
              <w:rPr>
                <w:rFonts w:ascii="Aptos" w:eastAsia="Times New Roman" w:hAnsi="Aptos" w:cs="Times New Roman"/>
                <w:color w:val="000000"/>
                <w:kern w:val="0"/>
                <w:sz w:val="16"/>
                <w:szCs w:val="16"/>
                <w:lang w:eastAsia="en-AU"/>
                <w14:ligatures w14:val="none"/>
              </w:rPr>
              <w:t xml:space="preserve"> </w:t>
            </w:r>
            <w:proofErr w:type="spellStart"/>
            <w:r w:rsidRPr="003D4B91">
              <w:rPr>
                <w:rFonts w:ascii="Aptos" w:eastAsia="Times New Roman" w:hAnsi="Aptos" w:cs="Times New Roman"/>
                <w:color w:val="000000"/>
                <w:kern w:val="0"/>
                <w:sz w:val="16"/>
                <w:szCs w:val="16"/>
                <w:lang w:eastAsia="en-AU"/>
                <w14:ligatures w14:val="none"/>
              </w:rPr>
              <w:t>Suntudprom</w:t>
            </w:r>
            <w:proofErr w:type="spellEnd"/>
          </w:p>
        </w:tc>
        <w:tc>
          <w:tcPr>
            <w:tcW w:w="4540" w:type="dxa"/>
            <w:vAlign w:val="bottom"/>
          </w:tcPr>
          <w:p w14:paraId="729A700B" w14:textId="296624D9" w:rsidR="008A41F0" w:rsidRPr="003D4B91" w:rsidRDefault="008C3790"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Environmentalist, Professional Level, Environment Department, BMA</w:t>
            </w:r>
          </w:p>
        </w:tc>
        <w:tc>
          <w:tcPr>
            <w:tcW w:w="1140" w:type="dxa"/>
            <w:vAlign w:val="bottom"/>
          </w:tcPr>
          <w:p w14:paraId="29C95573" w14:textId="731E20CE" w:rsidR="008A41F0" w:rsidRPr="003D4B91" w:rsidRDefault="008C3790" w:rsidP="008A41F0">
            <w:pPr>
              <w:spacing w:after="0" w:line="240" w:lineRule="auto"/>
              <w:jc w:val="right"/>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6 Nov 2025</w:t>
            </w:r>
          </w:p>
        </w:tc>
      </w:tr>
      <w:tr w:rsidR="008A41F0" w:rsidRPr="003D4B91" w14:paraId="3C9BA497" w14:textId="77777777" w:rsidTr="00156392">
        <w:trPr>
          <w:trHeight w:val="285"/>
        </w:trPr>
        <w:tc>
          <w:tcPr>
            <w:tcW w:w="1120" w:type="dxa"/>
            <w:vAlign w:val="bottom"/>
          </w:tcPr>
          <w:p w14:paraId="49DC9EE1" w14:textId="56CFB547" w:rsidR="008A41F0" w:rsidRPr="003D4B91" w:rsidRDefault="008C3790"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Thailand</w:t>
            </w:r>
          </w:p>
        </w:tc>
        <w:tc>
          <w:tcPr>
            <w:tcW w:w="1900" w:type="dxa"/>
            <w:vAlign w:val="bottom"/>
          </w:tcPr>
          <w:p w14:paraId="2FC80A76" w14:textId="6B6BC921" w:rsidR="008A41F0" w:rsidRPr="003D4B91" w:rsidRDefault="008C3790" w:rsidP="008A41F0">
            <w:pPr>
              <w:spacing w:after="0" w:line="240" w:lineRule="auto"/>
              <w:rPr>
                <w:rFonts w:ascii="Aptos" w:eastAsia="Times New Roman" w:hAnsi="Aptos" w:cs="Times New Roman"/>
                <w:color w:val="000000"/>
                <w:kern w:val="0"/>
                <w:sz w:val="16"/>
                <w:szCs w:val="16"/>
                <w:lang w:eastAsia="en-AU"/>
                <w14:ligatures w14:val="none"/>
              </w:rPr>
            </w:pPr>
            <w:proofErr w:type="spellStart"/>
            <w:r w:rsidRPr="003D4B91">
              <w:rPr>
                <w:rFonts w:ascii="Aptos" w:eastAsia="Times New Roman" w:hAnsi="Aptos" w:cs="Times New Roman"/>
                <w:color w:val="000000"/>
                <w:kern w:val="0"/>
                <w:sz w:val="16"/>
                <w:szCs w:val="16"/>
                <w:lang w:eastAsia="en-AU"/>
                <w14:ligatures w14:val="none"/>
              </w:rPr>
              <w:t>Supanat</w:t>
            </w:r>
            <w:proofErr w:type="spellEnd"/>
            <w:r w:rsidRPr="003D4B91">
              <w:rPr>
                <w:rFonts w:ascii="Aptos" w:eastAsia="Times New Roman" w:hAnsi="Aptos" w:cs="Times New Roman"/>
                <w:color w:val="000000"/>
                <w:kern w:val="0"/>
                <w:sz w:val="16"/>
                <w:szCs w:val="16"/>
                <w:lang w:eastAsia="en-AU"/>
                <w14:ligatures w14:val="none"/>
              </w:rPr>
              <w:t xml:space="preserve"> </w:t>
            </w:r>
            <w:proofErr w:type="spellStart"/>
            <w:r w:rsidRPr="003D4B91">
              <w:rPr>
                <w:rFonts w:ascii="Aptos" w:eastAsia="Times New Roman" w:hAnsi="Aptos" w:cs="Times New Roman"/>
                <w:color w:val="000000"/>
                <w:kern w:val="0"/>
                <w:sz w:val="16"/>
                <w:szCs w:val="16"/>
                <w:lang w:eastAsia="en-AU"/>
                <w14:ligatures w14:val="none"/>
              </w:rPr>
              <w:t>Lupkittaro</w:t>
            </w:r>
            <w:proofErr w:type="spellEnd"/>
          </w:p>
        </w:tc>
        <w:tc>
          <w:tcPr>
            <w:tcW w:w="4540" w:type="dxa"/>
            <w:vAlign w:val="bottom"/>
          </w:tcPr>
          <w:p w14:paraId="284619D9" w14:textId="02EC494F" w:rsidR="008A41F0" w:rsidRPr="003D4B91" w:rsidRDefault="008C3790"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Mechanical Engineer, Practitioner Level, Environment Department, BMA</w:t>
            </w:r>
          </w:p>
        </w:tc>
        <w:tc>
          <w:tcPr>
            <w:tcW w:w="1140" w:type="dxa"/>
            <w:vAlign w:val="bottom"/>
          </w:tcPr>
          <w:p w14:paraId="245A7087" w14:textId="6960BD70" w:rsidR="008A41F0" w:rsidRPr="003D4B91" w:rsidRDefault="008C3790" w:rsidP="008A41F0">
            <w:pPr>
              <w:spacing w:after="0" w:line="240" w:lineRule="auto"/>
              <w:jc w:val="right"/>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6 Nov 2025</w:t>
            </w:r>
          </w:p>
        </w:tc>
      </w:tr>
      <w:tr w:rsidR="008A41F0" w:rsidRPr="003D4B91" w14:paraId="2D988D8F" w14:textId="77777777" w:rsidTr="00156392">
        <w:trPr>
          <w:trHeight w:val="285"/>
        </w:trPr>
        <w:tc>
          <w:tcPr>
            <w:tcW w:w="1120" w:type="dxa"/>
            <w:vAlign w:val="bottom"/>
          </w:tcPr>
          <w:p w14:paraId="3A05FB83" w14:textId="51A40CC5" w:rsidR="008A41F0" w:rsidRPr="003D4B91" w:rsidRDefault="008C3790"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Thailand</w:t>
            </w:r>
          </w:p>
        </w:tc>
        <w:tc>
          <w:tcPr>
            <w:tcW w:w="1900" w:type="dxa"/>
            <w:vAlign w:val="bottom"/>
          </w:tcPr>
          <w:p w14:paraId="128EB572" w14:textId="1B306833" w:rsidR="008A41F0" w:rsidRPr="003D4B91" w:rsidRDefault="008C3790" w:rsidP="008A41F0">
            <w:pPr>
              <w:spacing w:after="0" w:line="240" w:lineRule="auto"/>
              <w:rPr>
                <w:rFonts w:ascii="Aptos" w:eastAsia="Times New Roman" w:hAnsi="Aptos" w:cs="Times New Roman"/>
                <w:color w:val="000000"/>
                <w:kern w:val="0"/>
                <w:sz w:val="16"/>
                <w:szCs w:val="16"/>
                <w:lang w:eastAsia="en-AU"/>
                <w14:ligatures w14:val="none"/>
              </w:rPr>
            </w:pPr>
            <w:proofErr w:type="spellStart"/>
            <w:r w:rsidRPr="003D4B91">
              <w:rPr>
                <w:rFonts w:ascii="Aptos" w:eastAsia="Times New Roman" w:hAnsi="Aptos" w:cs="Times New Roman"/>
                <w:color w:val="000000"/>
                <w:kern w:val="0"/>
                <w:sz w:val="16"/>
                <w:szCs w:val="16"/>
                <w:lang w:eastAsia="en-AU"/>
                <w14:ligatures w14:val="none"/>
              </w:rPr>
              <w:t>Pongsatorn</w:t>
            </w:r>
            <w:proofErr w:type="spellEnd"/>
            <w:r w:rsidRPr="003D4B91">
              <w:rPr>
                <w:rFonts w:ascii="Aptos" w:eastAsia="Times New Roman" w:hAnsi="Aptos" w:cs="Times New Roman"/>
                <w:color w:val="000000"/>
                <w:kern w:val="0"/>
                <w:sz w:val="16"/>
                <w:szCs w:val="16"/>
                <w:lang w:eastAsia="en-AU"/>
                <w14:ligatures w14:val="none"/>
              </w:rPr>
              <w:t xml:space="preserve"> </w:t>
            </w:r>
            <w:proofErr w:type="spellStart"/>
            <w:r w:rsidRPr="003D4B91">
              <w:rPr>
                <w:rFonts w:ascii="Aptos" w:eastAsia="Times New Roman" w:hAnsi="Aptos" w:cs="Times New Roman"/>
                <w:color w:val="000000"/>
                <w:kern w:val="0"/>
                <w:sz w:val="16"/>
                <w:szCs w:val="16"/>
                <w:lang w:eastAsia="en-AU"/>
                <w14:ligatures w14:val="none"/>
              </w:rPr>
              <w:t>Kamsaen</w:t>
            </w:r>
            <w:proofErr w:type="spellEnd"/>
          </w:p>
        </w:tc>
        <w:tc>
          <w:tcPr>
            <w:tcW w:w="4540" w:type="dxa"/>
            <w:vAlign w:val="bottom"/>
          </w:tcPr>
          <w:p w14:paraId="07D39CA0" w14:textId="6BCDDC04" w:rsidR="008A41F0" w:rsidRPr="003D4B91" w:rsidRDefault="008C3790"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Civil Engineer, Drainage and Sewerage Department, BMA</w:t>
            </w:r>
          </w:p>
        </w:tc>
        <w:tc>
          <w:tcPr>
            <w:tcW w:w="1140" w:type="dxa"/>
            <w:vAlign w:val="bottom"/>
          </w:tcPr>
          <w:p w14:paraId="5C2C612B" w14:textId="14D47145" w:rsidR="008A41F0" w:rsidRPr="003D4B91" w:rsidRDefault="008C3790" w:rsidP="008A41F0">
            <w:pPr>
              <w:spacing w:after="0" w:line="240" w:lineRule="auto"/>
              <w:jc w:val="right"/>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6 Nov 2025</w:t>
            </w:r>
          </w:p>
        </w:tc>
      </w:tr>
      <w:tr w:rsidR="008A41F0" w:rsidRPr="003D4B91" w14:paraId="4777EB2E" w14:textId="77777777" w:rsidTr="00156392">
        <w:trPr>
          <w:trHeight w:val="285"/>
        </w:trPr>
        <w:tc>
          <w:tcPr>
            <w:tcW w:w="1120" w:type="dxa"/>
            <w:vAlign w:val="bottom"/>
          </w:tcPr>
          <w:p w14:paraId="507B5FBF" w14:textId="729DC303" w:rsidR="008A41F0" w:rsidRPr="003D4B91" w:rsidRDefault="008C3790"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Thailand</w:t>
            </w:r>
          </w:p>
        </w:tc>
        <w:tc>
          <w:tcPr>
            <w:tcW w:w="1900" w:type="dxa"/>
            <w:vAlign w:val="bottom"/>
          </w:tcPr>
          <w:p w14:paraId="2814F017" w14:textId="57B9233C" w:rsidR="008A41F0" w:rsidRPr="003D4B91" w:rsidRDefault="008C3790" w:rsidP="008A41F0">
            <w:pPr>
              <w:spacing w:after="0" w:line="240" w:lineRule="auto"/>
              <w:rPr>
                <w:rFonts w:ascii="Aptos" w:eastAsia="Times New Roman" w:hAnsi="Aptos" w:cs="Times New Roman"/>
                <w:color w:val="000000"/>
                <w:kern w:val="0"/>
                <w:sz w:val="16"/>
                <w:szCs w:val="16"/>
                <w:lang w:eastAsia="en-AU"/>
                <w14:ligatures w14:val="none"/>
              </w:rPr>
            </w:pPr>
            <w:proofErr w:type="spellStart"/>
            <w:r w:rsidRPr="003D4B91">
              <w:rPr>
                <w:rFonts w:ascii="Aptos" w:eastAsia="Times New Roman" w:hAnsi="Aptos" w:cs="Times New Roman"/>
                <w:color w:val="000000"/>
                <w:kern w:val="0"/>
                <w:sz w:val="16"/>
                <w:szCs w:val="16"/>
                <w:lang w:eastAsia="en-AU"/>
                <w14:ligatures w14:val="none"/>
              </w:rPr>
              <w:t>Thanakorn</w:t>
            </w:r>
            <w:proofErr w:type="spellEnd"/>
            <w:r w:rsidRPr="003D4B91">
              <w:rPr>
                <w:rFonts w:ascii="Aptos" w:eastAsia="Times New Roman" w:hAnsi="Aptos" w:cs="Times New Roman"/>
                <w:color w:val="000000"/>
                <w:kern w:val="0"/>
                <w:sz w:val="16"/>
                <w:szCs w:val="16"/>
                <w:lang w:eastAsia="en-AU"/>
                <w14:ligatures w14:val="none"/>
              </w:rPr>
              <w:t xml:space="preserve"> Bunlue</w:t>
            </w:r>
          </w:p>
        </w:tc>
        <w:tc>
          <w:tcPr>
            <w:tcW w:w="4540" w:type="dxa"/>
            <w:vAlign w:val="bottom"/>
          </w:tcPr>
          <w:p w14:paraId="464B63B1" w14:textId="51D0AF44" w:rsidR="008A41F0" w:rsidRPr="003D4B91" w:rsidRDefault="008C3790"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Civil Engineer, Drainage and Sewerage Department, BMA</w:t>
            </w:r>
          </w:p>
        </w:tc>
        <w:tc>
          <w:tcPr>
            <w:tcW w:w="1140" w:type="dxa"/>
            <w:vAlign w:val="bottom"/>
          </w:tcPr>
          <w:p w14:paraId="553C6620" w14:textId="3B270F70" w:rsidR="008A41F0" w:rsidRPr="003D4B91" w:rsidRDefault="008C3790" w:rsidP="008A41F0">
            <w:pPr>
              <w:spacing w:after="0" w:line="240" w:lineRule="auto"/>
              <w:jc w:val="right"/>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6 Nov 2025</w:t>
            </w:r>
          </w:p>
        </w:tc>
      </w:tr>
      <w:tr w:rsidR="008A41F0" w:rsidRPr="003D4B91" w14:paraId="236EE9A8" w14:textId="77777777" w:rsidTr="00156392">
        <w:trPr>
          <w:trHeight w:val="285"/>
        </w:trPr>
        <w:tc>
          <w:tcPr>
            <w:tcW w:w="1120" w:type="dxa"/>
            <w:vAlign w:val="bottom"/>
          </w:tcPr>
          <w:p w14:paraId="2D694646" w14:textId="451141A3" w:rsidR="008A41F0" w:rsidRPr="003D4B91" w:rsidRDefault="008C3790"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Thailand</w:t>
            </w:r>
          </w:p>
        </w:tc>
        <w:tc>
          <w:tcPr>
            <w:tcW w:w="1900" w:type="dxa"/>
            <w:vAlign w:val="bottom"/>
          </w:tcPr>
          <w:p w14:paraId="3AB9B7DB" w14:textId="3323AB82" w:rsidR="008A41F0" w:rsidRPr="003D4B91" w:rsidRDefault="008C3790" w:rsidP="008A41F0">
            <w:pPr>
              <w:spacing w:after="0" w:line="240" w:lineRule="auto"/>
              <w:rPr>
                <w:rFonts w:ascii="Aptos" w:eastAsia="Times New Roman" w:hAnsi="Aptos" w:cs="Times New Roman"/>
                <w:color w:val="000000"/>
                <w:kern w:val="0"/>
                <w:sz w:val="16"/>
                <w:szCs w:val="16"/>
                <w:lang w:eastAsia="en-AU"/>
                <w14:ligatures w14:val="none"/>
              </w:rPr>
            </w:pPr>
            <w:proofErr w:type="spellStart"/>
            <w:r w:rsidRPr="003D4B91">
              <w:rPr>
                <w:rFonts w:ascii="Aptos" w:eastAsia="Times New Roman" w:hAnsi="Aptos" w:cs="Times New Roman"/>
                <w:color w:val="000000"/>
                <w:kern w:val="0"/>
                <w:sz w:val="16"/>
                <w:szCs w:val="16"/>
                <w:lang w:eastAsia="en-AU"/>
                <w14:ligatures w14:val="none"/>
              </w:rPr>
              <w:t>Phorsuree</w:t>
            </w:r>
            <w:proofErr w:type="spellEnd"/>
            <w:r w:rsidRPr="003D4B91">
              <w:rPr>
                <w:rFonts w:ascii="Aptos" w:eastAsia="Times New Roman" w:hAnsi="Aptos" w:cs="Times New Roman"/>
                <w:color w:val="000000"/>
                <w:kern w:val="0"/>
                <w:sz w:val="16"/>
                <w:szCs w:val="16"/>
                <w:lang w:eastAsia="en-AU"/>
                <w14:ligatures w14:val="none"/>
              </w:rPr>
              <w:t xml:space="preserve"> </w:t>
            </w:r>
            <w:proofErr w:type="spellStart"/>
            <w:r w:rsidRPr="003D4B91">
              <w:rPr>
                <w:rFonts w:ascii="Aptos" w:eastAsia="Times New Roman" w:hAnsi="Aptos" w:cs="Times New Roman"/>
                <w:color w:val="000000"/>
                <w:kern w:val="0"/>
                <w:sz w:val="16"/>
                <w:szCs w:val="16"/>
                <w:lang w:eastAsia="en-AU"/>
                <w14:ligatures w14:val="none"/>
              </w:rPr>
              <w:t>Srimeechai</w:t>
            </w:r>
            <w:proofErr w:type="spellEnd"/>
          </w:p>
        </w:tc>
        <w:tc>
          <w:tcPr>
            <w:tcW w:w="4540" w:type="dxa"/>
            <w:vAlign w:val="bottom"/>
          </w:tcPr>
          <w:p w14:paraId="01CF30E4" w14:textId="3681D2AD" w:rsidR="008A41F0" w:rsidRPr="003D4B91" w:rsidRDefault="008C3790"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Civil Engineer, Drainage and Sewerage Department, BMA</w:t>
            </w:r>
          </w:p>
        </w:tc>
        <w:tc>
          <w:tcPr>
            <w:tcW w:w="1140" w:type="dxa"/>
            <w:vAlign w:val="bottom"/>
          </w:tcPr>
          <w:p w14:paraId="049356A0" w14:textId="4457DCAD" w:rsidR="008A41F0" w:rsidRPr="003D4B91" w:rsidRDefault="008C3790" w:rsidP="008A41F0">
            <w:pPr>
              <w:spacing w:after="0" w:line="240" w:lineRule="auto"/>
              <w:jc w:val="right"/>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6 Nov 2025</w:t>
            </w:r>
          </w:p>
        </w:tc>
      </w:tr>
      <w:tr w:rsidR="008A41F0" w:rsidRPr="003D4B91" w14:paraId="0A3BB33C" w14:textId="77777777" w:rsidTr="00156392">
        <w:trPr>
          <w:trHeight w:val="285"/>
        </w:trPr>
        <w:tc>
          <w:tcPr>
            <w:tcW w:w="1120" w:type="dxa"/>
            <w:vAlign w:val="bottom"/>
          </w:tcPr>
          <w:p w14:paraId="71069EF8" w14:textId="201EE6C3" w:rsidR="008A41F0" w:rsidRPr="003D4B91" w:rsidRDefault="008C3790"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Thailand</w:t>
            </w:r>
          </w:p>
        </w:tc>
        <w:tc>
          <w:tcPr>
            <w:tcW w:w="1900" w:type="dxa"/>
            <w:vAlign w:val="bottom"/>
          </w:tcPr>
          <w:p w14:paraId="260D95F4" w14:textId="4D15A633" w:rsidR="008A41F0" w:rsidRPr="003D4B91" w:rsidRDefault="008C3790" w:rsidP="008A41F0">
            <w:pPr>
              <w:spacing w:after="0" w:line="240" w:lineRule="auto"/>
              <w:rPr>
                <w:rFonts w:ascii="Aptos" w:eastAsia="Times New Roman" w:hAnsi="Aptos" w:cs="Times New Roman"/>
                <w:color w:val="000000"/>
                <w:kern w:val="0"/>
                <w:sz w:val="16"/>
                <w:szCs w:val="16"/>
                <w:lang w:eastAsia="en-AU"/>
                <w14:ligatures w14:val="none"/>
              </w:rPr>
            </w:pPr>
            <w:proofErr w:type="spellStart"/>
            <w:r w:rsidRPr="003D4B91">
              <w:rPr>
                <w:rFonts w:ascii="Aptos" w:eastAsia="Times New Roman" w:hAnsi="Aptos" w:cs="Times New Roman"/>
                <w:color w:val="000000"/>
                <w:kern w:val="0"/>
                <w:sz w:val="16"/>
                <w:szCs w:val="16"/>
                <w:lang w:eastAsia="en-AU"/>
                <w14:ligatures w14:val="none"/>
              </w:rPr>
              <w:t>Jarupong</w:t>
            </w:r>
            <w:proofErr w:type="spellEnd"/>
            <w:r w:rsidRPr="003D4B91">
              <w:rPr>
                <w:rFonts w:ascii="Aptos" w:eastAsia="Times New Roman" w:hAnsi="Aptos" w:cs="Times New Roman"/>
                <w:color w:val="000000"/>
                <w:kern w:val="0"/>
                <w:sz w:val="16"/>
                <w:szCs w:val="16"/>
                <w:lang w:eastAsia="en-AU"/>
                <w14:ligatures w14:val="none"/>
              </w:rPr>
              <w:t xml:space="preserve"> </w:t>
            </w:r>
            <w:proofErr w:type="spellStart"/>
            <w:r w:rsidRPr="003D4B91">
              <w:rPr>
                <w:rFonts w:ascii="Aptos" w:eastAsia="Times New Roman" w:hAnsi="Aptos" w:cs="Times New Roman"/>
                <w:color w:val="000000"/>
                <w:kern w:val="0"/>
                <w:sz w:val="16"/>
                <w:szCs w:val="16"/>
                <w:lang w:eastAsia="en-AU"/>
                <w14:ligatures w14:val="none"/>
              </w:rPr>
              <w:t>Pengglieng</w:t>
            </w:r>
            <w:proofErr w:type="spellEnd"/>
          </w:p>
        </w:tc>
        <w:tc>
          <w:tcPr>
            <w:tcW w:w="4540" w:type="dxa"/>
            <w:vAlign w:val="bottom"/>
          </w:tcPr>
          <w:p w14:paraId="723E8BA0" w14:textId="6F45FC60" w:rsidR="008A41F0" w:rsidRPr="003D4B91" w:rsidRDefault="008C3790"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Director of Planning and City Capacity Promotion Division, International Affairs Office</w:t>
            </w:r>
          </w:p>
        </w:tc>
        <w:tc>
          <w:tcPr>
            <w:tcW w:w="1140" w:type="dxa"/>
            <w:vAlign w:val="bottom"/>
          </w:tcPr>
          <w:p w14:paraId="647F7F18" w14:textId="432918AC" w:rsidR="008A41F0" w:rsidRPr="003D4B91" w:rsidRDefault="008C3790" w:rsidP="008A41F0">
            <w:pPr>
              <w:spacing w:after="0" w:line="240" w:lineRule="auto"/>
              <w:jc w:val="right"/>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6 Nov 2025</w:t>
            </w:r>
          </w:p>
        </w:tc>
      </w:tr>
      <w:tr w:rsidR="008A41F0" w:rsidRPr="003D4B91" w14:paraId="0CBBED58" w14:textId="77777777" w:rsidTr="00156392">
        <w:trPr>
          <w:trHeight w:val="285"/>
        </w:trPr>
        <w:tc>
          <w:tcPr>
            <w:tcW w:w="1120" w:type="dxa"/>
            <w:vAlign w:val="bottom"/>
          </w:tcPr>
          <w:p w14:paraId="2F57AD69" w14:textId="1F349F85" w:rsidR="008A41F0" w:rsidRPr="003D4B91" w:rsidRDefault="008C3790"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Thailand</w:t>
            </w:r>
          </w:p>
        </w:tc>
        <w:tc>
          <w:tcPr>
            <w:tcW w:w="1900" w:type="dxa"/>
            <w:vAlign w:val="bottom"/>
          </w:tcPr>
          <w:p w14:paraId="51A459DA" w14:textId="1E3BD36E" w:rsidR="008A41F0" w:rsidRPr="003D4B91" w:rsidRDefault="008C3790" w:rsidP="008A41F0">
            <w:pPr>
              <w:spacing w:after="0" w:line="240" w:lineRule="auto"/>
              <w:rPr>
                <w:rFonts w:ascii="Aptos" w:eastAsia="Times New Roman" w:hAnsi="Aptos" w:cs="Times New Roman"/>
                <w:color w:val="000000"/>
                <w:kern w:val="0"/>
                <w:sz w:val="16"/>
                <w:szCs w:val="16"/>
                <w:lang w:eastAsia="en-AU"/>
                <w14:ligatures w14:val="none"/>
              </w:rPr>
            </w:pPr>
            <w:proofErr w:type="spellStart"/>
            <w:r w:rsidRPr="003D4B91">
              <w:rPr>
                <w:rFonts w:ascii="Aptos" w:eastAsia="Times New Roman" w:hAnsi="Aptos" w:cs="Times New Roman"/>
                <w:color w:val="000000"/>
                <w:kern w:val="0"/>
                <w:sz w:val="16"/>
                <w:szCs w:val="16"/>
                <w:lang w:eastAsia="en-AU"/>
                <w14:ligatures w14:val="none"/>
              </w:rPr>
              <w:t>Krongtham</w:t>
            </w:r>
            <w:proofErr w:type="spellEnd"/>
            <w:r w:rsidRPr="003D4B91">
              <w:rPr>
                <w:rFonts w:ascii="Aptos" w:eastAsia="Times New Roman" w:hAnsi="Aptos" w:cs="Times New Roman"/>
                <w:color w:val="000000"/>
                <w:kern w:val="0"/>
                <w:sz w:val="16"/>
                <w:szCs w:val="16"/>
                <w:lang w:eastAsia="en-AU"/>
                <w14:ligatures w14:val="none"/>
              </w:rPr>
              <w:t xml:space="preserve"> </w:t>
            </w:r>
            <w:proofErr w:type="spellStart"/>
            <w:r w:rsidRPr="003D4B91">
              <w:rPr>
                <w:rFonts w:ascii="Aptos" w:eastAsia="Times New Roman" w:hAnsi="Aptos" w:cs="Times New Roman"/>
                <w:color w:val="000000"/>
                <w:kern w:val="0"/>
                <w:sz w:val="16"/>
                <w:szCs w:val="16"/>
                <w:lang w:eastAsia="en-AU"/>
                <w14:ligatures w14:val="none"/>
              </w:rPr>
              <w:t>Neelapaichit</w:t>
            </w:r>
            <w:proofErr w:type="spellEnd"/>
          </w:p>
        </w:tc>
        <w:tc>
          <w:tcPr>
            <w:tcW w:w="4540" w:type="dxa"/>
            <w:vAlign w:val="bottom"/>
          </w:tcPr>
          <w:p w14:paraId="2917EFB1" w14:textId="3BDA40D7" w:rsidR="008A41F0" w:rsidRPr="003D4B91" w:rsidRDefault="008C3790"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Foreign Relations Officer, Professional Level, International Affairs Office</w:t>
            </w:r>
          </w:p>
        </w:tc>
        <w:tc>
          <w:tcPr>
            <w:tcW w:w="1140" w:type="dxa"/>
            <w:vAlign w:val="bottom"/>
          </w:tcPr>
          <w:p w14:paraId="16531792" w14:textId="3F1C3F89" w:rsidR="008A41F0" w:rsidRPr="003D4B91" w:rsidRDefault="008C3790" w:rsidP="008A41F0">
            <w:pPr>
              <w:spacing w:after="0" w:line="240" w:lineRule="auto"/>
              <w:jc w:val="right"/>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6 Nov 2025</w:t>
            </w:r>
          </w:p>
        </w:tc>
      </w:tr>
      <w:tr w:rsidR="008A41F0" w:rsidRPr="003D4B91" w14:paraId="47600DEC" w14:textId="77777777" w:rsidTr="00156392">
        <w:trPr>
          <w:trHeight w:val="285"/>
        </w:trPr>
        <w:tc>
          <w:tcPr>
            <w:tcW w:w="1120" w:type="dxa"/>
            <w:vAlign w:val="bottom"/>
          </w:tcPr>
          <w:p w14:paraId="208D1061" w14:textId="65C7A335" w:rsidR="008A41F0" w:rsidRPr="003D4B91" w:rsidRDefault="008C3790"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Thailand</w:t>
            </w:r>
          </w:p>
        </w:tc>
        <w:tc>
          <w:tcPr>
            <w:tcW w:w="1900" w:type="dxa"/>
            <w:vAlign w:val="bottom"/>
          </w:tcPr>
          <w:p w14:paraId="5EBA10AF" w14:textId="1691D62A" w:rsidR="008A41F0" w:rsidRPr="003D4B91" w:rsidRDefault="008C3790" w:rsidP="008A41F0">
            <w:pPr>
              <w:spacing w:after="0" w:line="240" w:lineRule="auto"/>
              <w:rPr>
                <w:rFonts w:ascii="Aptos" w:eastAsia="Times New Roman" w:hAnsi="Aptos" w:cs="Times New Roman"/>
                <w:color w:val="000000"/>
                <w:kern w:val="0"/>
                <w:sz w:val="16"/>
                <w:szCs w:val="16"/>
                <w:lang w:eastAsia="en-AU"/>
                <w14:ligatures w14:val="none"/>
              </w:rPr>
            </w:pPr>
            <w:proofErr w:type="spellStart"/>
            <w:r w:rsidRPr="003D4B91">
              <w:rPr>
                <w:rFonts w:ascii="Aptos" w:eastAsia="Times New Roman" w:hAnsi="Aptos" w:cs="Times New Roman"/>
                <w:color w:val="000000"/>
                <w:kern w:val="0"/>
                <w:sz w:val="16"/>
                <w:szCs w:val="16"/>
                <w:lang w:eastAsia="en-AU"/>
                <w14:ligatures w14:val="none"/>
              </w:rPr>
              <w:t>Volranapat</w:t>
            </w:r>
            <w:proofErr w:type="spellEnd"/>
            <w:r w:rsidRPr="003D4B91">
              <w:rPr>
                <w:rFonts w:ascii="Aptos" w:eastAsia="Times New Roman" w:hAnsi="Aptos" w:cs="Times New Roman"/>
                <w:color w:val="000000"/>
                <w:kern w:val="0"/>
                <w:sz w:val="16"/>
                <w:szCs w:val="16"/>
                <w:lang w:eastAsia="en-AU"/>
                <w14:ligatures w14:val="none"/>
              </w:rPr>
              <w:t xml:space="preserve"> </w:t>
            </w:r>
            <w:proofErr w:type="spellStart"/>
            <w:r w:rsidRPr="003D4B91">
              <w:rPr>
                <w:rFonts w:ascii="Aptos" w:eastAsia="Times New Roman" w:hAnsi="Aptos" w:cs="Times New Roman"/>
                <w:color w:val="000000"/>
                <w:kern w:val="0"/>
                <w:sz w:val="16"/>
                <w:szCs w:val="16"/>
                <w:lang w:eastAsia="en-AU"/>
                <w14:ligatures w14:val="none"/>
              </w:rPr>
              <w:t>Chamluenam</w:t>
            </w:r>
            <w:proofErr w:type="spellEnd"/>
          </w:p>
        </w:tc>
        <w:tc>
          <w:tcPr>
            <w:tcW w:w="4540" w:type="dxa"/>
            <w:vAlign w:val="bottom"/>
          </w:tcPr>
          <w:p w14:paraId="231EF34D" w14:textId="031D2E91" w:rsidR="008A41F0" w:rsidRPr="003D4B91" w:rsidRDefault="008C3790"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Foreign Relations Officer, Practitioner Level, International Affairs Office</w:t>
            </w:r>
          </w:p>
        </w:tc>
        <w:tc>
          <w:tcPr>
            <w:tcW w:w="1140" w:type="dxa"/>
            <w:vAlign w:val="bottom"/>
          </w:tcPr>
          <w:p w14:paraId="75688FC2" w14:textId="65E65DC5" w:rsidR="008A41F0" w:rsidRPr="003D4B91" w:rsidRDefault="008C3790" w:rsidP="008A41F0">
            <w:pPr>
              <w:spacing w:after="0" w:line="240" w:lineRule="auto"/>
              <w:jc w:val="right"/>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6 Nov 2025</w:t>
            </w:r>
          </w:p>
        </w:tc>
      </w:tr>
      <w:tr w:rsidR="008A41F0" w:rsidRPr="003D4B91" w14:paraId="22429652" w14:textId="77777777" w:rsidTr="00156392">
        <w:trPr>
          <w:trHeight w:val="435"/>
        </w:trPr>
        <w:tc>
          <w:tcPr>
            <w:tcW w:w="1120" w:type="dxa"/>
            <w:vAlign w:val="bottom"/>
          </w:tcPr>
          <w:p w14:paraId="4B02E7BB" w14:textId="6A9E6386" w:rsidR="008A41F0" w:rsidRPr="003D4B91" w:rsidRDefault="008C3790"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Thailand</w:t>
            </w:r>
          </w:p>
        </w:tc>
        <w:tc>
          <w:tcPr>
            <w:tcW w:w="1900" w:type="dxa"/>
            <w:vAlign w:val="bottom"/>
          </w:tcPr>
          <w:p w14:paraId="4980D856" w14:textId="25309013" w:rsidR="008A41F0" w:rsidRPr="003D4B91" w:rsidRDefault="008C3790" w:rsidP="008A41F0">
            <w:pPr>
              <w:spacing w:after="0" w:line="240" w:lineRule="auto"/>
              <w:rPr>
                <w:rFonts w:ascii="Aptos" w:eastAsia="Times New Roman" w:hAnsi="Aptos" w:cs="Times New Roman"/>
                <w:color w:val="000000"/>
                <w:kern w:val="0"/>
                <w:sz w:val="16"/>
                <w:szCs w:val="16"/>
                <w:lang w:eastAsia="en-AU"/>
                <w14:ligatures w14:val="none"/>
              </w:rPr>
            </w:pPr>
            <w:proofErr w:type="spellStart"/>
            <w:r w:rsidRPr="003D4B91">
              <w:rPr>
                <w:rFonts w:ascii="Aptos" w:eastAsia="Times New Roman" w:hAnsi="Aptos" w:cs="Times New Roman"/>
                <w:color w:val="000000"/>
                <w:kern w:val="0"/>
                <w:sz w:val="16"/>
                <w:szCs w:val="16"/>
                <w:lang w:eastAsia="en-AU"/>
                <w14:ligatures w14:val="none"/>
              </w:rPr>
              <w:t>Detchphol</w:t>
            </w:r>
            <w:proofErr w:type="spellEnd"/>
            <w:r w:rsidRPr="003D4B91">
              <w:rPr>
                <w:rFonts w:ascii="Aptos" w:eastAsia="Times New Roman" w:hAnsi="Aptos" w:cs="Times New Roman"/>
                <w:color w:val="000000"/>
                <w:kern w:val="0"/>
                <w:sz w:val="16"/>
                <w:szCs w:val="16"/>
                <w:lang w:eastAsia="en-AU"/>
                <w14:ligatures w14:val="none"/>
              </w:rPr>
              <w:t xml:space="preserve"> </w:t>
            </w:r>
            <w:proofErr w:type="spellStart"/>
            <w:r w:rsidRPr="003D4B91">
              <w:rPr>
                <w:rFonts w:ascii="Aptos" w:eastAsia="Times New Roman" w:hAnsi="Aptos" w:cs="Times New Roman"/>
                <w:color w:val="000000"/>
                <w:kern w:val="0"/>
                <w:sz w:val="16"/>
                <w:szCs w:val="16"/>
                <w:lang w:eastAsia="en-AU"/>
                <w14:ligatures w14:val="none"/>
              </w:rPr>
              <w:t>Chitwatkulsiri</w:t>
            </w:r>
            <w:proofErr w:type="spellEnd"/>
          </w:p>
        </w:tc>
        <w:tc>
          <w:tcPr>
            <w:tcW w:w="4540" w:type="dxa"/>
            <w:vAlign w:val="bottom"/>
          </w:tcPr>
          <w:p w14:paraId="6EF82831" w14:textId="1EE6DA33" w:rsidR="008A41F0" w:rsidRPr="003D4B91" w:rsidRDefault="008C3790"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 xml:space="preserve">Lecturer, </w:t>
            </w:r>
            <w:proofErr w:type="spellStart"/>
            <w:r w:rsidRPr="003D4B91">
              <w:rPr>
                <w:rFonts w:ascii="Aptos" w:eastAsia="Times New Roman" w:hAnsi="Aptos" w:cs="Times New Roman"/>
                <w:color w:val="000000"/>
                <w:kern w:val="0"/>
                <w:sz w:val="16"/>
                <w:szCs w:val="16"/>
                <w:lang w:eastAsia="en-AU"/>
                <w14:ligatures w14:val="none"/>
              </w:rPr>
              <w:t>Kasetsart</w:t>
            </w:r>
            <w:proofErr w:type="spellEnd"/>
            <w:r w:rsidRPr="003D4B91">
              <w:rPr>
                <w:rFonts w:ascii="Aptos" w:eastAsia="Times New Roman" w:hAnsi="Aptos" w:cs="Times New Roman"/>
                <w:color w:val="000000"/>
                <w:kern w:val="0"/>
                <w:sz w:val="16"/>
                <w:szCs w:val="16"/>
                <w:lang w:eastAsia="en-AU"/>
                <w14:ligatures w14:val="none"/>
              </w:rPr>
              <w:t xml:space="preserve"> University</w:t>
            </w:r>
          </w:p>
        </w:tc>
        <w:tc>
          <w:tcPr>
            <w:tcW w:w="1140" w:type="dxa"/>
            <w:vAlign w:val="bottom"/>
          </w:tcPr>
          <w:p w14:paraId="412ACE8C" w14:textId="0796C955" w:rsidR="008A41F0" w:rsidRPr="003D4B91" w:rsidRDefault="008C3790" w:rsidP="008A41F0">
            <w:pPr>
              <w:spacing w:after="0" w:line="240" w:lineRule="auto"/>
              <w:jc w:val="right"/>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6 Nov 2025</w:t>
            </w:r>
          </w:p>
        </w:tc>
      </w:tr>
      <w:tr w:rsidR="008A41F0" w:rsidRPr="003D4B91" w14:paraId="04B8C410" w14:textId="77777777" w:rsidTr="00156392">
        <w:trPr>
          <w:trHeight w:val="435"/>
        </w:trPr>
        <w:tc>
          <w:tcPr>
            <w:tcW w:w="1120" w:type="dxa"/>
            <w:vAlign w:val="bottom"/>
          </w:tcPr>
          <w:p w14:paraId="6F8D89E0" w14:textId="24B51E56" w:rsidR="008A41F0" w:rsidRPr="003D4B91" w:rsidRDefault="008C3790"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Thailand</w:t>
            </w:r>
          </w:p>
        </w:tc>
        <w:tc>
          <w:tcPr>
            <w:tcW w:w="1900" w:type="dxa"/>
            <w:vAlign w:val="bottom"/>
          </w:tcPr>
          <w:p w14:paraId="23EF3829" w14:textId="36DB37BA" w:rsidR="008A41F0" w:rsidRPr="003D4B91" w:rsidRDefault="008C3790" w:rsidP="008A41F0">
            <w:pPr>
              <w:spacing w:after="0" w:line="240" w:lineRule="auto"/>
              <w:rPr>
                <w:rFonts w:ascii="Aptos" w:eastAsia="Times New Roman" w:hAnsi="Aptos" w:cs="Times New Roman"/>
                <w:color w:val="000000"/>
                <w:kern w:val="0"/>
                <w:sz w:val="16"/>
                <w:szCs w:val="16"/>
                <w:lang w:eastAsia="en-AU"/>
                <w14:ligatures w14:val="none"/>
              </w:rPr>
            </w:pPr>
            <w:proofErr w:type="spellStart"/>
            <w:r w:rsidRPr="003D4B91">
              <w:rPr>
                <w:rFonts w:ascii="Aptos" w:eastAsia="Times New Roman" w:hAnsi="Aptos" w:cs="Times New Roman"/>
                <w:color w:val="000000"/>
                <w:kern w:val="0"/>
                <w:sz w:val="16"/>
                <w:szCs w:val="16"/>
                <w:lang w:eastAsia="en-AU"/>
                <w14:ligatures w14:val="none"/>
              </w:rPr>
              <w:t>Thaksina</w:t>
            </w:r>
            <w:proofErr w:type="spellEnd"/>
            <w:r w:rsidRPr="003D4B91">
              <w:rPr>
                <w:rFonts w:ascii="Aptos" w:eastAsia="Times New Roman" w:hAnsi="Aptos" w:cs="Times New Roman"/>
                <w:color w:val="000000"/>
                <w:kern w:val="0"/>
                <w:sz w:val="16"/>
                <w:szCs w:val="16"/>
                <w:lang w:eastAsia="en-AU"/>
                <w14:ligatures w14:val="none"/>
              </w:rPr>
              <w:t xml:space="preserve"> </w:t>
            </w:r>
            <w:proofErr w:type="spellStart"/>
            <w:r w:rsidRPr="003D4B91">
              <w:rPr>
                <w:rFonts w:ascii="Aptos" w:eastAsia="Times New Roman" w:hAnsi="Aptos" w:cs="Times New Roman"/>
                <w:color w:val="000000"/>
                <w:kern w:val="0"/>
                <w:sz w:val="16"/>
                <w:szCs w:val="16"/>
                <w:lang w:eastAsia="en-AU"/>
                <w14:ligatures w14:val="none"/>
              </w:rPr>
              <w:t>Poyai</w:t>
            </w:r>
            <w:proofErr w:type="spellEnd"/>
          </w:p>
        </w:tc>
        <w:tc>
          <w:tcPr>
            <w:tcW w:w="4540" w:type="dxa"/>
            <w:vAlign w:val="bottom"/>
          </w:tcPr>
          <w:p w14:paraId="2B4A3205" w14:textId="02872563" w:rsidR="008A41F0" w:rsidRPr="003D4B91" w:rsidRDefault="008C3790"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 xml:space="preserve">Lecturer, </w:t>
            </w:r>
            <w:proofErr w:type="spellStart"/>
            <w:r w:rsidRPr="003D4B91">
              <w:rPr>
                <w:rFonts w:ascii="Aptos" w:eastAsia="Times New Roman" w:hAnsi="Aptos" w:cs="Times New Roman"/>
                <w:color w:val="000000"/>
                <w:kern w:val="0"/>
                <w:sz w:val="16"/>
                <w:szCs w:val="16"/>
                <w:lang w:eastAsia="en-AU"/>
                <w14:ligatures w14:val="none"/>
              </w:rPr>
              <w:t>Kasetsart</w:t>
            </w:r>
            <w:proofErr w:type="spellEnd"/>
            <w:r w:rsidRPr="003D4B91">
              <w:rPr>
                <w:rFonts w:ascii="Aptos" w:eastAsia="Times New Roman" w:hAnsi="Aptos" w:cs="Times New Roman"/>
                <w:color w:val="000000"/>
                <w:kern w:val="0"/>
                <w:sz w:val="16"/>
                <w:szCs w:val="16"/>
                <w:lang w:eastAsia="en-AU"/>
                <w14:ligatures w14:val="none"/>
              </w:rPr>
              <w:t xml:space="preserve"> University</w:t>
            </w:r>
          </w:p>
        </w:tc>
        <w:tc>
          <w:tcPr>
            <w:tcW w:w="1140" w:type="dxa"/>
            <w:vAlign w:val="bottom"/>
          </w:tcPr>
          <w:p w14:paraId="586DBB56" w14:textId="39039DD7" w:rsidR="008A41F0" w:rsidRPr="003D4B91" w:rsidRDefault="008C3790" w:rsidP="008A41F0">
            <w:pPr>
              <w:spacing w:after="0" w:line="240" w:lineRule="auto"/>
              <w:jc w:val="right"/>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6 Nov 2025</w:t>
            </w:r>
          </w:p>
        </w:tc>
      </w:tr>
      <w:tr w:rsidR="008A41F0" w:rsidRPr="003D4B91" w14:paraId="25CC5282" w14:textId="77777777" w:rsidTr="00156392">
        <w:trPr>
          <w:trHeight w:val="285"/>
        </w:trPr>
        <w:tc>
          <w:tcPr>
            <w:tcW w:w="1120" w:type="dxa"/>
            <w:vAlign w:val="bottom"/>
          </w:tcPr>
          <w:p w14:paraId="3F4649EB" w14:textId="7E60E5A7" w:rsidR="008A41F0" w:rsidRPr="003D4B91" w:rsidRDefault="008C3790"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Thailand</w:t>
            </w:r>
          </w:p>
        </w:tc>
        <w:tc>
          <w:tcPr>
            <w:tcW w:w="1900" w:type="dxa"/>
            <w:vAlign w:val="bottom"/>
          </w:tcPr>
          <w:p w14:paraId="068E8761" w14:textId="573D92DE" w:rsidR="008A41F0" w:rsidRPr="003D4B91" w:rsidRDefault="008C3790" w:rsidP="008A41F0">
            <w:pPr>
              <w:spacing w:after="0" w:line="240" w:lineRule="auto"/>
              <w:rPr>
                <w:rFonts w:ascii="Aptos" w:eastAsia="Times New Roman" w:hAnsi="Aptos" w:cs="Times New Roman"/>
                <w:color w:val="000000"/>
                <w:kern w:val="0"/>
                <w:sz w:val="16"/>
                <w:szCs w:val="16"/>
                <w:lang w:eastAsia="en-AU"/>
                <w14:ligatures w14:val="none"/>
              </w:rPr>
            </w:pPr>
            <w:proofErr w:type="spellStart"/>
            <w:r w:rsidRPr="003D4B91">
              <w:rPr>
                <w:rFonts w:ascii="Aptos" w:eastAsia="Times New Roman" w:hAnsi="Aptos" w:cs="Times New Roman"/>
                <w:color w:val="000000"/>
                <w:kern w:val="0"/>
                <w:sz w:val="16"/>
                <w:szCs w:val="16"/>
                <w:lang w:eastAsia="en-AU"/>
                <w14:ligatures w14:val="none"/>
              </w:rPr>
              <w:t>Pakkasem</w:t>
            </w:r>
            <w:proofErr w:type="spellEnd"/>
            <w:r w:rsidRPr="003D4B91">
              <w:rPr>
                <w:rFonts w:ascii="Aptos" w:eastAsia="Times New Roman" w:hAnsi="Aptos" w:cs="Times New Roman"/>
                <w:color w:val="000000"/>
                <w:kern w:val="0"/>
                <w:sz w:val="16"/>
                <w:szCs w:val="16"/>
                <w:lang w:eastAsia="en-AU"/>
                <w14:ligatures w14:val="none"/>
              </w:rPr>
              <w:t xml:space="preserve"> </w:t>
            </w:r>
            <w:proofErr w:type="spellStart"/>
            <w:r w:rsidRPr="003D4B91">
              <w:rPr>
                <w:rFonts w:ascii="Aptos" w:eastAsia="Times New Roman" w:hAnsi="Aptos" w:cs="Times New Roman"/>
                <w:color w:val="000000"/>
                <w:kern w:val="0"/>
                <w:sz w:val="16"/>
                <w:szCs w:val="16"/>
                <w:lang w:eastAsia="en-AU"/>
                <w14:ligatures w14:val="none"/>
              </w:rPr>
              <w:t>Tongchai</w:t>
            </w:r>
            <w:proofErr w:type="spellEnd"/>
          </w:p>
        </w:tc>
        <w:tc>
          <w:tcPr>
            <w:tcW w:w="4540" w:type="dxa"/>
            <w:vAlign w:val="bottom"/>
          </w:tcPr>
          <w:p w14:paraId="24EC40E6" w14:textId="001C4340" w:rsidR="008A41F0" w:rsidRPr="003D4B91" w:rsidRDefault="008C3790"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Programme Officer, Water and Wetlands, IUCN</w:t>
            </w:r>
          </w:p>
        </w:tc>
        <w:tc>
          <w:tcPr>
            <w:tcW w:w="1140" w:type="dxa"/>
            <w:vAlign w:val="bottom"/>
          </w:tcPr>
          <w:p w14:paraId="168274EC" w14:textId="09C81E89" w:rsidR="008A41F0" w:rsidRPr="003D4B91" w:rsidRDefault="008C3790" w:rsidP="008A41F0">
            <w:pPr>
              <w:spacing w:after="0" w:line="240" w:lineRule="auto"/>
              <w:jc w:val="right"/>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7 Nov 2025</w:t>
            </w:r>
          </w:p>
        </w:tc>
      </w:tr>
      <w:tr w:rsidR="008A41F0" w:rsidRPr="003D4B91" w14:paraId="4763F049" w14:textId="77777777" w:rsidTr="00156392">
        <w:trPr>
          <w:trHeight w:val="285"/>
        </w:trPr>
        <w:tc>
          <w:tcPr>
            <w:tcW w:w="1120" w:type="dxa"/>
            <w:vAlign w:val="bottom"/>
          </w:tcPr>
          <w:p w14:paraId="2A8617B9" w14:textId="61E633A3" w:rsidR="008A41F0" w:rsidRPr="003D4B91" w:rsidRDefault="008C3790"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Thailand</w:t>
            </w:r>
          </w:p>
        </w:tc>
        <w:tc>
          <w:tcPr>
            <w:tcW w:w="1900" w:type="dxa"/>
            <w:vAlign w:val="bottom"/>
          </w:tcPr>
          <w:p w14:paraId="7548ED85" w14:textId="7F0CF3CA" w:rsidR="008A41F0" w:rsidRPr="003D4B91" w:rsidRDefault="008C3790" w:rsidP="008A41F0">
            <w:pPr>
              <w:spacing w:after="0" w:line="240" w:lineRule="auto"/>
              <w:rPr>
                <w:rFonts w:ascii="Aptos" w:eastAsia="Times New Roman" w:hAnsi="Aptos" w:cs="Times New Roman"/>
                <w:color w:val="000000"/>
                <w:kern w:val="0"/>
                <w:sz w:val="16"/>
                <w:szCs w:val="16"/>
                <w:lang w:eastAsia="en-AU"/>
                <w14:ligatures w14:val="none"/>
              </w:rPr>
            </w:pPr>
            <w:proofErr w:type="spellStart"/>
            <w:r w:rsidRPr="003D4B91">
              <w:rPr>
                <w:rFonts w:ascii="Aptos" w:eastAsia="Times New Roman" w:hAnsi="Aptos" w:cs="Times New Roman"/>
                <w:color w:val="000000"/>
                <w:kern w:val="0"/>
                <w:sz w:val="16"/>
                <w:szCs w:val="16"/>
                <w:lang w:eastAsia="en-AU"/>
                <w14:ligatures w14:val="none"/>
              </w:rPr>
              <w:t>Apichart</w:t>
            </w:r>
            <w:proofErr w:type="spellEnd"/>
            <w:r w:rsidRPr="003D4B91">
              <w:rPr>
                <w:rFonts w:ascii="Aptos" w:eastAsia="Times New Roman" w:hAnsi="Aptos" w:cs="Times New Roman"/>
                <w:color w:val="000000"/>
                <w:kern w:val="0"/>
                <w:sz w:val="16"/>
                <w:szCs w:val="16"/>
                <w:lang w:eastAsia="en-AU"/>
                <w14:ligatures w14:val="none"/>
              </w:rPr>
              <w:t xml:space="preserve"> </w:t>
            </w:r>
            <w:proofErr w:type="spellStart"/>
            <w:r w:rsidRPr="003D4B91">
              <w:rPr>
                <w:rFonts w:ascii="Aptos" w:eastAsia="Times New Roman" w:hAnsi="Aptos" w:cs="Times New Roman"/>
                <w:color w:val="000000"/>
                <w:kern w:val="0"/>
                <w:sz w:val="16"/>
                <w:szCs w:val="16"/>
                <w:lang w:eastAsia="en-AU"/>
                <w14:ligatures w14:val="none"/>
              </w:rPr>
              <w:t>Tonnamning</w:t>
            </w:r>
            <w:proofErr w:type="spellEnd"/>
          </w:p>
        </w:tc>
        <w:tc>
          <w:tcPr>
            <w:tcW w:w="4540" w:type="dxa"/>
            <w:vAlign w:val="bottom"/>
          </w:tcPr>
          <w:p w14:paraId="09CCF4F1" w14:textId="0B6060C6" w:rsidR="008A41F0" w:rsidRPr="003D4B91" w:rsidRDefault="008C3790"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Senior CSR Officer, PTT Global Chemical</w:t>
            </w:r>
          </w:p>
        </w:tc>
        <w:tc>
          <w:tcPr>
            <w:tcW w:w="1140" w:type="dxa"/>
            <w:vAlign w:val="bottom"/>
          </w:tcPr>
          <w:p w14:paraId="16DD6B24" w14:textId="0E4A262D" w:rsidR="008A41F0" w:rsidRPr="003D4B91" w:rsidRDefault="008C3790" w:rsidP="008A41F0">
            <w:pPr>
              <w:spacing w:after="0" w:line="240" w:lineRule="auto"/>
              <w:jc w:val="right"/>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7 Nov 2025</w:t>
            </w:r>
          </w:p>
        </w:tc>
      </w:tr>
      <w:tr w:rsidR="008A41F0" w:rsidRPr="003D4B91" w14:paraId="4079118B" w14:textId="77777777" w:rsidTr="00156392">
        <w:trPr>
          <w:trHeight w:val="285"/>
        </w:trPr>
        <w:tc>
          <w:tcPr>
            <w:tcW w:w="1120" w:type="dxa"/>
            <w:vAlign w:val="bottom"/>
          </w:tcPr>
          <w:p w14:paraId="600600CD" w14:textId="6BF4AA7A" w:rsidR="008A41F0" w:rsidRPr="003D4B91" w:rsidRDefault="008C3790"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Thailand</w:t>
            </w:r>
          </w:p>
        </w:tc>
        <w:tc>
          <w:tcPr>
            <w:tcW w:w="1900" w:type="dxa"/>
            <w:vAlign w:val="bottom"/>
          </w:tcPr>
          <w:p w14:paraId="6159A1F8" w14:textId="513A3F80" w:rsidR="008A41F0" w:rsidRPr="003D4B91" w:rsidRDefault="008C3790"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Brigitte Hoermann</w:t>
            </w:r>
          </w:p>
        </w:tc>
        <w:tc>
          <w:tcPr>
            <w:tcW w:w="4540" w:type="dxa"/>
            <w:vAlign w:val="bottom"/>
          </w:tcPr>
          <w:p w14:paraId="46A79DB5" w14:textId="2AC999F6" w:rsidR="008A41F0" w:rsidRPr="003D4B91" w:rsidRDefault="008C3790"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Cities Alliance</w:t>
            </w:r>
          </w:p>
        </w:tc>
        <w:tc>
          <w:tcPr>
            <w:tcW w:w="1140" w:type="dxa"/>
            <w:vAlign w:val="bottom"/>
          </w:tcPr>
          <w:p w14:paraId="2759F0D6" w14:textId="544815C2" w:rsidR="008A41F0" w:rsidRPr="003D4B91" w:rsidRDefault="008C3790" w:rsidP="008A41F0">
            <w:pPr>
              <w:spacing w:after="0" w:line="240" w:lineRule="auto"/>
              <w:jc w:val="right"/>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20 Nov 2025</w:t>
            </w:r>
          </w:p>
        </w:tc>
      </w:tr>
      <w:tr w:rsidR="008A41F0" w:rsidRPr="003D4B91" w14:paraId="1AC14E60" w14:textId="77777777" w:rsidTr="00156392">
        <w:trPr>
          <w:trHeight w:val="285"/>
        </w:trPr>
        <w:tc>
          <w:tcPr>
            <w:tcW w:w="1120" w:type="dxa"/>
            <w:vAlign w:val="bottom"/>
          </w:tcPr>
          <w:p w14:paraId="7FA2C620" w14:textId="61D00421" w:rsidR="008A41F0" w:rsidRPr="003D4B91" w:rsidRDefault="008C3790"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lastRenderedPageBreak/>
              <w:t>Cambodia</w:t>
            </w:r>
          </w:p>
        </w:tc>
        <w:tc>
          <w:tcPr>
            <w:tcW w:w="1900" w:type="dxa"/>
            <w:vAlign w:val="bottom"/>
          </w:tcPr>
          <w:p w14:paraId="2297C884" w14:textId="2D2A108C" w:rsidR="008A41F0" w:rsidRPr="003D4B91" w:rsidRDefault="00FC5FEE"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 xml:space="preserve">Lim </w:t>
            </w:r>
            <w:proofErr w:type="spellStart"/>
            <w:r w:rsidRPr="003D4B91">
              <w:rPr>
                <w:rFonts w:ascii="Aptos" w:eastAsia="Times New Roman" w:hAnsi="Aptos" w:cs="Times New Roman"/>
                <w:color w:val="000000"/>
                <w:kern w:val="0"/>
                <w:sz w:val="16"/>
                <w:szCs w:val="16"/>
                <w:lang w:eastAsia="en-AU"/>
                <w14:ligatures w14:val="none"/>
              </w:rPr>
              <w:t>Ymeng</w:t>
            </w:r>
            <w:proofErr w:type="spellEnd"/>
          </w:p>
        </w:tc>
        <w:tc>
          <w:tcPr>
            <w:tcW w:w="4540" w:type="dxa"/>
            <w:vAlign w:val="bottom"/>
          </w:tcPr>
          <w:p w14:paraId="33F4326A" w14:textId="35F9DECA" w:rsidR="008A41F0" w:rsidRPr="003D4B91" w:rsidRDefault="00FC5FEE" w:rsidP="008A41F0">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Deputy Chief, Battambang Provincial Government</w:t>
            </w:r>
          </w:p>
        </w:tc>
        <w:tc>
          <w:tcPr>
            <w:tcW w:w="1140" w:type="dxa"/>
            <w:vAlign w:val="bottom"/>
          </w:tcPr>
          <w:p w14:paraId="3A3EEAC5" w14:textId="0789F7DB" w:rsidR="008A41F0" w:rsidRPr="003D4B91" w:rsidRDefault="00FC5FEE" w:rsidP="008A41F0">
            <w:pPr>
              <w:spacing w:after="0" w:line="240" w:lineRule="auto"/>
              <w:jc w:val="right"/>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31 Oct 2025</w:t>
            </w:r>
          </w:p>
        </w:tc>
      </w:tr>
      <w:tr w:rsidR="00FC5FEE" w:rsidRPr="003D4B91" w14:paraId="6D25200C" w14:textId="77777777" w:rsidTr="00156392">
        <w:trPr>
          <w:trHeight w:val="285"/>
        </w:trPr>
        <w:tc>
          <w:tcPr>
            <w:tcW w:w="1120" w:type="dxa"/>
            <w:vAlign w:val="bottom"/>
          </w:tcPr>
          <w:p w14:paraId="04E8854E" w14:textId="1337B6B2" w:rsidR="00FC5FEE" w:rsidRPr="003D4B91" w:rsidRDefault="00FC5FEE" w:rsidP="00FC5FEE">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Cambodia</w:t>
            </w:r>
          </w:p>
        </w:tc>
        <w:tc>
          <w:tcPr>
            <w:tcW w:w="1900" w:type="dxa"/>
            <w:vAlign w:val="bottom"/>
          </w:tcPr>
          <w:p w14:paraId="674EBF4D" w14:textId="11C2A835" w:rsidR="00FC5FEE" w:rsidRPr="003D4B91" w:rsidRDefault="00FC5FEE" w:rsidP="00FC5FEE">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Kaneka Keo</w:t>
            </w:r>
          </w:p>
        </w:tc>
        <w:tc>
          <w:tcPr>
            <w:tcW w:w="4540" w:type="dxa"/>
            <w:vAlign w:val="bottom"/>
          </w:tcPr>
          <w:p w14:paraId="530DCF21" w14:textId="040EDA64" w:rsidR="00FC5FEE" w:rsidRPr="003D4B91" w:rsidRDefault="00FC5FEE" w:rsidP="00FC5FEE">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Oxfam</w:t>
            </w:r>
          </w:p>
        </w:tc>
        <w:tc>
          <w:tcPr>
            <w:tcW w:w="1140" w:type="dxa"/>
            <w:vAlign w:val="bottom"/>
          </w:tcPr>
          <w:p w14:paraId="53CFFCE1" w14:textId="5D0EAAA9" w:rsidR="00FC5FEE" w:rsidRPr="003D4B91" w:rsidRDefault="00FC5FEE" w:rsidP="00FC5FEE">
            <w:pPr>
              <w:spacing w:after="0" w:line="240" w:lineRule="auto"/>
              <w:jc w:val="right"/>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10 Nov 2025</w:t>
            </w:r>
          </w:p>
        </w:tc>
      </w:tr>
      <w:tr w:rsidR="00FC5FEE" w:rsidRPr="003D4B91" w14:paraId="3183F723" w14:textId="77777777" w:rsidTr="00156392">
        <w:trPr>
          <w:trHeight w:val="285"/>
        </w:trPr>
        <w:tc>
          <w:tcPr>
            <w:tcW w:w="1120" w:type="dxa"/>
            <w:vAlign w:val="bottom"/>
          </w:tcPr>
          <w:p w14:paraId="444B642B" w14:textId="6BAB3B8E" w:rsidR="00FC5FEE" w:rsidRPr="003D4B91" w:rsidRDefault="00FC5FEE" w:rsidP="00FC5FEE">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Cambodia</w:t>
            </w:r>
          </w:p>
        </w:tc>
        <w:tc>
          <w:tcPr>
            <w:tcW w:w="1900" w:type="dxa"/>
            <w:vAlign w:val="bottom"/>
          </w:tcPr>
          <w:p w14:paraId="1B4EB08C" w14:textId="603F7915" w:rsidR="00FC5FEE" w:rsidRPr="003D4B91" w:rsidRDefault="00FC5FEE" w:rsidP="00FC5FEE">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Vimean Seng</w:t>
            </w:r>
          </w:p>
        </w:tc>
        <w:tc>
          <w:tcPr>
            <w:tcW w:w="4540" w:type="dxa"/>
            <w:vAlign w:val="bottom"/>
          </w:tcPr>
          <w:p w14:paraId="34D7A60E" w14:textId="087A08A9" w:rsidR="00FC5FEE" w:rsidRPr="003D4B91" w:rsidRDefault="00FC5FEE" w:rsidP="00FC5FEE">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GEDSI officer, WaterAid</w:t>
            </w:r>
          </w:p>
        </w:tc>
        <w:tc>
          <w:tcPr>
            <w:tcW w:w="1140" w:type="dxa"/>
            <w:vAlign w:val="bottom"/>
          </w:tcPr>
          <w:p w14:paraId="500A2D98" w14:textId="5616219D" w:rsidR="00FC5FEE" w:rsidRPr="003D4B91" w:rsidRDefault="00FC5FEE" w:rsidP="00FC5FEE">
            <w:pPr>
              <w:spacing w:after="0" w:line="240" w:lineRule="auto"/>
              <w:jc w:val="right"/>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10 Nov 2025</w:t>
            </w:r>
          </w:p>
        </w:tc>
      </w:tr>
      <w:tr w:rsidR="00FC5FEE" w:rsidRPr="003D4B91" w14:paraId="5DCB478A" w14:textId="77777777" w:rsidTr="00156392">
        <w:trPr>
          <w:trHeight w:val="285"/>
        </w:trPr>
        <w:tc>
          <w:tcPr>
            <w:tcW w:w="1120" w:type="dxa"/>
            <w:vAlign w:val="bottom"/>
          </w:tcPr>
          <w:p w14:paraId="2EACC82B" w14:textId="39FF1F9B" w:rsidR="00FC5FEE" w:rsidRPr="003D4B91" w:rsidRDefault="00FC5FEE" w:rsidP="00FC5FEE">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Cambodia</w:t>
            </w:r>
          </w:p>
        </w:tc>
        <w:tc>
          <w:tcPr>
            <w:tcW w:w="1900" w:type="dxa"/>
            <w:vAlign w:val="bottom"/>
          </w:tcPr>
          <w:p w14:paraId="3587D3EB" w14:textId="2A145688" w:rsidR="00FC5FEE" w:rsidRPr="003D4B91" w:rsidRDefault="00FC5FEE" w:rsidP="00FC5FEE">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H.E. Sareth Boramay</w:t>
            </w:r>
          </w:p>
        </w:tc>
        <w:tc>
          <w:tcPr>
            <w:tcW w:w="4540" w:type="dxa"/>
            <w:vAlign w:val="bottom"/>
          </w:tcPr>
          <w:p w14:paraId="36D99DFC" w14:textId="694878B8" w:rsidR="00FC5FEE" w:rsidRPr="003D4B91" w:rsidRDefault="00FC5FEE" w:rsidP="00FC5FEE">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Dep. Gen. Director, Ministry of Land Management, Urban Planning, and Construction (MLMUPC)</w:t>
            </w:r>
          </w:p>
        </w:tc>
        <w:tc>
          <w:tcPr>
            <w:tcW w:w="1140" w:type="dxa"/>
            <w:vAlign w:val="bottom"/>
          </w:tcPr>
          <w:p w14:paraId="558EAE8D" w14:textId="1C4C1877" w:rsidR="00FC5FEE" w:rsidRPr="003D4B91" w:rsidRDefault="00FC5FEE" w:rsidP="00FC5FEE">
            <w:pPr>
              <w:spacing w:after="0" w:line="240" w:lineRule="auto"/>
              <w:jc w:val="right"/>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11 Nov 2025</w:t>
            </w:r>
          </w:p>
        </w:tc>
      </w:tr>
      <w:tr w:rsidR="00FC5FEE" w:rsidRPr="003D4B91" w14:paraId="2B3688D3" w14:textId="77777777" w:rsidTr="00156392">
        <w:trPr>
          <w:trHeight w:val="285"/>
        </w:trPr>
        <w:tc>
          <w:tcPr>
            <w:tcW w:w="1120" w:type="dxa"/>
            <w:vAlign w:val="bottom"/>
          </w:tcPr>
          <w:p w14:paraId="5A845DAF" w14:textId="1FDFB68F" w:rsidR="00FC5FEE" w:rsidRPr="003D4B91" w:rsidRDefault="00FC5FEE" w:rsidP="00FC5FEE">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Cambodia</w:t>
            </w:r>
          </w:p>
        </w:tc>
        <w:tc>
          <w:tcPr>
            <w:tcW w:w="1900" w:type="dxa"/>
            <w:vAlign w:val="bottom"/>
          </w:tcPr>
          <w:p w14:paraId="230AF9A3" w14:textId="43327289" w:rsidR="00FC5FEE" w:rsidRPr="003D4B91" w:rsidRDefault="00FC5FEE" w:rsidP="00FC5FEE">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 xml:space="preserve">Vibol </w:t>
            </w:r>
            <w:proofErr w:type="spellStart"/>
            <w:r w:rsidRPr="003D4B91">
              <w:rPr>
                <w:rFonts w:ascii="Aptos" w:eastAsia="Times New Roman" w:hAnsi="Aptos" w:cs="Times New Roman"/>
                <w:color w:val="000000"/>
                <w:kern w:val="0"/>
                <w:sz w:val="16"/>
                <w:szCs w:val="16"/>
                <w:lang w:eastAsia="en-AU"/>
                <w14:ligatures w14:val="none"/>
              </w:rPr>
              <w:t>Seom</w:t>
            </w:r>
            <w:proofErr w:type="spellEnd"/>
          </w:p>
        </w:tc>
        <w:tc>
          <w:tcPr>
            <w:tcW w:w="4540" w:type="dxa"/>
            <w:vAlign w:val="bottom"/>
          </w:tcPr>
          <w:p w14:paraId="7717ADBD" w14:textId="065BA654" w:rsidR="00FC5FEE" w:rsidRPr="003D4B91" w:rsidRDefault="00FC5FEE" w:rsidP="00FC5FEE">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Urban Planning Specialist, Ministry of Land Management, Urban Planning, and Construction (MLMUPC)</w:t>
            </w:r>
          </w:p>
        </w:tc>
        <w:tc>
          <w:tcPr>
            <w:tcW w:w="1140" w:type="dxa"/>
            <w:vAlign w:val="bottom"/>
          </w:tcPr>
          <w:p w14:paraId="62712F75" w14:textId="5B607E2A" w:rsidR="00FC5FEE" w:rsidRPr="003D4B91" w:rsidRDefault="00FC5FEE" w:rsidP="00FC5FEE">
            <w:pPr>
              <w:spacing w:after="0" w:line="240" w:lineRule="auto"/>
              <w:jc w:val="right"/>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19 Nov 2025</w:t>
            </w:r>
          </w:p>
        </w:tc>
      </w:tr>
      <w:tr w:rsidR="00FC5FEE" w:rsidRPr="003D4B91" w14:paraId="7E9F2B38" w14:textId="77777777" w:rsidTr="00156392">
        <w:trPr>
          <w:trHeight w:val="285"/>
        </w:trPr>
        <w:tc>
          <w:tcPr>
            <w:tcW w:w="1120" w:type="dxa"/>
            <w:vAlign w:val="bottom"/>
          </w:tcPr>
          <w:p w14:paraId="662BE104" w14:textId="3BB64A2B" w:rsidR="00FC5FEE" w:rsidRPr="003D4B91" w:rsidRDefault="00FC5FEE" w:rsidP="00FC5FEE">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Cambodia</w:t>
            </w:r>
          </w:p>
        </w:tc>
        <w:tc>
          <w:tcPr>
            <w:tcW w:w="1900" w:type="dxa"/>
            <w:vAlign w:val="bottom"/>
          </w:tcPr>
          <w:p w14:paraId="3C64328A" w14:textId="74797D70" w:rsidR="00FC5FEE" w:rsidRPr="003D4B91" w:rsidRDefault="00FC5FEE" w:rsidP="00FC5FEE">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H.E. Pen Sophal</w:t>
            </w:r>
          </w:p>
        </w:tc>
        <w:tc>
          <w:tcPr>
            <w:tcW w:w="4540" w:type="dxa"/>
            <w:vAlign w:val="bottom"/>
          </w:tcPr>
          <w:p w14:paraId="6AF3BB09" w14:textId="50BF4B59" w:rsidR="00FC5FEE" w:rsidRPr="003D4B91" w:rsidRDefault="00FC5FEE" w:rsidP="00FC5FEE">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Secretary of State, Ministry of Land Management, Urban Planning, and Construction (MLMUPC)</w:t>
            </w:r>
          </w:p>
        </w:tc>
        <w:tc>
          <w:tcPr>
            <w:tcW w:w="1140" w:type="dxa"/>
            <w:vAlign w:val="bottom"/>
          </w:tcPr>
          <w:p w14:paraId="235B3F7C" w14:textId="09CC4106" w:rsidR="00FC5FEE" w:rsidRPr="003D4B91" w:rsidRDefault="00FC5FEE" w:rsidP="00FC5FEE">
            <w:pPr>
              <w:spacing w:after="0" w:line="240" w:lineRule="auto"/>
              <w:jc w:val="right"/>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19 Nov 2025</w:t>
            </w:r>
          </w:p>
        </w:tc>
      </w:tr>
      <w:tr w:rsidR="00FC5FEE" w:rsidRPr="003D4B91" w14:paraId="7AC13CD6" w14:textId="77777777" w:rsidTr="00156392">
        <w:trPr>
          <w:trHeight w:val="285"/>
        </w:trPr>
        <w:tc>
          <w:tcPr>
            <w:tcW w:w="1120" w:type="dxa"/>
            <w:vAlign w:val="bottom"/>
          </w:tcPr>
          <w:p w14:paraId="3B4A05DF" w14:textId="02E19586" w:rsidR="00FC5FEE" w:rsidRPr="003D4B91" w:rsidRDefault="00FC5FEE" w:rsidP="00FC5FEE">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Cambodia</w:t>
            </w:r>
          </w:p>
        </w:tc>
        <w:tc>
          <w:tcPr>
            <w:tcW w:w="1900" w:type="dxa"/>
            <w:vAlign w:val="bottom"/>
          </w:tcPr>
          <w:p w14:paraId="21CFFFAD" w14:textId="0A6C3870" w:rsidR="00FC5FEE" w:rsidRPr="003D4B91" w:rsidRDefault="00FC5FEE" w:rsidP="00FC5FEE">
            <w:pPr>
              <w:spacing w:after="0" w:line="240" w:lineRule="auto"/>
              <w:rPr>
                <w:rFonts w:ascii="Aptos" w:eastAsia="Times New Roman" w:hAnsi="Aptos" w:cs="Times New Roman"/>
                <w:color w:val="000000"/>
                <w:kern w:val="0"/>
                <w:sz w:val="16"/>
                <w:szCs w:val="16"/>
                <w:lang w:eastAsia="en-AU"/>
                <w14:ligatures w14:val="none"/>
              </w:rPr>
            </w:pPr>
            <w:proofErr w:type="spellStart"/>
            <w:r w:rsidRPr="003D4B91">
              <w:rPr>
                <w:rFonts w:ascii="Aptos" w:eastAsia="Times New Roman" w:hAnsi="Aptos" w:cs="Times New Roman"/>
                <w:color w:val="000000"/>
                <w:kern w:val="0"/>
                <w:sz w:val="16"/>
                <w:szCs w:val="16"/>
                <w:lang w:eastAsia="en-AU"/>
                <w14:ligatures w14:val="none"/>
              </w:rPr>
              <w:t>Panith</w:t>
            </w:r>
            <w:proofErr w:type="spellEnd"/>
            <w:r w:rsidRPr="003D4B91">
              <w:rPr>
                <w:rFonts w:ascii="Aptos" w:eastAsia="Times New Roman" w:hAnsi="Aptos" w:cs="Times New Roman"/>
                <w:color w:val="000000"/>
                <w:kern w:val="0"/>
                <w:sz w:val="16"/>
                <w:szCs w:val="16"/>
                <w:lang w:eastAsia="en-AU"/>
                <w14:ligatures w14:val="none"/>
              </w:rPr>
              <w:t xml:space="preserve"> Chou</w:t>
            </w:r>
          </w:p>
        </w:tc>
        <w:tc>
          <w:tcPr>
            <w:tcW w:w="4540" w:type="dxa"/>
            <w:vAlign w:val="bottom"/>
          </w:tcPr>
          <w:p w14:paraId="43904426" w14:textId="0F80763A" w:rsidR="00FC5FEE" w:rsidRPr="003D4B91" w:rsidRDefault="00FC5FEE" w:rsidP="00FC5FEE">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 xml:space="preserve">Royal </w:t>
            </w:r>
            <w:proofErr w:type="spellStart"/>
            <w:r w:rsidRPr="003D4B91">
              <w:rPr>
                <w:rFonts w:ascii="Aptos" w:eastAsia="Times New Roman" w:hAnsi="Aptos" w:cs="Times New Roman"/>
                <w:color w:val="000000"/>
                <w:kern w:val="0"/>
                <w:sz w:val="16"/>
                <w:szCs w:val="16"/>
                <w:lang w:eastAsia="en-AU"/>
                <w14:ligatures w14:val="none"/>
              </w:rPr>
              <w:t>Univerity</w:t>
            </w:r>
            <w:proofErr w:type="spellEnd"/>
            <w:r w:rsidRPr="003D4B91">
              <w:rPr>
                <w:rFonts w:ascii="Aptos" w:eastAsia="Times New Roman" w:hAnsi="Aptos" w:cs="Times New Roman"/>
                <w:color w:val="000000"/>
                <w:kern w:val="0"/>
                <w:sz w:val="16"/>
                <w:szCs w:val="16"/>
                <w:lang w:eastAsia="en-AU"/>
                <w14:ligatures w14:val="none"/>
              </w:rPr>
              <w:t xml:space="preserve"> of Phnom Penh</w:t>
            </w:r>
          </w:p>
        </w:tc>
        <w:tc>
          <w:tcPr>
            <w:tcW w:w="1140" w:type="dxa"/>
            <w:vAlign w:val="bottom"/>
          </w:tcPr>
          <w:p w14:paraId="10933768" w14:textId="4B9F8C96" w:rsidR="00FC5FEE" w:rsidRPr="003D4B91" w:rsidRDefault="00FC5FEE" w:rsidP="00FC5FEE">
            <w:pPr>
              <w:spacing w:after="0" w:line="240" w:lineRule="auto"/>
              <w:jc w:val="right"/>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1 Dec 2025</w:t>
            </w:r>
          </w:p>
        </w:tc>
      </w:tr>
      <w:tr w:rsidR="00FC5FEE" w:rsidRPr="003D4B91" w14:paraId="1B0ACE51" w14:textId="77777777" w:rsidTr="00156392">
        <w:trPr>
          <w:trHeight w:val="285"/>
        </w:trPr>
        <w:tc>
          <w:tcPr>
            <w:tcW w:w="1120" w:type="dxa"/>
            <w:vAlign w:val="bottom"/>
          </w:tcPr>
          <w:p w14:paraId="6247D673" w14:textId="1BBA50DD" w:rsidR="00FC5FEE" w:rsidRPr="003D4B91" w:rsidRDefault="00FC5FEE" w:rsidP="00FC5FEE">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Viet Nam</w:t>
            </w:r>
          </w:p>
        </w:tc>
        <w:tc>
          <w:tcPr>
            <w:tcW w:w="1900" w:type="dxa"/>
            <w:vAlign w:val="bottom"/>
          </w:tcPr>
          <w:p w14:paraId="78FAEB97" w14:textId="08FFFBBA" w:rsidR="00FC5FEE" w:rsidRPr="003D4B91" w:rsidRDefault="008B3105" w:rsidP="00FC5FEE">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Dinh Diep Anh Tuan</w:t>
            </w:r>
          </w:p>
        </w:tc>
        <w:tc>
          <w:tcPr>
            <w:tcW w:w="4540" w:type="dxa"/>
            <w:vAlign w:val="bottom"/>
          </w:tcPr>
          <w:p w14:paraId="4D2CFCAF" w14:textId="1F3ABD90" w:rsidR="00FC5FEE" w:rsidRPr="003D4B91" w:rsidRDefault="008B3105" w:rsidP="00FC5FEE">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Chief of Office, Dragon-Mekong Institute, Can Tho University (CTU)</w:t>
            </w:r>
          </w:p>
        </w:tc>
        <w:tc>
          <w:tcPr>
            <w:tcW w:w="1140" w:type="dxa"/>
            <w:vAlign w:val="bottom"/>
          </w:tcPr>
          <w:p w14:paraId="51E6B717" w14:textId="7E58DE44" w:rsidR="00FC5FEE" w:rsidRPr="003D4B91" w:rsidRDefault="008B3105" w:rsidP="00FC5FEE">
            <w:pPr>
              <w:spacing w:after="0" w:line="240" w:lineRule="auto"/>
              <w:jc w:val="right"/>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13 Nov 2025</w:t>
            </w:r>
          </w:p>
        </w:tc>
      </w:tr>
      <w:tr w:rsidR="00FC5FEE" w:rsidRPr="003D4B91" w14:paraId="448DEA68" w14:textId="77777777" w:rsidTr="00156392">
        <w:trPr>
          <w:trHeight w:val="285"/>
        </w:trPr>
        <w:tc>
          <w:tcPr>
            <w:tcW w:w="1120" w:type="dxa"/>
            <w:vAlign w:val="bottom"/>
          </w:tcPr>
          <w:p w14:paraId="0899AE8E" w14:textId="559B5909" w:rsidR="00FC5FEE" w:rsidRPr="003D4B91" w:rsidRDefault="008B3105" w:rsidP="00FC5FEE">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Viet Nam</w:t>
            </w:r>
          </w:p>
        </w:tc>
        <w:tc>
          <w:tcPr>
            <w:tcW w:w="1900" w:type="dxa"/>
            <w:vAlign w:val="bottom"/>
          </w:tcPr>
          <w:p w14:paraId="0ACA28C0" w14:textId="62D1544E" w:rsidR="00FC5FEE" w:rsidRPr="003D4B91" w:rsidRDefault="008B3105" w:rsidP="00FC5FEE">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Nguyen Hieu Trung</w:t>
            </w:r>
          </w:p>
        </w:tc>
        <w:tc>
          <w:tcPr>
            <w:tcW w:w="4540" w:type="dxa"/>
            <w:vAlign w:val="bottom"/>
          </w:tcPr>
          <w:p w14:paraId="0889F2D8" w14:textId="3B77C525" w:rsidR="00FC5FEE" w:rsidRPr="003D4B91" w:rsidRDefault="008B3105" w:rsidP="00FC5FEE">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Can Tho University (CTU)</w:t>
            </w:r>
          </w:p>
        </w:tc>
        <w:tc>
          <w:tcPr>
            <w:tcW w:w="1140" w:type="dxa"/>
            <w:vAlign w:val="bottom"/>
          </w:tcPr>
          <w:p w14:paraId="2F35F893" w14:textId="72FC932A" w:rsidR="00FC5FEE" w:rsidRPr="003D4B91" w:rsidRDefault="008B3105" w:rsidP="00FC5FEE">
            <w:pPr>
              <w:spacing w:after="0" w:line="240" w:lineRule="auto"/>
              <w:jc w:val="right"/>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13 Nov 2025</w:t>
            </w:r>
          </w:p>
        </w:tc>
      </w:tr>
      <w:tr w:rsidR="00FC5FEE" w:rsidRPr="003D4B91" w14:paraId="3EE17BEE" w14:textId="77777777" w:rsidTr="00156392">
        <w:trPr>
          <w:trHeight w:val="285"/>
        </w:trPr>
        <w:tc>
          <w:tcPr>
            <w:tcW w:w="1120" w:type="dxa"/>
            <w:vAlign w:val="bottom"/>
          </w:tcPr>
          <w:p w14:paraId="13666ACE" w14:textId="77A8E134" w:rsidR="00FC5FEE" w:rsidRPr="003D4B91" w:rsidRDefault="008B3105" w:rsidP="00FC5FEE">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Viet Nam</w:t>
            </w:r>
          </w:p>
        </w:tc>
        <w:tc>
          <w:tcPr>
            <w:tcW w:w="1900" w:type="dxa"/>
            <w:vAlign w:val="bottom"/>
          </w:tcPr>
          <w:p w14:paraId="5B1C1E33" w14:textId="2A329C87" w:rsidR="00FC5FEE" w:rsidRPr="003D4B91" w:rsidRDefault="008B3105" w:rsidP="00FC5FEE">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Trinh Thi Thu Thuy</w:t>
            </w:r>
          </w:p>
        </w:tc>
        <w:tc>
          <w:tcPr>
            <w:tcW w:w="4540" w:type="dxa"/>
            <w:vAlign w:val="bottom"/>
          </w:tcPr>
          <w:p w14:paraId="60BF81A9" w14:textId="6DCE8857" w:rsidR="00FC5FEE" w:rsidRPr="003D4B91" w:rsidRDefault="008B3105" w:rsidP="00FC5FEE">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 xml:space="preserve">Standing Committee </w:t>
            </w:r>
            <w:r w:rsidR="00204C74" w:rsidRPr="003D4B91">
              <w:rPr>
                <w:rFonts w:ascii="Aptos" w:eastAsia="Times New Roman" w:hAnsi="Aptos" w:cs="Times New Roman"/>
                <w:color w:val="000000"/>
                <w:kern w:val="0"/>
                <w:sz w:val="16"/>
                <w:szCs w:val="16"/>
                <w:lang w:eastAsia="en-AU"/>
                <w14:ligatures w14:val="none"/>
              </w:rPr>
              <w:t>Member,</w:t>
            </w:r>
            <w:r w:rsidRPr="003D4B91">
              <w:rPr>
                <w:rFonts w:ascii="Aptos" w:eastAsia="Times New Roman" w:hAnsi="Aptos" w:cs="Times New Roman"/>
                <w:color w:val="000000"/>
                <w:kern w:val="0"/>
                <w:sz w:val="16"/>
                <w:szCs w:val="16"/>
                <w:lang w:eastAsia="en-AU"/>
                <w14:ligatures w14:val="none"/>
              </w:rPr>
              <w:t xml:space="preserve"> Hanoi Association of Persons with Disabilities (DP Hanoi)</w:t>
            </w:r>
          </w:p>
        </w:tc>
        <w:tc>
          <w:tcPr>
            <w:tcW w:w="1140" w:type="dxa"/>
            <w:vAlign w:val="bottom"/>
          </w:tcPr>
          <w:p w14:paraId="2DDE2941" w14:textId="4D831502" w:rsidR="00FC5FEE" w:rsidRPr="003D4B91" w:rsidRDefault="008B3105" w:rsidP="00FC5FEE">
            <w:pPr>
              <w:spacing w:after="0" w:line="240" w:lineRule="auto"/>
              <w:jc w:val="right"/>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14 Nov 2025</w:t>
            </w:r>
          </w:p>
        </w:tc>
      </w:tr>
      <w:tr w:rsidR="00FC5FEE" w:rsidRPr="003D4B91" w14:paraId="181A5BD6" w14:textId="77777777" w:rsidTr="00156392">
        <w:trPr>
          <w:trHeight w:val="285"/>
        </w:trPr>
        <w:tc>
          <w:tcPr>
            <w:tcW w:w="1120" w:type="dxa"/>
            <w:vAlign w:val="bottom"/>
          </w:tcPr>
          <w:p w14:paraId="6B5C20B7" w14:textId="281989C8" w:rsidR="00FC5FEE" w:rsidRPr="003D4B91" w:rsidRDefault="008B3105" w:rsidP="00FC5FEE">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Viet Nam</w:t>
            </w:r>
          </w:p>
        </w:tc>
        <w:tc>
          <w:tcPr>
            <w:tcW w:w="1900" w:type="dxa"/>
            <w:vAlign w:val="bottom"/>
          </w:tcPr>
          <w:p w14:paraId="486002B8" w14:textId="680A40A6" w:rsidR="00FC5FEE" w:rsidRPr="003D4B91" w:rsidRDefault="008B3105" w:rsidP="00FC5FEE">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 xml:space="preserve">Nguyen Cao </w:t>
            </w:r>
            <w:proofErr w:type="spellStart"/>
            <w:r w:rsidRPr="003D4B91">
              <w:rPr>
                <w:rFonts w:ascii="Aptos" w:eastAsia="Times New Roman" w:hAnsi="Aptos" w:cs="Times New Roman"/>
                <w:color w:val="000000"/>
                <w:kern w:val="0"/>
                <w:sz w:val="16"/>
                <w:szCs w:val="16"/>
                <w:lang w:eastAsia="en-AU"/>
                <w14:ligatures w14:val="none"/>
              </w:rPr>
              <w:t>Lanh</w:t>
            </w:r>
            <w:proofErr w:type="spellEnd"/>
          </w:p>
        </w:tc>
        <w:tc>
          <w:tcPr>
            <w:tcW w:w="4540" w:type="dxa"/>
            <w:vAlign w:val="bottom"/>
          </w:tcPr>
          <w:p w14:paraId="26551899" w14:textId="763C8034" w:rsidR="00FC5FEE" w:rsidRPr="003D4B91" w:rsidRDefault="008B3105" w:rsidP="00FC5FEE">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Dean of the Faculty of Architecture and Planning, Hanoi University of Civil Engineering</w:t>
            </w:r>
          </w:p>
        </w:tc>
        <w:tc>
          <w:tcPr>
            <w:tcW w:w="1140" w:type="dxa"/>
            <w:vAlign w:val="bottom"/>
          </w:tcPr>
          <w:p w14:paraId="299D7190" w14:textId="6EFB0602" w:rsidR="00FC5FEE" w:rsidRPr="003D4B91" w:rsidRDefault="008B3105" w:rsidP="00FC5FEE">
            <w:pPr>
              <w:spacing w:after="0" w:line="240" w:lineRule="auto"/>
              <w:jc w:val="right"/>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14 Nov 2025</w:t>
            </w:r>
          </w:p>
        </w:tc>
      </w:tr>
      <w:tr w:rsidR="00FC5FEE" w:rsidRPr="003D4B91" w14:paraId="04D95D4C" w14:textId="77777777" w:rsidTr="00156392">
        <w:trPr>
          <w:trHeight w:val="285"/>
        </w:trPr>
        <w:tc>
          <w:tcPr>
            <w:tcW w:w="1120" w:type="dxa"/>
            <w:vAlign w:val="bottom"/>
          </w:tcPr>
          <w:p w14:paraId="4641CEE6" w14:textId="2027ACA1" w:rsidR="00FC5FEE" w:rsidRPr="003D4B91" w:rsidRDefault="008B3105" w:rsidP="00FC5FEE">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DFAT</w:t>
            </w:r>
          </w:p>
        </w:tc>
        <w:tc>
          <w:tcPr>
            <w:tcW w:w="1900" w:type="dxa"/>
            <w:vAlign w:val="bottom"/>
          </w:tcPr>
          <w:p w14:paraId="65AB2332" w14:textId="59ED154A" w:rsidR="00FC5FEE" w:rsidRPr="003D4B91" w:rsidRDefault="008B3105" w:rsidP="00FC5FEE">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Sibella Stern</w:t>
            </w:r>
          </w:p>
        </w:tc>
        <w:tc>
          <w:tcPr>
            <w:tcW w:w="4540" w:type="dxa"/>
            <w:vAlign w:val="bottom"/>
          </w:tcPr>
          <w:p w14:paraId="7172269A" w14:textId="2B0F9FD9" w:rsidR="00FC5FEE" w:rsidRPr="003D4B91" w:rsidRDefault="008B3105" w:rsidP="00FC5FEE">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First Secretary, Development, DFAT Thailand</w:t>
            </w:r>
          </w:p>
        </w:tc>
        <w:tc>
          <w:tcPr>
            <w:tcW w:w="1140" w:type="dxa"/>
            <w:vAlign w:val="bottom"/>
          </w:tcPr>
          <w:p w14:paraId="433FE24C" w14:textId="1961DC7D" w:rsidR="00FC5FEE" w:rsidRPr="003D4B91" w:rsidRDefault="008B3105" w:rsidP="00FC5FEE">
            <w:pPr>
              <w:spacing w:after="0" w:line="240" w:lineRule="auto"/>
              <w:jc w:val="right"/>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27 Oct 2025</w:t>
            </w:r>
          </w:p>
        </w:tc>
      </w:tr>
      <w:tr w:rsidR="00FC5FEE" w:rsidRPr="003D4B91" w14:paraId="291CC12C" w14:textId="77777777" w:rsidTr="00156392">
        <w:trPr>
          <w:trHeight w:val="285"/>
        </w:trPr>
        <w:tc>
          <w:tcPr>
            <w:tcW w:w="1120" w:type="dxa"/>
            <w:vAlign w:val="bottom"/>
          </w:tcPr>
          <w:p w14:paraId="21DCDE5D" w14:textId="6998993C" w:rsidR="00FC5FEE" w:rsidRPr="003D4B91" w:rsidRDefault="00CC77CF" w:rsidP="00FC5FEE">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DFAT</w:t>
            </w:r>
          </w:p>
        </w:tc>
        <w:tc>
          <w:tcPr>
            <w:tcW w:w="1900" w:type="dxa"/>
            <w:vAlign w:val="bottom"/>
          </w:tcPr>
          <w:p w14:paraId="314B60A4" w14:textId="597EEA2F" w:rsidR="00FC5FEE" w:rsidRPr="003D4B91" w:rsidRDefault="008B3105" w:rsidP="00FC5FEE">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Hannah Lee</w:t>
            </w:r>
          </w:p>
        </w:tc>
        <w:tc>
          <w:tcPr>
            <w:tcW w:w="4540" w:type="dxa"/>
            <w:vAlign w:val="bottom"/>
          </w:tcPr>
          <w:p w14:paraId="33C738AA" w14:textId="568AE2C4" w:rsidR="00FC5FEE" w:rsidRPr="003D4B91" w:rsidRDefault="008B3105" w:rsidP="00FC5FEE">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Gender Equality Advisor, DFAT Lao</w:t>
            </w:r>
            <w:r w:rsidR="00CC77CF" w:rsidRPr="003D4B91">
              <w:rPr>
                <w:rFonts w:ascii="Aptos" w:eastAsia="Times New Roman" w:hAnsi="Aptos" w:cs="Times New Roman"/>
                <w:color w:val="000000"/>
                <w:kern w:val="0"/>
                <w:sz w:val="16"/>
                <w:szCs w:val="16"/>
                <w:lang w:eastAsia="en-AU"/>
                <w14:ligatures w14:val="none"/>
              </w:rPr>
              <w:t>s</w:t>
            </w:r>
          </w:p>
        </w:tc>
        <w:tc>
          <w:tcPr>
            <w:tcW w:w="1140" w:type="dxa"/>
            <w:vAlign w:val="bottom"/>
          </w:tcPr>
          <w:p w14:paraId="7CD5975D" w14:textId="0089CC71" w:rsidR="00FC5FEE" w:rsidRPr="003D4B91" w:rsidRDefault="008B3105" w:rsidP="00FC5FEE">
            <w:pPr>
              <w:spacing w:after="0" w:line="240" w:lineRule="auto"/>
              <w:jc w:val="right"/>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3 Nov 2025</w:t>
            </w:r>
          </w:p>
        </w:tc>
      </w:tr>
      <w:tr w:rsidR="008B3105" w:rsidRPr="003D4B91" w14:paraId="47481AB2" w14:textId="77777777" w:rsidTr="00962124">
        <w:trPr>
          <w:trHeight w:val="285"/>
        </w:trPr>
        <w:tc>
          <w:tcPr>
            <w:tcW w:w="1120" w:type="dxa"/>
            <w:vAlign w:val="bottom"/>
          </w:tcPr>
          <w:p w14:paraId="3885EE6F" w14:textId="4802A269" w:rsidR="008B3105" w:rsidRPr="003D4B91" w:rsidRDefault="00CC77CF" w:rsidP="00FC5FEE">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DFAT</w:t>
            </w:r>
          </w:p>
        </w:tc>
        <w:tc>
          <w:tcPr>
            <w:tcW w:w="1900" w:type="dxa"/>
            <w:vAlign w:val="bottom"/>
          </w:tcPr>
          <w:p w14:paraId="0518F9A9" w14:textId="680DE85E" w:rsidR="008B3105" w:rsidRPr="003D4B91" w:rsidRDefault="008B3105" w:rsidP="008B3105">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James Morschel</w:t>
            </w:r>
          </w:p>
        </w:tc>
        <w:tc>
          <w:tcPr>
            <w:tcW w:w="4540" w:type="dxa"/>
            <w:vAlign w:val="bottom"/>
          </w:tcPr>
          <w:p w14:paraId="2A2E7A00" w14:textId="4107DAE4" w:rsidR="008B3105" w:rsidRPr="003D4B91" w:rsidRDefault="008B3105" w:rsidP="00FC5FEE">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First Secretary Water, Energy, Climate and Mekong, DFAT Laos</w:t>
            </w:r>
          </w:p>
        </w:tc>
        <w:tc>
          <w:tcPr>
            <w:tcW w:w="1140" w:type="dxa"/>
            <w:vAlign w:val="bottom"/>
          </w:tcPr>
          <w:p w14:paraId="540B0EEA" w14:textId="2A0340D6" w:rsidR="008B3105" w:rsidRPr="003D4B91" w:rsidRDefault="008B3105" w:rsidP="00FC5FEE">
            <w:pPr>
              <w:spacing w:after="0" w:line="240" w:lineRule="auto"/>
              <w:jc w:val="right"/>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3 Nov 2025</w:t>
            </w:r>
          </w:p>
        </w:tc>
      </w:tr>
      <w:tr w:rsidR="008B3105" w:rsidRPr="003D4B91" w14:paraId="6423F3AD" w14:textId="77777777" w:rsidTr="00962124">
        <w:trPr>
          <w:trHeight w:val="285"/>
        </w:trPr>
        <w:tc>
          <w:tcPr>
            <w:tcW w:w="1120" w:type="dxa"/>
            <w:vAlign w:val="bottom"/>
          </w:tcPr>
          <w:p w14:paraId="192A2901" w14:textId="3733B563" w:rsidR="008B3105" w:rsidRPr="003D4B91" w:rsidRDefault="00CC77CF" w:rsidP="00FC5FEE">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DFAT</w:t>
            </w:r>
          </w:p>
        </w:tc>
        <w:tc>
          <w:tcPr>
            <w:tcW w:w="1900" w:type="dxa"/>
            <w:vAlign w:val="bottom"/>
          </w:tcPr>
          <w:p w14:paraId="0173DA58" w14:textId="4EDC626C" w:rsidR="008B3105" w:rsidRPr="003D4B91" w:rsidRDefault="00CC77CF" w:rsidP="008B3105">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Tatcha Apichaisiri</w:t>
            </w:r>
          </w:p>
        </w:tc>
        <w:tc>
          <w:tcPr>
            <w:tcW w:w="4540" w:type="dxa"/>
            <w:vAlign w:val="bottom"/>
          </w:tcPr>
          <w:p w14:paraId="548C0050" w14:textId="5E2FD983" w:rsidR="008B3105" w:rsidRPr="003D4B91" w:rsidRDefault="00CC77CF" w:rsidP="00FC5FEE">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MEL, DFAT Thailand</w:t>
            </w:r>
          </w:p>
        </w:tc>
        <w:tc>
          <w:tcPr>
            <w:tcW w:w="1140" w:type="dxa"/>
            <w:vAlign w:val="bottom"/>
          </w:tcPr>
          <w:p w14:paraId="19F4EC8F" w14:textId="53CE770C" w:rsidR="008B3105" w:rsidRPr="003D4B91" w:rsidRDefault="00CC77CF" w:rsidP="00FC5FEE">
            <w:pPr>
              <w:spacing w:after="0" w:line="240" w:lineRule="auto"/>
              <w:jc w:val="right"/>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4 Nov 2025</w:t>
            </w:r>
          </w:p>
        </w:tc>
      </w:tr>
      <w:tr w:rsidR="008B3105" w:rsidRPr="003D4B91" w14:paraId="1590F85C" w14:textId="77777777" w:rsidTr="00962124">
        <w:trPr>
          <w:trHeight w:val="285"/>
        </w:trPr>
        <w:tc>
          <w:tcPr>
            <w:tcW w:w="1120" w:type="dxa"/>
            <w:vAlign w:val="bottom"/>
          </w:tcPr>
          <w:p w14:paraId="7AE14104" w14:textId="361134C4" w:rsidR="008B3105" w:rsidRPr="003D4B91" w:rsidRDefault="00CC77CF" w:rsidP="00FC5FEE">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DFAT</w:t>
            </w:r>
          </w:p>
        </w:tc>
        <w:tc>
          <w:tcPr>
            <w:tcW w:w="1900" w:type="dxa"/>
            <w:vAlign w:val="bottom"/>
          </w:tcPr>
          <w:p w14:paraId="2E882B6B" w14:textId="2B440C71" w:rsidR="008B3105" w:rsidRPr="003D4B91" w:rsidRDefault="00CC77CF" w:rsidP="008B3105">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Rutmanee Ongsakul</w:t>
            </w:r>
          </w:p>
        </w:tc>
        <w:tc>
          <w:tcPr>
            <w:tcW w:w="4540" w:type="dxa"/>
            <w:vAlign w:val="bottom"/>
          </w:tcPr>
          <w:p w14:paraId="38F6702D" w14:textId="20082785" w:rsidR="008B3105" w:rsidRPr="003D4B91" w:rsidRDefault="00CC77CF" w:rsidP="00FC5FEE">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Senior Program Manager (Development), DFAT Thailand</w:t>
            </w:r>
          </w:p>
        </w:tc>
        <w:tc>
          <w:tcPr>
            <w:tcW w:w="1140" w:type="dxa"/>
            <w:vAlign w:val="bottom"/>
          </w:tcPr>
          <w:p w14:paraId="613A530D" w14:textId="7674E184" w:rsidR="008B3105" w:rsidRPr="003D4B91" w:rsidRDefault="00CC77CF" w:rsidP="00FC5FEE">
            <w:pPr>
              <w:spacing w:after="0" w:line="240" w:lineRule="auto"/>
              <w:jc w:val="right"/>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4 Nov 2025</w:t>
            </w:r>
          </w:p>
        </w:tc>
      </w:tr>
      <w:tr w:rsidR="008B3105" w:rsidRPr="003D4B91" w14:paraId="6DB1805C" w14:textId="77777777" w:rsidTr="00962124">
        <w:trPr>
          <w:trHeight w:val="285"/>
        </w:trPr>
        <w:tc>
          <w:tcPr>
            <w:tcW w:w="1120" w:type="dxa"/>
            <w:vAlign w:val="bottom"/>
          </w:tcPr>
          <w:p w14:paraId="0804B5FB" w14:textId="7694BE68" w:rsidR="008B3105" w:rsidRPr="003D4B91" w:rsidRDefault="00CC77CF" w:rsidP="00CC77CF">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DFAT</w:t>
            </w:r>
          </w:p>
        </w:tc>
        <w:tc>
          <w:tcPr>
            <w:tcW w:w="1900" w:type="dxa"/>
            <w:vAlign w:val="bottom"/>
          </w:tcPr>
          <w:p w14:paraId="37C6134F" w14:textId="04815B26" w:rsidR="008B3105" w:rsidRPr="003D4B91" w:rsidRDefault="00CC77CF" w:rsidP="008B3105">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Sarah Law</w:t>
            </w:r>
          </w:p>
        </w:tc>
        <w:tc>
          <w:tcPr>
            <w:tcW w:w="4540" w:type="dxa"/>
            <w:vAlign w:val="bottom"/>
          </w:tcPr>
          <w:p w14:paraId="44DF8F39" w14:textId="4A79A282" w:rsidR="008B3105" w:rsidRPr="003D4B91" w:rsidRDefault="00CC77CF" w:rsidP="00FC5FEE">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Second Secretary, DFAT Cambodia</w:t>
            </w:r>
          </w:p>
        </w:tc>
        <w:tc>
          <w:tcPr>
            <w:tcW w:w="1140" w:type="dxa"/>
            <w:vAlign w:val="bottom"/>
          </w:tcPr>
          <w:p w14:paraId="4F864929" w14:textId="1296C063" w:rsidR="008B3105" w:rsidRPr="003D4B91" w:rsidRDefault="00CC77CF" w:rsidP="00FC5FEE">
            <w:pPr>
              <w:spacing w:after="0" w:line="240" w:lineRule="auto"/>
              <w:jc w:val="right"/>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10 Nov 2025</w:t>
            </w:r>
          </w:p>
        </w:tc>
      </w:tr>
      <w:tr w:rsidR="00FC5FEE" w:rsidRPr="003D4B91" w14:paraId="3AB7707C" w14:textId="77777777" w:rsidTr="00962124">
        <w:trPr>
          <w:trHeight w:val="285"/>
        </w:trPr>
        <w:tc>
          <w:tcPr>
            <w:tcW w:w="1120" w:type="dxa"/>
            <w:vAlign w:val="bottom"/>
          </w:tcPr>
          <w:p w14:paraId="4F2B8E86" w14:textId="3129887F" w:rsidR="00FC5FEE" w:rsidRPr="003D4B91" w:rsidRDefault="00CC77CF" w:rsidP="00CC77CF">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DFAT</w:t>
            </w:r>
          </w:p>
        </w:tc>
        <w:tc>
          <w:tcPr>
            <w:tcW w:w="1900" w:type="dxa"/>
            <w:vAlign w:val="bottom"/>
          </w:tcPr>
          <w:p w14:paraId="550786D7" w14:textId="3AC4CDA6" w:rsidR="00FC5FEE" w:rsidRPr="003D4B91" w:rsidRDefault="00CC77CF" w:rsidP="008B3105">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Kang Sin</w:t>
            </w:r>
          </w:p>
        </w:tc>
        <w:tc>
          <w:tcPr>
            <w:tcW w:w="4540" w:type="dxa"/>
            <w:vAlign w:val="bottom"/>
          </w:tcPr>
          <w:p w14:paraId="1CCCCFFB" w14:textId="237E301C" w:rsidR="00FC5FEE" w:rsidRPr="003D4B91" w:rsidRDefault="00CC77CF" w:rsidP="00FC5FEE">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Senior Program Manager, DFAT Cambodia</w:t>
            </w:r>
          </w:p>
        </w:tc>
        <w:tc>
          <w:tcPr>
            <w:tcW w:w="1140" w:type="dxa"/>
            <w:vAlign w:val="bottom"/>
          </w:tcPr>
          <w:p w14:paraId="78539CE8" w14:textId="795A9CB9" w:rsidR="00FC5FEE" w:rsidRPr="003D4B91" w:rsidRDefault="00CC77CF" w:rsidP="00FC5FEE">
            <w:pPr>
              <w:spacing w:after="0" w:line="240" w:lineRule="auto"/>
              <w:jc w:val="right"/>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10 Nov 2025</w:t>
            </w:r>
          </w:p>
        </w:tc>
      </w:tr>
      <w:tr w:rsidR="00FC5FEE" w:rsidRPr="003D4B91" w14:paraId="66B2FF2B" w14:textId="77777777" w:rsidTr="00962124">
        <w:trPr>
          <w:trHeight w:val="285"/>
        </w:trPr>
        <w:tc>
          <w:tcPr>
            <w:tcW w:w="1120" w:type="dxa"/>
            <w:vAlign w:val="bottom"/>
          </w:tcPr>
          <w:p w14:paraId="2A6316CC" w14:textId="396E52D5" w:rsidR="00FC5FEE" w:rsidRPr="003D4B91" w:rsidRDefault="00CC77CF" w:rsidP="00CC77CF">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DFAT</w:t>
            </w:r>
          </w:p>
        </w:tc>
        <w:tc>
          <w:tcPr>
            <w:tcW w:w="1900" w:type="dxa"/>
            <w:vAlign w:val="bottom"/>
          </w:tcPr>
          <w:p w14:paraId="366E4A1B" w14:textId="77E67E9C" w:rsidR="00FC5FEE" w:rsidRPr="003D4B91" w:rsidRDefault="00CC77CF" w:rsidP="008B3105">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Linh Nguyen</w:t>
            </w:r>
          </w:p>
        </w:tc>
        <w:tc>
          <w:tcPr>
            <w:tcW w:w="4540" w:type="dxa"/>
            <w:vAlign w:val="bottom"/>
          </w:tcPr>
          <w:p w14:paraId="401DB7EA" w14:textId="28219EC4" w:rsidR="00FC5FEE" w:rsidRPr="003D4B91" w:rsidRDefault="00CC77CF" w:rsidP="00CC77CF">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Senior Aid Policy &amp; Program Manager (Mekong) Development, DFAT Vietnam</w:t>
            </w:r>
          </w:p>
        </w:tc>
        <w:tc>
          <w:tcPr>
            <w:tcW w:w="1140" w:type="dxa"/>
            <w:vAlign w:val="bottom"/>
          </w:tcPr>
          <w:p w14:paraId="4F255822" w14:textId="522D38A1" w:rsidR="00FC5FEE" w:rsidRPr="003D4B91" w:rsidRDefault="00CC77CF" w:rsidP="00CC77CF">
            <w:pPr>
              <w:spacing w:after="0" w:line="240" w:lineRule="auto"/>
              <w:jc w:val="right"/>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14 Nov 2025</w:t>
            </w:r>
          </w:p>
        </w:tc>
      </w:tr>
      <w:tr w:rsidR="00FC5FEE" w:rsidRPr="003D4B91" w14:paraId="11685811" w14:textId="77777777" w:rsidTr="00962124">
        <w:trPr>
          <w:trHeight w:val="285"/>
        </w:trPr>
        <w:tc>
          <w:tcPr>
            <w:tcW w:w="1120" w:type="dxa"/>
            <w:vAlign w:val="bottom"/>
          </w:tcPr>
          <w:p w14:paraId="7BF40742" w14:textId="465BABD2" w:rsidR="00FC5FEE" w:rsidRPr="003D4B91" w:rsidRDefault="00CC77CF" w:rsidP="00CC77CF">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DFAT</w:t>
            </w:r>
          </w:p>
        </w:tc>
        <w:tc>
          <w:tcPr>
            <w:tcW w:w="1900" w:type="dxa"/>
            <w:vAlign w:val="bottom"/>
          </w:tcPr>
          <w:p w14:paraId="5BC76BBB" w14:textId="2080487C" w:rsidR="00FC5FEE" w:rsidRPr="003D4B91" w:rsidRDefault="00CC77CF" w:rsidP="008B3105">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John Dore</w:t>
            </w:r>
          </w:p>
        </w:tc>
        <w:tc>
          <w:tcPr>
            <w:tcW w:w="4540" w:type="dxa"/>
            <w:vAlign w:val="bottom"/>
          </w:tcPr>
          <w:p w14:paraId="2D13D708" w14:textId="77777777" w:rsidR="00CC77CF" w:rsidRPr="003D4B91" w:rsidRDefault="00CC77CF" w:rsidP="00CC77CF">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 xml:space="preserve">DFAT Lead Specialist, Climate Resilience and Water Security </w:t>
            </w:r>
          </w:p>
          <w:p w14:paraId="0C7CCF69" w14:textId="4F0F629F" w:rsidR="00FC5FEE" w:rsidRPr="003D4B91" w:rsidRDefault="00CC77CF" w:rsidP="00CC77CF">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Climate Diplomacy and Development Finance Division; DFAT Lead Advisor, Mekong-Australia Partnership, Water-Energy-Climate Office of Southeast Asia</w:t>
            </w:r>
          </w:p>
        </w:tc>
        <w:tc>
          <w:tcPr>
            <w:tcW w:w="1140" w:type="dxa"/>
            <w:vAlign w:val="bottom"/>
          </w:tcPr>
          <w:p w14:paraId="2B2DA6E5" w14:textId="04295EF7" w:rsidR="00FC5FEE" w:rsidRPr="003D4B91" w:rsidRDefault="00CC77CF" w:rsidP="00CC77CF">
            <w:pPr>
              <w:spacing w:after="0" w:line="240" w:lineRule="auto"/>
              <w:jc w:val="right"/>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17 Nov 2025</w:t>
            </w:r>
          </w:p>
        </w:tc>
      </w:tr>
      <w:tr w:rsidR="00FC5FEE" w:rsidRPr="003D4B91" w14:paraId="7DE94C77" w14:textId="77777777" w:rsidTr="00962124">
        <w:trPr>
          <w:trHeight w:val="285"/>
        </w:trPr>
        <w:tc>
          <w:tcPr>
            <w:tcW w:w="1120" w:type="dxa"/>
            <w:vAlign w:val="bottom"/>
          </w:tcPr>
          <w:p w14:paraId="6B07327B" w14:textId="41668A85" w:rsidR="00FC5FEE" w:rsidRPr="003D4B91" w:rsidRDefault="00CC77CF" w:rsidP="00CC77CF">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RUCaS</w:t>
            </w:r>
          </w:p>
        </w:tc>
        <w:tc>
          <w:tcPr>
            <w:tcW w:w="1900" w:type="dxa"/>
            <w:vAlign w:val="bottom"/>
          </w:tcPr>
          <w:p w14:paraId="0E287C44" w14:textId="50AED7B0" w:rsidR="00FC5FEE" w:rsidRPr="003D4B91" w:rsidRDefault="00CC77CF" w:rsidP="008B3105">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Kien Nguyen</w:t>
            </w:r>
          </w:p>
        </w:tc>
        <w:tc>
          <w:tcPr>
            <w:tcW w:w="4540" w:type="dxa"/>
            <w:vAlign w:val="bottom"/>
          </w:tcPr>
          <w:p w14:paraId="4233FF9D" w14:textId="4E0599C5" w:rsidR="00FC5FEE" w:rsidRPr="003D4B91" w:rsidRDefault="00CC77CF" w:rsidP="00CC77CF">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GEDSI Lead, WSCA</w:t>
            </w:r>
          </w:p>
        </w:tc>
        <w:tc>
          <w:tcPr>
            <w:tcW w:w="1140" w:type="dxa"/>
            <w:vAlign w:val="bottom"/>
          </w:tcPr>
          <w:p w14:paraId="5FE20BBD" w14:textId="7E06C87A" w:rsidR="00FC5FEE" w:rsidRPr="003D4B91" w:rsidRDefault="00CC77CF" w:rsidP="00CC77CF">
            <w:pPr>
              <w:spacing w:after="0" w:line="240" w:lineRule="auto"/>
              <w:jc w:val="right"/>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30 Oct 2025</w:t>
            </w:r>
          </w:p>
        </w:tc>
      </w:tr>
      <w:tr w:rsidR="00FC5FEE" w:rsidRPr="003D4B91" w14:paraId="1FCD43C9" w14:textId="77777777" w:rsidTr="00962124">
        <w:trPr>
          <w:trHeight w:val="285"/>
        </w:trPr>
        <w:tc>
          <w:tcPr>
            <w:tcW w:w="1120" w:type="dxa"/>
            <w:vAlign w:val="bottom"/>
          </w:tcPr>
          <w:p w14:paraId="7A276644" w14:textId="158E3DD1" w:rsidR="00FC5FEE" w:rsidRPr="003D4B91" w:rsidRDefault="00985633" w:rsidP="00CC77CF">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RUCaS</w:t>
            </w:r>
          </w:p>
        </w:tc>
        <w:tc>
          <w:tcPr>
            <w:tcW w:w="1900" w:type="dxa"/>
            <w:vAlign w:val="bottom"/>
          </w:tcPr>
          <w:p w14:paraId="548B346A" w14:textId="3FAA929B" w:rsidR="00FC5FEE" w:rsidRPr="003D4B91" w:rsidRDefault="00CC77CF" w:rsidP="008B3105">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Jianbin Wang</w:t>
            </w:r>
          </w:p>
        </w:tc>
        <w:tc>
          <w:tcPr>
            <w:tcW w:w="4540" w:type="dxa"/>
            <w:vAlign w:val="bottom"/>
          </w:tcPr>
          <w:p w14:paraId="7B66AE21" w14:textId="3BBEB37B" w:rsidR="00FC5FEE" w:rsidRPr="003D4B91" w:rsidRDefault="00CC77CF" w:rsidP="00CC77CF">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Chief Innovation Officer, WSCA</w:t>
            </w:r>
          </w:p>
        </w:tc>
        <w:tc>
          <w:tcPr>
            <w:tcW w:w="1140" w:type="dxa"/>
            <w:vAlign w:val="bottom"/>
          </w:tcPr>
          <w:p w14:paraId="2D333036" w14:textId="5A7114ED" w:rsidR="00FC5FEE" w:rsidRPr="003D4B91" w:rsidRDefault="00CC77CF" w:rsidP="00CC77CF">
            <w:pPr>
              <w:spacing w:after="0" w:line="240" w:lineRule="auto"/>
              <w:jc w:val="right"/>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31 Oct 2025</w:t>
            </w:r>
          </w:p>
        </w:tc>
      </w:tr>
      <w:tr w:rsidR="00FC5FEE" w:rsidRPr="003D4B91" w14:paraId="16679B60" w14:textId="77777777" w:rsidTr="00962124">
        <w:trPr>
          <w:trHeight w:val="285"/>
        </w:trPr>
        <w:tc>
          <w:tcPr>
            <w:tcW w:w="1120" w:type="dxa"/>
            <w:vAlign w:val="bottom"/>
          </w:tcPr>
          <w:p w14:paraId="20AE4A64" w14:textId="47B926AB" w:rsidR="00FC5FEE" w:rsidRPr="003D4B91" w:rsidRDefault="00985633" w:rsidP="00CC77CF">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RUCaS</w:t>
            </w:r>
          </w:p>
        </w:tc>
        <w:tc>
          <w:tcPr>
            <w:tcW w:w="1900" w:type="dxa"/>
            <w:vAlign w:val="bottom"/>
          </w:tcPr>
          <w:p w14:paraId="5968A609" w14:textId="670520C3" w:rsidR="00FC5FEE" w:rsidRPr="003D4B91" w:rsidRDefault="00CC77CF" w:rsidP="008B3105">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Lalita Rammont</w:t>
            </w:r>
          </w:p>
        </w:tc>
        <w:tc>
          <w:tcPr>
            <w:tcW w:w="4540" w:type="dxa"/>
            <w:vAlign w:val="bottom"/>
          </w:tcPr>
          <w:p w14:paraId="1EB67A98" w14:textId="38F52A9F" w:rsidR="00FC5FEE" w:rsidRPr="003D4B91" w:rsidRDefault="00CC77CF" w:rsidP="00CC77CF">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Partnership Manager, RUCaS Thailand</w:t>
            </w:r>
          </w:p>
        </w:tc>
        <w:tc>
          <w:tcPr>
            <w:tcW w:w="1140" w:type="dxa"/>
            <w:vAlign w:val="bottom"/>
          </w:tcPr>
          <w:p w14:paraId="5989CC18" w14:textId="3D1A94C1" w:rsidR="00FC5FEE" w:rsidRPr="003D4B91" w:rsidRDefault="00CC77CF" w:rsidP="00CC77CF">
            <w:pPr>
              <w:spacing w:after="0" w:line="240" w:lineRule="auto"/>
              <w:jc w:val="right"/>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6 Nov 2025</w:t>
            </w:r>
          </w:p>
        </w:tc>
      </w:tr>
      <w:tr w:rsidR="00FC5FEE" w:rsidRPr="003D4B91" w14:paraId="386CA465" w14:textId="77777777" w:rsidTr="00962124">
        <w:trPr>
          <w:trHeight w:val="285"/>
        </w:trPr>
        <w:tc>
          <w:tcPr>
            <w:tcW w:w="1120" w:type="dxa"/>
            <w:vAlign w:val="bottom"/>
          </w:tcPr>
          <w:p w14:paraId="1FC05F82" w14:textId="12CEA56C" w:rsidR="00FC5FEE" w:rsidRPr="003D4B91" w:rsidRDefault="00985633" w:rsidP="00CC77CF">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RUCaS</w:t>
            </w:r>
          </w:p>
        </w:tc>
        <w:tc>
          <w:tcPr>
            <w:tcW w:w="1900" w:type="dxa"/>
            <w:vAlign w:val="bottom"/>
          </w:tcPr>
          <w:p w14:paraId="321CC975" w14:textId="6D5D2B34" w:rsidR="00FC5FEE" w:rsidRPr="003D4B91" w:rsidRDefault="00CC77CF" w:rsidP="008B3105">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Teak Seng</w:t>
            </w:r>
          </w:p>
        </w:tc>
        <w:tc>
          <w:tcPr>
            <w:tcW w:w="4540" w:type="dxa"/>
            <w:vAlign w:val="bottom"/>
          </w:tcPr>
          <w:p w14:paraId="15694F12" w14:textId="2841B2AE" w:rsidR="00FC5FEE" w:rsidRPr="003D4B91" w:rsidRDefault="00CC77CF" w:rsidP="00CC77CF">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Partnership Manager, RUCaS Cambodia</w:t>
            </w:r>
          </w:p>
        </w:tc>
        <w:tc>
          <w:tcPr>
            <w:tcW w:w="1140" w:type="dxa"/>
            <w:vAlign w:val="bottom"/>
          </w:tcPr>
          <w:p w14:paraId="040B168C" w14:textId="3636F151" w:rsidR="00FC5FEE" w:rsidRPr="003D4B91" w:rsidRDefault="00CC77CF" w:rsidP="00CC77CF">
            <w:pPr>
              <w:spacing w:after="0" w:line="240" w:lineRule="auto"/>
              <w:jc w:val="right"/>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10 Nov 2025</w:t>
            </w:r>
          </w:p>
        </w:tc>
      </w:tr>
      <w:tr w:rsidR="00FC5FEE" w:rsidRPr="003D4B91" w14:paraId="66A8B447" w14:textId="77777777" w:rsidTr="00962124">
        <w:trPr>
          <w:trHeight w:val="285"/>
        </w:trPr>
        <w:tc>
          <w:tcPr>
            <w:tcW w:w="1120" w:type="dxa"/>
            <w:vAlign w:val="bottom"/>
          </w:tcPr>
          <w:p w14:paraId="3AEB7EA0" w14:textId="4B9D18B3" w:rsidR="00FC5FEE" w:rsidRPr="003D4B91" w:rsidRDefault="00985633" w:rsidP="00CC77CF">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RUCaS</w:t>
            </w:r>
          </w:p>
        </w:tc>
        <w:tc>
          <w:tcPr>
            <w:tcW w:w="1900" w:type="dxa"/>
            <w:vAlign w:val="bottom"/>
          </w:tcPr>
          <w:p w14:paraId="776581FC" w14:textId="65551F54" w:rsidR="00FC5FEE" w:rsidRPr="003D4B91" w:rsidRDefault="00CC77CF" w:rsidP="008B3105">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Vuong Thu Huong</w:t>
            </w:r>
          </w:p>
        </w:tc>
        <w:tc>
          <w:tcPr>
            <w:tcW w:w="4540" w:type="dxa"/>
            <w:vAlign w:val="bottom"/>
          </w:tcPr>
          <w:p w14:paraId="0C3893CA" w14:textId="5B45F78B" w:rsidR="00FC5FEE" w:rsidRPr="003D4B91" w:rsidRDefault="00CC77CF" w:rsidP="00CC77CF">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National Coordinator, RUCaS Vietnam</w:t>
            </w:r>
          </w:p>
        </w:tc>
        <w:tc>
          <w:tcPr>
            <w:tcW w:w="1140" w:type="dxa"/>
            <w:vAlign w:val="bottom"/>
          </w:tcPr>
          <w:p w14:paraId="718A6DF1" w14:textId="3F6E45F9" w:rsidR="00FC5FEE" w:rsidRPr="003D4B91" w:rsidRDefault="00CC77CF" w:rsidP="00CC77CF">
            <w:pPr>
              <w:spacing w:after="0" w:line="240" w:lineRule="auto"/>
              <w:jc w:val="right"/>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14 Nov 2025</w:t>
            </w:r>
          </w:p>
        </w:tc>
      </w:tr>
      <w:tr w:rsidR="00CC77CF" w:rsidRPr="003D4B91" w14:paraId="1A90C44A" w14:textId="77777777" w:rsidTr="00962124">
        <w:trPr>
          <w:trHeight w:val="285"/>
        </w:trPr>
        <w:tc>
          <w:tcPr>
            <w:tcW w:w="1120" w:type="dxa"/>
            <w:vAlign w:val="bottom"/>
          </w:tcPr>
          <w:p w14:paraId="71190033" w14:textId="1E6FEFC2" w:rsidR="00CC77CF" w:rsidRPr="003D4B91" w:rsidRDefault="00985633" w:rsidP="00CC77CF">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RUCaS</w:t>
            </w:r>
          </w:p>
        </w:tc>
        <w:tc>
          <w:tcPr>
            <w:tcW w:w="1900" w:type="dxa"/>
            <w:vAlign w:val="bottom"/>
          </w:tcPr>
          <w:p w14:paraId="6729A0C2" w14:textId="4D653DD7" w:rsidR="00CC77CF" w:rsidRPr="003D4B91" w:rsidRDefault="00CC77CF" w:rsidP="00CC77CF">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 xml:space="preserve">Hung </w:t>
            </w:r>
            <w:proofErr w:type="spellStart"/>
            <w:r w:rsidRPr="003D4B91">
              <w:rPr>
                <w:rFonts w:ascii="Aptos" w:eastAsia="Times New Roman" w:hAnsi="Aptos" w:cs="Times New Roman"/>
                <w:color w:val="000000"/>
                <w:kern w:val="0"/>
                <w:sz w:val="16"/>
                <w:szCs w:val="16"/>
                <w:lang w:eastAsia="en-AU"/>
                <w14:ligatures w14:val="none"/>
              </w:rPr>
              <w:t>Tranviet</w:t>
            </w:r>
            <w:proofErr w:type="spellEnd"/>
          </w:p>
        </w:tc>
        <w:tc>
          <w:tcPr>
            <w:tcW w:w="4540" w:type="dxa"/>
            <w:vAlign w:val="bottom"/>
          </w:tcPr>
          <w:p w14:paraId="4309129C" w14:textId="6A6699D8" w:rsidR="00CC77CF" w:rsidRPr="003D4B91" w:rsidRDefault="00CC77CF" w:rsidP="00CC77CF">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Partnership Manager, RUCaS Vietnam</w:t>
            </w:r>
          </w:p>
        </w:tc>
        <w:tc>
          <w:tcPr>
            <w:tcW w:w="1140" w:type="dxa"/>
            <w:vAlign w:val="bottom"/>
          </w:tcPr>
          <w:p w14:paraId="4E1BC63C" w14:textId="09CE24EC" w:rsidR="00CC77CF" w:rsidRPr="003D4B91" w:rsidRDefault="00CC77CF" w:rsidP="00CC77CF">
            <w:pPr>
              <w:spacing w:after="0" w:line="240" w:lineRule="auto"/>
              <w:jc w:val="right"/>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14 Nov 2025</w:t>
            </w:r>
          </w:p>
        </w:tc>
      </w:tr>
      <w:tr w:rsidR="00EB155A" w:rsidRPr="003D4B91" w14:paraId="76B88318" w14:textId="77777777" w:rsidTr="00CC77CF">
        <w:trPr>
          <w:trHeight w:val="285"/>
        </w:trPr>
        <w:tc>
          <w:tcPr>
            <w:tcW w:w="1120" w:type="dxa"/>
            <w:vAlign w:val="bottom"/>
          </w:tcPr>
          <w:p w14:paraId="01BAC4BD" w14:textId="090E1A8B" w:rsidR="00EB155A" w:rsidRPr="003D4B91" w:rsidRDefault="00EB155A" w:rsidP="00EB155A">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RUCaS</w:t>
            </w:r>
          </w:p>
        </w:tc>
        <w:tc>
          <w:tcPr>
            <w:tcW w:w="1900" w:type="dxa"/>
            <w:vAlign w:val="bottom"/>
          </w:tcPr>
          <w:p w14:paraId="751A35F0" w14:textId="677BD729" w:rsidR="00EB155A" w:rsidRPr="003D4B91" w:rsidRDefault="00EB155A" w:rsidP="00EB155A">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Sam Dickens</w:t>
            </w:r>
          </w:p>
        </w:tc>
        <w:tc>
          <w:tcPr>
            <w:tcW w:w="4540" w:type="dxa"/>
            <w:vAlign w:val="bottom"/>
          </w:tcPr>
          <w:p w14:paraId="099429A3" w14:textId="14FA2593" w:rsidR="00EB155A" w:rsidRPr="003D4B91" w:rsidRDefault="00EB155A" w:rsidP="00EB155A">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RUCaS Regional Coordinator, International Centre for Environmental Management (ICEM)</w:t>
            </w:r>
          </w:p>
        </w:tc>
        <w:tc>
          <w:tcPr>
            <w:tcW w:w="1140" w:type="dxa"/>
            <w:vAlign w:val="bottom"/>
          </w:tcPr>
          <w:p w14:paraId="140DF68F" w14:textId="5B803E89" w:rsidR="00EB155A" w:rsidRPr="003D4B91" w:rsidRDefault="00EB155A" w:rsidP="00EB155A">
            <w:pPr>
              <w:spacing w:after="0" w:line="240" w:lineRule="auto"/>
              <w:jc w:val="right"/>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14 Nov 2025</w:t>
            </w:r>
          </w:p>
        </w:tc>
      </w:tr>
      <w:tr w:rsidR="00EB155A" w:rsidRPr="003D4B91" w14:paraId="6725AC55" w14:textId="77777777" w:rsidTr="00962124">
        <w:trPr>
          <w:trHeight w:val="285"/>
        </w:trPr>
        <w:tc>
          <w:tcPr>
            <w:tcW w:w="1120" w:type="dxa"/>
            <w:vAlign w:val="bottom"/>
          </w:tcPr>
          <w:p w14:paraId="3EC71237" w14:textId="5B2A5259" w:rsidR="00EB155A" w:rsidRPr="003D4B91" w:rsidRDefault="00EB155A" w:rsidP="00EB155A">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RUCaS</w:t>
            </w:r>
          </w:p>
        </w:tc>
        <w:tc>
          <w:tcPr>
            <w:tcW w:w="1900" w:type="dxa"/>
            <w:vAlign w:val="bottom"/>
          </w:tcPr>
          <w:p w14:paraId="76129ED2" w14:textId="0C535073" w:rsidR="00EB155A" w:rsidRPr="003D4B91" w:rsidRDefault="00EB155A" w:rsidP="00EB155A">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Ben Furmage</w:t>
            </w:r>
          </w:p>
        </w:tc>
        <w:tc>
          <w:tcPr>
            <w:tcW w:w="4540" w:type="dxa"/>
            <w:vAlign w:val="bottom"/>
          </w:tcPr>
          <w:p w14:paraId="4363CC22" w14:textId="61AA0B86" w:rsidR="00EB155A" w:rsidRPr="003D4B91" w:rsidRDefault="00EB155A" w:rsidP="00EB155A">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CEO Water Sensitive Cities Australia, WSCA</w:t>
            </w:r>
          </w:p>
        </w:tc>
        <w:tc>
          <w:tcPr>
            <w:tcW w:w="1140" w:type="dxa"/>
            <w:vAlign w:val="bottom"/>
          </w:tcPr>
          <w:p w14:paraId="669B1947" w14:textId="609624E5" w:rsidR="00EB155A" w:rsidRPr="003D4B91" w:rsidRDefault="00EB155A" w:rsidP="00EB155A">
            <w:pPr>
              <w:spacing w:after="0" w:line="240" w:lineRule="auto"/>
              <w:jc w:val="right"/>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18 Nov 2025</w:t>
            </w:r>
          </w:p>
        </w:tc>
      </w:tr>
      <w:tr w:rsidR="00EB155A" w:rsidRPr="003D4B91" w14:paraId="3FF351E4" w14:textId="77777777" w:rsidTr="00962124">
        <w:trPr>
          <w:trHeight w:val="285"/>
        </w:trPr>
        <w:tc>
          <w:tcPr>
            <w:tcW w:w="1120" w:type="dxa"/>
            <w:vAlign w:val="bottom"/>
          </w:tcPr>
          <w:p w14:paraId="2B51162B" w14:textId="16FAC91A" w:rsidR="00EB155A" w:rsidRPr="003D4B91" w:rsidRDefault="00EB155A" w:rsidP="00EB155A">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RUCaS</w:t>
            </w:r>
          </w:p>
        </w:tc>
        <w:tc>
          <w:tcPr>
            <w:tcW w:w="1900" w:type="dxa"/>
            <w:vAlign w:val="bottom"/>
          </w:tcPr>
          <w:p w14:paraId="60CC2891" w14:textId="176F2BE1" w:rsidR="00EB155A" w:rsidRPr="003D4B91" w:rsidRDefault="00EB155A" w:rsidP="00EB155A">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 xml:space="preserve">Nang </w:t>
            </w:r>
            <w:proofErr w:type="spellStart"/>
            <w:r w:rsidRPr="003D4B91">
              <w:rPr>
                <w:rFonts w:ascii="Aptos" w:eastAsia="Times New Roman" w:hAnsi="Aptos" w:cs="Times New Roman"/>
                <w:color w:val="000000"/>
                <w:kern w:val="0"/>
                <w:sz w:val="16"/>
                <w:szCs w:val="16"/>
                <w:lang w:eastAsia="en-AU"/>
                <w14:ligatures w14:val="none"/>
              </w:rPr>
              <w:t>Nalinthone</w:t>
            </w:r>
            <w:proofErr w:type="spellEnd"/>
          </w:p>
        </w:tc>
        <w:tc>
          <w:tcPr>
            <w:tcW w:w="4540" w:type="dxa"/>
            <w:vAlign w:val="bottom"/>
          </w:tcPr>
          <w:p w14:paraId="133D1E51" w14:textId="4F18B52C" w:rsidR="00EB155A" w:rsidRPr="003D4B91" w:rsidRDefault="00EB155A" w:rsidP="00EB155A">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Partnership Manager, RUCaS Laos</w:t>
            </w:r>
          </w:p>
        </w:tc>
        <w:tc>
          <w:tcPr>
            <w:tcW w:w="1140" w:type="dxa"/>
            <w:vAlign w:val="bottom"/>
          </w:tcPr>
          <w:p w14:paraId="2AC0C286" w14:textId="54792134" w:rsidR="00EB155A" w:rsidRPr="003D4B91" w:rsidRDefault="00EB155A" w:rsidP="00EB155A">
            <w:pPr>
              <w:spacing w:after="0" w:line="240" w:lineRule="auto"/>
              <w:jc w:val="right"/>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18 Nov 2025</w:t>
            </w:r>
          </w:p>
        </w:tc>
      </w:tr>
      <w:tr w:rsidR="00EB155A" w:rsidRPr="003D4B91" w14:paraId="277EE048" w14:textId="77777777" w:rsidTr="00962124">
        <w:trPr>
          <w:trHeight w:val="285"/>
        </w:trPr>
        <w:tc>
          <w:tcPr>
            <w:tcW w:w="1120" w:type="dxa"/>
            <w:vAlign w:val="bottom"/>
          </w:tcPr>
          <w:p w14:paraId="74996F0B" w14:textId="73C99CE9" w:rsidR="00EB155A" w:rsidRPr="003D4B91" w:rsidRDefault="00EB155A" w:rsidP="00EB155A">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RUCaS</w:t>
            </w:r>
          </w:p>
        </w:tc>
        <w:tc>
          <w:tcPr>
            <w:tcW w:w="1900" w:type="dxa"/>
            <w:vAlign w:val="bottom"/>
          </w:tcPr>
          <w:p w14:paraId="3D45E352" w14:textId="30ECE66F" w:rsidR="00EB155A" w:rsidRPr="003D4B91" w:rsidRDefault="00EB155A" w:rsidP="00EB155A">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Tom Chan</w:t>
            </w:r>
          </w:p>
        </w:tc>
        <w:tc>
          <w:tcPr>
            <w:tcW w:w="4540" w:type="dxa"/>
            <w:vAlign w:val="bottom"/>
          </w:tcPr>
          <w:p w14:paraId="3D2E910A" w14:textId="6E01B533" w:rsidR="00EB155A" w:rsidRPr="003D4B91" w:rsidRDefault="00EB155A" w:rsidP="00EB155A">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Deputy Partnership Manager, RUCaS Laos</w:t>
            </w:r>
          </w:p>
        </w:tc>
        <w:tc>
          <w:tcPr>
            <w:tcW w:w="1140" w:type="dxa"/>
            <w:vAlign w:val="bottom"/>
          </w:tcPr>
          <w:p w14:paraId="3E7EF4B7" w14:textId="2CA2F879" w:rsidR="00EB155A" w:rsidRPr="003D4B91" w:rsidRDefault="00EB155A" w:rsidP="00EB155A">
            <w:pPr>
              <w:spacing w:after="0" w:line="240" w:lineRule="auto"/>
              <w:jc w:val="right"/>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19 Nov 2025</w:t>
            </w:r>
          </w:p>
        </w:tc>
      </w:tr>
      <w:tr w:rsidR="00EB155A" w:rsidRPr="003D4B91" w14:paraId="52241575" w14:textId="77777777" w:rsidTr="00962124">
        <w:trPr>
          <w:trHeight w:val="285"/>
        </w:trPr>
        <w:tc>
          <w:tcPr>
            <w:tcW w:w="1120" w:type="dxa"/>
            <w:vAlign w:val="bottom"/>
          </w:tcPr>
          <w:p w14:paraId="496EEECA" w14:textId="3789748A" w:rsidR="00EB155A" w:rsidRPr="003D4B91" w:rsidRDefault="00EB155A" w:rsidP="00EB155A">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RUCaS</w:t>
            </w:r>
          </w:p>
        </w:tc>
        <w:tc>
          <w:tcPr>
            <w:tcW w:w="1900" w:type="dxa"/>
            <w:vAlign w:val="bottom"/>
          </w:tcPr>
          <w:p w14:paraId="3FCBA3E8" w14:textId="166EB895" w:rsidR="00EB155A" w:rsidRPr="003D4B91" w:rsidRDefault="00EB155A" w:rsidP="00EB155A">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Katharine Cross</w:t>
            </w:r>
          </w:p>
        </w:tc>
        <w:tc>
          <w:tcPr>
            <w:tcW w:w="4540" w:type="dxa"/>
            <w:vAlign w:val="bottom"/>
          </w:tcPr>
          <w:p w14:paraId="025BE409" w14:textId="1A9448C6" w:rsidR="00EB155A" w:rsidRPr="003D4B91" w:rsidRDefault="00EB155A" w:rsidP="00EB155A">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International Program Lead, WSCA</w:t>
            </w:r>
          </w:p>
        </w:tc>
        <w:tc>
          <w:tcPr>
            <w:tcW w:w="1140" w:type="dxa"/>
            <w:vAlign w:val="bottom"/>
          </w:tcPr>
          <w:p w14:paraId="1A47DE33" w14:textId="188E2AFF" w:rsidR="00EB155A" w:rsidRPr="003D4B91" w:rsidRDefault="00EB155A" w:rsidP="00EB155A">
            <w:pPr>
              <w:spacing w:after="0" w:line="240" w:lineRule="auto"/>
              <w:jc w:val="right"/>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20 Nov 2025</w:t>
            </w:r>
          </w:p>
        </w:tc>
      </w:tr>
      <w:tr w:rsidR="00EB155A" w:rsidRPr="003D4B91" w14:paraId="34CEEBEE" w14:textId="77777777" w:rsidTr="00962124">
        <w:trPr>
          <w:trHeight w:val="420"/>
        </w:trPr>
        <w:tc>
          <w:tcPr>
            <w:tcW w:w="1120" w:type="dxa"/>
            <w:vAlign w:val="bottom"/>
          </w:tcPr>
          <w:p w14:paraId="4D580C8F" w14:textId="5DE80F7B" w:rsidR="00EB155A" w:rsidRPr="003D4B91" w:rsidRDefault="00EB155A" w:rsidP="00EB155A">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RUCaS</w:t>
            </w:r>
          </w:p>
        </w:tc>
        <w:tc>
          <w:tcPr>
            <w:tcW w:w="1900" w:type="dxa"/>
            <w:vAlign w:val="bottom"/>
          </w:tcPr>
          <w:p w14:paraId="45E6A8BC" w14:textId="3345F194" w:rsidR="00EB155A" w:rsidRPr="003D4B91" w:rsidRDefault="00EB155A" w:rsidP="00EB155A">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Michael Simon</w:t>
            </w:r>
          </w:p>
        </w:tc>
        <w:tc>
          <w:tcPr>
            <w:tcW w:w="4540" w:type="dxa"/>
            <w:vAlign w:val="bottom"/>
          </w:tcPr>
          <w:p w14:paraId="3CE40585" w14:textId="3CECE64D" w:rsidR="00EB155A" w:rsidRPr="003D4B91" w:rsidRDefault="00EB155A" w:rsidP="00EB155A">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(Previous) GEDSI and International Program Lead, WSCA</w:t>
            </w:r>
          </w:p>
        </w:tc>
        <w:tc>
          <w:tcPr>
            <w:tcW w:w="1140" w:type="dxa"/>
            <w:vAlign w:val="bottom"/>
          </w:tcPr>
          <w:p w14:paraId="12B49543" w14:textId="12D58E2B" w:rsidR="00EB155A" w:rsidRPr="003D4B91" w:rsidRDefault="00EB155A" w:rsidP="00EB155A">
            <w:pPr>
              <w:spacing w:after="0" w:line="240" w:lineRule="auto"/>
              <w:jc w:val="right"/>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20 Nov 2025</w:t>
            </w:r>
          </w:p>
        </w:tc>
      </w:tr>
      <w:tr w:rsidR="00EB155A" w:rsidRPr="003D4B91" w14:paraId="2F2F4156" w14:textId="77777777" w:rsidTr="00962124">
        <w:trPr>
          <w:trHeight w:val="420"/>
        </w:trPr>
        <w:tc>
          <w:tcPr>
            <w:tcW w:w="1120" w:type="dxa"/>
            <w:vAlign w:val="bottom"/>
          </w:tcPr>
          <w:p w14:paraId="013DD2F8" w14:textId="5C0E0F31" w:rsidR="00EB155A" w:rsidRPr="003D4B91" w:rsidRDefault="00EB155A" w:rsidP="00EB155A">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RUCaS</w:t>
            </w:r>
          </w:p>
        </w:tc>
        <w:tc>
          <w:tcPr>
            <w:tcW w:w="1900" w:type="dxa"/>
            <w:vAlign w:val="bottom"/>
          </w:tcPr>
          <w:p w14:paraId="3BD32ED7" w14:textId="15AE1AD6" w:rsidR="00EB155A" w:rsidRPr="003D4B91" w:rsidRDefault="00EB155A" w:rsidP="00EB155A">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Hima Chanarithichai</w:t>
            </w:r>
          </w:p>
        </w:tc>
        <w:tc>
          <w:tcPr>
            <w:tcW w:w="4540" w:type="dxa"/>
            <w:vAlign w:val="bottom"/>
          </w:tcPr>
          <w:p w14:paraId="2FB8B12B" w14:textId="033C5229" w:rsidR="00EB155A" w:rsidRPr="003D4B91" w:rsidRDefault="00EB155A" w:rsidP="00EB155A">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Research Officer, WSCA</w:t>
            </w:r>
          </w:p>
        </w:tc>
        <w:tc>
          <w:tcPr>
            <w:tcW w:w="1140" w:type="dxa"/>
            <w:vAlign w:val="bottom"/>
          </w:tcPr>
          <w:p w14:paraId="5B71935D" w14:textId="4ECE41DB" w:rsidR="00EB155A" w:rsidRPr="003D4B91" w:rsidRDefault="00EB155A" w:rsidP="00EB155A">
            <w:pPr>
              <w:spacing w:after="0" w:line="240" w:lineRule="auto"/>
              <w:jc w:val="right"/>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28 Nov 2025</w:t>
            </w:r>
          </w:p>
        </w:tc>
      </w:tr>
      <w:tr w:rsidR="00EB155A" w:rsidRPr="003D4B91" w14:paraId="72C816E2" w14:textId="77777777" w:rsidTr="00962124">
        <w:trPr>
          <w:trHeight w:val="285"/>
        </w:trPr>
        <w:tc>
          <w:tcPr>
            <w:tcW w:w="1120" w:type="dxa"/>
            <w:vAlign w:val="bottom"/>
          </w:tcPr>
          <w:p w14:paraId="42EA3EF5" w14:textId="503BE629" w:rsidR="00EB155A" w:rsidRPr="003D4B91" w:rsidRDefault="00EB155A" w:rsidP="00EB155A">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Australia and International Partners</w:t>
            </w:r>
          </w:p>
        </w:tc>
        <w:tc>
          <w:tcPr>
            <w:tcW w:w="1900" w:type="dxa"/>
            <w:vAlign w:val="bottom"/>
          </w:tcPr>
          <w:p w14:paraId="2F7E181E" w14:textId="05141219" w:rsidR="00EB155A" w:rsidRPr="003D4B91" w:rsidRDefault="00EB155A" w:rsidP="00EB155A">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David Pannell</w:t>
            </w:r>
          </w:p>
        </w:tc>
        <w:tc>
          <w:tcPr>
            <w:tcW w:w="4540" w:type="dxa"/>
            <w:vAlign w:val="bottom"/>
          </w:tcPr>
          <w:p w14:paraId="13700BF2" w14:textId="3BCE882E" w:rsidR="00EB155A" w:rsidRPr="003D4B91" w:rsidRDefault="00EB155A" w:rsidP="00EB155A">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Professor, Centre for Environmental Economics and Policy, Department of Agricultural</w:t>
            </w:r>
          </w:p>
        </w:tc>
        <w:tc>
          <w:tcPr>
            <w:tcW w:w="1140" w:type="dxa"/>
            <w:vAlign w:val="bottom"/>
          </w:tcPr>
          <w:p w14:paraId="4C86FC9C" w14:textId="39AA824E" w:rsidR="00EB155A" w:rsidRPr="003D4B91" w:rsidRDefault="00EB155A" w:rsidP="00EB155A">
            <w:pPr>
              <w:spacing w:after="0" w:line="240" w:lineRule="auto"/>
              <w:jc w:val="right"/>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30 Oct 2025</w:t>
            </w:r>
          </w:p>
        </w:tc>
      </w:tr>
      <w:tr w:rsidR="00EB155A" w:rsidRPr="003D4B91" w14:paraId="31A3FC1F" w14:textId="77777777" w:rsidTr="00962124">
        <w:trPr>
          <w:trHeight w:val="285"/>
        </w:trPr>
        <w:tc>
          <w:tcPr>
            <w:tcW w:w="1120" w:type="dxa"/>
            <w:vAlign w:val="bottom"/>
          </w:tcPr>
          <w:p w14:paraId="53233019" w14:textId="1FDF17EF" w:rsidR="00EB155A" w:rsidRPr="003D4B91" w:rsidRDefault="00EB155A" w:rsidP="00EB155A">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Australia and International Partners</w:t>
            </w:r>
          </w:p>
        </w:tc>
        <w:tc>
          <w:tcPr>
            <w:tcW w:w="1900" w:type="dxa"/>
            <w:vAlign w:val="bottom"/>
          </w:tcPr>
          <w:p w14:paraId="07F9046E" w14:textId="20E86A33" w:rsidR="00EB155A" w:rsidRPr="003D4B91" w:rsidRDefault="00EB155A" w:rsidP="00EB155A">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Jeremy Carew-Reid</w:t>
            </w:r>
          </w:p>
        </w:tc>
        <w:tc>
          <w:tcPr>
            <w:tcW w:w="4540" w:type="dxa"/>
            <w:vAlign w:val="bottom"/>
          </w:tcPr>
          <w:p w14:paraId="772B9F2A" w14:textId="52D97E2B" w:rsidR="00EB155A" w:rsidRPr="003D4B91" w:rsidRDefault="00EB155A" w:rsidP="00EB155A">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Director General, International Centre for Environmental Management (ICEM)</w:t>
            </w:r>
          </w:p>
        </w:tc>
        <w:tc>
          <w:tcPr>
            <w:tcW w:w="1140" w:type="dxa"/>
            <w:vAlign w:val="bottom"/>
          </w:tcPr>
          <w:p w14:paraId="5F85F8BB" w14:textId="2F506E4A" w:rsidR="00EB155A" w:rsidRPr="003D4B91" w:rsidRDefault="00EB155A" w:rsidP="00EB155A">
            <w:pPr>
              <w:spacing w:after="0" w:line="240" w:lineRule="auto"/>
              <w:jc w:val="right"/>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14 Nov 2025</w:t>
            </w:r>
          </w:p>
        </w:tc>
      </w:tr>
      <w:tr w:rsidR="00EB155A" w:rsidRPr="003D4B91" w14:paraId="402351C6" w14:textId="77777777" w:rsidTr="00962124">
        <w:trPr>
          <w:trHeight w:val="285"/>
        </w:trPr>
        <w:tc>
          <w:tcPr>
            <w:tcW w:w="1120" w:type="dxa"/>
            <w:vAlign w:val="bottom"/>
          </w:tcPr>
          <w:p w14:paraId="7B0BF119" w14:textId="269F0134" w:rsidR="00EB155A" w:rsidRPr="003D4B91" w:rsidRDefault="00EB155A" w:rsidP="00EB155A">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 xml:space="preserve">Australia and </w:t>
            </w:r>
            <w:r w:rsidRPr="003D4B91">
              <w:rPr>
                <w:rFonts w:ascii="Aptos" w:eastAsia="Times New Roman" w:hAnsi="Aptos" w:cs="Times New Roman"/>
                <w:color w:val="000000"/>
                <w:kern w:val="0"/>
                <w:sz w:val="16"/>
                <w:szCs w:val="16"/>
                <w:lang w:eastAsia="en-AU"/>
                <w14:ligatures w14:val="none"/>
              </w:rPr>
              <w:lastRenderedPageBreak/>
              <w:t>International Partners</w:t>
            </w:r>
          </w:p>
        </w:tc>
        <w:tc>
          <w:tcPr>
            <w:tcW w:w="1900" w:type="dxa"/>
            <w:vAlign w:val="bottom"/>
          </w:tcPr>
          <w:p w14:paraId="142D42FF" w14:textId="28D7C66B" w:rsidR="00EB155A" w:rsidRPr="003D4B91" w:rsidRDefault="00EB155A" w:rsidP="00EB155A">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lastRenderedPageBreak/>
              <w:t>Luke Shi</w:t>
            </w:r>
          </w:p>
        </w:tc>
        <w:tc>
          <w:tcPr>
            <w:tcW w:w="4540" w:type="dxa"/>
            <w:vAlign w:val="bottom"/>
          </w:tcPr>
          <w:p w14:paraId="276FEE4E" w14:textId="5F23900C" w:rsidR="00EB155A" w:rsidRPr="003D4B91" w:rsidRDefault="00EB155A" w:rsidP="00EB155A">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Lecturer in Sustainable Urban Water Management, Queensland University of Technology</w:t>
            </w:r>
          </w:p>
        </w:tc>
        <w:tc>
          <w:tcPr>
            <w:tcW w:w="1140" w:type="dxa"/>
            <w:vAlign w:val="bottom"/>
          </w:tcPr>
          <w:p w14:paraId="0C15EC9F" w14:textId="5096581F" w:rsidR="00EB155A" w:rsidRPr="003D4B91" w:rsidRDefault="00EB155A" w:rsidP="00EB155A">
            <w:pPr>
              <w:spacing w:after="0" w:line="240" w:lineRule="auto"/>
              <w:jc w:val="right"/>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18 Nov 2025</w:t>
            </w:r>
          </w:p>
        </w:tc>
      </w:tr>
      <w:tr w:rsidR="00EB155A" w:rsidRPr="003D4B91" w14:paraId="3156B454" w14:textId="77777777" w:rsidTr="00962124">
        <w:trPr>
          <w:trHeight w:val="285"/>
        </w:trPr>
        <w:tc>
          <w:tcPr>
            <w:tcW w:w="1120" w:type="dxa"/>
            <w:vAlign w:val="bottom"/>
          </w:tcPr>
          <w:p w14:paraId="2604F3BF" w14:textId="4824BD8A" w:rsidR="00EB155A" w:rsidRPr="003D4B91" w:rsidRDefault="00EB155A" w:rsidP="00EB155A">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Interested Third Parties</w:t>
            </w:r>
          </w:p>
        </w:tc>
        <w:tc>
          <w:tcPr>
            <w:tcW w:w="1900" w:type="dxa"/>
            <w:vAlign w:val="bottom"/>
          </w:tcPr>
          <w:p w14:paraId="27079F8F" w14:textId="443AAE54" w:rsidR="00EB155A" w:rsidRPr="003D4B91" w:rsidRDefault="00EB155A" w:rsidP="00EB155A">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Isao Endo</w:t>
            </w:r>
          </w:p>
        </w:tc>
        <w:tc>
          <w:tcPr>
            <w:tcW w:w="4540" w:type="dxa"/>
            <w:vAlign w:val="bottom"/>
          </w:tcPr>
          <w:p w14:paraId="6A80FB20" w14:textId="7F8CBFEB" w:rsidR="00EB155A" w:rsidRPr="003D4B91" w:rsidRDefault="00EB155A" w:rsidP="00EB155A">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Senior Environmental Specialist; Asian Development Bank (ADB)</w:t>
            </w:r>
          </w:p>
        </w:tc>
        <w:tc>
          <w:tcPr>
            <w:tcW w:w="1140" w:type="dxa"/>
            <w:vAlign w:val="bottom"/>
          </w:tcPr>
          <w:p w14:paraId="712EF415" w14:textId="7FBB4C85" w:rsidR="00EB155A" w:rsidRPr="003D4B91" w:rsidRDefault="00EB155A" w:rsidP="00EB155A">
            <w:pPr>
              <w:spacing w:after="0" w:line="240" w:lineRule="auto"/>
              <w:jc w:val="right"/>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3 Dec 2025</w:t>
            </w:r>
          </w:p>
        </w:tc>
      </w:tr>
      <w:tr w:rsidR="00EB155A" w:rsidRPr="003D4B91" w14:paraId="600E390C" w14:textId="77777777" w:rsidTr="00962124">
        <w:trPr>
          <w:trHeight w:val="435"/>
        </w:trPr>
        <w:tc>
          <w:tcPr>
            <w:tcW w:w="1120" w:type="dxa"/>
            <w:vAlign w:val="bottom"/>
          </w:tcPr>
          <w:p w14:paraId="6650C72A" w14:textId="54120113" w:rsidR="00EB155A" w:rsidRPr="003D4B91" w:rsidRDefault="00EB155A" w:rsidP="00EB155A">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Interested Third Parties</w:t>
            </w:r>
          </w:p>
        </w:tc>
        <w:tc>
          <w:tcPr>
            <w:tcW w:w="1900" w:type="dxa"/>
            <w:vAlign w:val="bottom"/>
          </w:tcPr>
          <w:p w14:paraId="43F58F7E" w14:textId="18698DF9" w:rsidR="00EB155A" w:rsidRPr="003D4B91" w:rsidRDefault="00EB155A" w:rsidP="00EB155A">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Victor Tumiba</w:t>
            </w:r>
          </w:p>
        </w:tc>
        <w:tc>
          <w:tcPr>
            <w:tcW w:w="4540" w:type="dxa"/>
            <w:vAlign w:val="bottom"/>
          </w:tcPr>
          <w:p w14:paraId="3E8EAA91" w14:textId="74234CEC" w:rsidR="00EB155A" w:rsidRPr="003D4B91" w:rsidRDefault="00EB155A" w:rsidP="00EB155A">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Senior Environmental Specialist; Asian Development Bank (ADB)</w:t>
            </w:r>
          </w:p>
        </w:tc>
        <w:tc>
          <w:tcPr>
            <w:tcW w:w="1140" w:type="dxa"/>
            <w:vAlign w:val="bottom"/>
          </w:tcPr>
          <w:p w14:paraId="023255B2" w14:textId="07020FDE" w:rsidR="00EB155A" w:rsidRPr="003D4B91" w:rsidRDefault="00EB155A" w:rsidP="00EB155A">
            <w:pPr>
              <w:spacing w:after="0" w:line="240" w:lineRule="auto"/>
              <w:jc w:val="right"/>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3 Dec 2025</w:t>
            </w:r>
          </w:p>
        </w:tc>
      </w:tr>
      <w:tr w:rsidR="00EB155A" w:rsidRPr="003D4B91" w14:paraId="163CA7B0" w14:textId="77777777" w:rsidTr="00962124">
        <w:trPr>
          <w:trHeight w:val="285"/>
        </w:trPr>
        <w:tc>
          <w:tcPr>
            <w:tcW w:w="1120" w:type="dxa"/>
            <w:vAlign w:val="bottom"/>
          </w:tcPr>
          <w:p w14:paraId="1CAF61B9" w14:textId="7A8DB605" w:rsidR="00EB155A" w:rsidRPr="003D4B91" w:rsidRDefault="00EB155A" w:rsidP="00EB155A">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Interested Third Parties</w:t>
            </w:r>
          </w:p>
        </w:tc>
        <w:tc>
          <w:tcPr>
            <w:tcW w:w="1900" w:type="dxa"/>
            <w:vAlign w:val="bottom"/>
          </w:tcPr>
          <w:p w14:paraId="0F44B0F4" w14:textId="209529DF" w:rsidR="00EB155A" w:rsidRPr="003D4B91" w:rsidRDefault="00EB155A" w:rsidP="00EB155A">
            <w:pPr>
              <w:spacing w:after="0" w:line="240" w:lineRule="auto"/>
              <w:rPr>
                <w:rFonts w:ascii="Aptos" w:eastAsia="Times New Roman" w:hAnsi="Aptos" w:cs="Times New Roman"/>
                <w:color w:val="000000"/>
                <w:kern w:val="0"/>
                <w:sz w:val="16"/>
                <w:szCs w:val="16"/>
                <w:lang w:eastAsia="en-AU"/>
                <w14:ligatures w14:val="none"/>
              </w:rPr>
            </w:pPr>
            <w:proofErr w:type="spellStart"/>
            <w:r w:rsidRPr="003D4B91">
              <w:rPr>
                <w:rFonts w:ascii="Aptos" w:eastAsia="Times New Roman" w:hAnsi="Aptos" w:cs="Times New Roman"/>
                <w:color w:val="000000"/>
                <w:kern w:val="0"/>
                <w:sz w:val="16"/>
                <w:szCs w:val="16"/>
                <w:lang w:eastAsia="en-AU"/>
                <w14:ligatures w14:val="none"/>
              </w:rPr>
              <w:t>Amphavanh</w:t>
            </w:r>
            <w:proofErr w:type="spellEnd"/>
            <w:r w:rsidRPr="003D4B91">
              <w:rPr>
                <w:rFonts w:ascii="Aptos" w:eastAsia="Times New Roman" w:hAnsi="Aptos" w:cs="Times New Roman"/>
                <w:color w:val="000000"/>
                <w:kern w:val="0"/>
                <w:sz w:val="16"/>
                <w:szCs w:val="16"/>
                <w:lang w:eastAsia="en-AU"/>
                <w14:ligatures w14:val="none"/>
              </w:rPr>
              <w:t xml:space="preserve"> </w:t>
            </w:r>
            <w:proofErr w:type="spellStart"/>
            <w:r w:rsidRPr="003D4B91">
              <w:rPr>
                <w:rFonts w:ascii="Aptos" w:eastAsia="Times New Roman" w:hAnsi="Aptos" w:cs="Times New Roman"/>
                <w:color w:val="000000"/>
                <w:kern w:val="0"/>
                <w:sz w:val="16"/>
                <w:szCs w:val="16"/>
                <w:lang w:eastAsia="en-AU"/>
                <w14:ligatures w14:val="none"/>
              </w:rPr>
              <w:t>Sisouvanh</w:t>
            </w:r>
            <w:proofErr w:type="spellEnd"/>
          </w:p>
        </w:tc>
        <w:tc>
          <w:tcPr>
            <w:tcW w:w="4540" w:type="dxa"/>
            <w:vAlign w:val="bottom"/>
          </w:tcPr>
          <w:p w14:paraId="594543B3" w14:textId="61C406CF" w:rsidR="00EB155A" w:rsidRPr="003D4B91" w:rsidRDefault="00EB155A" w:rsidP="00EB155A">
            <w:pPr>
              <w:spacing w:after="0" w:line="240" w:lineRule="auto"/>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World Bank, Laos</w:t>
            </w:r>
          </w:p>
        </w:tc>
        <w:tc>
          <w:tcPr>
            <w:tcW w:w="1140" w:type="dxa"/>
            <w:vAlign w:val="bottom"/>
          </w:tcPr>
          <w:p w14:paraId="514319AB" w14:textId="454265C3" w:rsidR="00EB155A" w:rsidRPr="003D4B91" w:rsidRDefault="00EB155A" w:rsidP="00EB155A">
            <w:pPr>
              <w:spacing w:after="0" w:line="240" w:lineRule="auto"/>
              <w:jc w:val="right"/>
              <w:rPr>
                <w:rFonts w:ascii="Aptos" w:eastAsia="Times New Roman" w:hAnsi="Aptos" w:cs="Times New Roman"/>
                <w:color w:val="000000"/>
                <w:kern w:val="0"/>
                <w:sz w:val="16"/>
                <w:szCs w:val="16"/>
                <w:lang w:eastAsia="en-AU"/>
                <w14:ligatures w14:val="none"/>
              </w:rPr>
            </w:pPr>
            <w:r w:rsidRPr="003D4B91">
              <w:rPr>
                <w:rFonts w:ascii="Aptos" w:eastAsia="Times New Roman" w:hAnsi="Aptos" w:cs="Times New Roman"/>
                <w:color w:val="000000"/>
                <w:kern w:val="0"/>
                <w:sz w:val="16"/>
                <w:szCs w:val="16"/>
                <w:lang w:eastAsia="en-AU"/>
                <w14:ligatures w14:val="none"/>
              </w:rPr>
              <w:t>9 Dec 2025</w:t>
            </w:r>
          </w:p>
        </w:tc>
      </w:tr>
    </w:tbl>
    <w:p w14:paraId="3FA7A580" w14:textId="77777777" w:rsidR="008A41F0" w:rsidRPr="003D4B91" w:rsidRDefault="008A41F0"/>
    <w:p w14:paraId="4B2DBC1F" w14:textId="77777777" w:rsidR="00156392" w:rsidRPr="003D4B91" w:rsidRDefault="00156392">
      <w:pPr>
        <w:sectPr w:rsidR="00156392" w:rsidRPr="003D4B91" w:rsidSect="00EC15B6">
          <w:pgSz w:w="11906" w:h="16838"/>
          <w:pgMar w:top="1440" w:right="1440" w:bottom="1440" w:left="1440" w:header="708" w:footer="708" w:gutter="0"/>
          <w:cols w:space="708"/>
          <w:docGrid w:linePitch="360"/>
        </w:sectPr>
      </w:pPr>
    </w:p>
    <w:p w14:paraId="5322A6C4" w14:textId="30F580AC" w:rsidR="00156392" w:rsidRDefault="00156392" w:rsidP="00156392">
      <w:pPr>
        <w:pStyle w:val="Heading1"/>
      </w:pPr>
      <w:bookmarkStart w:id="167" w:name="_Toc225951869"/>
      <w:r w:rsidRPr="003D4B91">
        <w:lastRenderedPageBreak/>
        <w:t xml:space="preserve">Appendix </w:t>
      </w:r>
      <w:r w:rsidR="00BB016F" w:rsidRPr="003D4B91">
        <w:t>C</w:t>
      </w:r>
      <w:r w:rsidRPr="003D4B91">
        <w:t>: Evaluation Matrix</w:t>
      </w:r>
      <w:bookmarkEnd w:id="167"/>
    </w:p>
    <w:p w14:paraId="0F7F3AFF" w14:textId="77777777" w:rsidR="00B14098" w:rsidRPr="00B14098" w:rsidRDefault="00B14098" w:rsidP="00B14098">
      <w:pPr>
        <w:spacing w:after="0" w:line="240" w:lineRule="auto"/>
        <w:rPr>
          <w:rFonts w:ascii="Calibri" w:eastAsia="Calibri" w:hAnsi="Calibri" w:cs="Calibri"/>
          <w:b/>
          <w:color w:val="000000"/>
        </w:rPr>
      </w:pPr>
      <w:r w:rsidRPr="00097804">
        <w:rPr>
          <w:rFonts w:ascii="Calibri" w:eastAsia="Calibri" w:hAnsi="Calibri" w:cs="Calibri"/>
          <w:b/>
          <w:color w:val="000000"/>
        </w:rPr>
        <w:t xml:space="preserve">Evaluation Objective </w:t>
      </w:r>
      <w:r w:rsidRPr="00B14098">
        <w:rPr>
          <w:rFonts w:ascii="Calibri" w:eastAsia="Calibri" w:hAnsi="Calibri" w:cs="Calibri"/>
          <w:b/>
          <w:color w:val="000000"/>
        </w:rPr>
        <w:t>1: Relevance</w:t>
      </w:r>
    </w:p>
    <w:p w14:paraId="41519195" w14:textId="6B44A7B8" w:rsidR="00B14098" w:rsidRPr="00B14098" w:rsidRDefault="00B14098" w:rsidP="00B14098">
      <w:pPr>
        <w:spacing w:after="0" w:line="240" w:lineRule="auto"/>
        <w:rPr>
          <w:rFonts w:ascii="Calibri" w:eastAsia="Calibri" w:hAnsi="Calibri" w:cs="Calibri"/>
          <w:bCs/>
        </w:rPr>
      </w:pPr>
      <w:r w:rsidRPr="00B14098">
        <w:rPr>
          <w:rFonts w:ascii="Calibri" w:eastAsia="Calibri" w:hAnsi="Calibri" w:cs="Calibri"/>
          <w:bCs/>
          <w:color w:val="000000"/>
        </w:rPr>
        <w:t>Assess the relevance of RUCaS activities in addressing urban climate resilience challenges and aligning with the priorities of DFAT and partner governments across the Mekong subregion</w:t>
      </w:r>
    </w:p>
    <w:tbl>
      <w:tblPr>
        <w:tblStyle w:val="TableGrid"/>
        <w:tblW w:w="0" w:type="auto"/>
        <w:tblLayout w:type="fixed"/>
        <w:tblLook w:val="04A0" w:firstRow="1" w:lastRow="0" w:firstColumn="1" w:lastColumn="0" w:noHBand="0" w:noVBand="1"/>
      </w:tblPr>
      <w:tblGrid>
        <w:gridCol w:w="4531"/>
        <w:gridCol w:w="851"/>
        <w:gridCol w:w="850"/>
        <w:gridCol w:w="1560"/>
        <w:gridCol w:w="992"/>
        <w:gridCol w:w="1417"/>
        <w:gridCol w:w="1276"/>
        <w:gridCol w:w="1276"/>
        <w:gridCol w:w="1195"/>
      </w:tblGrid>
      <w:tr w:rsidR="00B14098" w:rsidRPr="00097804" w14:paraId="140E18B9" w14:textId="77777777" w:rsidTr="006639AB">
        <w:trPr>
          <w:tblHeader/>
        </w:trPr>
        <w:tc>
          <w:tcPr>
            <w:tcW w:w="4531" w:type="dxa"/>
          </w:tcPr>
          <w:p w14:paraId="714ADB1D" w14:textId="77777777" w:rsidR="00B14098" w:rsidRPr="00097804" w:rsidRDefault="00B14098" w:rsidP="006639AB">
            <w:pPr>
              <w:rPr>
                <w:rFonts w:ascii="Calibri" w:hAnsi="Calibri" w:cs="Calibri"/>
                <w:color w:val="000000" w:themeColor="text1"/>
              </w:rPr>
            </w:pPr>
            <w:r w:rsidRPr="00097804">
              <w:rPr>
                <w:rFonts w:ascii="Calibri" w:eastAsia="Calibri" w:hAnsi="Calibri" w:cs="Calibri"/>
                <w:b/>
              </w:rPr>
              <w:t>Key evaluation questions</w:t>
            </w:r>
          </w:p>
        </w:tc>
        <w:tc>
          <w:tcPr>
            <w:tcW w:w="851" w:type="dxa"/>
            <w:vAlign w:val="center"/>
          </w:tcPr>
          <w:p w14:paraId="5FC4ED81" w14:textId="77777777" w:rsidR="00B14098" w:rsidRPr="00097804" w:rsidRDefault="00B14098" w:rsidP="0010569B">
            <w:pPr>
              <w:jc w:val="center"/>
              <w:rPr>
                <w:rFonts w:ascii="Calibri" w:hAnsi="Calibri" w:cs="Calibri"/>
                <w:color w:val="000000" w:themeColor="text1"/>
              </w:rPr>
            </w:pPr>
            <w:r w:rsidRPr="00097804">
              <w:rPr>
                <w:rFonts w:ascii="Calibri" w:eastAsia="Calibri" w:hAnsi="Calibri" w:cs="Calibri"/>
                <w:b/>
              </w:rPr>
              <w:t>DFAT</w:t>
            </w:r>
          </w:p>
        </w:tc>
        <w:tc>
          <w:tcPr>
            <w:tcW w:w="850" w:type="dxa"/>
            <w:vAlign w:val="center"/>
          </w:tcPr>
          <w:p w14:paraId="20D86560" w14:textId="77777777" w:rsidR="00B14098" w:rsidRPr="00097804" w:rsidRDefault="00B14098" w:rsidP="0010569B">
            <w:pPr>
              <w:jc w:val="center"/>
              <w:rPr>
                <w:rFonts w:ascii="Calibri" w:hAnsi="Calibri" w:cs="Calibri"/>
                <w:color w:val="000000" w:themeColor="text1"/>
              </w:rPr>
            </w:pPr>
            <w:r w:rsidRPr="00097804">
              <w:rPr>
                <w:rFonts w:ascii="Calibri" w:eastAsia="Calibri" w:hAnsi="Calibri" w:cs="Calibri"/>
                <w:b/>
              </w:rPr>
              <w:t>WSCA/ICEM team</w:t>
            </w:r>
          </w:p>
        </w:tc>
        <w:tc>
          <w:tcPr>
            <w:tcW w:w="1560" w:type="dxa"/>
            <w:vAlign w:val="center"/>
          </w:tcPr>
          <w:p w14:paraId="28B5E2DA" w14:textId="77777777" w:rsidR="00B14098" w:rsidRPr="00097804" w:rsidRDefault="00B14098" w:rsidP="0010569B">
            <w:pPr>
              <w:jc w:val="center"/>
              <w:rPr>
                <w:rFonts w:ascii="Calibri" w:hAnsi="Calibri" w:cs="Calibri"/>
                <w:color w:val="000000" w:themeColor="text1"/>
              </w:rPr>
            </w:pPr>
            <w:r w:rsidRPr="00097804">
              <w:rPr>
                <w:rFonts w:ascii="Calibri" w:eastAsia="Calibri" w:hAnsi="Calibri" w:cs="Calibri"/>
                <w:b/>
              </w:rPr>
              <w:t>Other implementing partners</w:t>
            </w:r>
          </w:p>
        </w:tc>
        <w:tc>
          <w:tcPr>
            <w:tcW w:w="992" w:type="dxa"/>
            <w:vAlign w:val="center"/>
          </w:tcPr>
          <w:p w14:paraId="64CC89E7" w14:textId="77777777" w:rsidR="00B14098" w:rsidRPr="00097804" w:rsidRDefault="00B14098" w:rsidP="0010569B">
            <w:pPr>
              <w:jc w:val="center"/>
              <w:rPr>
                <w:rFonts w:ascii="Calibri" w:hAnsi="Calibri" w:cs="Calibri"/>
                <w:color w:val="000000" w:themeColor="text1"/>
              </w:rPr>
            </w:pPr>
            <w:r w:rsidRPr="00097804">
              <w:rPr>
                <w:rFonts w:ascii="Calibri" w:eastAsia="Calibri" w:hAnsi="Calibri" w:cs="Calibri"/>
                <w:b/>
              </w:rPr>
              <w:t>GEDSI TAG</w:t>
            </w:r>
          </w:p>
        </w:tc>
        <w:tc>
          <w:tcPr>
            <w:tcW w:w="1417" w:type="dxa"/>
            <w:vAlign w:val="center"/>
          </w:tcPr>
          <w:p w14:paraId="15D3526A" w14:textId="77777777" w:rsidR="00B14098" w:rsidRPr="00097804" w:rsidRDefault="00B14098" w:rsidP="0010569B">
            <w:pPr>
              <w:jc w:val="center"/>
              <w:rPr>
                <w:rFonts w:ascii="Calibri" w:hAnsi="Calibri" w:cs="Calibri"/>
                <w:color w:val="000000" w:themeColor="text1"/>
              </w:rPr>
            </w:pPr>
            <w:r w:rsidRPr="00097804">
              <w:rPr>
                <w:rFonts w:ascii="Calibri" w:eastAsia="Calibri" w:hAnsi="Calibri" w:cs="Calibri"/>
                <w:b/>
              </w:rPr>
              <w:t>Government partners</w:t>
            </w:r>
          </w:p>
        </w:tc>
        <w:tc>
          <w:tcPr>
            <w:tcW w:w="1276" w:type="dxa"/>
            <w:vAlign w:val="center"/>
          </w:tcPr>
          <w:p w14:paraId="670D6AC5" w14:textId="77777777" w:rsidR="00B14098" w:rsidRPr="00097804" w:rsidRDefault="00B14098" w:rsidP="0010569B">
            <w:pPr>
              <w:jc w:val="center"/>
              <w:rPr>
                <w:rFonts w:ascii="Calibri" w:hAnsi="Calibri" w:cs="Calibri"/>
                <w:color w:val="000000" w:themeColor="text1"/>
              </w:rPr>
            </w:pPr>
            <w:r w:rsidRPr="00097804">
              <w:rPr>
                <w:rFonts w:ascii="Calibri" w:eastAsia="Calibri" w:hAnsi="Calibri" w:cs="Calibri"/>
                <w:b/>
              </w:rPr>
              <w:t>University partners</w:t>
            </w:r>
          </w:p>
        </w:tc>
        <w:tc>
          <w:tcPr>
            <w:tcW w:w="1276" w:type="dxa"/>
            <w:vAlign w:val="center"/>
          </w:tcPr>
          <w:p w14:paraId="08C60599" w14:textId="77777777" w:rsidR="00B14098" w:rsidRPr="00097804" w:rsidRDefault="00B14098" w:rsidP="0010569B">
            <w:pPr>
              <w:jc w:val="center"/>
              <w:rPr>
                <w:rFonts w:ascii="Calibri" w:hAnsi="Calibri" w:cs="Calibri"/>
                <w:color w:val="000000" w:themeColor="text1"/>
              </w:rPr>
            </w:pPr>
            <w:r w:rsidRPr="00097804">
              <w:rPr>
                <w:rFonts w:ascii="Calibri" w:eastAsia="Calibri" w:hAnsi="Calibri" w:cs="Calibri"/>
                <w:b/>
              </w:rPr>
              <w:t>NGO/CSO/ private sector partners/ community groups</w:t>
            </w:r>
          </w:p>
        </w:tc>
        <w:tc>
          <w:tcPr>
            <w:tcW w:w="1195" w:type="dxa"/>
            <w:vAlign w:val="center"/>
          </w:tcPr>
          <w:p w14:paraId="2FD185FD" w14:textId="77777777" w:rsidR="00B14098" w:rsidRPr="00097804" w:rsidRDefault="00B14098" w:rsidP="0010569B">
            <w:pPr>
              <w:jc w:val="center"/>
              <w:rPr>
                <w:rFonts w:ascii="Calibri" w:hAnsi="Calibri" w:cs="Calibri"/>
                <w:color w:val="000000" w:themeColor="text1"/>
              </w:rPr>
            </w:pPr>
            <w:r w:rsidRPr="00097804">
              <w:rPr>
                <w:rFonts w:ascii="Calibri" w:eastAsia="Calibri" w:hAnsi="Calibri" w:cs="Calibri"/>
                <w:b/>
              </w:rPr>
              <w:t>Informed third parties</w:t>
            </w:r>
          </w:p>
        </w:tc>
      </w:tr>
      <w:tr w:rsidR="00B14098" w:rsidRPr="00097804" w14:paraId="35C513FD" w14:textId="77777777" w:rsidTr="006639AB">
        <w:tc>
          <w:tcPr>
            <w:tcW w:w="4531" w:type="dxa"/>
          </w:tcPr>
          <w:p w14:paraId="7BD73490" w14:textId="25C8DBDD" w:rsidR="00B14098" w:rsidRPr="00097804" w:rsidRDefault="00B14098" w:rsidP="00B14098">
            <w:pPr>
              <w:rPr>
                <w:rFonts w:ascii="Calibri" w:hAnsi="Calibri" w:cs="Calibri"/>
                <w:color w:val="000000" w:themeColor="text1"/>
              </w:rPr>
            </w:pPr>
            <w:r w:rsidRPr="00097804">
              <w:rPr>
                <w:rFonts w:ascii="Calibri" w:eastAsia="Calibri" w:hAnsi="Calibri" w:cs="Calibri"/>
                <w:color w:val="000000"/>
              </w:rPr>
              <w:t>To what extent were RUCaS Phase 1 activities</w:t>
            </w:r>
            <w:r w:rsidRPr="00097804">
              <w:rPr>
                <w:rFonts w:ascii="Calibri" w:eastAsia="Calibri" w:hAnsi="Calibri" w:cs="Calibri"/>
              </w:rPr>
              <w:t xml:space="preserve"> </w:t>
            </w:r>
            <w:r w:rsidRPr="00097804">
              <w:rPr>
                <w:rFonts w:ascii="Calibri" w:eastAsia="Calibri" w:hAnsi="Calibri" w:cs="Calibri"/>
                <w:color w:val="000000"/>
              </w:rPr>
              <w:t>aligned with DFAT and national governments</w:t>
            </w:r>
            <w:r w:rsidRPr="00097804">
              <w:rPr>
                <w:rFonts w:ascii="Calibri" w:eastAsia="Calibri" w:hAnsi="Calibri" w:cs="Calibri"/>
              </w:rPr>
              <w:t xml:space="preserve"> urban resilience priorities?</w:t>
            </w:r>
          </w:p>
        </w:tc>
        <w:tc>
          <w:tcPr>
            <w:tcW w:w="851" w:type="dxa"/>
            <w:vAlign w:val="center"/>
          </w:tcPr>
          <w:p w14:paraId="0A0883D5" w14:textId="77777777" w:rsidR="00B14098" w:rsidRPr="00097804" w:rsidRDefault="00B14098" w:rsidP="0010569B">
            <w:pPr>
              <w:jc w:val="center"/>
              <w:rPr>
                <w:rFonts w:ascii="Calibri" w:hAnsi="Calibri" w:cs="Calibri"/>
                <w:color w:val="000000" w:themeColor="text1"/>
              </w:rPr>
            </w:pPr>
            <w:r w:rsidRPr="00097804">
              <w:rPr>
                <w:rFonts w:ascii="Calibri" w:hAnsi="Calibri" w:cs="Calibri"/>
              </w:rPr>
              <w:t>Yes</w:t>
            </w:r>
          </w:p>
        </w:tc>
        <w:tc>
          <w:tcPr>
            <w:tcW w:w="850" w:type="dxa"/>
            <w:vAlign w:val="center"/>
          </w:tcPr>
          <w:p w14:paraId="03B63E40" w14:textId="62AA9BC6" w:rsidR="00B14098" w:rsidRPr="00097804" w:rsidRDefault="00C5103B" w:rsidP="0010569B">
            <w:pPr>
              <w:jc w:val="center"/>
              <w:rPr>
                <w:rFonts w:ascii="Calibri" w:hAnsi="Calibri" w:cs="Calibri"/>
                <w:color w:val="000000" w:themeColor="text1"/>
              </w:rPr>
            </w:pPr>
            <w:r>
              <w:rPr>
                <w:rFonts w:ascii="Calibri" w:hAnsi="Calibri" w:cs="Calibri"/>
              </w:rPr>
              <w:t>No</w:t>
            </w:r>
          </w:p>
        </w:tc>
        <w:tc>
          <w:tcPr>
            <w:tcW w:w="1560" w:type="dxa"/>
            <w:vAlign w:val="center"/>
          </w:tcPr>
          <w:p w14:paraId="017ED5C0" w14:textId="6BE22B58" w:rsidR="00B14098" w:rsidRPr="00097804" w:rsidRDefault="00C5103B" w:rsidP="0010569B">
            <w:pPr>
              <w:jc w:val="center"/>
              <w:rPr>
                <w:rFonts w:ascii="Calibri" w:hAnsi="Calibri" w:cs="Calibri"/>
                <w:color w:val="000000" w:themeColor="text1"/>
              </w:rPr>
            </w:pPr>
            <w:r>
              <w:rPr>
                <w:rFonts w:ascii="Calibri" w:hAnsi="Calibri" w:cs="Calibri"/>
              </w:rPr>
              <w:t>No</w:t>
            </w:r>
          </w:p>
        </w:tc>
        <w:tc>
          <w:tcPr>
            <w:tcW w:w="992" w:type="dxa"/>
            <w:vAlign w:val="center"/>
          </w:tcPr>
          <w:p w14:paraId="79DAD893" w14:textId="4CEEEC64" w:rsidR="00B14098" w:rsidRPr="00097804" w:rsidRDefault="00C5103B" w:rsidP="0010569B">
            <w:pPr>
              <w:jc w:val="center"/>
              <w:rPr>
                <w:rFonts w:ascii="Calibri" w:hAnsi="Calibri" w:cs="Calibri"/>
                <w:color w:val="000000" w:themeColor="text1"/>
              </w:rPr>
            </w:pPr>
            <w:r>
              <w:rPr>
                <w:rFonts w:ascii="Calibri" w:hAnsi="Calibri" w:cs="Calibri"/>
              </w:rPr>
              <w:t>No</w:t>
            </w:r>
          </w:p>
        </w:tc>
        <w:tc>
          <w:tcPr>
            <w:tcW w:w="1417" w:type="dxa"/>
            <w:vAlign w:val="center"/>
          </w:tcPr>
          <w:p w14:paraId="5BB37796" w14:textId="77777777" w:rsidR="00B14098" w:rsidRPr="00097804" w:rsidRDefault="00B14098" w:rsidP="0010569B">
            <w:pPr>
              <w:jc w:val="center"/>
              <w:rPr>
                <w:rFonts w:ascii="Calibri" w:hAnsi="Calibri" w:cs="Calibri"/>
                <w:color w:val="000000" w:themeColor="text1"/>
              </w:rPr>
            </w:pPr>
            <w:r w:rsidRPr="00097804">
              <w:rPr>
                <w:rFonts w:ascii="Calibri" w:hAnsi="Calibri" w:cs="Calibri"/>
              </w:rPr>
              <w:t>Yes</w:t>
            </w:r>
          </w:p>
        </w:tc>
        <w:tc>
          <w:tcPr>
            <w:tcW w:w="1276" w:type="dxa"/>
            <w:vAlign w:val="center"/>
          </w:tcPr>
          <w:p w14:paraId="0EFFA85C" w14:textId="2251297F" w:rsidR="00B14098" w:rsidRPr="00097804" w:rsidRDefault="00C5103B" w:rsidP="0010569B">
            <w:pPr>
              <w:jc w:val="center"/>
              <w:rPr>
                <w:rFonts w:ascii="Calibri" w:hAnsi="Calibri" w:cs="Calibri"/>
                <w:color w:val="000000" w:themeColor="text1"/>
              </w:rPr>
            </w:pPr>
            <w:r>
              <w:rPr>
                <w:rFonts w:ascii="Calibri" w:hAnsi="Calibri" w:cs="Calibri"/>
                <w:color w:val="000000" w:themeColor="text1"/>
              </w:rPr>
              <w:t>No</w:t>
            </w:r>
          </w:p>
        </w:tc>
        <w:tc>
          <w:tcPr>
            <w:tcW w:w="1276" w:type="dxa"/>
            <w:vAlign w:val="center"/>
          </w:tcPr>
          <w:p w14:paraId="00EA965C" w14:textId="24733EC5" w:rsidR="00B14098" w:rsidRPr="00097804" w:rsidRDefault="00C5103B" w:rsidP="0010569B">
            <w:pPr>
              <w:jc w:val="center"/>
              <w:rPr>
                <w:rFonts w:ascii="Calibri" w:hAnsi="Calibri" w:cs="Calibri"/>
                <w:color w:val="000000" w:themeColor="text1"/>
              </w:rPr>
            </w:pPr>
            <w:r>
              <w:rPr>
                <w:rFonts w:ascii="Calibri" w:hAnsi="Calibri" w:cs="Calibri"/>
                <w:color w:val="000000" w:themeColor="text1"/>
              </w:rPr>
              <w:t>No</w:t>
            </w:r>
          </w:p>
        </w:tc>
        <w:tc>
          <w:tcPr>
            <w:tcW w:w="1195" w:type="dxa"/>
            <w:vAlign w:val="center"/>
          </w:tcPr>
          <w:p w14:paraId="4296FF18" w14:textId="746C086F" w:rsidR="00B14098" w:rsidRPr="00097804" w:rsidRDefault="00C5103B" w:rsidP="0010569B">
            <w:pPr>
              <w:jc w:val="center"/>
              <w:rPr>
                <w:rFonts w:ascii="Calibri" w:hAnsi="Calibri" w:cs="Calibri"/>
                <w:color w:val="000000" w:themeColor="text1"/>
              </w:rPr>
            </w:pPr>
            <w:r>
              <w:rPr>
                <w:rFonts w:ascii="Calibri" w:hAnsi="Calibri" w:cs="Calibri"/>
                <w:color w:val="000000" w:themeColor="text1"/>
              </w:rPr>
              <w:t>No</w:t>
            </w:r>
          </w:p>
        </w:tc>
      </w:tr>
      <w:tr w:rsidR="00B14098" w:rsidRPr="00097804" w14:paraId="03650A02" w14:textId="77777777" w:rsidTr="006639AB">
        <w:tc>
          <w:tcPr>
            <w:tcW w:w="4531" w:type="dxa"/>
          </w:tcPr>
          <w:p w14:paraId="2656AF8A" w14:textId="77777777" w:rsidR="00B14098" w:rsidRPr="00097804" w:rsidRDefault="00B14098" w:rsidP="00B14098">
            <w:pPr>
              <w:rPr>
                <w:rFonts w:ascii="Calibri" w:eastAsia="Calibri" w:hAnsi="Calibri" w:cs="Calibri"/>
              </w:rPr>
            </w:pPr>
            <w:r w:rsidRPr="00097804">
              <w:rPr>
                <w:rFonts w:ascii="Calibri" w:eastAsia="Calibri" w:hAnsi="Calibri" w:cs="Calibri"/>
                <w:color w:val="000000"/>
              </w:rPr>
              <w:t>How appropriate were the selected pilot</w:t>
            </w:r>
            <w:r w:rsidRPr="00097804">
              <w:rPr>
                <w:rFonts w:ascii="Calibri" w:eastAsia="Calibri" w:hAnsi="Calibri" w:cs="Calibri"/>
              </w:rPr>
              <w:t xml:space="preserve"> </w:t>
            </w:r>
            <w:r w:rsidRPr="00097804">
              <w:rPr>
                <w:rFonts w:ascii="Calibri" w:eastAsia="Calibri" w:hAnsi="Calibri" w:cs="Calibri"/>
                <w:color w:val="000000"/>
              </w:rPr>
              <w:t>interventions in addressing climate,</w:t>
            </w:r>
            <w:r w:rsidRPr="00097804">
              <w:rPr>
                <w:rFonts w:ascii="Calibri" w:eastAsia="Calibri" w:hAnsi="Calibri" w:cs="Calibri"/>
              </w:rPr>
              <w:t xml:space="preserve"> </w:t>
            </w:r>
            <w:r w:rsidRPr="00097804">
              <w:rPr>
                <w:rFonts w:ascii="Calibri" w:eastAsia="Calibri" w:hAnsi="Calibri" w:cs="Calibri"/>
                <w:color w:val="000000"/>
              </w:rPr>
              <w:t>environmental and social challenges in urban</w:t>
            </w:r>
            <w:r w:rsidRPr="00097804">
              <w:rPr>
                <w:rFonts w:ascii="Calibri" w:eastAsia="Calibri" w:hAnsi="Calibri" w:cs="Calibri"/>
              </w:rPr>
              <w:t xml:space="preserve"> areas?</w:t>
            </w:r>
          </w:p>
          <w:p w14:paraId="649C8ECD" w14:textId="25A782EE" w:rsidR="00B14098" w:rsidRPr="00097804" w:rsidRDefault="00B14098" w:rsidP="00B14098">
            <w:pPr>
              <w:rPr>
                <w:rFonts w:ascii="Calibri" w:hAnsi="Calibri" w:cs="Calibri"/>
                <w:color w:val="000000" w:themeColor="text1"/>
              </w:rPr>
            </w:pPr>
          </w:p>
        </w:tc>
        <w:tc>
          <w:tcPr>
            <w:tcW w:w="851" w:type="dxa"/>
            <w:vAlign w:val="center"/>
          </w:tcPr>
          <w:p w14:paraId="651F29A9" w14:textId="77777777" w:rsidR="00B14098" w:rsidRPr="00097804" w:rsidRDefault="00B14098" w:rsidP="0010569B">
            <w:pPr>
              <w:jc w:val="center"/>
              <w:rPr>
                <w:rFonts w:ascii="Calibri" w:hAnsi="Calibri" w:cs="Calibri"/>
                <w:color w:val="000000" w:themeColor="text1"/>
              </w:rPr>
            </w:pPr>
            <w:r w:rsidRPr="00097804">
              <w:rPr>
                <w:rFonts w:ascii="Calibri" w:hAnsi="Calibri" w:cs="Calibri"/>
              </w:rPr>
              <w:t>Yes</w:t>
            </w:r>
          </w:p>
        </w:tc>
        <w:tc>
          <w:tcPr>
            <w:tcW w:w="850" w:type="dxa"/>
            <w:vAlign w:val="center"/>
          </w:tcPr>
          <w:p w14:paraId="778E1467" w14:textId="77777777" w:rsidR="00B14098" w:rsidRPr="00097804" w:rsidRDefault="00B14098" w:rsidP="0010569B">
            <w:pPr>
              <w:jc w:val="center"/>
              <w:rPr>
                <w:rFonts w:ascii="Calibri" w:hAnsi="Calibri" w:cs="Calibri"/>
                <w:color w:val="000000" w:themeColor="text1"/>
              </w:rPr>
            </w:pPr>
            <w:r w:rsidRPr="00097804">
              <w:rPr>
                <w:rFonts w:ascii="Calibri" w:hAnsi="Calibri" w:cs="Calibri"/>
              </w:rPr>
              <w:t>Yes</w:t>
            </w:r>
          </w:p>
        </w:tc>
        <w:tc>
          <w:tcPr>
            <w:tcW w:w="1560" w:type="dxa"/>
            <w:vAlign w:val="center"/>
          </w:tcPr>
          <w:p w14:paraId="20B1B5B8" w14:textId="77777777" w:rsidR="00B14098" w:rsidRPr="00097804" w:rsidRDefault="00B14098" w:rsidP="0010569B">
            <w:pPr>
              <w:jc w:val="center"/>
              <w:rPr>
                <w:rFonts w:ascii="Calibri" w:hAnsi="Calibri" w:cs="Calibri"/>
                <w:color w:val="000000" w:themeColor="text1"/>
              </w:rPr>
            </w:pPr>
            <w:r w:rsidRPr="00097804">
              <w:rPr>
                <w:rFonts w:ascii="Calibri" w:hAnsi="Calibri" w:cs="Calibri"/>
              </w:rPr>
              <w:t>Yes</w:t>
            </w:r>
          </w:p>
        </w:tc>
        <w:tc>
          <w:tcPr>
            <w:tcW w:w="992" w:type="dxa"/>
            <w:vAlign w:val="center"/>
          </w:tcPr>
          <w:p w14:paraId="5C9528E3" w14:textId="77777777" w:rsidR="00B14098" w:rsidRPr="00097804" w:rsidRDefault="00B14098" w:rsidP="0010569B">
            <w:pPr>
              <w:jc w:val="center"/>
              <w:rPr>
                <w:rFonts w:ascii="Calibri" w:hAnsi="Calibri" w:cs="Calibri"/>
                <w:color w:val="000000" w:themeColor="text1"/>
              </w:rPr>
            </w:pPr>
            <w:r w:rsidRPr="00097804">
              <w:rPr>
                <w:rFonts w:ascii="Calibri" w:hAnsi="Calibri" w:cs="Calibri"/>
              </w:rPr>
              <w:t>Yes</w:t>
            </w:r>
          </w:p>
        </w:tc>
        <w:tc>
          <w:tcPr>
            <w:tcW w:w="1417" w:type="dxa"/>
            <w:vAlign w:val="center"/>
          </w:tcPr>
          <w:p w14:paraId="614E6C85" w14:textId="77777777" w:rsidR="00B14098" w:rsidRPr="00097804" w:rsidRDefault="00B14098" w:rsidP="0010569B">
            <w:pPr>
              <w:jc w:val="center"/>
              <w:rPr>
                <w:rFonts w:ascii="Calibri" w:hAnsi="Calibri" w:cs="Calibri"/>
                <w:color w:val="000000" w:themeColor="text1"/>
              </w:rPr>
            </w:pPr>
            <w:r w:rsidRPr="00097804">
              <w:rPr>
                <w:rFonts w:ascii="Calibri" w:hAnsi="Calibri" w:cs="Calibri"/>
              </w:rPr>
              <w:t>Yes</w:t>
            </w:r>
          </w:p>
        </w:tc>
        <w:tc>
          <w:tcPr>
            <w:tcW w:w="1276" w:type="dxa"/>
            <w:vAlign w:val="center"/>
          </w:tcPr>
          <w:p w14:paraId="18A62547" w14:textId="77777777" w:rsidR="00B14098" w:rsidRPr="00097804" w:rsidRDefault="00B14098" w:rsidP="0010569B">
            <w:pPr>
              <w:jc w:val="center"/>
              <w:rPr>
                <w:rFonts w:ascii="Calibri" w:hAnsi="Calibri" w:cs="Calibri"/>
                <w:color w:val="000000" w:themeColor="text1"/>
              </w:rPr>
            </w:pPr>
            <w:r w:rsidRPr="00097804">
              <w:rPr>
                <w:rFonts w:ascii="Calibri" w:hAnsi="Calibri" w:cs="Calibri"/>
              </w:rPr>
              <w:t>Yes</w:t>
            </w:r>
          </w:p>
        </w:tc>
        <w:tc>
          <w:tcPr>
            <w:tcW w:w="1276" w:type="dxa"/>
            <w:vAlign w:val="center"/>
          </w:tcPr>
          <w:p w14:paraId="38F0CB0B" w14:textId="77777777" w:rsidR="00B14098" w:rsidRPr="00097804" w:rsidRDefault="00B14098" w:rsidP="0010569B">
            <w:pPr>
              <w:jc w:val="center"/>
              <w:rPr>
                <w:rFonts w:ascii="Calibri" w:hAnsi="Calibri" w:cs="Calibri"/>
                <w:color w:val="000000" w:themeColor="text1"/>
              </w:rPr>
            </w:pPr>
            <w:r w:rsidRPr="00097804">
              <w:rPr>
                <w:rFonts w:ascii="Calibri" w:hAnsi="Calibri" w:cs="Calibri"/>
              </w:rPr>
              <w:t>Yes</w:t>
            </w:r>
          </w:p>
        </w:tc>
        <w:tc>
          <w:tcPr>
            <w:tcW w:w="1195" w:type="dxa"/>
            <w:vAlign w:val="center"/>
          </w:tcPr>
          <w:p w14:paraId="08AA2BF5" w14:textId="54823F1B" w:rsidR="00B14098" w:rsidRPr="00097804" w:rsidRDefault="00B14098" w:rsidP="0010569B">
            <w:pPr>
              <w:jc w:val="center"/>
              <w:rPr>
                <w:rFonts w:ascii="Calibri" w:hAnsi="Calibri" w:cs="Calibri"/>
                <w:color w:val="000000" w:themeColor="text1"/>
              </w:rPr>
            </w:pPr>
            <w:r>
              <w:rPr>
                <w:rFonts w:ascii="Calibri" w:hAnsi="Calibri" w:cs="Calibri"/>
              </w:rPr>
              <w:t>Yes</w:t>
            </w:r>
          </w:p>
        </w:tc>
      </w:tr>
    </w:tbl>
    <w:p w14:paraId="7BE76D9C" w14:textId="77777777" w:rsidR="00B14098" w:rsidRPr="00097804" w:rsidRDefault="00B14098" w:rsidP="00B14098">
      <w:pPr>
        <w:spacing w:after="0" w:line="240" w:lineRule="auto"/>
        <w:rPr>
          <w:rFonts w:ascii="Calibri" w:hAnsi="Calibri" w:cs="Calibri"/>
        </w:rPr>
        <w:sectPr w:rsidR="00B14098" w:rsidRPr="00097804" w:rsidSect="00B14098">
          <w:footerReference w:type="default" r:id="rId16"/>
          <w:pgSz w:w="16838" w:h="11906" w:orient="landscape"/>
          <w:pgMar w:top="1440" w:right="1440" w:bottom="1440" w:left="1440" w:header="708" w:footer="708" w:gutter="0"/>
          <w:cols w:space="708"/>
          <w:docGrid w:linePitch="360"/>
        </w:sectPr>
      </w:pPr>
    </w:p>
    <w:p w14:paraId="09824C2F" w14:textId="77777777" w:rsidR="00B63D04" w:rsidRPr="00097804" w:rsidRDefault="00B63D04" w:rsidP="00097804">
      <w:pPr>
        <w:spacing w:after="0" w:line="240" w:lineRule="auto"/>
        <w:rPr>
          <w:rFonts w:ascii="Calibri" w:eastAsia="Calibri" w:hAnsi="Calibri" w:cs="Calibri"/>
          <w:b/>
          <w:color w:val="000000"/>
        </w:rPr>
      </w:pPr>
      <w:r w:rsidRPr="00097804">
        <w:rPr>
          <w:rFonts w:ascii="Calibri" w:eastAsia="Calibri" w:hAnsi="Calibri" w:cs="Calibri"/>
          <w:b/>
          <w:color w:val="000000"/>
        </w:rPr>
        <w:lastRenderedPageBreak/>
        <w:t>Evaluation Objective 2: Effectiveness</w:t>
      </w:r>
    </w:p>
    <w:p w14:paraId="66B16351" w14:textId="77777777" w:rsidR="00B63D04" w:rsidRPr="00097804" w:rsidRDefault="00B63D04" w:rsidP="00097804">
      <w:pPr>
        <w:spacing w:after="0" w:line="240" w:lineRule="auto"/>
        <w:rPr>
          <w:rFonts w:ascii="Calibri" w:eastAsia="Calibri" w:hAnsi="Calibri" w:cs="Calibri"/>
          <w:bCs/>
        </w:rPr>
      </w:pPr>
      <w:r w:rsidRPr="00097804">
        <w:rPr>
          <w:rFonts w:ascii="Calibri" w:eastAsia="Calibri" w:hAnsi="Calibri" w:cs="Calibri"/>
          <w:bCs/>
          <w:color w:val="000000"/>
        </w:rPr>
        <w:t>Evaluate the effectiveness of the program in achieving its intended outcomes including acceptance of hybrid NbS value, upscaling, strengthening of partnerships and technical and regional collaboration</w:t>
      </w:r>
    </w:p>
    <w:tbl>
      <w:tblPr>
        <w:tblStyle w:val="TableGrid"/>
        <w:tblW w:w="0" w:type="auto"/>
        <w:tblLayout w:type="fixed"/>
        <w:tblLook w:val="04A0" w:firstRow="1" w:lastRow="0" w:firstColumn="1" w:lastColumn="0" w:noHBand="0" w:noVBand="1"/>
      </w:tblPr>
      <w:tblGrid>
        <w:gridCol w:w="4531"/>
        <w:gridCol w:w="851"/>
        <w:gridCol w:w="850"/>
        <w:gridCol w:w="1560"/>
        <w:gridCol w:w="992"/>
        <w:gridCol w:w="1417"/>
        <w:gridCol w:w="1276"/>
        <w:gridCol w:w="1276"/>
        <w:gridCol w:w="1195"/>
      </w:tblGrid>
      <w:tr w:rsidR="00B63D04" w:rsidRPr="00097804" w14:paraId="3BCB5D47" w14:textId="77777777" w:rsidTr="006639AB">
        <w:trPr>
          <w:tblHeader/>
        </w:trPr>
        <w:tc>
          <w:tcPr>
            <w:tcW w:w="4531" w:type="dxa"/>
          </w:tcPr>
          <w:p w14:paraId="3E3BF5C4" w14:textId="77777777" w:rsidR="00B63D04" w:rsidRPr="00097804" w:rsidRDefault="00B63D04" w:rsidP="00097804">
            <w:pPr>
              <w:rPr>
                <w:rFonts w:ascii="Calibri" w:hAnsi="Calibri" w:cs="Calibri"/>
                <w:color w:val="000000" w:themeColor="text1"/>
              </w:rPr>
            </w:pPr>
            <w:r w:rsidRPr="00097804">
              <w:rPr>
                <w:rFonts w:ascii="Calibri" w:eastAsia="Calibri" w:hAnsi="Calibri" w:cs="Calibri"/>
                <w:b/>
              </w:rPr>
              <w:t>Key evaluation questions</w:t>
            </w:r>
          </w:p>
        </w:tc>
        <w:tc>
          <w:tcPr>
            <w:tcW w:w="851" w:type="dxa"/>
            <w:vAlign w:val="center"/>
          </w:tcPr>
          <w:p w14:paraId="1D5023CA" w14:textId="77777777" w:rsidR="00B63D04" w:rsidRPr="00097804" w:rsidRDefault="00B63D04" w:rsidP="000D42BD">
            <w:pPr>
              <w:jc w:val="center"/>
              <w:rPr>
                <w:rFonts w:ascii="Calibri" w:hAnsi="Calibri" w:cs="Calibri"/>
                <w:color w:val="000000" w:themeColor="text1"/>
              </w:rPr>
            </w:pPr>
            <w:r w:rsidRPr="00097804">
              <w:rPr>
                <w:rFonts w:ascii="Calibri" w:eastAsia="Calibri" w:hAnsi="Calibri" w:cs="Calibri"/>
                <w:b/>
              </w:rPr>
              <w:t>DFAT</w:t>
            </w:r>
          </w:p>
        </w:tc>
        <w:tc>
          <w:tcPr>
            <w:tcW w:w="850" w:type="dxa"/>
            <w:vAlign w:val="center"/>
          </w:tcPr>
          <w:p w14:paraId="2679D014" w14:textId="77777777" w:rsidR="00B63D04" w:rsidRPr="00097804" w:rsidRDefault="00B63D04" w:rsidP="000D42BD">
            <w:pPr>
              <w:jc w:val="center"/>
              <w:rPr>
                <w:rFonts w:ascii="Calibri" w:hAnsi="Calibri" w:cs="Calibri"/>
                <w:color w:val="000000" w:themeColor="text1"/>
              </w:rPr>
            </w:pPr>
            <w:r w:rsidRPr="00097804">
              <w:rPr>
                <w:rFonts w:ascii="Calibri" w:eastAsia="Calibri" w:hAnsi="Calibri" w:cs="Calibri"/>
                <w:b/>
              </w:rPr>
              <w:t>WSCA/ICEM team</w:t>
            </w:r>
          </w:p>
        </w:tc>
        <w:tc>
          <w:tcPr>
            <w:tcW w:w="1560" w:type="dxa"/>
            <w:vAlign w:val="center"/>
          </w:tcPr>
          <w:p w14:paraId="2A3064FC" w14:textId="77777777" w:rsidR="00B63D04" w:rsidRPr="00097804" w:rsidRDefault="00B63D04" w:rsidP="000D42BD">
            <w:pPr>
              <w:jc w:val="center"/>
              <w:rPr>
                <w:rFonts w:ascii="Calibri" w:hAnsi="Calibri" w:cs="Calibri"/>
                <w:color w:val="000000" w:themeColor="text1"/>
              </w:rPr>
            </w:pPr>
            <w:r w:rsidRPr="00097804">
              <w:rPr>
                <w:rFonts w:ascii="Calibri" w:eastAsia="Calibri" w:hAnsi="Calibri" w:cs="Calibri"/>
                <w:b/>
              </w:rPr>
              <w:t>Other implementing partners</w:t>
            </w:r>
          </w:p>
        </w:tc>
        <w:tc>
          <w:tcPr>
            <w:tcW w:w="992" w:type="dxa"/>
            <w:vAlign w:val="center"/>
          </w:tcPr>
          <w:p w14:paraId="1D9EE999" w14:textId="77777777" w:rsidR="00B63D04" w:rsidRPr="00097804" w:rsidRDefault="00B63D04" w:rsidP="000D42BD">
            <w:pPr>
              <w:jc w:val="center"/>
              <w:rPr>
                <w:rFonts w:ascii="Calibri" w:hAnsi="Calibri" w:cs="Calibri"/>
                <w:color w:val="000000" w:themeColor="text1"/>
              </w:rPr>
            </w:pPr>
            <w:r w:rsidRPr="00097804">
              <w:rPr>
                <w:rFonts w:ascii="Calibri" w:eastAsia="Calibri" w:hAnsi="Calibri" w:cs="Calibri"/>
                <w:b/>
              </w:rPr>
              <w:t>GEDSI TAG</w:t>
            </w:r>
          </w:p>
        </w:tc>
        <w:tc>
          <w:tcPr>
            <w:tcW w:w="1417" w:type="dxa"/>
            <w:vAlign w:val="center"/>
          </w:tcPr>
          <w:p w14:paraId="74744215" w14:textId="77777777" w:rsidR="00B63D04" w:rsidRPr="00097804" w:rsidRDefault="00B63D04" w:rsidP="000D42BD">
            <w:pPr>
              <w:jc w:val="center"/>
              <w:rPr>
                <w:rFonts w:ascii="Calibri" w:hAnsi="Calibri" w:cs="Calibri"/>
                <w:color w:val="000000" w:themeColor="text1"/>
              </w:rPr>
            </w:pPr>
            <w:r w:rsidRPr="00097804">
              <w:rPr>
                <w:rFonts w:ascii="Calibri" w:eastAsia="Calibri" w:hAnsi="Calibri" w:cs="Calibri"/>
                <w:b/>
              </w:rPr>
              <w:t>Government partners</w:t>
            </w:r>
          </w:p>
        </w:tc>
        <w:tc>
          <w:tcPr>
            <w:tcW w:w="1276" w:type="dxa"/>
            <w:vAlign w:val="center"/>
          </w:tcPr>
          <w:p w14:paraId="2B1825FA" w14:textId="77777777" w:rsidR="00B63D04" w:rsidRPr="00097804" w:rsidRDefault="00B63D04" w:rsidP="000D42BD">
            <w:pPr>
              <w:jc w:val="center"/>
              <w:rPr>
                <w:rFonts w:ascii="Calibri" w:hAnsi="Calibri" w:cs="Calibri"/>
                <w:color w:val="000000" w:themeColor="text1"/>
              </w:rPr>
            </w:pPr>
            <w:r w:rsidRPr="00097804">
              <w:rPr>
                <w:rFonts w:ascii="Calibri" w:eastAsia="Calibri" w:hAnsi="Calibri" w:cs="Calibri"/>
                <w:b/>
              </w:rPr>
              <w:t>University partners</w:t>
            </w:r>
          </w:p>
        </w:tc>
        <w:tc>
          <w:tcPr>
            <w:tcW w:w="1276" w:type="dxa"/>
            <w:vAlign w:val="center"/>
          </w:tcPr>
          <w:p w14:paraId="5875B585" w14:textId="77777777" w:rsidR="00B63D04" w:rsidRPr="00097804" w:rsidRDefault="00B63D04" w:rsidP="000D42BD">
            <w:pPr>
              <w:jc w:val="center"/>
              <w:rPr>
                <w:rFonts w:ascii="Calibri" w:hAnsi="Calibri" w:cs="Calibri"/>
                <w:color w:val="000000" w:themeColor="text1"/>
              </w:rPr>
            </w:pPr>
            <w:r w:rsidRPr="00097804">
              <w:rPr>
                <w:rFonts w:ascii="Calibri" w:eastAsia="Calibri" w:hAnsi="Calibri" w:cs="Calibri"/>
                <w:b/>
              </w:rPr>
              <w:t>NGO/CSO/ private sector partners/ community groups</w:t>
            </w:r>
          </w:p>
        </w:tc>
        <w:tc>
          <w:tcPr>
            <w:tcW w:w="1195" w:type="dxa"/>
            <w:vAlign w:val="center"/>
          </w:tcPr>
          <w:p w14:paraId="36C19705" w14:textId="77777777" w:rsidR="00B63D04" w:rsidRPr="00097804" w:rsidRDefault="00B63D04" w:rsidP="000D42BD">
            <w:pPr>
              <w:jc w:val="center"/>
              <w:rPr>
                <w:rFonts w:ascii="Calibri" w:hAnsi="Calibri" w:cs="Calibri"/>
                <w:color w:val="000000" w:themeColor="text1"/>
              </w:rPr>
            </w:pPr>
            <w:r w:rsidRPr="00097804">
              <w:rPr>
                <w:rFonts w:ascii="Calibri" w:eastAsia="Calibri" w:hAnsi="Calibri" w:cs="Calibri"/>
                <w:b/>
              </w:rPr>
              <w:t>Informed third parties</w:t>
            </w:r>
          </w:p>
        </w:tc>
      </w:tr>
      <w:tr w:rsidR="00B63D04" w:rsidRPr="00097804" w14:paraId="749163DE" w14:textId="77777777" w:rsidTr="006639AB">
        <w:tc>
          <w:tcPr>
            <w:tcW w:w="4531" w:type="dxa"/>
          </w:tcPr>
          <w:p w14:paraId="03C64B0F" w14:textId="77777777" w:rsidR="00B63D04" w:rsidRPr="00097804" w:rsidRDefault="00B63D04" w:rsidP="00097804">
            <w:pPr>
              <w:rPr>
                <w:rFonts w:ascii="Calibri" w:eastAsia="Calibri" w:hAnsi="Calibri" w:cs="Calibri"/>
                <w:color w:val="000000"/>
              </w:rPr>
            </w:pPr>
            <w:r w:rsidRPr="00097804">
              <w:rPr>
                <w:rFonts w:ascii="Calibri" w:eastAsia="Calibri" w:hAnsi="Calibri" w:cs="Calibri"/>
                <w:color w:val="000000"/>
              </w:rPr>
              <w:t>To what extent has RUCaS Phase 1 achieved its intended EOPO and IO?</w:t>
            </w:r>
          </w:p>
          <w:p w14:paraId="693A1EE4" w14:textId="77777777" w:rsidR="00B63D04" w:rsidRPr="00097804" w:rsidRDefault="00B63D04" w:rsidP="00097804">
            <w:pPr>
              <w:rPr>
                <w:rFonts w:ascii="Calibri" w:eastAsia="Calibri" w:hAnsi="Calibri" w:cs="Calibri"/>
                <w:color w:val="000000"/>
              </w:rPr>
            </w:pPr>
            <w:r w:rsidRPr="00097804">
              <w:rPr>
                <w:rFonts w:ascii="Calibri" w:eastAsia="Calibri" w:hAnsi="Calibri" w:cs="Calibri"/>
                <w:color w:val="000000"/>
              </w:rPr>
              <w:t>EOPO 1: The value of hybrid NbS is accepted.</w:t>
            </w:r>
          </w:p>
          <w:p w14:paraId="75C0039E" w14:textId="77777777" w:rsidR="00B63D04" w:rsidRPr="00097804" w:rsidRDefault="00B63D04" w:rsidP="00097804">
            <w:pPr>
              <w:rPr>
                <w:rFonts w:ascii="Calibri" w:eastAsia="Calibri" w:hAnsi="Calibri" w:cs="Calibri"/>
                <w:color w:val="000000"/>
              </w:rPr>
            </w:pPr>
            <w:r w:rsidRPr="00097804">
              <w:rPr>
                <w:rFonts w:ascii="Calibri" w:eastAsia="Calibri" w:hAnsi="Calibri" w:cs="Calibri"/>
                <w:color w:val="000000"/>
              </w:rPr>
              <w:t>IO 1: Mekong subregion partners buy in to the value of Hybrid NbS in strengthening economic, social, and environmental resilience.</w:t>
            </w:r>
          </w:p>
          <w:p w14:paraId="6257A8BA" w14:textId="77777777" w:rsidR="00B63D04" w:rsidRPr="00097804" w:rsidRDefault="00B63D04" w:rsidP="00097804">
            <w:pPr>
              <w:rPr>
                <w:rFonts w:ascii="Calibri" w:eastAsia="Calibri" w:hAnsi="Calibri" w:cs="Calibri"/>
                <w:color w:val="000000"/>
              </w:rPr>
            </w:pPr>
            <w:r w:rsidRPr="00097804">
              <w:rPr>
                <w:rFonts w:ascii="Calibri" w:eastAsia="Calibri" w:hAnsi="Calibri" w:cs="Calibri"/>
                <w:color w:val="000000"/>
              </w:rPr>
              <w:t>EOPO 2: The foundations for upscaling are being put in place.</w:t>
            </w:r>
          </w:p>
          <w:p w14:paraId="57F0C9CD" w14:textId="77777777" w:rsidR="00B63D04" w:rsidRPr="00097804" w:rsidRDefault="00B63D04" w:rsidP="00097804">
            <w:pPr>
              <w:rPr>
                <w:rFonts w:ascii="Calibri" w:eastAsia="Calibri" w:hAnsi="Calibri" w:cs="Calibri"/>
                <w:color w:val="000000"/>
              </w:rPr>
            </w:pPr>
            <w:r w:rsidRPr="00097804">
              <w:rPr>
                <w:rFonts w:ascii="Calibri" w:eastAsia="Calibri" w:hAnsi="Calibri" w:cs="Calibri"/>
                <w:color w:val="000000"/>
              </w:rPr>
              <w:t>IO 2: Mekong authorities and partners consider hybrid NbS in policies, regulations, and technical guidance and tools for climate change adaptation.</w:t>
            </w:r>
          </w:p>
          <w:p w14:paraId="4B7A9C55" w14:textId="77777777" w:rsidR="00B63D04" w:rsidRPr="00097804" w:rsidRDefault="00B63D04" w:rsidP="00097804">
            <w:pPr>
              <w:rPr>
                <w:rFonts w:ascii="Calibri" w:eastAsia="Calibri" w:hAnsi="Calibri" w:cs="Calibri"/>
                <w:color w:val="000000"/>
              </w:rPr>
            </w:pPr>
            <w:r w:rsidRPr="00097804">
              <w:rPr>
                <w:rFonts w:ascii="Calibri" w:eastAsia="Calibri" w:hAnsi="Calibri" w:cs="Calibri"/>
                <w:color w:val="000000"/>
              </w:rPr>
              <w:t>EOPO 3: Partnerships and capacity for achieving scaling are established.</w:t>
            </w:r>
          </w:p>
          <w:p w14:paraId="39CC4112" w14:textId="77777777" w:rsidR="00B63D04" w:rsidRPr="00097804" w:rsidRDefault="00B63D04" w:rsidP="00097804">
            <w:pPr>
              <w:rPr>
                <w:rFonts w:ascii="Calibri" w:hAnsi="Calibri" w:cs="Calibri"/>
                <w:color w:val="000000" w:themeColor="text1"/>
              </w:rPr>
            </w:pPr>
            <w:r w:rsidRPr="00097804">
              <w:rPr>
                <w:rFonts w:ascii="Calibri" w:eastAsia="Calibri" w:hAnsi="Calibri" w:cs="Calibri"/>
                <w:color w:val="000000"/>
              </w:rPr>
              <w:t>IO 3: Inclusive cohort of NbS champions established to promote hybrid NbS. Evidence of strengthened capacity within an inclusive cohort of NbS champions to achieve NbS scaling.</w:t>
            </w:r>
          </w:p>
        </w:tc>
        <w:tc>
          <w:tcPr>
            <w:tcW w:w="851" w:type="dxa"/>
            <w:vAlign w:val="center"/>
          </w:tcPr>
          <w:p w14:paraId="6BE9215C" w14:textId="77777777" w:rsidR="00B63D04" w:rsidRPr="00097804" w:rsidRDefault="00B63D04" w:rsidP="000D42BD">
            <w:pPr>
              <w:jc w:val="center"/>
              <w:rPr>
                <w:rFonts w:ascii="Calibri" w:hAnsi="Calibri" w:cs="Calibri"/>
                <w:color w:val="000000" w:themeColor="text1"/>
              </w:rPr>
            </w:pPr>
            <w:r w:rsidRPr="00097804">
              <w:rPr>
                <w:rFonts w:ascii="Calibri" w:hAnsi="Calibri" w:cs="Calibri"/>
              </w:rPr>
              <w:t>Yes</w:t>
            </w:r>
          </w:p>
        </w:tc>
        <w:tc>
          <w:tcPr>
            <w:tcW w:w="850" w:type="dxa"/>
            <w:vAlign w:val="center"/>
          </w:tcPr>
          <w:p w14:paraId="69B1ADBF" w14:textId="77777777" w:rsidR="00B63D04" w:rsidRPr="00097804" w:rsidRDefault="00B63D04" w:rsidP="000D42BD">
            <w:pPr>
              <w:jc w:val="center"/>
              <w:rPr>
                <w:rFonts w:ascii="Calibri" w:hAnsi="Calibri" w:cs="Calibri"/>
                <w:color w:val="000000" w:themeColor="text1"/>
              </w:rPr>
            </w:pPr>
            <w:r w:rsidRPr="00097804">
              <w:rPr>
                <w:rFonts w:ascii="Calibri" w:hAnsi="Calibri" w:cs="Calibri"/>
              </w:rPr>
              <w:t>Yes</w:t>
            </w:r>
          </w:p>
        </w:tc>
        <w:tc>
          <w:tcPr>
            <w:tcW w:w="1560" w:type="dxa"/>
            <w:vAlign w:val="center"/>
          </w:tcPr>
          <w:p w14:paraId="606364CE" w14:textId="77777777" w:rsidR="00B63D04" w:rsidRPr="00097804" w:rsidRDefault="00B63D04" w:rsidP="000D42BD">
            <w:pPr>
              <w:jc w:val="center"/>
              <w:rPr>
                <w:rFonts w:ascii="Calibri" w:hAnsi="Calibri" w:cs="Calibri"/>
                <w:color w:val="000000" w:themeColor="text1"/>
              </w:rPr>
            </w:pPr>
            <w:r w:rsidRPr="00097804">
              <w:rPr>
                <w:rFonts w:ascii="Calibri" w:hAnsi="Calibri" w:cs="Calibri"/>
              </w:rPr>
              <w:t>Yes</w:t>
            </w:r>
          </w:p>
        </w:tc>
        <w:tc>
          <w:tcPr>
            <w:tcW w:w="992" w:type="dxa"/>
            <w:vAlign w:val="center"/>
          </w:tcPr>
          <w:p w14:paraId="601F2CAB" w14:textId="77777777" w:rsidR="00B63D04" w:rsidRPr="00097804" w:rsidRDefault="00B63D04" w:rsidP="000D42BD">
            <w:pPr>
              <w:jc w:val="center"/>
              <w:rPr>
                <w:rFonts w:ascii="Calibri" w:hAnsi="Calibri" w:cs="Calibri"/>
                <w:color w:val="000000" w:themeColor="text1"/>
              </w:rPr>
            </w:pPr>
            <w:r w:rsidRPr="00097804">
              <w:rPr>
                <w:rFonts w:ascii="Calibri" w:hAnsi="Calibri" w:cs="Calibri"/>
              </w:rPr>
              <w:t>Yes</w:t>
            </w:r>
          </w:p>
        </w:tc>
        <w:tc>
          <w:tcPr>
            <w:tcW w:w="1417" w:type="dxa"/>
            <w:vAlign w:val="center"/>
          </w:tcPr>
          <w:p w14:paraId="2701834D" w14:textId="77777777" w:rsidR="00B63D04" w:rsidRPr="00097804" w:rsidRDefault="00B63D04" w:rsidP="000D42BD">
            <w:pPr>
              <w:jc w:val="center"/>
              <w:rPr>
                <w:rFonts w:ascii="Calibri" w:hAnsi="Calibri" w:cs="Calibri"/>
                <w:color w:val="000000" w:themeColor="text1"/>
              </w:rPr>
            </w:pPr>
            <w:r w:rsidRPr="00097804">
              <w:rPr>
                <w:rFonts w:ascii="Calibri" w:hAnsi="Calibri" w:cs="Calibri"/>
              </w:rPr>
              <w:t>Yes</w:t>
            </w:r>
          </w:p>
        </w:tc>
        <w:tc>
          <w:tcPr>
            <w:tcW w:w="1276" w:type="dxa"/>
            <w:vAlign w:val="center"/>
          </w:tcPr>
          <w:p w14:paraId="0016D906" w14:textId="77777777" w:rsidR="00B63D04" w:rsidRPr="00097804" w:rsidRDefault="00B63D04" w:rsidP="000D42BD">
            <w:pPr>
              <w:jc w:val="center"/>
              <w:rPr>
                <w:rFonts w:ascii="Calibri" w:hAnsi="Calibri" w:cs="Calibri"/>
                <w:color w:val="000000" w:themeColor="text1"/>
              </w:rPr>
            </w:pPr>
            <w:r w:rsidRPr="00097804">
              <w:rPr>
                <w:rFonts w:ascii="Calibri" w:hAnsi="Calibri" w:cs="Calibri"/>
              </w:rPr>
              <w:t>Yes</w:t>
            </w:r>
          </w:p>
        </w:tc>
        <w:tc>
          <w:tcPr>
            <w:tcW w:w="1276" w:type="dxa"/>
            <w:vAlign w:val="center"/>
          </w:tcPr>
          <w:p w14:paraId="07906990" w14:textId="77777777" w:rsidR="00B63D04" w:rsidRPr="00097804" w:rsidRDefault="00B63D04" w:rsidP="000D42BD">
            <w:pPr>
              <w:jc w:val="center"/>
              <w:rPr>
                <w:rFonts w:ascii="Calibri" w:hAnsi="Calibri" w:cs="Calibri"/>
                <w:color w:val="000000" w:themeColor="text1"/>
              </w:rPr>
            </w:pPr>
            <w:r w:rsidRPr="00097804">
              <w:rPr>
                <w:rFonts w:ascii="Calibri" w:hAnsi="Calibri" w:cs="Calibri"/>
              </w:rPr>
              <w:t>Yes</w:t>
            </w:r>
          </w:p>
        </w:tc>
        <w:tc>
          <w:tcPr>
            <w:tcW w:w="1195" w:type="dxa"/>
            <w:vAlign w:val="center"/>
          </w:tcPr>
          <w:p w14:paraId="4A2E7D80" w14:textId="77777777" w:rsidR="00B63D04" w:rsidRPr="00097804" w:rsidRDefault="00B63D04" w:rsidP="000D42BD">
            <w:pPr>
              <w:jc w:val="center"/>
              <w:rPr>
                <w:rFonts w:ascii="Calibri" w:hAnsi="Calibri" w:cs="Calibri"/>
                <w:color w:val="000000" w:themeColor="text1"/>
              </w:rPr>
            </w:pPr>
            <w:r w:rsidRPr="00097804">
              <w:rPr>
                <w:rFonts w:ascii="Calibri" w:hAnsi="Calibri" w:cs="Calibri"/>
              </w:rPr>
              <w:t>Yes</w:t>
            </w:r>
          </w:p>
        </w:tc>
      </w:tr>
      <w:tr w:rsidR="00B63D04" w:rsidRPr="00097804" w14:paraId="6906D340" w14:textId="77777777" w:rsidTr="006639AB">
        <w:tc>
          <w:tcPr>
            <w:tcW w:w="4531" w:type="dxa"/>
          </w:tcPr>
          <w:p w14:paraId="08B13782" w14:textId="77777777" w:rsidR="00B63D04" w:rsidRPr="00097804" w:rsidRDefault="00B63D04" w:rsidP="00097804">
            <w:pPr>
              <w:rPr>
                <w:rFonts w:ascii="Calibri" w:hAnsi="Calibri" w:cs="Calibri"/>
                <w:color w:val="000000" w:themeColor="text1"/>
              </w:rPr>
            </w:pPr>
            <w:r w:rsidRPr="00097804">
              <w:rPr>
                <w:rFonts w:ascii="Calibri" w:eastAsia="Calibri" w:hAnsi="Calibri" w:cs="Calibri"/>
                <w:color w:val="000000"/>
              </w:rPr>
              <w:t>What were the barriers if outcomes were</w:t>
            </w:r>
            <w:r w:rsidRPr="00097804">
              <w:rPr>
                <w:rFonts w:ascii="Calibri" w:eastAsia="Calibri" w:hAnsi="Calibri" w:cs="Calibri"/>
              </w:rPr>
              <w:t xml:space="preserve"> </w:t>
            </w:r>
            <w:r w:rsidRPr="00097804">
              <w:rPr>
                <w:rFonts w:ascii="Calibri" w:eastAsia="Calibri" w:hAnsi="Calibri" w:cs="Calibri"/>
                <w:color w:val="000000"/>
              </w:rPr>
              <w:t>achieved in a limited way? If outcomes have</w:t>
            </w:r>
            <w:r w:rsidRPr="00097804">
              <w:rPr>
                <w:rFonts w:ascii="Calibri" w:eastAsia="Calibri" w:hAnsi="Calibri" w:cs="Calibri"/>
              </w:rPr>
              <w:t xml:space="preserve"> </w:t>
            </w:r>
            <w:r w:rsidRPr="00097804">
              <w:rPr>
                <w:rFonts w:ascii="Calibri" w:eastAsia="Calibri" w:hAnsi="Calibri" w:cs="Calibri"/>
                <w:color w:val="000000"/>
              </w:rPr>
              <w:t>been well achieved, what factors support that</w:t>
            </w:r>
            <w:r w:rsidRPr="00097804">
              <w:rPr>
                <w:rFonts w:ascii="Calibri" w:eastAsia="Calibri" w:hAnsi="Calibri" w:cs="Calibri"/>
              </w:rPr>
              <w:t xml:space="preserve"> achievement?</w:t>
            </w:r>
          </w:p>
        </w:tc>
        <w:tc>
          <w:tcPr>
            <w:tcW w:w="851" w:type="dxa"/>
            <w:vAlign w:val="center"/>
          </w:tcPr>
          <w:p w14:paraId="11AB3372" w14:textId="77777777" w:rsidR="00B63D04" w:rsidRPr="00097804" w:rsidRDefault="00B63D04" w:rsidP="000D42BD">
            <w:pPr>
              <w:jc w:val="center"/>
              <w:rPr>
                <w:rFonts w:ascii="Calibri" w:hAnsi="Calibri" w:cs="Calibri"/>
                <w:color w:val="000000" w:themeColor="text1"/>
              </w:rPr>
            </w:pPr>
            <w:r w:rsidRPr="00097804">
              <w:rPr>
                <w:rFonts w:ascii="Calibri" w:hAnsi="Calibri" w:cs="Calibri"/>
              </w:rPr>
              <w:t>Yes</w:t>
            </w:r>
          </w:p>
        </w:tc>
        <w:tc>
          <w:tcPr>
            <w:tcW w:w="850" w:type="dxa"/>
            <w:vAlign w:val="center"/>
          </w:tcPr>
          <w:p w14:paraId="6FE15F3F" w14:textId="77777777" w:rsidR="00B63D04" w:rsidRPr="00097804" w:rsidRDefault="00B63D04" w:rsidP="000D42BD">
            <w:pPr>
              <w:jc w:val="center"/>
              <w:rPr>
                <w:rFonts w:ascii="Calibri" w:hAnsi="Calibri" w:cs="Calibri"/>
                <w:color w:val="000000" w:themeColor="text1"/>
              </w:rPr>
            </w:pPr>
            <w:r w:rsidRPr="00097804">
              <w:rPr>
                <w:rFonts w:ascii="Calibri" w:hAnsi="Calibri" w:cs="Calibri"/>
              </w:rPr>
              <w:t>Yes</w:t>
            </w:r>
          </w:p>
        </w:tc>
        <w:tc>
          <w:tcPr>
            <w:tcW w:w="1560" w:type="dxa"/>
            <w:vAlign w:val="center"/>
          </w:tcPr>
          <w:p w14:paraId="340FF4FD" w14:textId="77777777" w:rsidR="00B63D04" w:rsidRPr="00097804" w:rsidRDefault="00B63D04" w:rsidP="000D42BD">
            <w:pPr>
              <w:jc w:val="center"/>
              <w:rPr>
                <w:rFonts w:ascii="Calibri" w:hAnsi="Calibri" w:cs="Calibri"/>
                <w:color w:val="000000" w:themeColor="text1"/>
              </w:rPr>
            </w:pPr>
            <w:r w:rsidRPr="00097804">
              <w:rPr>
                <w:rFonts w:ascii="Calibri" w:hAnsi="Calibri" w:cs="Calibri"/>
              </w:rPr>
              <w:t>Yes</w:t>
            </w:r>
          </w:p>
        </w:tc>
        <w:tc>
          <w:tcPr>
            <w:tcW w:w="992" w:type="dxa"/>
            <w:vAlign w:val="center"/>
          </w:tcPr>
          <w:p w14:paraId="6336668C" w14:textId="77777777" w:rsidR="00B63D04" w:rsidRPr="00097804" w:rsidRDefault="00B63D04" w:rsidP="000D42BD">
            <w:pPr>
              <w:jc w:val="center"/>
              <w:rPr>
                <w:rFonts w:ascii="Calibri" w:hAnsi="Calibri" w:cs="Calibri"/>
                <w:color w:val="000000" w:themeColor="text1"/>
              </w:rPr>
            </w:pPr>
            <w:r w:rsidRPr="00097804">
              <w:rPr>
                <w:rFonts w:ascii="Calibri" w:hAnsi="Calibri" w:cs="Calibri"/>
              </w:rPr>
              <w:t>Yes</w:t>
            </w:r>
          </w:p>
        </w:tc>
        <w:tc>
          <w:tcPr>
            <w:tcW w:w="1417" w:type="dxa"/>
            <w:vAlign w:val="center"/>
          </w:tcPr>
          <w:p w14:paraId="3909047E" w14:textId="77777777" w:rsidR="00B63D04" w:rsidRPr="00097804" w:rsidRDefault="00B63D04" w:rsidP="000D42BD">
            <w:pPr>
              <w:jc w:val="center"/>
              <w:rPr>
                <w:rFonts w:ascii="Calibri" w:hAnsi="Calibri" w:cs="Calibri"/>
                <w:color w:val="000000" w:themeColor="text1"/>
              </w:rPr>
            </w:pPr>
            <w:r w:rsidRPr="00097804">
              <w:rPr>
                <w:rFonts w:ascii="Calibri" w:hAnsi="Calibri" w:cs="Calibri"/>
              </w:rPr>
              <w:t>Yes</w:t>
            </w:r>
          </w:p>
        </w:tc>
        <w:tc>
          <w:tcPr>
            <w:tcW w:w="1276" w:type="dxa"/>
            <w:vAlign w:val="center"/>
          </w:tcPr>
          <w:p w14:paraId="29FE2460" w14:textId="77777777" w:rsidR="00B63D04" w:rsidRPr="00097804" w:rsidRDefault="00B63D04" w:rsidP="000D42BD">
            <w:pPr>
              <w:jc w:val="center"/>
              <w:rPr>
                <w:rFonts w:ascii="Calibri" w:hAnsi="Calibri" w:cs="Calibri"/>
                <w:color w:val="000000" w:themeColor="text1"/>
              </w:rPr>
            </w:pPr>
            <w:r w:rsidRPr="00097804">
              <w:rPr>
                <w:rFonts w:ascii="Calibri" w:hAnsi="Calibri" w:cs="Calibri"/>
              </w:rPr>
              <w:t>Yes</w:t>
            </w:r>
          </w:p>
        </w:tc>
        <w:tc>
          <w:tcPr>
            <w:tcW w:w="1276" w:type="dxa"/>
            <w:vAlign w:val="center"/>
          </w:tcPr>
          <w:p w14:paraId="15C63F1C" w14:textId="77777777" w:rsidR="00B63D04" w:rsidRPr="00097804" w:rsidRDefault="00B63D04" w:rsidP="000D42BD">
            <w:pPr>
              <w:jc w:val="center"/>
              <w:rPr>
                <w:rFonts w:ascii="Calibri" w:hAnsi="Calibri" w:cs="Calibri"/>
                <w:color w:val="000000" w:themeColor="text1"/>
              </w:rPr>
            </w:pPr>
            <w:r w:rsidRPr="00097804">
              <w:rPr>
                <w:rFonts w:ascii="Calibri" w:hAnsi="Calibri" w:cs="Calibri"/>
              </w:rPr>
              <w:t>Yes</w:t>
            </w:r>
          </w:p>
        </w:tc>
        <w:tc>
          <w:tcPr>
            <w:tcW w:w="1195" w:type="dxa"/>
            <w:vAlign w:val="center"/>
          </w:tcPr>
          <w:p w14:paraId="716FCC8B" w14:textId="77777777" w:rsidR="00B63D04" w:rsidRPr="00097804" w:rsidRDefault="00B63D04" w:rsidP="000D42BD">
            <w:pPr>
              <w:jc w:val="center"/>
              <w:rPr>
                <w:rFonts w:ascii="Calibri" w:hAnsi="Calibri" w:cs="Calibri"/>
                <w:color w:val="000000" w:themeColor="text1"/>
              </w:rPr>
            </w:pPr>
            <w:r w:rsidRPr="00097804">
              <w:rPr>
                <w:rFonts w:ascii="Calibri" w:hAnsi="Calibri" w:cs="Calibri"/>
              </w:rPr>
              <w:t>Yes</w:t>
            </w:r>
          </w:p>
        </w:tc>
      </w:tr>
    </w:tbl>
    <w:p w14:paraId="209F6569" w14:textId="77777777" w:rsidR="00B63D04" w:rsidRPr="00097804" w:rsidRDefault="00B63D04" w:rsidP="00097804">
      <w:pPr>
        <w:spacing w:after="0" w:line="240" w:lineRule="auto"/>
        <w:rPr>
          <w:rFonts w:ascii="Calibri" w:hAnsi="Calibri" w:cs="Calibri"/>
        </w:rPr>
        <w:sectPr w:rsidR="00B63D04" w:rsidRPr="00097804" w:rsidSect="00B63D04">
          <w:footerReference w:type="default" r:id="rId17"/>
          <w:pgSz w:w="16838" w:h="11906" w:orient="landscape"/>
          <w:pgMar w:top="1440" w:right="1440" w:bottom="1440" w:left="1440" w:header="708" w:footer="708" w:gutter="0"/>
          <w:cols w:space="708"/>
          <w:docGrid w:linePitch="360"/>
        </w:sectPr>
      </w:pPr>
    </w:p>
    <w:p w14:paraId="4AAB7308" w14:textId="14B7A13B" w:rsidR="00B63D04" w:rsidRPr="00097804" w:rsidRDefault="00B63D04" w:rsidP="00097804">
      <w:pPr>
        <w:spacing w:after="0" w:line="240" w:lineRule="auto"/>
        <w:rPr>
          <w:rFonts w:ascii="Calibri" w:eastAsia="Calibri" w:hAnsi="Calibri" w:cs="Calibri"/>
          <w:b/>
          <w:color w:val="000000"/>
        </w:rPr>
      </w:pPr>
      <w:r w:rsidRPr="00097804">
        <w:rPr>
          <w:rFonts w:ascii="Calibri" w:eastAsia="Calibri" w:hAnsi="Calibri" w:cs="Calibri"/>
          <w:b/>
          <w:color w:val="000000"/>
        </w:rPr>
        <w:lastRenderedPageBreak/>
        <w:t xml:space="preserve">Evaluation Objective </w:t>
      </w:r>
      <w:r w:rsidR="00AA6934" w:rsidRPr="00097804">
        <w:rPr>
          <w:rFonts w:ascii="Calibri" w:eastAsia="Calibri" w:hAnsi="Calibri" w:cs="Calibri"/>
          <w:b/>
          <w:color w:val="000000"/>
        </w:rPr>
        <w:t xml:space="preserve">3: </w:t>
      </w:r>
      <w:r w:rsidR="00127A77" w:rsidRPr="00097804">
        <w:rPr>
          <w:rFonts w:ascii="Calibri" w:eastAsia="Calibri" w:hAnsi="Calibri" w:cs="Calibri"/>
          <w:b/>
          <w:color w:val="000000"/>
        </w:rPr>
        <w:t>Efficiency</w:t>
      </w:r>
    </w:p>
    <w:p w14:paraId="2E68C55C" w14:textId="698FE117" w:rsidR="00B63D04" w:rsidRPr="00097804" w:rsidRDefault="00127A77" w:rsidP="00097804">
      <w:pPr>
        <w:spacing w:after="0" w:line="240" w:lineRule="auto"/>
        <w:rPr>
          <w:rFonts w:ascii="Calibri" w:eastAsia="Calibri" w:hAnsi="Calibri" w:cs="Calibri"/>
          <w:bCs/>
        </w:rPr>
      </w:pPr>
      <w:r w:rsidRPr="00097804">
        <w:rPr>
          <w:rFonts w:ascii="Calibri" w:eastAsia="Calibri" w:hAnsi="Calibri" w:cs="Calibri"/>
          <w:bCs/>
          <w:color w:val="000000"/>
        </w:rPr>
        <w:t>Review the efficiency of delivery</w:t>
      </w:r>
      <w:r w:rsidRPr="00097804">
        <w:rPr>
          <w:rFonts w:ascii="Calibri" w:eastAsia="Calibri" w:hAnsi="Calibri" w:cs="Calibri"/>
          <w:bCs/>
        </w:rPr>
        <w:t xml:space="preserve"> </w:t>
      </w:r>
      <w:r w:rsidRPr="00097804">
        <w:rPr>
          <w:rFonts w:ascii="Calibri" w:eastAsia="Calibri" w:hAnsi="Calibri" w:cs="Calibri"/>
          <w:bCs/>
          <w:color w:val="000000"/>
        </w:rPr>
        <w:t>approaches, including the use of</w:t>
      </w:r>
      <w:r w:rsidRPr="00097804">
        <w:rPr>
          <w:rFonts w:ascii="Calibri" w:eastAsia="Calibri" w:hAnsi="Calibri" w:cs="Calibri"/>
          <w:bCs/>
        </w:rPr>
        <w:t xml:space="preserve"> </w:t>
      </w:r>
      <w:r w:rsidRPr="00097804">
        <w:rPr>
          <w:rFonts w:ascii="Calibri" w:eastAsia="Calibri" w:hAnsi="Calibri" w:cs="Calibri"/>
          <w:bCs/>
          <w:color w:val="000000"/>
        </w:rPr>
        <w:t>resources, partnership models</w:t>
      </w:r>
      <w:r w:rsidRPr="00097804">
        <w:rPr>
          <w:rFonts w:ascii="Calibri" w:eastAsia="Calibri" w:hAnsi="Calibri" w:cs="Calibri"/>
          <w:bCs/>
        </w:rPr>
        <w:t xml:space="preserve"> </w:t>
      </w:r>
      <w:r w:rsidRPr="00097804">
        <w:rPr>
          <w:rFonts w:ascii="Calibri" w:eastAsia="Calibri" w:hAnsi="Calibri" w:cs="Calibri"/>
          <w:bCs/>
          <w:color w:val="000000"/>
        </w:rPr>
        <w:t>and coordination mechanisms</w:t>
      </w:r>
      <w:r w:rsidRPr="00097804">
        <w:rPr>
          <w:rFonts w:ascii="Calibri" w:eastAsia="Calibri" w:hAnsi="Calibri" w:cs="Calibri"/>
          <w:bCs/>
        </w:rPr>
        <w:t xml:space="preserve"> </w:t>
      </w:r>
      <w:r w:rsidRPr="00097804">
        <w:rPr>
          <w:rFonts w:ascii="Calibri" w:eastAsia="Calibri" w:hAnsi="Calibri" w:cs="Calibri"/>
          <w:bCs/>
          <w:color w:val="000000"/>
        </w:rPr>
        <w:t>across countries according to the</w:t>
      </w:r>
      <w:r w:rsidRPr="00097804">
        <w:rPr>
          <w:rFonts w:ascii="Calibri" w:eastAsia="Calibri" w:hAnsi="Calibri" w:cs="Calibri"/>
          <w:bCs/>
        </w:rPr>
        <w:t xml:space="preserve"> Value for Money principle</w:t>
      </w:r>
    </w:p>
    <w:tbl>
      <w:tblPr>
        <w:tblStyle w:val="TableGrid"/>
        <w:tblW w:w="0" w:type="auto"/>
        <w:tblLayout w:type="fixed"/>
        <w:tblLook w:val="04A0" w:firstRow="1" w:lastRow="0" w:firstColumn="1" w:lastColumn="0" w:noHBand="0" w:noVBand="1"/>
      </w:tblPr>
      <w:tblGrid>
        <w:gridCol w:w="4531"/>
        <w:gridCol w:w="851"/>
        <w:gridCol w:w="850"/>
        <w:gridCol w:w="1560"/>
        <w:gridCol w:w="992"/>
        <w:gridCol w:w="1417"/>
        <w:gridCol w:w="1276"/>
        <w:gridCol w:w="1276"/>
        <w:gridCol w:w="1195"/>
      </w:tblGrid>
      <w:tr w:rsidR="00B63D04" w:rsidRPr="00097804" w14:paraId="5313AEF0" w14:textId="77777777" w:rsidTr="006639AB">
        <w:trPr>
          <w:tblHeader/>
        </w:trPr>
        <w:tc>
          <w:tcPr>
            <w:tcW w:w="4531" w:type="dxa"/>
          </w:tcPr>
          <w:p w14:paraId="046830E5" w14:textId="77777777" w:rsidR="00B63D04" w:rsidRPr="00097804" w:rsidRDefault="00B63D04" w:rsidP="00097804">
            <w:pPr>
              <w:rPr>
                <w:rFonts w:ascii="Calibri" w:hAnsi="Calibri" w:cs="Calibri"/>
                <w:color w:val="000000" w:themeColor="text1"/>
              </w:rPr>
            </w:pPr>
            <w:r w:rsidRPr="00097804">
              <w:rPr>
                <w:rFonts w:ascii="Calibri" w:eastAsia="Calibri" w:hAnsi="Calibri" w:cs="Calibri"/>
                <w:b/>
              </w:rPr>
              <w:t>Key evaluation questions</w:t>
            </w:r>
          </w:p>
        </w:tc>
        <w:tc>
          <w:tcPr>
            <w:tcW w:w="851" w:type="dxa"/>
            <w:vAlign w:val="center"/>
          </w:tcPr>
          <w:p w14:paraId="2C2865D5" w14:textId="77777777" w:rsidR="00B63D04" w:rsidRPr="00097804" w:rsidRDefault="00B63D04" w:rsidP="000D42BD">
            <w:pPr>
              <w:jc w:val="center"/>
              <w:rPr>
                <w:rFonts w:ascii="Calibri" w:hAnsi="Calibri" w:cs="Calibri"/>
                <w:color w:val="000000" w:themeColor="text1"/>
              </w:rPr>
            </w:pPr>
            <w:r w:rsidRPr="00097804">
              <w:rPr>
                <w:rFonts w:ascii="Calibri" w:eastAsia="Calibri" w:hAnsi="Calibri" w:cs="Calibri"/>
                <w:b/>
              </w:rPr>
              <w:t>DFAT</w:t>
            </w:r>
          </w:p>
        </w:tc>
        <w:tc>
          <w:tcPr>
            <w:tcW w:w="850" w:type="dxa"/>
            <w:vAlign w:val="center"/>
          </w:tcPr>
          <w:p w14:paraId="24D76F67" w14:textId="77777777" w:rsidR="00B63D04" w:rsidRPr="00097804" w:rsidRDefault="00B63D04" w:rsidP="000D42BD">
            <w:pPr>
              <w:jc w:val="center"/>
              <w:rPr>
                <w:rFonts w:ascii="Calibri" w:hAnsi="Calibri" w:cs="Calibri"/>
                <w:color w:val="000000" w:themeColor="text1"/>
              </w:rPr>
            </w:pPr>
            <w:r w:rsidRPr="00097804">
              <w:rPr>
                <w:rFonts w:ascii="Calibri" w:eastAsia="Calibri" w:hAnsi="Calibri" w:cs="Calibri"/>
                <w:b/>
              </w:rPr>
              <w:t>WSCA/ICEM team</w:t>
            </w:r>
          </w:p>
        </w:tc>
        <w:tc>
          <w:tcPr>
            <w:tcW w:w="1560" w:type="dxa"/>
            <w:vAlign w:val="center"/>
          </w:tcPr>
          <w:p w14:paraId="77D97FC8" w14:textId="77777777" w:rsidR="00B63D04" w:rsidRPr="00097804" w:rsidRDefault="00B63D04" w:rsidP="000D42BD">
            <w:pPr>
              <w:jc w:val="center"/>
              <w:rPr>
                <w:rFonts w:ascii="Calibri" w:hAnsi="Calibri" w:cs="Calibri"/>
                <w:color w:val="000000" w:themeColor="text1"/>
              </w:rPr>
            </w:pPr>
            <w:r w:rsidRPr="00097804">
              <w:rPr>
                <w:rFonts w:ascii="Calibri" w:eastAsia="Calibri" w:hAnsi="Calibri" w:cs="Calibri"/>
                <w:b/>
              </w:rPr>
              <w:t>Other implementing partners</w:t>
            </w:r>
          </w:p>
        </w:tc>
        <w:tc>
          <w:tcPr>
            <w:tcW w:w="992" w:type="dxa"/>
            <w:vAlign w:val="center"/>
          </w:tcPr>
          <w:p w14:paraId="6E0812CA" w14:textId="77777777" w:rsidR="00B63D04" w:rsidRPr="00097804" w:rsidRDefault="00B63D04" w:rsidP="000D42BD">
            <w:pPr>
              <w:jc w:val="center"/>
              <w:rPr>
                <w:rFonts w:ascii="Calibri" w:hAnsi="Calibri" w:cs="Calibri"/>
                <w:color w:val="000000" w:themeColor="text1"/>
              </w:rPr>
            </w:pPr>
            <w:r w:rsidRPr="00097804">
              <w:rPr>
                <w:rFonts w:ascii="Calibri" w:eastAsia="Calibri" w:hAnsi="Calibri" w:cs="Calibri"/>
                <w:b/>
              </w:rPr>
              <w:t>GEDSI TAG</w:t>
            </w:r>
          </w:p>
        </w:tc>
        <w:tc>
          <w:tcPr>
            <w:tcW w:w="1417" w:type="dxa"/>
            <w:vAlign w:val="center"/>
          </w:tcPr>
          <w:p w14:paraId="46C5C864" w14:textId="77777777" w:rsidR="00B63D04" w:rsidRPr="00097804" w:rsidRDefault="00B63D04" w:rsidP="000D42BD">
            <w:pPr>
              <w:jc w:val="center"/>
              <w:rPr>
                <w:rFonts w:ascii="Calibri" w:hAnsi="Calibri" w:cs="Calibri"/>
                <w:color w:val="000000" w:themeColor="text1"/>
              </w:rPr>
            </w:pPr>
            <w:r w:rsidRPr="00097804">
              <w:rPr>
                <w:rFonts w:ascii="Calibri" w:eastAsia="Calibri" w:hAnsi="Calibri" w:cs="Calibri"/>
                <w:b/>
              </w:rPr>
              <w:t>Government partners</w:t>
            </w:r>
          </w:p>
        </w:tc>
        <w:tc>
          <w:tcPr>
            <w:tcW w:w="1276" w:type="dxa"/>
            <w:vAlign w:val="center"/>
          </w:tcPr>
          <w:p w14:paraId="2CA58BA8" w14:textId="77777777" w:rsidR="00B63D04" w:rsidRPr="00097804" w:rsidRDefault="00B63D04" w:rsidP="000D42BD">
            <w:pPr>
              <w:jc w:val="center"/>
              <w:rPr>
                <w:rFonts w:ascii="Calibri" w:hAnsi="Calibri" w:cs="Calibri"/>
                <w:color w:val="000000" w:themeColor="text1"/>
              </w:rPr>
            </w:pPr>
            <w:r w:rsidRPr="00097804">
              <w:rPr>
                <w:rFonts w:ascii="Calibri" w:eastAsia="Calibri" w:hAnsi="Calibri" w:cs="Calibri"/>
                <w:b/>
              </w:rPr>
              <w:t>University partners</w:t>
            </w:r>
          </w:p>
        </w:tc>
        <w:tc>
          <w:tcPr>
            <w:tcW w:w="1276" w:type="dxa"/>
            <w:vAlign w:val="center"/>
          </w:tcPr>
          <w:p w14:paraId="65EB7203" w14:textId="77777777" w:rsidR="00B63D04" w:rsidRPr="00097804" w:rsidRDefault="00B63D04" w:rsidP="000D42BD">
            <w:pPr>
              <w:jc w:val="center"/>
              <w:rPr>
                <w:rFonts w:ascii="Calibri" w:hAnsi="Calibri" w:cs="Calibri"/>
                <w:color w:val="000000" w:themeColor="text1"/>
              </w:rPr>
            </w:pPr>
            <w:r w:rsidRPr="00097804">
              <w:rPr>
                <w:rFonts w:ascii="Calibri" w:eastAsia="Calibri" w:hAnsi="Calibri" w:cs="Calibri"/>
                <w:b/>
              </w:rPr>
              <w:t>NGO/CSO/ private sector partners/ community groups</w:t>
            </w:r>
          </w:p>
        </w:tc>
        <w:tc>
          <w:tcPr>
            <w:tcW w:w="1195" w:type="dxa"/>
            <w:vAlign w:val="center"/>
          </w:tcPr>
          <w:p w14:paraId="1481CFF5" w14:textId="77777777" w:rsidR="00B63D04" w:rsidRPr="00097804" w:rsidRDefault="00B63D04" w:rsidP="000D42BD">
            <w:pPr>
              <w:jc w:val="center"/>
              <w:rPr>
                <w:rFonts w:ascii="Calibri" w:hAnsi="Calibri" w:cs="Calibri"/>
                <w:color w:val="000000" w:themeColor="text1"/>
              </w:rPr>
            </w:pPr>
            <w:r w:rsidRPr="00097804">
              <w:rPr>
                <w:rFonts w:ascii="Calibri" w:eastAsia="Calibri" w:hAnsi="Calibri" w:cs="Calibri"/>
                <w:b/>
              </w:rPr>
              <w:t>Informed third parties</w:t>
            </w:r>
          </w:p>
        </w:tc>
      </w:tr>
      <w:tr w:rsidR="00B63D04" w:rsidRPr="00097804" w14:paraId="1E40BA88" w14:textId="77777777" w:rsidTr="006639AB">
        <w:tc>
          <w:tcPr>
            <w:tcW w:w="4531" w:type="dxa"/>
          </w:tcPr>
          <w:p w14:paraId="79E97093" w14:textId="301DD8DB" w:rsidR="00B63D04" w:rsidRPr="00097804" w:rsidRDefault="00545BE6" w:rsidP="00097804">
            <w:pPr>
              <w:rPr>
                <w:rFonts w:ascii="Calibri" w:hAnsi="Calibri" w:cs="Calibri"/>
                <w:color w:val="000000" w:themeColor="text1"/>
              </w:rPr>
            </w:pPr>
            <w:r w:rsidRPr="00097804">
              <w:rPr>
                <w:rFonts w:ascii="Calibri" w:hAnsi="Calibri" w:cs="Calibri"/>
                <w:color w:val="000000"/>
              </w:rPr>
              <w:t>What evidence is there to suggest that resources (finance, human,</w:t>
            </w:r>
            <w:r w:rsidRPr="00097804">
              <w:rPr>
                <w:rFonts w:ascii="Calibri" w:hAnsi="Calibri" w:cs="Calibri"/>
              </w:rPr>
              <w:t xml:space="preserve"> </w:t>
            </w:r>
            <w:r w:rsidRPr="00097804">
              <w:rPr>
                <w:rFonts w:ascii="Calibri" w:hAnsi="Calibri" w:cs="Calibri"/>
                <w:color w:val="000000"/>
              </w:rPr>
              <w:t>technical assistance, time) were effectively and</w:t>
            </w:r>
            <w:r w:rsidRPr="00097804">
              <w:rPr>
                <w:rFonts w:ascii="Calibri" w:hAnsi="Calibri" w:cs="Calibri"/>
              </w:rPr>
              <w:t xml:space="preserve"> </w:t>
            </w:r>
            <w:r w:rsidRPr="00097804">
              <w:rPr>
                <w:rFonts w:ascii="Calibri" w:hAnsi="Calibri" w:cs="Calibri"/>
                <w:color w:val="000000"/>
              </w:rPr>
              <w:t>adequately allocated to achieve the EOPO?</w:t>
            </w:r>
          </w:p>
        </w:tc>
        <w:tc>
          <w:tcPr>
            <w:tcW w:w="851" w:type="dxa"/>
            <w:vAlign w:val="center"/>
          </w:tcPr>
          <w:p w14:paraId="0B90BDAD" w14:textId="77777777" w:rsidR="00B63D04" w:rsidRPr="00097804" w:rsidRDefault="00B63D04" w:rsidP="000D42BD">
            <w:pPr>
              <w:jc w:val="center"/>
              <w:rPr>
                <w:rFonts w:ascii="Calibri" w:hAnsi="Calibri" w:cs="Calibri"/>
                <w:color w:val="000000" w:themeColor="text1"/>
              </w:rPr>
            </w:pPr>
            <w:r w:rsidRPr="00097804">
              <w:rPr>
                <w:rFonts w:ascii="Calibri" w:hAnsi="Calibri" w:cs="Calibri"/>
              </w:rPr>
              <w:t>Yes</w:t>
            </w:r>
          </w:p>
        </w:tc>
        <w:tc>
          <w:tcPr>
            <w:tcW w:w="850" w:type="dxa"/>
            <w:vAlign w:val="center"/>
          </w:tcPr>
          <w:p w14:paraId="4AC95C81" w14:textId="77777777" w:rsidR="00B63D04" w:rsidRPr="00097804" w:rsidRDefault="00B63D04" w:rsidP="000D42BD">
            <w:pPr>
              <w:jc w:val="center"/>
              <w:rPr>
                <w:rFonts w:ascii="Calibri" w:hAnsi="Calibri" w:cs="Calibri"/>
                <w:color w:val="000000" w:themeColor="text1"/>
              </w:rPr>
            </w:pPr>
            <w:r w:rsidRPr="00097804">
              <w:rPr>
                <w:rFonts w:ascii="Calibri" w:hAnsi="Calibri" w:cs="Calibri"/>
              </w:rPr>
              <w:t>Yes</w:t>
            </w:r>
          </w:p>
        </w:tc>
        <w:tc>
          <w:tcPr>
            <w:tcW w:w="1560" w:type="dxa"/>
            <w:vAlign w:val="center"/>
          </w:tcPr>
          <w:p w14:paraId="29EEA5B8" w14:textId="77777777" w:rsidR="00B63D04" w:rsidRPr="00097804" w:rsidRDefault="00B63D04" w:rsidP="000D42BD">
            <w:pPr>
              <w:jc w:val="center"/>
              <w:rPr>
                <w:rFonts w:ascii="Calibri" w:hAnsi="Calibri" w:cs="Calibri"/>
                <w:color w:val="000000" w:themeColor="text1"/>
              </w:rPr>
            </w:pPr>
            <w:r w:rsidRPr="00097804">
              <w:rPr>
                <w:rFonts w:ascii="Calibri" w:hAnsi="Calibri" w:cs="Calibri"/>
              </w:rPr>
              <w:t>Yes</w:t>
            </w:r>
          </w:p>
        </w:tc>
        <w:tc>
          <w:tcPr>
            <w:tcW w:w="992" w:type="dxa"/>
            <w:vAlign w:val="center"/>
          </w:tcPr>
          <w:p w14:paraId="43584A0D" w14:textId="77777777" w:rsidR="00B63D04" w:rsidRPr="00097804" w:rsidRDefault="00B63D04" w:rsidP="000D42BD">
            <w:pPr>
              <w:jc w:val="center"/>
              <w:rPr>
                <w:rFonts w:ascii="Calibri" w:hAnsi="Calibri" w:cs="Calibri"/>
                <w:color w:val="000000" w:themeColor="text1"/>
              </w:rPr>
            </w:pPr>
            <w:r w:rsidRPr="00097804">
              <w:rPr>
                <w:rFonts w:ascii="Calibri" w:hAnsi="Calibri" w:cs="Calibri"/>
              </w:rPr>
              <w:t>Yes</w:t>
            </w:r>
          </w:p>
        </w:tc>
        <w:tc>
          <w:tcPr>
            <w:tcW w:w="1417" w:type="dxa"/>
            <w:vAlign w:val="center"/>
          </w:tcPr>
          <w:p w14:paraId="2D1DB622" w14:textId="77777777" w:rsidR="00B63D04" w:rsidRPr="00097804" w:rsidRDefault="00B63D04" w:rsidP="000D42BD">
            <w:pPr>
              <w:jc w:val="center"/>
              <w:rPr>
                <w:rFonts w:ascii="Calibri" w:hAnsi="Calibri" w:cs="Calibri"/>
                <w:color w:val="000000" w:themeColor="text1"/>
              </w:rPr>
            </w:pPr>
            <w:r w:rsidRPr="00097804">
              <w:rPr>
                <w:rFonts w:ascii="Calibri" w:hAnsi="Calibri" w:cs="Calibri"/>
              </w:rPr>
              <w:t>Yes</w:t>
            </w:r>
          </w:p>
        </w:tc>
        <w:tc>
          <w:tcPr>
            <w:tcW w:w="1276" w:type="dxa"/>
            <w:vAlign w:val="center"/>
          </w:tcPr>
          <w:p w14:paraId="67E0EEEC" w14:textId="77777777" w:rsidR="00B63D04" w:rsidRPr="00097804" w:rsidRDefault="00B63D04" w:rsidP="000D42BD">
            <w:pPr>
              <w:jc w:val="center"/>
              <w:rPr>
                <w:rFonts w:ascii="Calibri" w:hAnsi="Calibri" w:cs="Calibri"/>
                <w:color w:val="000000" w:themeColor="text1"/>
              </w:rPr>
            </w:pPr>
            <w:r w:rsidRPr="00097804">
              <w:rPr>
                <w:rFonts w:ascii="Calibri" w:hAnsi="Calibri" w:cs="Calibri"/>
              </w:rPr>
              <w:t>Yes</w:t>
            </w:r>
          </w:p>
        </w:tc>
        <w:tc>
          <w:tcPr>
            <w:tcW w:w="1276" w:type="dxa"/>
            <w:vAlign w:val="center"/>
          </w:tcPr>
          <w:p w14:paraId="3B3AB2E5" w14:textId="77777777" w:rsidR="00B63D04" w:rsidRPr="00097804" w:rsidRDefault="00B63D04" w:rsidP="000D42BD">
            <w:pPr>
              <w:jc w:val="center"/>
              <w:rPr>
                <w:rFonts w:ascii="Calibri" w:hAnsi="Calibri" w:cs="Calibri"/>
                <w:color w:val="000000" w:themeColor="text1"/>
              </w:rPr>
            </w:pPr>
            <w:r w:rsidRPr="00097804">
              <w:rPr>
                <w:rFonts w:ascii="Calibri" w:hAnsi="Calibri" w:cs="Calibri"/>
              </w:rPr>
              <w:t>Yes</w:t>
            </w:r>
          </w:p>
        </w:tc>
        <w:tc>
          <w:tcPr>
            <w:tcW w:w="1195" w:type="dxa"/>
            <w:vAlign w:val="center"/>
          </w:tcPr>
          <w:p w14:paraId="55EDC8E4" w14:textId="363E8BEE" w:rsidR="00B63D04" w:rsidRPr="00097804" w:rsidRDefault="00545BE6" w:rsidP="000D42BD">
            <w:pPr>
              <w:jc w:val="center"/>
              <w:rPr>
                <w:rFonts w:ascii="Calibri" w:hAnsi="Calibri" w:cs="Calibri"/>
                <w:color w:val="000000" w:themeColor="text1"/>
              </w:rPr>
            </w:pPr>
            <w:r w:rsidRPr="00097804">
              <w:rPr>
                <w:rFonts w:ascii="Calibri" w:hAnsi="Calibri" w:cs="Calibri"/>
              </w:rPr>
              <w:t>No</w:t>
            </w:r>
          </w:p>
        </w:tc>
      </w:tr>
      <w:tr w:rsidR="00B7216F" w:rsidRPr="00097804" w14:paraId="464C6084" w14:textId="77777777" w:rsidTr="006639AB">
        <w:tc>
          <w:tcPr>
            <w:tcW w:w="4531" w:type="dxa"/>
          </w:tcPr>
          <w:p w14:paraId="3440B5DE" w14:textId="7C26F8C5" w:rsidR="00B7216F" w:rsidRPr="00097804" w:rsidRDefault="00B7216F" w:rsidP="00097804">
            <w:pPr>
              <w:rPr>
                <w:rFonts w:ascii="Calibri" w:hAnsi="Calibri" w:cs="Calibri"/>
                <w:color w:val="000000" w:themeColor="text1"/>
              </w:rPr>
            </w:pPr>
            <w:r w:rsidRPr="00097804">
              <w:rPr>
                <w:rFonts w:ascii="Calibri" w:eastAsia="Calibri" w:hAnsi="Calibri" w:cs="Calibri"/>
                <w:color w:val="000000"/>
              </w:rPr>
              <w:t>Were there any resource allocation challenges</w:t>
            </w:r>
            <w:r w:rsidRPr="00097804">
              <w:rPr>
                <w:rFonts w:ascii="Calibri" w:eastAsia="Calibri" w:hAnsi="Calibri" w:cs="Calibri"/>
              </w:rPr>
              <w:t xml:space="preserve"> that impact efficiency of the implementation?</w:t>
            </w:r>
          </w:p>
        </w:tc>
        <w:tc>
          <w:tcPr>
            <w:tcW w:w="851" w:type="dxa"/>
            <w:vAlign w:val="center"/>
          </w:tcPr>
          <w:p w14:paraId="318DE3E9" w14:textId="77777777" w:rsidR="00B7216F" w:rsidRPr="00097804" w:rsidRDefault="00B7216F" w:rsidP="000D42BD">
            <w:pPr>
              <w:jc w:val="center"/>
              <w:rPr>
                <w:rFonts w:ascii="Calibri" w:hAnsi="Calibri" w:cs="Calibri"/>
                <w:color w:val="000000" w:themeColor="text1"/>
              </w:rPr>
            </w:pPr>
            <w:r w:rsidRPr="00097804">
              <w:rPr>
                <w:rFonts w:ascii="Calibri" w:hAnsi="Calibri" w:cs="Calibri"/>
              </w:rPr>
              <w:t>Yes</w:t>
            </w:r>
          </w:p>
        </w:tc>
        <w:tc>
          <w:tcPr>
            <w:tcW w:w="850" w:type="dxa"/>
            <w:vAlign w:val="center"/>
          </w:tcPr>
          <w:p w14:paraId="2B6D2874" w14:textId="77777777" w:rsidR="00B7216F" w:rsidRPr="00097804" w:rsidRDefault="00B7216F" w:rsidP="000D42BD">
            <w:pPr>
              <w:jc w:val="center"/>
              <w:rPr>
                <w:rFonts w:ascii="Calibri" w:hAnsi="Calibri" w:cs="Calibri"/>
                <w:color w:val="000000" w:themeColor="text1"/>
              </w:rPr>
            </w:pPr>
            <w:r w:rsidRPr="00097804">
              <w:rPr>
                <w:rFonts w:ascii="Calibri" w:hAnsi="Calibri" w:cs="Calibri"/>
              </w:rPr>
              <w:t>Yes</w:t>
            </w:r>
          </w:p>
        </w:tc>
        <w:tc>
          <w:tcPr>
            <w:tcW w:w="1560" w:type="dxa"/>
            <w:vAlign w:val="center"/>
          </w:tcPr>
          <w:p w14:paraId="15B5B692" w14:textId="77777777" w:rsidR="00B7216F" w:rsidRPr="00097804" w:rsidRDefault="00B7216F" w:rsidP="000D42BD">
            <w:pPr>
              <w:jc w:val="center"/>
              <w:rPr>
                <w:rFonts w:ascii="Calibri" w:hAnsi="Calibri" w:cs="Calibri"/>
                <w:color w:val="000000" w:themeColor="text1"/>
              </w:rPr>
            </w:pPr>
            <w:r w:rsidRPr="00097804">
              <w:rPr>
                <w:rFonts w:ascii="Calibri" w:hAnsi="Calibri" w:cs="Calibri"/>
              </w:rPr>
              <w:t>Yes</w:t>
            </w:r>
          </w:p>
        </w:tc>
        <w:tc>
          <w:tcPr>
            <w:tcW w:w="992" w:type="dxa"/>
            <w:vAlign w:val="center"/>
          </w:tcPr>
          <w:p w14:paraId="7729BD00" w14:textId="77777777" w:rsidR="00B7216F" w:rsidRPr="00097804" w:rsidRDefault="00B7216F" w:rsidP="000D42BD">
            <w:pPr>
              <w:jc w:val="center"/>
              <w:rPr>
                <w:rFonts w:ascii="Calibri" w:hAnsi="Calibri" w:cs="Calibri"/>
                <w:color w:val="000000" w:themeColor="text1"/>
              </w:rPr>
            </w:pPr>
            <w:r w:rsidRPr="00097804">
              <w:rPr>
                <w:rFonts w:ascii="Calibri" w:hAnsi="Calibri" w:cs="Calibri"/>
              </w:rPr>
              <w:t>Yes</w:t>
            </w:r>
          </w:p>
        </w:tc>
        <w:tc>
          <w:tcPr>
            <w:tcW w:w="1417" w:type="dxa"/>
            <w:vAlign w:val="center"/>
          </w:tcPr>
          <w:p w14:paraId="1744B186" w14:textId="77777777" w:rsidR="00B7216F" w:rsidRPr="00097804" w:rsidRDefault="00B7216F" w:rsidP="000D42BD">
            <w:pPr>
              <w:jc w:val="center"/>
              <w:rPr>
                <w:rFonts w:ascii="Calibri" w:hAnsi="Calibri" w:cs="Calibri"/>
                <w:color w:val="000000" w:themeColor="text1"/>
              </w:rPr>
            </w:pPr>
            <w:r w:rsidRPr="00097804">
              <w:rPr>
                <w:rFonts w:ascii="Calibri" w:hAnsi="Calibri" w:cs="Calibri"/>
              </w:rPr>
              <w:t>Yes</w:t>
            </w:r>
          </w:p>
        </w:tc>
        <w:tc>
          <w:tcPr>
            <w:tcW w:w="1276" w:type="dxa"/>
            <w:vAlign w:val="center"/>
          </w:tcPr>
          <w:p w14:paraId="415B135B" w14:textId="77777777" w:rsidR="00B7216F" w:rsidRPr="00097804" w:rsidRDefault="00B7216F" w:rsidP="000D42BD">
            <w:pPr>
              <w:jc w:val="center"/>
              <w:rPr>
                <w:rFonts w:ascii="Calibri" w:hAnsi="Calibri" w:cs="Calibri"/>
                <w:color w:val="000000" w:themeColor="text1"/>
              </w:rPr>
            </w:pPr>
            <w:r w:rsidRPr="00097804">
              <w:rPr>
                <w:rFonts w:ascii="Calibri" w:hAnsi="Calibri" w:cs="Calibri"/>
              </w:rPr>
              <w:t>Yes</w:t>
            </w:r>
          </w:p>
        </w:tc>
        <w:tc>
          <w:tcPr>
            <w:tcW w:w="1276" w:type="dxa"/>
            <w:vAlign w:val="center"/>
          </w:tcPr>
          <w:p w14:paraId="5E02744E" w14:textId="77777777" w:rsidR="00B7216F" w:rsidRPr="00097804" w:rsidRDefault="00B7216F" w:rsidP="000D42BD">
            <w:pPr>
              <w:jc w:val="center"/>
              <w:rPr>
                <w:rFonts w:ascii="Calibri" w:hAnsi="Calibri" w:cs="Calibri"/>
                <w:color w:val="000000" w:themeColor="text1"/>
              </w:rPr>
            </w:pPr>
            <w:r w:rsidRPr="00097804">
              <w:rPr>
                <w:rFonts w:ascii="Calibri" w:hAnsi="Calibri" w:cs="Calibri"/>
              </w:rPr>
              <w:t>Yes</w:t>
            </w:r>
          </w:p>
        </w:tc>
        <w:tc>
          <w:tcPr>
            <w:tcW w:w="1195" w:type="dxa"/>
            <w:vAlign w:val="center"/>
          </w:tcPr>
          <w:p w14:paraId="1F34C3E8" w14:textId="5630F0AB" w:rsidR="00B7216F" w:rsidRPr="00097804" w:rsidRDefault="00B7216F" w:rsidP="000D42BD">
            <w:pPr>
              <w:jc w:val="center"/>
              <w:rPr>
                <w:rFonts w:ascii="Calibri" w:hAnsi="Calibri" w:cs="Calibri"/>
                <w:color w:val="000000" w:themeColor="text1"/>
              </w:rPr>
            </w:pPr>
            <w:r w:rsidRPr="00097804">
              <w:rPr>
                <w:rFonts w:ascii="Calibri" w:hAnsi="Calibri" w:cs="Calibri"/>
              </w:rPr>
              <w:t>No</w:t>
            </w:r>
          </w:p>
        </w:tc>
      </w:tr>
      <w:tr w:rsidR="006816AB" w:rsidRPr="00097804" w14:paraId="600E3E98" w14:textId="77777777" w:rsidTr="006639AB">
        <w:tc>
          <w:tcPr>
            <w:tcW w:w="4531" w:type="dxa"/>
          </w:tcPr>
          <w:p w14:paraId="01D1A549" w14:textId="7E2288B6" w:rsidR="006816AB" w:rsidRPr="00097804" w:rsidRDefault="006816AB" w:rsidP="00097804">
            <w:pPr>
              <w:rPr>
                <w:rFonts w:ascii="Calibri" w:eastAsia="Calibri" w:hAnsi="Calibri" w:cs="Calibri"/>
                <w:color w:val="000000"/>
              </w:rPr>
            </w:pPr>
            <w:r w:rsidRPr="00097804">
              <w:rPr>
                <w:rFonts w:ascii="Calibri" w:eastAsia="Calibri" w:hAnsi="Calibri" w:cs="Calibri"/>
                <w:color w:val="000000"/>
              </w:rPr>
              <w:t>How effective were the current partnership</w:t>
            </w:r>
            <w:r w:rsidRPr="00097804">
              <w:rPr>
                <w:rFonts w:ascii="Calibri" w:eastAsia="Calibri" w:hAnsi="Calibri" w:cs="Calibri"/>
              </w:rPr>
              <w:t xml:space="preserve"> </w:t>
            </w:r>
            <w:r w:rsidRPr="00097804">
              <w:rPr>
                <w:rFonts w:ascii="Calibri" w:eastAsia="Calibri" w:hAnsi="Calibri" w:cs="Calibri"/>
                <w:color w:val="000000"/>
              </w:rPr>
              <w:t xml:space="preserve">models (e.g. </w:t>
            </w:r>
            <w:proofErr w:type="spellStart"/>
            <w:r w:rsidRPr="00097804">
              <w:rPr>
                <w:rFonts w:ascii="Calibri" w:eastAsia="Calibri" w:hAnsi="Calibri" w:cs="Calibri"/>
                <w:color w:val="000000"/>
              </w:rPr>
              <w:t>MoUs</w:t>
            </w:r>
            <w:proofErr w:type="spellEnd"/>
            <w:r w:rsidRPr="00097804">
              <w:rPr>
                <w:rFonts w:ascii="Calibri" w:eastAsia="Calibri" w:hAnsi="Calibri" w:cs="Calibri"/>
                <w:color w:val="000000"/>
              </w:rPr>
              <w:t>, technical groups, codelivery</w:t>
            </w:r>
            <w:r w:rsidRPr="00097804">
              <w:rPr>
                <w:rFonts w:ascii="Calibri" w:eastAsia="Calibri" w:hAnsi="Calibri" w:cs="Calibri"/>
              </w:rPr>
              <w:t xml:space="preserve"> </w:t>
            </w:r>
            <w:r w:rsidRPr="00097804">
              <w:rPr>
                <w:rFonts w:ascii="Calibri" w:eastAsia="Calibri" w:hAnsi="Calibri" w:cs="Calibri"/>
                <w:color w:val="000000"/>
              </w:rPr>
              <w:t>arrangements) in supporting program</w:t>
            </w:r>
            <w:r w:rsidRPr="00097804">
              <w:rPr>
                <w:rFonts w:ascii="Calibri" w:eastAsia="Calibri" w:hAnsi="Calibri" w:cs="Calibri"/>
              </w:rPr>
              <w:t xml:space="preserve"> delivery and increasing overall program impact?</w:t>
            </w:r>
          </w:p>
        </w:tc>
        <w:tc>
          <w:tcPr>
            <w:tcW w:w="851" w:type="dxa"/>
            <w:vAlign w:val="center"/>
          </w:tcPr>
          <w:p w14:paraId="62BE9598" w14:textId="5B801094" w:rsidR="006816AB" w:rsidRPr="00097804" w:rsidRDefault="006816AB" w:rsidP="000D42BD">
            <w:pPr>
              <w:jc w:val="center"/>
              <w:rPr>
                <w:rFonts w:ascii="Calibri" w:hAnsi="Calibri" w:cs="Calibri"/>
              </w:rPr>
            </w:pPr>
            <w:r w:rsidRPr="00097804">
              <w:rPr>
                <w:rFonts w:ascii="Calibri" w:hAnsi="Calibri" w:cs="Calibri"/>
              </w:rPr>
              <w:t>Yes</w:t>
            </w:r>
          </w:p>
        </w:tc>
        <w:tc>
          <w:tcPr>
            <w:tcW w:w="850" w:type="dxa"/>
            <w:vAlign w:val="center"/>
          </w:tcPr>
          <w:p w14:paraId="447DCB47" w14:textId="5B08F7E6" w:rsidR="006816AB" w:rsidRPr="00097804" w:rsidRDefault="006816AB" w:rsidP="000D42BD">
            <w:pPr>
              <w:jc w:val="center"/>
              <w:rPr>
                <w:rFonts w:ascii="Calibri" w:hAnsi="Calibri" w:cs="Calibri"/>
              </w:rPr>
            </w:pPr>
            <w:r w:rsidRPr="00097804">
              <w:rPr>
                <w:rFonts w:ascii="Calibri" w:hAnsi="Calibri" w:cs="Calibri"/>
              </w:rPr>
              <w:t>Yes</w:t>
            </w:r>
          </w:p>
        </w:tc>
        <w:tc>
          <w:tcPr>
            <w:tcW w:w="1560" w:type="dxa"/>
            <w:vAlign w:val="center"/>
          </w:tcPr>
          <w:p w14:paraId="28EC3238" w14:textId="021B0F3F" w:rsidR="006816AB" w:rsidRPr="00097804" w:rsidRDefault="006816AB" w:rsidP="000D42BD">
            <w:pPr>
              <w:jc w:val="center"/>
              <w:rPr>
                <w:rFonts w:ascii="Calibri" w:hAnsi="Calibri" w:cs="Calibri"/>
              </w:rPr>
            </w:pPr>
            <w:r w:rsidRPr="00097804">
              <w:rPr>
                <w:rFonts w:ascii="Calibri" w:hAnsi="Calibri" w:cs="Calibri"/>
              </w:rPr>
              <w:t>Yes</w:t>
            </w:r>
          </w:p>
        </w:tc>
        <w:tc>
          <w:tcPr>
            <w:tcW w:w="992" w:type="dxa"/>
            <w:vAlign w:val="center"/>
          </w:tcPr>
          <w:p w14:paraId="084F5681" w14:textId="63248B72" w:rsidR="006816AB" w:rsidRPr="00097804" w:rsidRDefault="006816AB" w:rsidP="000D42BD">
            <w:pPr>
              <w:jc w:val="center"/>
              <w:rPr>
                <w:rFonts w:ascii="Calibri" w:hAnsi="Calibri" w:cs="Calibri"/>
              </w:rPr>
            </w:pPr>
            <w:r w:rsidRPr="00097804">
              <w:rPr>
                <w:rFonts w:ascii="Calibri" w:hAnsi="Calibri" w:cs="Calibri"/>
              </w:rPr>
              <w:t>Yes</w:t>
            </w:r>
          </w:p>
        </w:tc>
        <w:tc>
          <w:tcPr>
            <w:tcW w:w="1417" w:type="dxa"/>
            <w:vAlign w:val="center"/>
          </w:tcPr>
          <w:p w14:paraId="66B64344" w14:textId="0C069107" w:rsidR="006816AB" w:rsidRPr="00097804" w:rsidRDefault="006816AB" w:rsidP="000D42BD">
            <w:pPr>
              <w:jc w:val="center"/>
              <w:rPr>
                <w:rFonts w:ascii="Calibri" w:hAnsi="Calibri" w:cs="Calibri"/>
              </w:rPr>
            </w:pPr>
            <w:r w:rsidRPr="00097804">
              <w:rPr>
                <w:rFonts w:ascii="Calibri" w:hAnsi="Calibri" w:cs="Calibri"/>
              </w:rPr>
              <w:t>Yes</w:t>
            </w:r>
          </w:p>
        </w:tc>
        <w:tc>
          <w:tcPr>
            <w:tcW w:w="1276" w:type="dxa"/>
            <w:vAlign w:val="center"/>
          </w:tcPr>
          <w:p w14:paraId="793F6E94" w14:textId="72F66047" w:rsidR="006816AB" w:rsidRPr="00097804" w:rsidRDefault="006816AB" w:rsidP="000D42BD">
            <w:pPr>
              <w:jc w:val="center"/>
              <w:rPr>
                <w:rFonts w:ascii="Calibri" w:hAnsi="Calibri" w:cs="Calibri"/>
              </w:rPr>
            </w:pPr>
            <w:r w:rsidRPr="00097804">
              <w:rPr>
                <w:rFonts w:ascii="Calibri" w:hAnsi="Calibri" w:cs="Calibri"/>
              </w:rPr>
              <w:t>Yes</w:t>
            </w:r>
          </w:p>
        </w:tc>
        <w:tc>
          <w:tcPr>
            <w:tcW w:w="1276" w:type="dxa"/>
            <w:vAlign w:val="center"/>
          </w:tcPr>
          <w:p w14:paraId="11820CAB" w14:textId="70D88079" w:rsidR="006816AB" w:rsidRPr="00097804" w:rsidRDefault="006816AB" w:rsidP="000D42BD">
            <w:pPr>
              <w:jc w:val="center"/>
              <w:rPr>
                <w:rFonts w:ascii="Calibri" w:hAnsi="Calibri" w:cs="Calibri"/>
              </w:rPr>
            </w:pPr>
            <w:r w:rsidRPr="00097804">
              <w:rPr>
                <w:rFonts w:ascii="Calibri" w:hAnsi="Calibri" w:cs="Calibri"/>
              </w:rPr>
              <w:t>Yes</w:t>
            </w:r>
          </w:p>
        </w:tc>
        <w:tc>
          <w:tcPr>
            <w:tcW w:w="1195" w:type="dxa"/>
            <w:vAlign w:val="center"/>
          </w:tcPr>
          <w:p w14:paraId="452CBAFC" w14:textId="6CB7DDC0" w:rsidR="006816AB" w:rsidRPr="00097804" w:rsidRDefault="006816AB" w:rsidP="000D42BD">
            <w:pPr>
              <w:jc w:val="center"/>
              <w:rPr>
                <w:rFonts w:ascii="Calibri" w:hAnsi="Calibri" w:cs="Calibri"/>
              </w:rPr>
            </w:pPr>
            <w:r w:rsidRPr="00097804">
              <w:rPr>
                <w:rFonts w:ascii="Calibri" w:hAnsi="Calibri" w:cs="Calibri"/>
              </w:rPr>
              <w:t>No</w:t>
            </w:r>
          </w:p>
        </w:tc>
      </w:tr>
      <w:tr w:rsidR="006816AB" w:rsidRPr="00097804" w14:paraId="787617DE" w14:textId="77777777" w:rsidTr="006639AB">
        <w:tc>
          <w:tcPr>
            <w:tcW w:w="4531" w:type="dxa"/>
          </w:tcPr>
          <w:p w14:paraId="73DEF5DF" w14:textId="33CD4663" w:rsidR="006816AB" w:rsidRPr="00097804" w:rsidRDefault="006816AB" w:rsidP="00097804">
            <w:pPr>
              <w:rPr>
                <w:rFonts w:ascii="Calibri" w:eastAsia="Calibri" w:hAnsi="Calibri" w:cs="Calibri"/>
                <w:color w:val="000000"/>
              </w:rPr>
            </w:pPr>
            <w:r w:rsidRPr="00097804">
              <w:rPr>
                <w:rFonts w:ascii="Calibri" w:hAnsi="Calibri" w:cs="Calibri"/>
                <w:color w:val="000000"/>
              </w:rPr>
              <w:t xml:space="preserve">What evidence is there to suggest that there were adequate management processes to monitor risks and adapt program activities </w:t>
            </w:r>
            <w:sdt>
              <w:sdtPr>
                <w:rPr>
                  <w:rFonts w:ascii="Calibri" w:hAnsi="Calibri" w:cs="Calibri"/>
                </w:rPr>
                <w:tag w:val="goog_rdk_193"/>
                <w:id w:val="-2085486327"/>
              </w:sdtPr>
              <w:sdtContent/>
            </w:sdt>
            <w:r w:rsidRPr="00097804">
              <w:rPr>
                <w:rFonts w:ascii="Calibri" w:hAnsi="Calibri" w:cs="Calibri"/>
                <w:color w:val="000000"/>
              </w:rPr>
              <w:t>accordingly</w:t>
            </w:r>
          </w:p>
        </w:tc>
        <w:tc>
          <w:tcPr>
            <w:tcW w:w="851" w:type="dxa"/>
            <w:vAlign w:val="center"/>
          </w:tcPr>
          <w:p w14:paraId="4B8B6BD7" w14:textId="29C57C87" w:rsidR="006816AB" w:rsidRPr="00097804" w:rsidRDefault="006816AB" w:rsidP="000D42BD">
            <w:pPr>
              <w:jc w:val="center"/>
              <w:rPr>
                <w:rFonts w:ascii="Calibri" w:hAnsi="Calibri" w:cs="Calibri"/>
              </w:rPr>
            </w:pPr>
            <w:r w:rsidRPr="00097804">
              <w:rPr>
                <w:rFonts w:ascii="Calibri" w:hAnsi="Calibri" w:cs="Calibri"/>
              </w:rPr>
              <w:t>No</w:t>
            </w:r>
          </w:p>
        </w:tc>
        <w:tc>
          <w:tcPr>
            <w:tcW w:w="850" w:type="dxa"/>
            <w:vAlign w:val="center"/>
          </w:tcPr>
          <w:p w14:paraId="3EB4EC73" w14:textId="79698E0C" w:rsidR="006816AB" w:rsidRPr="00097804" w:rsidRDefault="006816AB" w:rsidP="000D42BD">
            <w:pPr>
              <w:jc w:val="center"/>
              <w:rPr>
                <w:rFonts w:ascii="Calibri" w:hAnsi="Calibri" w:cs="Calibri"/>
              </w:rPr>
            </w:pPr>
            <w:r w:rsidRPr="00097804">
              <w:rPr>
                <w:rFonts w:ascii="Calibri" w:hAnsi="Calibri" w:cs="Calibri"/>
              </w:rPr>
              <w:t>Yes</w:t>
            </w:r>
          </w:p>
        </w:tc>
        <w:tc>
          <w:tcPr>
            <w:tcW w:w="1560" w:type="dxa"/>
            <w:vAlign w:val="center"/>
          </w:tcPr>
          <w:p w14:paraId="3DDFCD59" w14:textId="617B4F4E" w:rsidR="006816AB" w:rsidRPr="00097804" w:rsidRDefault="006816AB" w:rsidP="000D42BD">
            <w:pPr>
              <w:jc w:val="center"/>
              <w:rPr>
                <w:rFonts w:ascii="Calibri" w:hAnsi="Calibri" w:cs="Calibri"/>
              </w:rPr>
            </w:pPr>
            <w:r w:rsidRPr="00097804">
              <w:rPr>
                <w:rFonts w:ascii="Calibri" w:hAnsi="Calibri" w:cs="Calibri"/>
              </w:rPr>
              <w:t>Yes</w:t>
            </w:r>
          </w:p>
        </w:tc>
        <w:tc>
          <w:tcPr>
            <w:tcW w:w="992" w:type="dxa"/>
            <w:vAlign w:val="center"/>
          </w:tcPr>
          <w:p w14:paraId="4DD59371" w14:textId="529E415F" w:rsidR="006816AB" w:rsidRPr="00097804" w:rsidRDefault="006816AB" w:rsidP="000D42BD">
            <w:pPr>
              <w:jc w:val="center"/>
              <w:rPr>
                <w:rFonts w:ascii="Calibri" w:hAnsi="Calibri" w:cs="Calibri"/>
              </w:rPr>
            </w:pPr>
            <w:r w:rsidRPr="00097804">
              <w:rPr>
                <w:rFonts w:ascii="Calibri" w:hAnsi="Calibri" w:cs="Calibri"/>
              </w:rPr>
              <w:t>Yes</w:t>
            </w:r>
          </w:p>
        </w:tc>
        <w:tc>
          <w:tcPr>
            <w:tcW w:w="1417" w:type="dxa"/>
            <w:vAlign w:val="center"/>
          </w:tcPr>
          <w:p w14:paraId="1586342A" w14:textId="1C3EB1C8" w:rsidR="006816AB" w:rsidRPr="00097804" w:rsidRDefault="006816AB" w:rsidP="000D42BD">
            <w:pPr>
              <w:jc w:val="center"/>
              <w:rPr>
                <w:rFonts w:ascii="Calibri" w:hAnsi="Calibri" w:cs="Calibri"/>
              </w:rPr>
            </w:pPr>
            <w:r w:rsidRPr="00097804">
              <w:rPr>
                <w:rFonts w:ascii="Calibri" w:hAnsi="Calibri" w:cs="Calibri"/>
              </w:rPr>
              <w:t>Yes</w:t>
            </w:r>
          </w:p>
        </w:tc>
        <w:tc>
          <w:tcPr>
            <w:tcW w:w="1276" w:type="dxa"/>
            <w:vAlign w:val="center"/>
          </w:tcPr>
          <w:p w14:paraId="588BE821" w14:textId="2C36F816" w:rsidR="006816AB" w:rsidRPr="00097804" w:rsidRDefault="006816AB" w:rsidP="000D42BD">
            <w:pPr>
              <w:jc w:val="center"/>
              <w:rPr>
                <w:rFonts w:ascii="Calibri" w:hAnsi="Calibri" w:cs="Calibri"/>
              </w:rPr>
            </w:pPr>
            <w:r w:rsidRPr="00097804">
              <w:rPr>
                <w:rFonts w:ascii="Calibri" w:hAnsi="Calibri" w:cs="Calibri"/>
              </w:rPr>
              <w:t>Yes</w:t>
            </w:r>
          </w:p>
        </w:tc>
        <w:tc>
          <w:tcPr>
            <w:tcW w:w="1276" w:type="dxa"/>
            <w:vAlign w:val="center"/>
          </w:tcPr>
          <w:p w14:paraId="0A550EA9" w14:textId="53D820D5" w:rsidR="006816AB" w:rsidRPr="00097804" w:rsidRDefault="006816AB" w:rsidP="000D42BD">
            <w:pPr>
              <w:jc w:val="center"/>
              <w:rPr>
                <w:rFonts w:ascii="Calibri" w:hAnsi="Calibri" w:cs="Calibri"/>
              </w:rPr>
            </w:pPr>
            <w:r w:rsidRPr="00097804">
              <w:rPr>
                <w:rFonts w:ascii="Calibri" w:hAnsi="Calibri" w:cs="Calibri"/>
              </w:rPr>
              <w:t>Yes</w:t>
            </w:r>
          </w:p>
        </w:tc>
        <w:tc>
          <w:tcPr>
            <w:tcW w:w="1195" w:type="dxa"/>
            <w:vAlign w:val="center"/>
          </w:tcPr>
          <w:p w14:paraId="7C20269C" w14:textId="2570781A" w:rsidR="006816AB" w:rsidRPr="00097804" w:rsidRDefault="006816AB" w:rsidP="000D42BD">
            <w:pPr>
              <w:jc w:val="center"/>
              <w:rPr>
                <w:rFonts w:ascii="Calibri" w:hAnsi="Calibri" w:cs="Calibri"/>
              </w:rPr>
            </w:pPr>
            <w:r w:rsidRPr="00097804">
              <w:rPr>
                <w:rFonts w:ascii="Calibri" w:hAnsi="Calibri" w:cs="Calibri"/>
              </w:rPr>
              <w:t>No</w:t>
            </w:r>
          </w:p>
        </w:tc>
      </w:tr>
    </w:tbl>
    <w:p w14:paraId="1D844063" w14:textId="77777777" w:rsidR="00B63D04" w:rsidRPr="00097804" w:rsidRDefault="00B63D04" w:rsidP="00097804">
      <w:pPr>
        <w:spacing w:after="0" w:line="240" w:lineRule="auto"/>
        <w:rPr>
          <w:rFonts w:ascii="Calibri" w:hAnsi="Calibri" w:cs="Calibri"/>
        </w:rPr>
        <w:sectPr w:rsidR="00B63D04" w:rsidRPr="00097804" w:rsidSect="00B63D04">
          <w:footerReference w:type="default" r:id="rId18"/>
          <w:pgSz w:w="16838" w:h="11906" w:orient="landscape"/>
          <w:pgMar w:top="1440" w:right="1440" w:bottom="1440" w:left="1440" w:header="708" w:footer="708" w:gutter="0"/>
          <w:cols w:space="708"/>
          <w:docGrid w:linePitch="360"/>
        </w:sectPr>
      </w:pPr>
    </w:p>
    <w:p w14:paraId="1BCF072D" w14:textId="0F53AA9C" w:rsidR="00507908" w:rsidRPr="00097804" w:rsidRDefault="00507908" w:rsidP="00097804">
      <w:pPr>
        <w:spacing w:after="0" w:line="240" w:lineRule="auto"/>
        <w:rPr>
          <w:rFonts w:ascii="Calibri" w:eastAsia="Calibri" w:hAnsi="Calibri" w:cs="Calibri"/>
          <w:b/>
          <w:color w:val="000000"/>
        </w:rPr>
      </w:pPr>
      <w:r w:rsidRPr="00097804">
        <w:rPr>
          <w:rFonts w:ascii="Calibri" w:eastAsia="Calibri" w:hAnsi="Calibri" w:cs="Calibri"/>
          <w:b/>
          <w:color w:val="000000"/>
        </w:rPr>
        <w:lastRenderedPageBreak/>
        <w:t xml:space="preserve">Evaluation Objective </w:t>
      </w:r>
      <w:r w:rsidR="00585CE7" w:rsidRPr="00097804">
        <w:rPr>
          <w:rFonts w:ascii="Calibri" w:eastAsia="Calibri" w:hAnsi="Calibri" w:cs="Calibri"/>
          <w:b/>
          <w:color w:val="000000"/>
        </w:rPr>
        <w:t>4</w:t>
      </w:r>
      <w:r w:rsidRPr="00097804">
        <w:rPr>
          <w:rFonts w:ascii="Calibri" w:eastAsia="Calibri" w:hAnsi="Calibri" w:cs="Calibri"/>
          <w:b/>
          <w:color w:val="000000"/>
        </w:rPr>
        <w:t xml:space="preserve">: </w:t>
      </w:r>
      <w:r w:rsidR="00585CE7" w:rsidRPr="00097804">
        <w:rPr>
          <w:rFonts w:ascii="Calibri" w:eastAsia="Calibri" w:hAnsi="Calibri" w:cs="Calibri"/>
          <w:b/>
          <w:color w:val="000000"/>
        </w:rPr>
        <w:t>Sustaina</w:t>
      </w:r>
      <w:r w:rsidR="00AE5E87" w:rsidRPr="00097804">
        <w:rPr>
          <w:rFonts w:ascii="Calibri" w:eastAsia="Calibri" w:hAnsi="Calibri" w:cs="Calibri"/>
          <w:b/>
          <w:color w:val="000000"/>
        </w:rPr>
        <w:t>bility</w:t>
      </w:r>
    </w:p>
    <w:p w14:paraId="70530763" w14:textId="70DE0B38" w:rsidR="00507908" w:rsidRPr="00097804" w:rsidRDefault="00E62ED6" w:rsidP="00097804">
      <w:pPr>
        <w:spacing w:after="0" w:line="240" w:lineRule="auto"/>
        <w:rPr>
          <w:rFonts w:ascii="Calibri" w:eastAsia="Calibri" w:hAnsi="Calibri" w:cs="Calibri"/>
          <w:bCs/>
        </w:rPr>
      </w:pPr>
      <w:r w:rsidRPr="00097804">
        <w:rPr>
          <w:rFonts w:ascii="Calibri" w:eastAsia="Calibri" w:hAnsi="Calibri" w:cs="Calibri"/>
          <w:bCs/>
          <w:color w:val="000000"/>
        </w:rPr>
        <w:t>Analyse the sustainability of RUCaS approaches</w:t>
      </w:r>
      <w:r w:rsidRPr="00097804">
        <w:rPr>
          <w:rFonts w:ascii="Calibri" w:eastAsia="Calibri" w:hAnsi="Calibri" w:cs="Calibri"/>
          <w:bCs/>
        </w:rPr>
        <w:t xml:space="preserve"> </w:t>
      </w:r>
      <w:r w:rsidRPr="00097804">
        <w:rPr>
          <w:rFonts w:ascii="Calibri" w:eastAsia="Calibri" w:hAnsi="Calibri" w:cs="Calibri"/>
          <w:bCs/>
          <w:color w:val="000000"/>
        </w:rPr>
        <w:t>and outcomes, identifying factors</w:t>
      </w:r>
      <w:r w:rsidRPr="00097804">
        <w:rPr>
          <w:rFonts w:ascii="Calibri" w:eastAsia="Calibri" w:hAnsi="Calibri" w:cs="Calibri"/>
          <w:bCs/>
        </w:rPr>
        <w:t xml:space="preserve"> </w:t>
      </w:r>
      <w:r w:rsidRPr="00097804">
        <w:rPr>
          <w:rFonts w:ascii="Calibri" w:eastAsia="Calibri" w:hAnsi="Calibri" w:cs="Calibri"/>
          <w:bCs/>
          <w:color w:val="000000"/>
        </w:rPr>
        <w:t>that supported or hindered uptake</w:t>
      </w:r>
      <w:r w:rsidRPr="00097804">
        <w:rPr>
          <w:rFonts w:ascii="Calibri" w:eastAsia="Calibri" w:hAnsi="Calibri" w:cs="Calibri"/>
          <w:bCs/>
        </w:rPr>
        <w:t xml:space="preserve"> </w:t>
      </w:r>
      <w:r w:rsidRPr="00097804">
        <w:rPr>
          <w:rFonts w:ascii="Calibri" w:eastAsia="Calibri" w:hAnsi="Calibri" w:cs="Calibri"/>
          <w:bCs/>
          <w:color w:val="000000"/>
        </w:rPr>
        <w:t>of NbS, including the influence of</w:t>
      </w:r>
      <w:r w:rsidRPr="00097804">
        <w:rPr>
          <w:rFonts w:ascii="Calibri" w:eastAsia="Calibri" w:hAnsi="Calibri" w:cs="Calibri"/>
          <w:bCs/>
        </w:rPr>
        <w:t xml:space="preserve"> </w:t>
      </w:r>
      <w:r w:rsidRPr="00097804">
        <w:rPr>
          <w:rFonts w:ascii="Calibri" w:eastAsia="Calibri" w:hAnsi="Calibri" w:cs="Calibri"/>
          <w:bCs/>
          <w:color w:val="000000"/>
        </w:rPr>
        <w:t>enabling policies, use of tools and</w:t>
      </w:r>
      <w:r w:rsidRPr="00097804">
        <w:rPr>
          <w:rFonts w:ascii="Calibri" w:eastAsia="Calibri" w:hAnsi="Calibri" w:cs="Calibri"/>
          <w:bCs/>
        </w:rPr>
        <w:t xml:space="preserve"> </w:t>
      </w:r>
      <w:r w:rsidRPr="00097804">
        <w:rPr>
          <w:rFonts w:ascii="Calibri" w:eastAsia="Calibri" w:hAnsi="Calibri" w:cs="Calibri"/>
          <w:bCs/>
          <w:color w:val="000000"/>
        </w:rPr>
        <w:t>guidance, capacity-building efforts</w:t>
      </w:r>
      <w:r w:rsidRPr="00097804">
        <w:rPr>
          <w:rFonts w:ascii="Calibri" w:eastAsia="Calibri" w:hAnsi="Calibri" w:cs="Calibri"/>
          <w:bCs/>
        </w:rPr>
        <w:t xml:space="preserve"> </w:t>
      </w:r>
      <w:r w:rsidRPr="00097804">
        <w:rPr>
          <w:rFonts w:ascii="Calibri" w:eastAsia="Calibri" w:hAnsi="Calibri" w:cs="Calibri"/>
          <w:bCs/>
          <w:color w:val="000000"/>
        </w:rPr>
        <w:t>and establishment of partnerships</w:t>
      </w:r>
      <w:r w:rsidRPr="00097804">
        <w:rPr>
          <w:rFonts w:ascii="Calibri" w:eastAsia="Calibri" w:hAnsi="Calibri" w:cs="Calibri"/>
          <w:bCs/>
        </w:rPr>
        <w:t xml:space="preserve"> </w:t>
      </w:r>
      <w:r w:rsidRPr="00097804">
        <w:rPr>
          <w:rFonts w:ascii="Calibri" w:eastAsia="Calibri" w:hAnsi="Calibri" w:cs="Calibri"/>
          <w:bCs/>
          <w:color w:val="000000"/>
        </w:rPr>
        <w:t>that will continue to support future</w:t>
      </w:r>
      <w:r w:rsidRPr="00097804">
        <w:rPr>
          <w:rFonts w:ascii="Calibri" w:eastAsia="Calibri" w:hAnsi="Calibri" w:cs="Calibri"/>
          <w:bCs/>
        </w:rPr>
        <w:t xml:space="preserve"> urban NbS implementation</w:t>
      </w:r>
    </w:p>
    <w:tbl>
      <w:tblPr>
        <w:tblStyle w:val="TableGrid"/>
        <w:tblW w:w="0" w:type="auto"/>
        <w:tblLayout w:type="fixed"/>
        <w:tblLook w:val="04A0" w:firstRow="1" w:lastRow="0" w:firstColumn="1" w:lastColumn="0" w:noHBand="0" w:noVBand="1"/>
      </w:tblPr>
      <w:tblGrid>
        <w:gridCol w:w="4531"/>
        <w:gridCol w:w="851"/>
        <w:gridCol w:w="850"/>
        <w:gridCol w:w="1560"/>
        <w:gridCol w:w="992"/>
        <w:gridCol w:w="1417"/>
        <w:gridCol w:w="1276"/>
        <w:gridCol w:w="1276"/>
        <w:gridCol w:w="1195"/>
      </w:tblGrid>
      <w:tr w:rsidR="00507908" w:rsidRPr="00097804" w14:paraId="1F0234C5" w14:textId="77777777" w:rsidTr="006639AB">
        <w:trPr>
          <w:tblHeader/>
        </w:trPr>
        <w:tc>
          <w:tcPr>
            <w:tcW w:w="4531" w:type="dxa"/>
          </w:tcPr>
          <w:p w14:paraId="3C4F4A17" w14:textId="77777777" w:rsidR="00507908" w:rsidRPr="00097804" w:rsidRDefault="00507908" w:rsidP="00097804">
            <w:pPr>
              <w:rPr>
                <w:rFonts w:ascii="Calibri" w:hAnsi="Calibri" w:cs="Calibri"/>
                <w:color w:val="000000" w:themeColor="text1"/>
              </w:rPr>
            </w:pPr>
            <w:r w:rsidRPr="00097804">
              <w:rPr>
                <w:rFonts w:ascii="Calibri" w:eastAsia="Calibri" w:hAnsi="Calibri" w:cs="Calibri"/>
                <w:b/>
              </w:rPr>
              <w:t>Key evaluation questions</w:t>
            </w:r>
          </w:p>
        </w:tc>
        <w:tc>
          <w:tcPr>
            <w:tcW w:w="851" w:type="dxa"/>
            <w:vAlign w:val="center"/>
          </w:tcPr>
          <w:p w14:paraId="48DA2833" w14:textId="77777777" w:rsidR="00507908" w:rsidRPr="00097804" w:rsidRDefault="00507908" w:rsidP="000D42BD">
            <w:pPr>
              <w:jc w:val="center"/>
              <w:rPr>
                <w:rFonts w:ascii="Calibri" w:hAnsi="Calibri" w:cs="Calibri"/>
                <w:color w:val="000000" w:themeColor="text1"/>
              </w:rPr>
            </w:pPr>
            <w:r w:rsidRPr="00097804">
              <w:rPr>
                <w:rFonts w:ascii="Calibri" w:eastAsia="Calibri" w:hAnsi="Calibri" w:cs="Calibri"/>
                <w:b/>
              </w:rPr>
              <w:t>DFAT</w:t>
            </w:r>
          </w:p>
        </w:tc>
        <w:tc>
          <w:tcPr>
            <w:tcW w:w="850" w:type="dxa"/>
            <w:vAlign w:val="center"/>
          </w:tcPr>
          <w:p w14:paraId="7445102E" w14:textId="77777777" w:rsidR="00507908" w:rsidRPr="00097804" w:rsidRDefault="00507908" w:rsidP="000D42BD">
            <w:pPr>
              <w:jc w:val="center"/>
              <w:rPr>
                <w:rFonts w:ascii="Calibri" w:hAnsi="Calibri" w:cs="Calibri"/>
                <w:color w:val="000000" w:themeColor="text1"/>
              </w:rPr>
            </w:pPr>
            <w:r w:rsidRPr="00097804">
              <w:rPr>
                <w:rFonts w:ascii="Calibri" w:eastAsia="Calibri" w:hAnsi="Calibri" w:cs="Calibri"/>
                <w:b/>
              </w:rPr>
              <w:t>WSCA/ICEM team</w:t>
            </w:r>
          </w:p>
        </w:tc>
        <w:tc>
          <w:tcPr>
            <w:tcW w:w="1560" w:type="dxa"/>
            <w:vAlign w:val="center"/>
          </w:tcPr>
          <w:p w14:paraId="188AA4E2" w14:textId="77777777" w:rsidR="00507908" w:rsidRPr="00097804" w:rsidRDefault="00507908" w:rsidP="000D42BD">
            <w:pPr>
              <w:jc w:val="center"/>
              <w:rPr>
                <w:rFonts w:ascii="Calibri" w:hAnsi="Calibri" w:cs="Calibri"/>
                <w:color w:val="000000" w:themeColor="text1"/>
              </w:rPr>
            </w:pPr>
            <w:r w:rsidRPr="00097804">
              <w:rPr>
                <w:rFonts w:ascii="Calibri" w:eastAsia="Calibri" w:hAnsi="Calibri" w:cs="Calibri"/>
                <w:b/>
              </w:rPr>
              <w:t>Other implementing partners</w:t>
            </w:r>
          </w:p>
        </w:tc>
        <w:tc>
          <w:tcPr>
            <w:tcW w:w="992" w:type="dxa"/>
            <w:vAlign w:val="center"/>
          </w:tcPr>
          <w:p w14:paraId="19E4226F" w14:textId="77777777" w:rsidR="00507908" w:rsidRPr="00097804" w:rsidRDefault="00507908" w:rsidP="000D42BD">
            <w:pPr>
              <w:jc w:val="center"/>
              <w:rPr>
                <w:rFonts w:ascii="Calibri" w:hAnsi="Calibri" w:cs="Calibri"/>
                <w:color w:val="000000" w:themeColor="text1"/>
              </w:rPr>
            </w:pPr>
            <w:r w:rsidRPr="00097804">
              <w:rPr>
                <w:rFonts w:ascii="Calibri" w:eastAsia="Calibri" w:hAnsi="Calibri" w:cs="Calibri"/>
                <w:b/>
              </w:rPr>
              <w:t>GEDSI TAG</w:t>
            </w:r>
          </w:p>
        </w:tc>
        <w:tc>
          <w:tcPr>
            <w:tcW w:w="1417" w:type="dxa"/>
            <w:vAlign w:val="center"/>
          </w:tcPr>
          <w:p w14:paraId="6009B5DE" w14:textId="77777777" w:rsidR="00507908" w:rsidRPr="00097804" w:rsidRDefault="00507908" w:rsidP="000D42BD">
            <w:pPr>
              <w:jc w:val="center"/>
              <w:rPr>
                <w:rFonts w:ascii="Calibri" w:hAnsi="Calibri" w:cs="Calibri"/>
                <w:color w:val="000000" w:themeColor="text1"/>
              </w:rPr>
            </w:pPr>
            <w:r w:rsidRPr="00097804">
              <w:rPr>
                <w:rFonts w:ascii="Calibri" w:eastAsia="Calibri" w:hAnsi="Calibri" w:cs="Calibri"/>
                <w:b/>
              </w:rPr>
              <w:t>Government partners</w:t>
            </w:r>
          </w:p>
        </w:tc>
        <w:tc>
          <w:tcPr>
            <w:tcW w:w="1276" w:type="dxa"/>
            <w:vAlign w:val="center"/>
          </w:tcPr>
          <w:p w14:paraId="6F92F2AB" w14:textId="77777777" w:rsidR="00507908" w:rsidRPr="00097804" w:rsidRDefault="00507908" w:rsidP="000D42BD">
            <w:pPr>
              <w:jc w:val="center"/>
              <w:rPr>
                <w:rFonts w:ascii="Calibri" w:hAnsi="Calibri" w:cs="Calibri"/>
                <w:color w:val="000000" w:themeColor="text1"/>
              </w:rPr>
            </w:pPr>
            <w:r w:rsidRPr="00097804">
              <w:rPr>
                <w:rFonts w:ascii="Calibri" w:eastAsia="Calibri" w:hAnsi="Calibri" w:cs="Calibri"/>
                <w:b/>
              </w:rPr>
              <w:t>University partners</w:t>
            </w:r>
          </w:p>
        </w:tc>
        <w:tc>
          <w:tcPr>
            <w:tcW w:w="1276" w:type="dxa"/>
            <w:vAlign w:val="center"/>
          </w:tcPr>
          <w:p w14:paraId="73746EF9" w14:textId="77777777" w:rsidR="00507908" w:rsidRPr="00097804" w:rsidRDefault="00507908" w:rsidP="000D42BD">
            <w:pPr>
              <w:jc w:val="center"/>
              <w:rPr>
                <w:rFonts w:ascii="Calibri" w:hAnsi="Calibri" w:cs="Calibri"/>
                <w:color w:val="000000" w:themeColor="text1"/>
              </w:rPr>
            </w:pPr>
            <w:r w:rsidRPr="00097804">
              <w:rPr>
                <w:rFonts w:ascii="Calibri" w:eastAsia="Calibri" w:hAnsi="Calibri" w:cs="Calibri"/>
                <w:b/>
              </w:rPr>
              <w:t>NGO/CSO/ private sector partners/ community groups</w:t>
            </w:r>
          </w:p>
        </w:tc>
        <w:tc>
          <w:tcPr>
            <w:tcW w:w="1195" w:type="dxa"/>
            <w:vAlign w:val="center"/>
          </w:tcPr>
          <w:p w14:paraId="54D2332D" w14:textId="77777777" w:rsidR="00507908" w:rsidRPr="00097804" w:rsidRDefault="00507908" w:rsidP="000D42BD">
            <w:pPr>
              <w:jc w:val="center"/>
              <w:rPr>
                <w:rFonts w:ascii="Calibri" w:hAnsi="Calibri" w:cs="Calibri"/>
                <w:color w:val="000000" w:themeColor="text1"/>
              </w:rPr>
            </w:pPr>
            <w:r w:rsidRPr="00097804">
              <w:rPr>
                <w:rFonts w:ascii="Calibri" w:eastAsia="Calibri" w:hAnsi="Calibri" w:cs="Calibri"/>
                <w:b/>
              </w:rPr>
              <w:t>Informed third parties</w:t>
            </w:r>
          </w:p>
        </w:tc>
      </w:tr>
      <w:tr w:rsidR="00AA5336" w:rsidRPr="00097804" w14:paraId="09AD1780" w14:textId="77777777" w:rsidTr="006639AB">
        <w:tc>
          <w:tcPr>
            <w:tcW w:w="4531" w:type="dxa"/>
          </w:tcPr>
          <w:p w14:paraId="32AF20DD" w14:textId="54CF7A56" w:rsidR="00AA5336" w:rsidRPr="00097804" w:rsidRDefault="00AA5336" w:rsidP="00097804">
            <w:pPr>
              <w:rPr>
                <w:rFonts w:ascii="Calibri" w:hAnsi="Calibri" w:cs="Calibri"/>
                <w:color w:val="000000" w:themeColor="text1"/>
              </w:rPr>
            </w:pPr>
            <w:r w:rsidRPr="00097804">
              <w:rPr>
                <w:rFonts w:ascii="Calibri" w:eastAsia="Calibri" w:hAnsi="Calibri" w:cs="Calibri"/>
                <w:color w:val="000000"/>
              </w:rPr>
              <w:t>To what extent or how likely are the pilots and</w:t>
            </w:r>
            <w:r w:rsidRPr="00097804">
              <w:rPr>
                <w:rFonts w:ascii="Calibri" w:eastAsia="Calibri" w:hAnsi="Calibri" w:cs="Calibri"/>
              </w:rPr>
              <w:t xml:space="preserve"> </w:t>
            </w:r>
            <w:r w:rsidRPr="00097804">
              <w:rPr>
                <w:rFonts w:ascii="Calibri" w:eastAsia="Calibri" w:hAnsi="Calibri" w:cs="Calibri"/>
                <w:color w:val="000000"/>
              </w:rPr>
              <w:t>RUCaS approaches to be maintained beyond</w:t>
            </w:r>
            <w:r w:rsidRPr="00097804">
              <w:rPr>
                <w:rFonts w:ascii="Calibri" w:eastAsia="Calibri" w:hAnsi="Calibri" w:cs="Calibri"/>
              </w:rPr>
              <w:t xml:space="preserve"> the life of the project?</w:t>
            </w:r>
          </w:p>
        </w:tc>
        <w:tc>
          <w:tcPr>
            <w:tcW w:w="851" w:type="dxa"/>
            <w:vAlign w:val="center"/>
          </w:tcPr>
          <w:p w14:paraId="038C9A14" w14:textId="77777777" w:rsidR="00AA5336" w:rsidRPr="00097804" w:rsidRDefault="00AA5336" w:rsidP="000D42BD">
            <w:pPr>
              <w:jc w:val="center"/>
              <w:rPr>
                <w:rFonts w:ascii="Calibri" w:hAnsi="Calibri" w:cs="Calibri"/>
                <w:color w:val="000000" w:themeColor="text1"/>
              </w:rPr>
            </w:pPr>
            <w:r w:rsidRPr="00097804">
              <w:rPr>
                <w:rFonts w:ascii="Calibri" w:hAnsi="Calibri" w:cs="Calibri"/>
              </w:rPr>
              <w:t>Yes</w:t>
            </w:r>
          </w:p>
        </w:tc>
        <w:tc>
          <w:tcPr>
            <w:tcW w:w="850" w:type="dxa"/>
            <w:vAlign w:val="center"/>
          </w:tcPr>
          <w:p w14:paraId="43FF91EF" w14:textId="77777777" w:rsidR="00AA5336" w:rsidRPr="00097804" w:rsidRDefault="00AA5336" w:rsidP="000D42BD">
            <w:pPr>
              <w:jc w:val="center"/>
              <w:rPr>
                <w:rFonts w:ascii="Calibri" w:hAnsi="Calibri" w:cs="Calibri"/>
                <w:color w:val="000000" w:themeColor="text1"/>
              </w:rPr>
            </w:pPr>
            <w:r w:rsidRPr="00097804">
              <w:rPr>
                <w:rFonts w:ascii="Calibri" w:hAnsi="Calibri" w:cs="Calibri"/>
              </w:rPr>
              <w:t>Yes</w:t>
            </w:r>
          </w:p>
        </w:tc>
        <w:tc>
          <w:tcPr>
            <w:tcW w:w="1560" w:type="dxa"/>
            <w:vAlign w:val="center"/>
          </w:tcPr>
          <w:p w14:paraId="3E8E5F28" w14:textId="77777777" w:rsidR="00AA5336" w:rsidRPr="00097804" w:rsidRDefault="00AA5336" w:rsidP="000D42BD">
            <w:pPr>
              <w:jc w:val="center"/>
              <w:rPr>
                <w:rFonts w:ascii="Calibri" w:hAnsi="Calibri" w:cs="Calibri"/>
                <w:color w:val="000000" w:themeColor="text1"/>
              </w:rPr>
            </w:pPr>
            <w:r w:rsidRPr="00097804">
              <w:rPr>
                <w:rFonts w:ascii="Calibri" w:hAnsi="Calibri" w:cs="Calibri"/>
              </w:rPr>
              <w:t>Yes</w:t>
            </w:r>
          </w:p>
        </w:tc>
        <w:tc>
          <w:tcPr>
            <w:tcW w:w="992" w:type="dxa"/>
            <w:vAlign w:val="center"/>
          </w:tcPr>
          <w:p w14:paraId="76E5597E" w14:textId="77777777" w:rsidR="00AA5336" w:rsidRPr="00097804" w:rsidRDefault="00AA5336" w:rsidP="000D42BD">
            <w:pPr>
              <w:jc w:val="center"/>
              <w:rPr>
                <w:rFonts w:ascii="Calibri" w:hAnsi="Calibri" w:cs="Calibri"/>
                <w:color w:val="000000" w:themeColor="text1"/>
              </w:rPr>
            </w:pPr>
            <w:r w:rsidRPr="00097804">
              <w:rPr>
                <w:rFonts w:ascii="Calibri" w:hAnsi="Calibri" w:cs="Calibri"/>
              </w:rPr>
              <w:t>Yes</w:t>
            </w:r>
          </w:p>
        </w:tc>
        <w:tc>
          <w:tcPr>
            <w:tcW w:w="1417" w:type="dxa"/>
            <w:vAlign w:val="center"/>
          </w:tcPr>
          <w:p w14:paraId="57A7406A" w14:textId="77777777" w:rsidR="00AA5336" w:rsidRPr="00097804" w:rsidRDefault="00AA5336" w:rsidP="000D42BD">
            <w:pPr>
              <w:jc w:val="center"/>
              <w:rPr>
                <w:rFonts w:ascii="Calibri" w:hAnsi="Calibri" w:cs="Calibri"/>
                <w:color w:val="000000" w:themeColor="text1"/>
              </w:rPr>
            </w:pPr>
            <w:r w:rsidRPr="00097804">
              <w:rPr>
                <w:rFonts w:ascii="Calibri" w:hAnsi="Calibri" w:cs="Calibri"/>
              </w:rPr>
              <w:t>Yes</w:t>
            </w:r>
          </w:p>
        </w:tc>
        <w:tc>
          <w:tcPr>
            <w:tcW w:w="1276" w:type="dxa"/>
            <w:vAlign w:val="center"/>
          </w:tcPr>
          <w:p w14:paraId="465F1646" w14:textId="77777777" w:rsidR="00AA5336" w:rsidRPr="00097804" w:rsidRDefault="00AA5336" w:rsidP="000D42BD">
            <w:pPr>
              <w:jc w:val="center"/>
              <w:rPr>
                <w:rFonts w:ascii="Calibri" w:hAnsi="Calibri" w:cs="Calibri"/>
                <w:color w:val="000000" w:themeColor="text1"/>
              </w:rPr>
            </w:pPr>
            <w:r w:rsidRPr="00097804">
              <w:rPr>
                <w:rFonts w:ascii="Calibri" w:hAnsi="Calibri" w:cs="Calibri"/>
              </w:rPr>
              <w:t>Yes</w:t>
            </w:r>
          </w:p>
        </w:tc>
        <w:tc>
          <w:tcPr>
            <w:tcW w:w="1276" w:type="dxa"/>
            <w:vAlign w:val="center"/>
          </w:tcPr>
          <w:p w14:paraId="48E64742" w14:textId="77777777" w:rsidR="00AA5336" w:rsidRPr="00097804" w:rsidRDefault="00AA5336" w:rsidP="000D42BD">
            <w:pPr>
              <w:jc w:val="center"/>
              <w:rPr>
                <w:rFonts w:ascii="Calibri" w:hAnsi="Calibri" w:cs="Calibri"/>
                <w:color w:val="000000" w:themeColor="text1"/>
              </w:rPr>
            </w:pPr>
            <w:r w:rsidRPr="00097804">
              <w:rPr>
                <w:rFonts w:ascii="Calibri" w:hAnsi="Calibri" w:cs="Calibri"/>
              </w:rPr>
              <w:t>Yes</w:t>
            </w:r>
          </w:p>
        </w:tc>
        <w:tc>
          <w:tcPr>
            <w:tcW w:w="1195" w:type="dxa"/>
            <w:vAlign w:val="center"/>
          </w:tcPr>
          <w:p w14:paraId="454881EC" w14:textId="77777777" w:rsidR="00AA5336" w:rsidRPr="00097804" w:rsidRDefault="00AA5336" w:rsidP="000D42BD">
            <w:pPr>
              <w:jc w:val="center"/>
              <w:rPr>
                <w:rFonts w:ascii="Calibri" w:hAnsi="Calibri" w:cs="Calibri"/>
                <w:color w:val="000000" w:themeColor="text1"/>
              </w:rPr>
            </w:pPr>
            <w:r w:rsidRPr="00097804">
              <w:rPr>
                <w:rFonts w:ascii="Calibri" w:hAnsi="Calibri" w:cs="Calibri"/>
              </w:rPr>
              <w:t>Yes</w:t>
            </w:r>
          </w:p>
        </w:tc>
      </w:tr>
      <w:tr w:rsidR="00AA5336" w:rsidRPr="00097804" w14:paraId="6442D35E" w14:textId="77777777" w:rsidTr="006639AB">
        <w:tc>
          <w:tcPr>
            <w:tcW w:w="4531" w:type="dxa"/>
          </w:tcPr>
          <w:p w14:paraId="506B3808" w14:textId="5A089AB1" w:rsidR="00AA5336" w:rsidRPr="00097804" w:rsidRDefault="00AA5336" w:rsidP="00097804">
            <w:pPr>
              <w:rPr>
                <w:rFonts w:ascii="Calibri" w:hAnsi="Calibri" w:cs="Calibri"/>
                <w:color w:val="000000" w:themeColor="text1"/>
              </w:rPr>
            </w:pPr>
            <w:r w:rsidRPr="00097804">
              <w:rPr>
                <w:rFonts w:ascii="Calibri" w:eastAsia="Calibri" w:hAnsi="Calibri" w:cs="Calibri"/>
                <w:color w:val="000000"/>
              </w:rPr>
              <w:t>What factors enabled or constrained how likely the pilots, and</w:t>
            </w:r>
            <w:r w:rsidRPr="00097804">
              <w:rPr>
                <w:rFonts w:ascii="Calibri" w:eastAsia="Calibri" w:hAnsi="Calibri" w:cs="Calibri"/>
              </w:rPr>
              <w:t xml:space="preserve"> </w:t>
            </w:r>
            <w:r w:rsidRPr="00097804">
              <w:rPr>
                <w:rFonts w:ascii="Calibri" w:eastAsia="Calibri" w:hAnsi="Calibri" w:cs="Calibri"/>
                <w:color w:val="000000"/>
              </w:rPr>
              <w:t>RUCaS approaches will be maintained beyond</w:t>
            </w:r>
            <w:r w:rsidRPr="00097804">
              <w:rPr>
                <w:rFonts w:ascii="Calibri" w:eastAsia="Calibri" w:hAnsi="Calibri" w:cs="Calibri"/>
              </w:rPr>
              <w:t xml:space="preserve"> the life of the project?</w:t>
            </w:r>
          </w:p>
        </w:tc>
        <w:tc>
          <w:tcPr>
            <w:tcW w:w="851" w:type="dxa"/>
            <w:vAlign w:val="center"/>
          </w:tcPr>
          <w:p w14:paraId="3C515D07" w14:textId="77777777" w:rsidR="00AA5336" w:rsidRPr="00097804" w:rsidRDefault="00AA5336" w:rsidP="000D42BD">
            <w:pPr>
              <w:jc w:val="center"/>
              <w:rPr>
                <w:rFonts w:ascii="Calibri" w:hAnsi="Calibri" w:cs="Calibri"/>
                <w:color w:val="000000" w:themeColor="text1"/>
              </w:rPr>
            </w:pPr>
            <w:r w:rsidRPr="00097804">
              <w:rPr>
                <w:rFonts w:ascii="Calibri" w:hAnsi="Calibri" w:cs="Calibri"/>
              </w:rPr>
              <w:t>Yes</w:t>
            </w:r>
          </w:p>
        </w:tc>
        <w:tc>
          <w:tcPr>
            <w:tcW w:w="850" w:type="dxa"/>
            <w:vAlign w:val="center"/>
          </w:tcPr>
          <w:p w14:paraId="186AB262" w14:textId="77777777" w:rsidR="00AA5336" w:rsidRPr="00097804" w:rsidRDefault="00AA5336" w:rsidP="000D42BD">
            <w:pPr>
              <w:jc w:val="center"/>
              <w:rPr>
                <w:rFonts w:ascii="Calibri" w:hAnsi="Calibri" w:cs="Calibri"/>
                <w:color w:val="000000" w:themeColor="text1"/>
              </w:rPr>
            </w:pPr>
            <w:r w:rsidRPr="00097804">
              <w:rPr>
                <w:rFonts w:ascii="Calibri" w:hAnsi="Calibri" w:cs="Calibri"/>
              </w:rPr>
              <w:t>Yes</w:t>
            </w:r>
          </w:p>
        </w:tc>
        <w:tc>
          <w:tcPr>
            <w:tcW w:w="1560" w:type="dxa"/>
            <w:vAlign w:val="center"/>
          </w:tcPr>
          <w:p w14:paraId="504A0F1A" w14:textId="77777777" w:rsidR="00AA5336" w:rsidRPr="00097804" w:rsidRDefault="00AA5336" w:rsidP="000D42BD">
            <w:pPr>
              <w:jc w:val="center"/>
              <w:rPr>
                <w:rFonts w:ascii="Calibri" w:hAnsi="Calibri" w:cs="Calibri"/>
                <w:color w:val="000000" w:themeColor="text1"/>
              </w:rPr>
            </w:pPr>
            <w:r w:rsidRPr="00097804">
              <w:rPr>
                <w:rFonts w:ascii="Calibri" w:hAnsi="Calibri" w:cs="Calibri"/>
              </w:rPr>
              <w:t>Yes</w:t>
            </w:r>
          </w:p>
        </w:tc>
        <w:tc>
          <w:tcPr>
            <w:tcW w:w="992" w:type="dxa"/>
            <w:vAlign w:val="center"/>
          </w:tcPr>
          <w:p w14:paraId="44322672" w14:textId="77777777" w:rsidR="00AA5336" w:rsidRPr="00097804" w:rsidRDefault="00AA5336" w:rsidP="000D42BD">
            <w:pPr>
              <w:jc w:val="center"/>
              <w:rPr>
                <w:rFonts w:ascii="Calibri" w:hAnsi="Calibri" w:cs="Calibri"/>
                <w:color w:val="000000" w:themeColor="text1"/>
              </w:rPr>
            </w:pPr>
            <w:r w:rsidRPr="00097804">
              <w:rPr>
                <w:rFonts w:ascii="Calibri" w:hAnsi="Calibri" w:cs="Calibri"/>
              </w:rPr>
              <w:t>Yes</w:t>
            </w:r>
          </w:p>
        </w:tc>
        <w:tc>
          <w:tcPr>
            <w:tcW w:w="1417" w:type="dxa"/>
            <w:vAlign w:val="center"/>
          </w:tcPr>
          <w:p w14:paraId="52F9C0A0" w14:textId="77777777" w:rsidR="00AA5336" w:rsidRPr="00097804" w:rsidRDefault="00AA5336" w:rsidP="000D42BD">
            <w:pPr>
              <w:jc w:val="center"/>
              <w:rPr>
                <w:rFonts w:ascii="Calibri" w:hAnsi="Calibri" w:cs="Calibri"/>
                <w:color w:val="000000" w:themeColor="text1"/>
              </w:rPr>
            </w:pPr>
            <w:r w:rsidRPr="00097804">
              <w:rPr>
                <w:rFonts w:ascii="Calibri" w:hAnsi="Calibri" w:cs="Calibri"/>
              </w:rPr>
              <w:t>Yes</w:t>
            </w:r>
          </w:p>
        </w:tc>
        <w:tc>
          <w:tcPr>
            <w:tcW w:w="1276" w:type="dxa"/>
            <w:vAlign w:val="center"/>
          </w:tcPr>
          <w:p w14:paraId="525F9277" w14:textId="77777777" w:rsidR="00AA5336" w:rsidRPr="00097804" w:rsidRDefault="00AA5336" w:rsidP="000D42BD">
            <w:pPr>
              <w:jc w:val="center"/>
              <w:rPr>
                <w:rFonts w:ascii="Calibri" w:hAnsi="Calibri" w:cs="Calibri"/>
                <w:color w:val="000000" w:themeColor="text1"/>
              </w:rPr>
            </w:pPr>
            <w:r w:rsidRPr="00097804">
              <w:rPr>
                <w:rFonts w:ascii="Calibri" w:hAnsi="Calibri" w:cs="Calibri"/>
              </w:rPr>
              <w:t>Yes</w:t>
            </w:r>
          </w:p>
        </w:tc>
        <w:tc>
          <w:tcPr>
            <w:tcW w:w="1276" w:type="dxa"/>
            <w:vAlign w:val="center"/>
          </w:tcPr>
          <w:p w14:paraId="3782BEFD" w14:textId="77777777" w:rsidR="00AA5336" w:rsidRPr="00097804" w:rsidRDefault="00AA5336" w:rsidP="000D42BD">
            <w:pPr>
              <w:jc w:val="center"/>
              <w:rPr>
                <w:rFonts w:ascii="Calibri" w:hAnsi="Calibri" w:cs="Calibri"/>
                <w:color w:val="000000" w:themeColor="text1"/>
              </w:rPr>
            </w:pPr>
            <w:r w:rsidRPr="00097804">
              <w:rPr>
                <w:rFonts w:ascii="Calibri" w:hAnsi="Calibri" w:cs="Calibri"/>
              </w:rPr>
              <w:t>Yes</w:t>
            </w:r>
          </w:p>
        </w:tc>
        <w:tc>
          <w:tcPr>
            <w:tcW w:w="1195" w:type="dxa"/>
            <w:vAlign w:val="center"/>
          </w:tcPr>
          <w:p w14:paraId="2DE5CEFF" w14:textId="77777777" w:rsidR="00AA5336" w:rsidRPr="00097804" w:rsidRDefault="00AA5336" w:rsidP="000D42BD">
            <w:pPr>
              <w:jc w:val="center"/>
              <w:rPr>
                <w:rFonts w:ascii="Calibri" w:hAnsi="Calibri" w:cs="Calibri"/>
                <w:color w:val="000000" w:themeColor="text1"/>
              </w:rPr>
            </w:pPr>
            <w:r w:rsidRPr="00097804">
              <w:rPr>
                <w:rFonts w:ascii="Calibri" w:hAnsi="Calibri" w:cs="Calibri"/>
              </w:rPr>
              <w:t>Yes</w:t>
            </w:r>
          </w:p>
        </w:tc>
      </w:tr>
    </w:tbl>
    <w:p w14:paraId="32FB04BC" w14:textId="77777777" w:rsidR="00507908" w:rsidRPr="00097804" w:rsidRDefault="00507908" w:rsidP="00097804">
      <w:pPr>
        <w:spacing w:after="0" w:line="240" w:lineRule="auto"/>
        <w:rPr>
          <w:rFonts w:ascii="Calibri" w:hAnsi="Calibri" w:cs="Calibri"/>
        </w:rPr>
        <w:sectPr w:rsidR="00507908" w:rsidRPr="00097804" w:rsidSect="00507908">
          <w:footerReference w:type="default" r:id="rId19"/>
          <w:pgSz w:w="16838" w:h="11906" w:orient="landscape"/>
          <w:pgMar w:top="1440" w:right="1440" w:bottom="1440" w:left="1440" w:header="708" w:footer="708" w:gutter="0"/>
          <w:cols w:space="708"/>
          <w:docGrid w:linePitch="360"/>
        </w:sectPr>
      </w:pPr>
    </w:p>
    <w:p w14:paraId="483A8968" w14:textId="071E6828" w:rsidR="00507908" w:rsidRPr="00097804" w:rsidRDefault="00507908" w:rsidP="00097804">
      <w:pPr>
        <w:spacing w:after="0" w:line="240" w:lineRule="auto"/>
        <w:rPr>
          <w:rFonts w:ascii="Calibri" w:eastAsia="Calibri" w:hAnsi="Calibri" w:cs="Calibri"/>
          <w:b/>
          <w:color w:val="000000"/>
        </w:rPr>
      </w:pPr>
      <w:r w:rsidRPr="00097804">
        <w:rPr>
          <w:rFonts w:ascii="Calibri" w:eastAsia="Calibri" w:hAnsi="Calibri" w:cs="Calibri"/>
          <w:b/>
          <w:color w:val="000000"/>
        </w:rPr>
        <w:lastRenderedPageBreak/>
        <w:t xml:space="preserve">Evaluation Objective </w:t>
      </w:r>
      <w:r w:rsidR="00ED7C88" w:rsidRPr="00097804">
        <w:rPr>
          <w:rFonts w:ascii="Calibri" w:eastAsia="Calibri" w:hAnsi="Calibri" w:cs="Calibri"/>
          <w:b/>
          <w:color w:val="000000"/>
        </w:rPr>
        <w:t>5</w:t>
      </w:r>
      <w:r w:rsidRPr="00097804">
        <w:rPr>
          <w:rFonts w:ascii="Calibri" w:eastAsia="Calibri" w:hAnsi="Calibri" w:cs="Calibri"/>
          <w:b/>
          <w:color w:val="000000"/>
        </w:rPr>
        <w:t xml:space="preserve">: </w:t>
      </w:r>
      <w:r w:rsidR="00ED7C88" w:rsidRPr="00097804">
        <w:rPr>
          <w:rFonts w:ascii="Calibri" w:eastAsia="Calibri" w:hAnsi="Calibri" w:cs="Calibri"/>
          <w:b/>
          <w:color w:val="000000"/>
        </w:rPr>
        <w:t>GEDSI</w:t>
      </w:r>
    </w:p>
    <w:p w14:paraId="08B62749" w14:textId="4A32330F" w:rsidR="00507908" w:rsidRPr="00097804" w:rsidRDefault="007466D2" w:rsidP="00097804">
      <w:pPr>
        <w:spacing w:after="0" w:line="240" w:lineRule="auto"/>
        <w:rPr>
          <w:rFonts w:ascii="Calibri" w:eastAsia="Calibri" w:hAnsi="Calibri" w:cs="Calibri"/>
          <w:bCs/>
        </w:rPr>
      </w:pPr>
      <w:r w:rsidRPr="00097804">
        <w:rPr>
          <w:rFonts w:ascii="Calibri" w:eastAsia="Calibri" w:hAnsi="Calibri" w:cs="Calibri"/>
          <w:bCs/>
          <w:color w:val="000000"/>
        </w:rPr>
        <w:t>Examine GEDSI integration and outcomes, assessing how inclusion principles were embedded and what impacts or influence they had on design, delivery and institutional practice</w:t>
      </w:r>
    </w:p>
    <w:tbl>
      <w:tblPr>
        <w:tblStyle w:val="TableGrid"/>
        <w:tblW w:w="0" w:type="auto"/>
        <w:tblLayout w:type="fixed"/>
        <w:tblLook w:val="04A0" w:firstRow="1" w:lastRow="0" w:firstColumn="1" w:lastColumn="0" w:noHBand="0" w:noVBand="1"/>
      </w:tblPr>
      <w:tblGrid>
        <w:gridCol w:w="4531"/>
        <w:gridCol w:w="851"/>
        <w:gridCol w:w="850"/>
        <w:gridCol w:w="1560"/>
        <w:gridCol w:w="992"/>
        <w:gridCol w:w="1417"/>
        <w:gridCol w:w="1276"/>
        <w:gridCol w:w="1276"/>
        <w:gridCol w:w="1195"/>
      </w:tblGrid>
      <w:tr w:rsidR="00507908" w:rsidRPr="00097804" w14:paraId="0905E9F6" w14:textId="77777777" w:rsidTr="006639AB">
        <w:trPr>
          <w:tblHeader/>
        </w:trPr>
        <w:tc>
          <w:tcPr>
            <w:tcW w:w="4531" w:type="dxa"/>
          </w:tcPr>
          <w:p w14:paraId="4F0DE074" w14:textId="77777777" w:rsidR="00507908" w:rsidRPr="00097804" w:rsidRDefault="00507908" w:rsidP="00097804">
            <w:pPr>
              <w:rPr>
                <w:rFonts w:ascii="Calibri" w:hAnsi="Calibri" w:cs="Calibri"/>
                <w:color w:val="000000" w:themeColor="text1"/>
              </w:rPr>
            </w:pPr>
            <w:r w:rsidRPr="00097804">
              <w:rPr>
                <w:rFonts w:ascii="Calibri" w:eastAsia="Calibri" w:hAnsi="Calibri" w:cs="Calibri"/>
                <w:b/>
              </w:rPr>
              <w:t>Key evaluation questions</w:t>
            </w:r>
          </w:p>
        </w:tc>
        <w:tc>
          <w:tcPr>
            <w:tcW w:w="851" w:type="dxa"/>
            <w:vAlign w:val="center"/>
          </w:tcPr>
          <w:p w14:paraId="6268A02D" w14:textId="77777777" w:rsidR="00507908" w:rsidRPr="00097804" w:rsidRDefault="00507908" w:rsidP="000D42BD">
            <w:pPr>
              <w:jc w:val="center"/>
              <w:rPr>
                <w:rFonts w:ascii="Calibri" w:hAnsi="Calibri" w:cs="Calibri"/>
                <w:color w:val="000000" w:themeColor="text1"/>
              </w:rPr>
            </w:pPr>
            <w:r w:rsidRPr="00097804">
              <w:rPr>
                <w:rFonts w:ascii="Calibri" w:eastAsia="Calibri" w:hAnsi="Calibri" w:cs="Calibri"/>
                <w:b/>
              </w:rPr>
              <w:t>DFAT</w:t>
            </w:r>
          </w:p>
        </w:tc>
        <w:tc>
          <w:tcPr>
            <w:tcW w:w="850" w:type="dxa"/>
            <w:vAlign w:val="center"/>
          </w:tcPr>
          <w:p w14:paraId="62D5B69D" w14:textId="77777777" w:rsidR="00507908" w:rsidRPr="00097804" w:rsidRDefault="00507908" w:rsidP="000D42BD">
            <w:pPr>
              <w:jc w:val="center"/>
              <w:rPr>
                <w:rFonts w:ascii="Calibri" w:hAnsi="Calibri" w:cs="Calibri"/>
                <w:color w:val="000000" w:themeColor="text1"/>
              </w:rPr>
            </w:pPr>
            <w:r w:rsidRPr="00097804">
              <w:rPr>
                <w:rFonts w:ascii="Calibri" w:eastAsia="Calibri" w:hAnsi="Calibri" w:cs="Calibri"/>
                <w:b/>
              </w:rPr>
              <w:t>WSCA/ICEM team</w:t>
            </w:r>
          </w:p>
        </w:tc>
        <w:tc>
          <w:tcPr>
            <w:tcW w:w="1560" w:type="dxa"/>
            <w:vAlign w:val="center"/>
          </w:tcPr>
          <w:p w14:paraId="3BCB7DD3" w14:textId="77777777" w:rsidR="00507908" w:rsidRPr="00097804" w:rsidRDefault="00507908" w:rsidP="000D42BD">
            <w:pPr>
              <w:jc w:val="center"/>
              <w:rPr>
                <w:rFonts w:ascii="Calibri" w:hAnsi="Calibri" w:cs="Calibri"/>
                <w:color w:val="000000" w:themeColor="text1"/>
              </w:rPr>
            </w:pPr>
            <w:r w:rsidRPr="00097804">
              <w:rPr>
                <w:rFonts w:ascii="Calibri" w:eastAsia="Calibri" w:hAnsi="Calibri" w:cs="Calibri"/>
                <w:b/>
              </w:rPr>
              <w:t>Other implementing partners</w:t>
            </w:r>
          </w:p>
        </w:tc>
        <w:tc>
          <w:tcPr>
            <w:tcW w:w="992" w:type="dxa"/>
            <w:vAlign w:val="center"/>
          </w:tcPr>
          <w:p w14:paraId="08A6EADC" w14:textId="77777777" w:rsidR="00507908" w:rsidRPr="00097804" w:rsidRDefault="00507908" w:rsidP="000D42BD">
            <w:pPr>
              <w:jc w:val="center"/>
              <w:rPr>
                <w:rFonts w:ascii="Calibri" w:hAnsi="Calibri" w:cs="Calibri"/>
                <w:color w:val="000000" w:themeColor="text1"/>
              </w:rPr>
            </w:pPr>
            <w:r w:rsidRPr="00097804">
              <w:rPr>
                <w:rFonts w:ascii="Calibri" w:eastAsia="Calibri" w:hAnsi="Calibri" w:cs="Calibri"/>
                <w:b/>
              </w:rPr>
              <w:t>GEDSI TAG</w:t>
            </w:r>
          </w:p>
        </w:tc>
        <w:tc>
          <w:tcPr>
            <w:tcW w:w="1417" w:type="dxa"/>
            <w:vAlign w:val="center"/>
          </w:tcPr>
          <w:p w14:paraId="068CC049" w14:textId="77777777" w:rsidR="00507908" w:rsidRPr="00097804" w:rsidRDefault="00507908" w:rsidP="000D42BD">
            <w:pPr>
              <w:jc w:val="center"/>
              <w:rPr>
                <w:rFonts w:ascii="Calibri" w:hAnsi="Calibri" w:cs="Calibri"/>
                <w:color w:val="000000" w:themeColor="text1"/>
              </w:rPr>
            </w:pPr>
            <w:r w:rsidRPr="00097804">
              <w:rPr>
                <w:rFonts w:ascii="Calibri" w:eastAsia="Calibri" w:hAnsi="Calibri" w:cs="Calibri"/>
                <w:b/>
              </w:rPr>
              <w:t>Government partners</w:t>
            </w:r>
          </w:p>
        </w:tc>
        <w:tc>
          <w:tcPr>
            <w:tcW w:w="1276" w:type="dxa"/>
            <w:vAlign w:val="center"/>
          </w:tcPr>
          <w:p w14:paraId="60B95322" w14:textId="77777777" w:rsidR="00507908" w:rsidRPr="00097804" w:rsidRDefault="00507908" w:rsidP="000D42BD">
            <w:pPr>
              <w:jc w:val="center"/>
              <w:rPr>
                <w:rFonts w:ascii="Calibri" w:hAnsi="Calibri" w:cs="Calibri"/>
                <w:color w:val="000000" w:themeColor="text1"/>
              </w:rPr>
            </w:pPr>
            <w:r w:rsidRPr="00097804">
              <w:rPr>
                <w:rFonts w:ascii="Calibri" w:eastAsia="Calibri" w:hAnsi="Calibri" w:cs="Calibri"/>
                <w:b/>
              </w:rPr>
              <w:t>University partners</w:t>
            </w:r>
          </w:p>
        </w:tc>
        <w:tc>
          <w:tcPr>
            <w:tcW w:w="1276" w:type="dxa"/>
            <w:vAlign w:val="center"/>
          </w:tcPr>
          <w:p w14:paraId="40B73C68" w14:textId="77777777" w:rsidR="00507908" w:rsidRPr="00097804" w:rsidRDefault="00507908" w:rsidP="000D42BD">
            <w:pPr>
              <w:jc w:val="center"/>
              <w:rPr>
                <w:rFonts w:ascii="Calibri" w:hAnsi="Calibri" w:cs="Calibri"/>
                <w:color w:val="000000" w:themeColor="text1"/>
              </w:rPr>
            </w:pPr>
            <w:r w:rsidRPr="00097804">
              <w:rPr>
                <w:rFonts w:ascii="Calibri" w:eastAsia="Calibri" w:hAnsi="Calibri" w:cs="Calibri"/>
                <w:b/>
              </w:rPr>
              <w:t>NGO/CSO/ private sector partners/ community groups</w:t>
            </w:r>
          </w:p>
        </w:tc>
        <w:tc>
          <w:tcPr>
            <w:tcW w:w="1195" w:type="dxa"/>
            <w:vAlign w:val="center"/>
          </w:tcPr>
          <w:p w14:paraId="509541B0" w14:textId="77777777" w:rsidR="00507908" w:rsidRPr="00097804" w:rsidRDefault="00507908" w:rsidP="000D42BD">
            <w:pPr>
              <w:jc w:val="center"/>
              <w:rPr>
                <w:rFonts w:ascii="Calibri" w:hAnsi="Calibri" w:cs="Calibri"/>
                <w:color w:val="000000" w:themeColor="text1"/>
              </w:rPr>
            </w:pPr>
            <w:r w:rsidRPr="00097804">
              <w:rPr>
                <w:rFonts w:ascii="Calibri" w:eastAsia="Calibri" w:hAnsi="Calibri" w:cs="Calibri"/>
                <w:b/>
              </w:rPr>
              <w:t>Informed third parties</w:t>
            </w:r>
          </w:p>
        </w:tc>
      </w:tr>
      <w:tr w:rsidR="00407429" w:rsidRPr="00097804" w14:paraId="15684908" w14:textId="77777777" w:rsidTr="006639AB">
        <w:tc>
          <w:tcPr>
            <w:tcW w:w="4531" w:type="dxa"/>
          </w:tcPr>
          <w:p w14:paraId="42ED40DC" w14:textId="0147CD35" w:rsidR="00407429" w:rsidRPr="00097804" w:rsidRDefault="00407429" w:rsidP="00097804">
            <w:pPr>
              <w:rPr>
                <w:rFonts w:ascii="Calibri" w:hAnsi="Calibri" w:cs="Calibri"/>
                <w:color w:val="000000" w:themeColor="text1"/>
              </w:rPr>
            </w:pPr>
            <w:r w:rsidRPr="00097804">
              <w:rPr>
                <w:rFonts w:ascii="Calibri" w:eastAsia="Calibri" w:hAnsi="Calibri" w:cs="Calibri"/>
                <w:color w:val="000000"/>
              </w:rPr>
              <w:t>How effectively were GEDSI principles</w:t>
            </w:r>
            <w:r w:rsidRPr="00097804">
              <w:rPr>
                <w:rFonts w:ascii="Calibri" w:eastAsia="Calibri" w:hAnsi="Calibri" w:cs="Calibri"/>
              </w:rPr>
              <w:t xml:space="preserve"> </w:t>
            </w:r>
            <w:r w:rsidRPr="00097804">
              <w:rPr>
                <w:rFonts w:ascii="Calibri" w:eastAsia="Calibri" w:hAnsi="Calibri" w:cs="Calibri"/>
                <w:color w:val="000000"/>
              </w:rPr>
              <w:t>embedded across the program and what</w:t>
            </w:r>
            <w:r w:rsidRPr="00097804">
              <w:rPr>
                <w:rFonts w:ascii="Calibri" w:eastAsia="Calibri" w:hAnsi="Calibri" w:cs="Calibri"/>
              </w:rPr>
              <w:t xml:space="preserve"> impacts can be observed?</w:t>
            </w:r>
          </w:p>
        </w:tc>
        <w:tc>
          <w:tcPr>
            <w:tcW w:w="851" w:type="dxa"/>
            <w:vAlign w:val="center"/>
          </w:tcPr>
          <w:p w14:paraId="22DDFE22" w14:textId="77777777" w:rsidR="00407429" w:rsidRPr="00097804" w:rsidRDefault="00407429" w:rsidP="000D42BD">
            <w:pPr>
              <w:jc w:val="center"/>
              <w:rPr>
                <w:rFonts w:ascii="Calibri" w:hAnsi="Calibri" w:cs="Calibri"/>
                <w:color w:val="000000" w:themeColor="text1"/>
              </w:rPr>
            </w:pPr>
            <w:r w:rsidRPr="00097804">
              <w:rPr>
                <w:rFonts w:ascii="Calibri" w:hAnsi="Calibri" w:cs="Calibri"/>
              </w:rPr>
              <w:t>Yes</w:t>
            </w:r>
          </w:p>
        </w:tc>
        <w:tc>
          <w:tcPr>
            <w:tcW w:w="850" w:type="dxa"/>
            <w:vAlign w:val="center"/>
          </w:tcPr>
          <w:p w14:paraId="396B1965" w14:textId="77777777" w:rsidR="00407429" w:rsidRPr="00097804" w:rsidRDefault="00407429" w:rsidP="000D42BD">
            <w:pPr>
              <w:jc w:val="center"/>
              <w:rPr>
                <w:rFonts w:ascii="Calibri" w:hAnsi="Calibri" w:cs="Calibri"/>
                <w:color w:val="000000" w:themeColor="text1"/>
              </w:rPr>
            </w:pPr>
            <w:r w:rsidRPr="00097804">
              <w:rPr>
                <w:rFonts w:ascii="Calibri" w:hAnsi="Calibri" w:cs="Calibri"/>
              </w:rPr>
              <w:t>Yes</w:t>
            </w:r>
          </w:p>
        </w:tc>
        <w:tc>
          <w:tcPr>
            <w:tcW w:w="1560" w:type="dxa"/>
            <w:vAlign w:val="center"/>
          </w:tcPr>
          <w:p w14:paraId="5CBA16A0" w14:textId="77777777" w:rsidR="00407429" w:rsidRPr="00097804" w:rsidRDefault="00407429" w:rsidP="000D42BD">
            <w:pPr>
              <w:jc w:val="center"/>
              <w:rPr>
                <w:rFonts w:ascii="Calibri" w:hAnsi="Calibri" w:cs="Calibri"/>
                <w:color w:val="000000" w:themeColor="text1"/>
              </w:rPr>
            </w:pPr>
            <w:r w:rsidRPr="00097804">
              <w:rPr>
                <w:rFonts w:ascii="Calibri" w:hAnsi="Calibri" w:cs="Calibri"/>
              </w:rPr>
              <w:t>Yes</w:t>
            </w:r>
          </w:p>
        </w:tc>
        <w:tc>
          <w:tcPr>
            <w:tcW w:w="992" w:type="dxa"/>
            <w:vAlign w:val="center"/>
          </w:tcPr>
          <w:p w14:paraId="6A02D748" w14:textId="77777777" w:rsidR="00407429" w:rsidRPr="00097804" w:rsidRDefault="00407429" w:rsidP="000D42BD">
            <w:pPr>
              <w:jc w:val="center"/>
              <w:rPr>
                <w:rFonts w:ascii="Calibri" w:hAnsi="Calibri" w:cs="Calibri"/>
                <w:color w:val="000000" w:themeColor="text1"/>
              </w:rPr>
            </w:pPr>
            <w:r w:rsidRPr="00097804">
              <w:rPr>
                <w:rFonts w:ascii="Calibri" w:hAnsi="Calibri" w:cs="Calibri"/>
              </w:rPr>
              <w:t>Yes</w:t>
            </w:r>
          </w:p>
        </w:tc>
        <w:tc>
          <w:tcPr>
            <w:tcW w:w="1417" w:type="dxa"/>
            <w:vAlign w:val="center"/>
          </w:tcPr>
          <w:p w14:paraId="0A09D939" w14:textId="77777777" w:rsidR="00407429" w:rsidRPr="00097804" w:rsidRDefault="00407429" w:rsidP="000D42BD">
            <w:pPr>
              <w:jc w:val="center"/>
              <w:rPr>
                <w:rFonts w:ascii="Calibri" w:hAnsi="Calibri" w:cs="Calibri"/>
                <w:color w:val="000000" w:themeColor="text1"/>
              </w:rPr>
            </w:pPr>
            <w:r w:rsidRPr="00097804">
              <w:rPr>
                <w:rFonts w:ascii="Calibri" w:hAnsi="Calibri" w:cs="Calibri"/>
              </w:rPr>
              <w:t>Yes</w:t>
            </w:r>
          </w:p>
        </w:tc>
        <w:tc>
          <w:tcPr>
            <w:tcW w:w="1276" w:type="dxa"/>
            <w:vAlign w:val="center"/>
          </w:tcPr>
          <w:p w14:paraId="36DF210C" w14:textId="77777777" w:rsidR="00407429" w:rsidRPr="00097804" w:rsidRDefault="00407429" w:rsidP="000D42BD">
            <w:pPr>
              <w:jc w:val="center"/>
              <w:rPr>
                <w:rFonts w:ascii="Calibri" w:hAnsi="Calibri" w:cs="Calibri"/>
                <w:color w:val="000000" w:themeColor="text1"/>
              </w:rPr>
            </w:pPr>
            <w:r w:rsidRPr="00097804">
              <w:rPr>
                <w:rFonts w:ascii="Calibri" w:hAnsi="Calibri" w:cs="Calibri"/>
              </w:rPr>
              <w:t>Yes</w:t>
            </w:r>
          </w:p>
        </w:tc>
        <w:tc>
          <w:tcPr>
            <w:tcW w:w="1276" w:type="dxa"/>
            <w:vAlign w:val="center"/>
          </w:tcPr>
          <w:p w14:paraId="29038BD3" w14:textId="77777777" w:rsidR="00407429" w:rsidRPr="00097804" w:rsidRDefault="00407429" w:rsidP="000D42BD">
            <w:pPr>
              <w:jc w:val="center"/>
              <w:rPr>
                <w:rFonts w:ascii="Calibri" w:hAnsi="Calibri" w:cs="Calibri"/>
                <w:color w:val="000000" w:themeColor="text1"/>
              </w:rPr>
            </w:pPr>
            <w:r w:rsidRPr="00097804">
              <w:rPr>
                <w:rFonts w:ascii="Calibri" w:hAnsi="Calibri" w:cs="Calibri"/>
              </w:rPr>
              <w:t>Yes</w:t>
            </w:r>
          </w:p>
        </w:tc>
        <w:tc>
          <w:tcPr>
            <w:tcW w:w="1195" w:type="dxa"/>
            <w:vAlign w:val="center"/>
          </w:tcPr>
          <w:p w14:paraId="0817D58D" w14:textId="02EE8EBD" w:rsidR="00407429" w:rsidRPr="00097804" w:rsidRDefault="00407429" w:rsidP="000D42BD">
            <w:pPr>
              <w:jc w:val="center"/>
              <w:rPr>
                <w:rFonts w:ascii="Calibri" w:hAnsi="Calibri" w:cs="Calibri"/>
                <w:color w:val="000000" w:themeColor="text1"/>
              </w:rPr>
            </w:pPr>
            <w:r w:rsidRPr="00097804">
              <w:rPr>
                <w:rFonts w:ascii="Calibri" w:hAnsi="Calibri" w:cs="Calibri"/>
              </w:rPr>
              <w:t>No</w:t>
            </w:r>
          </w:p>
        </w:tc>
      </w:tr>
      <w:tr w:rsidR="00407429" w:rsidRPr="00097804" w14:paraId="6864CDB5" w14:textId="77777777" w:rsidTr="006639AB">
        <w:tc>
          <w:tcPr>
            <w:tcW w:w="4531" w:type="dxa"/>
          </w:tcPr>
          <w:p w14:paraId="5CC68455" w14:textId="3A98229A" w:rsidR="00407429" w:rsidRPr="00097804" w:rsidRDefault="00407429" w:rsidP="00097804">
            <w:pPr>
              <w:rPr>
                <w:rFonts w:ascii="Calibri" w:hAnsi="Calibri" w:cs="Calibri"/>
                <w:color w:val="000000" w:themeColor="text1"/>
              </w:rPr>
            </w:pPr>
            <w:r w:rsidRPr="00097804">
              <w:rPr>
                <w:rFonts w:ascii="Calibri" w:eastAsia="Calibri" w:hAnsi="Calibri" w:cs="Calibri"/>
                <w:color w:val="000000"/>
              </w:rPr>
              <w:t>What key factors supported or hindered GEDSI</w:t>
            </w:r>
            <w:r w:rsidRPr="00097804">
              <w:rPr>
                <w:rFonts w:ascii="Calibri" w:eastAsia="Calibri" w:hAnsi="Calibri" w:cs="Calibri"/>
              </w:rPr>
              <w:t xml:space="preserve"> integration?</w:t>
            </w:r>
          </w:p>
        </w:tc>
        <w:tc>
          <w:tcPr>
            <w:tcW w:w="851" w:type="dxa"/>
            <w:vAlign w:val="center"/>
          </w:tcPr>
          <w:p w14:paraId="46CF9535" w14:textId="77777777" w:rsidR="00407429" w:rsidRPr="00097804" w:rsidRDefault="00407429" w:rsidP="000D42BD">
            <w:pPr>
              <w:jc w:val="center"/>
              <w:rPr>
                <w:rFonts w:ascii="Calibri" w:hAnsi="Calibri" w:cs="Calibri"/>
                <w:color w:val="000000" w:themeColor="text1"/>
              </w:rPr>
            </w:pPr>
            <w:r w:rsidRPr="00097804">
              <w:rPr>
                <w:rFonts w:ascii="Calibri" w:hAnsi="Calibri" w:cs="Calibri"/>
              </w:rPr>
              <w:t>Yes</w:t>
            </w:r>
          </w:p>
        </w:tc>
        <w:tc>
          <w:tcPr>
            <w:tcW w:w="850" w:type="dxa"/>
            <w:vAlign w:val="center"/>
          </w:tcPr>
          <w:p w14:paraId="249BF469" w14:textId="77777777" w:rsidR="00407429" w:rsidRPr="00097804" w:rsidRDefault="00407429" w:rsidP="000D42BD">
            <w:pPr>
              <w:jc w:val="center"/>
              <w:rPr>
                <w:rFonts w:ascii="Calibri" w:hAnsi="Calibri" w:cs="Calibri"/>
                <w:color w:val="000000" w:themeColor="text1"/>
              </w:rPr>
            </w:pPr>
            <w:r w:rsidRPr="00097804">
              <w:rPr>
                <w:rFonts w:ascii="Calibri" w:hAnsi="Calibri" w:cs="Calibri"/>
              </w:rPr>
              <w:t>Yes</w:t>
            </w:r>
          </w:p>
        </w:tc>
        <w:tc>
          <w:tcPr>
            <w:tcW w:w="1560" w:type="dxa"/>
            <w:vAlign w:val="center"/>
          </w:tcPr>
          <w:p w14:paraId="0DFC380A" w14:textId="77777777" w:rsidR="00407429" w:rsidRPr="00097804" w:rsidRDefault="00407429" w:rsidP="000D42BD">
            <w:pPr>
              <w:jc w:val="center"/>
              <w:rPr>
                <w:rFonts w:ascii="Calibri" w:hAnsi="Calibri" w:cs="Calibri"/>
                <w:color w:val="000000" w:themeColor="text1"/>
              </w:rPr>
            </w:pPr>
            <w:r w:rsidRPr="00097804">
              <w:rPr>
                <w:rFonts w:ascii="Calibri" w:hAnsi="Calibri" w:cs="Calibri"/>
              </w:rPr>
              <w:t>Yes</w:t>
            </w:r>
          </w:p>
        </w:tc>
        <w:tc>
          <w:tcPr>
            <w:tcW w:w="992" w:type="dxa"/>
            <w:vAlign w:val="center"/>
          </w:tcPr>
          <w:p w14:paraId="1FFE8D95" w14:textId="77777777" w:rsidR="00407429" w:rsidRPr="00097804" w:rsidRDefault="00407429" w:rsidP="000D42BD">
            <w:pPr>
              <w:jc w:val="center"/>
              <w:rPr>
                <w:rFonts w:ascii="Calibri" w:hAnsi="Calibri" w:cs="Calibri"/>
                <w:color w:val="000000" w:themeColor="text1"/>
              </w:rPr>
            </w:pPr>
            <w:r w:rsidRPr="00097804">
              <w:rPr>
                <w:rFonts w:ascii="Calibri" w:hAnsi="Calibri" w:cs="Calibri"/>
              </w:rPr>
              <w:t>Yes</w:t>
            </w:r>
          </w:p>
        </w:tc>
        <w:tc>
          <w:tcPr>
            <w:tcW w:w="1417" w:type="dxa"/>
            <w:vAlign w:val="center"/>
          </w:tcPr>
          <w:p w14:paraId="038A5E94" w14:textId="77777777" w:rsidR="00407429" w:rsidRPr="00097804" w:rsidRDefault="00407429" w:rsidP="000D42BD">
            <w:pPr>
              <w:jc w:val="center"/>
              <w:rPr>
                <w:rFonts w:ascii="Calibri" w:hAnsi="Calibri" w:cs="Calibri"/>
                <w:color w:val="000000" w:themeColor="text1"/>
              </w:rPr>
            </w:pPr>
            <w:r w:rsidRPr="00097804">
              <w:rPr>
                <w:rFonts w:ascii="Calibri" w:hAnsi="Calibri" w:cs="Calibri"/>
              </w:rPr>
              <w:t>Yes</w:t>
            </w:r>
          </w:p>
        </w:tc>
        <w:tc>
          <w:tcPr>
            <w:tcW w:w="1276" w:type="dxa"/>
            <w:vAlign w:val="center"/>
          </w:tcPr>
          <w:p w14:paraId="6E5B183F" w14:textId="77777777" w:rsidR="00407429" w:rsidRPr="00097804" w:rsidRDefault="00407429" w:rsidP="000D42BD">
            <w:pPr>
              <w:jc w:val="center"/>
              <w:rPr>
                <w:rFonts w:ascii="Calibri" w:hAnsi="Calibri" w:cs="Calibri"/>
                <w:color w:val="000000" w:themeColor="text1"/>
              </w:rPr>
            </w:pPr>
            <w:r w:rsidRPr="00097804">
              <w:rPr>
                <w:rFonts w:ascii="Calibri" w:hAnsi="Calibri" w:cs="Calibri"/>
              </w:rPr>
              <w:t>Yes</w:t>
            </w:r>
          </w:p>
        </w:tc>
        <w:tc>
          <w:tcPr>
            <w:tcW w:w="1276" w:type="dxa"/>
            <w:vAlign w:val="center"/>
          </w:tcPr>
          <w:p w14:paraId="37BE29D7" w14:textId="77777777" w:rsidR="00407429" w:rsidRPr="00097804" w:rsidRDefault="00407429" w:rsidP="000D42BD">
            <w:pPr>
              <w:jc w:val="center"/>
              <w:rPr>
                <w:rFonts w:ascii="Calibri" w:hAnsi="Calibri" w:cs="Calibri"/>
                <w:color w:val="000000" w:themeColor="text1"/>
              </w:rPr>
            </w:pPr>
            <w:r w:rsidRPr="00097804">
              <w:rPr>
                <w:rFonts w:ascii="Calibri" w:hAnsi="Calibri" w:cs="Calibri"/>
              </w:rPr>
              <w:t>Yes</w:t>
            </w:r>
          </w:p>
        </w:tc>
        <w:tc>
          <w:tcPr>
            <w:tcW w:w="1195" w:type="dxa"/>
            <w:vAlign w:val="center"/>
          </w:tcPr>
          <w:p w14:paraId="1557E7D0" w14:textId="01690FFC" w:rsidR="00407429" w:rsidRPr="00097804" w:rsidRDefault="00407429" w:rsidP="000D42BD">
            <w:pPr>
              <w:jc w:val="center"/>
              <w:rPr>
                <w:rFonts w:ascii="Calibri" w:hAnsi="Calibri" w:cs="Calibri"/>
                <w:color w:val="000000" w:themeColor="text1"/>
              </w:rPr>
            </w:pPr>
            <w:r w:rsidRPr="00097804">
              <w:rPr>
                <w:rFonts w:ascii="Calibri" w:hAnsi="Calibri" w:cs="Calibri"/>
              </w:rPr>
              <w:t>No</w:t>
            </w:r>
          </w:p>
        </w:tc>
      </w:tr>
    </w:tbl>
    <w:p w14:paraId="107693F4" w14:textId="77777777" w:rsidR="00507908" w:rsidRPr="00097804" w:rsidRDefault="00507908" w:rsidP="00097804">
      <w:pPr>
        <w:spacing w:after="0" w:line="240" w:lineRule="auto"/>
        <w:rPr>
          <w:rFonts w:ascii="Calibri" w:hAnsi="Calibri" w:cs="Calibri"/>
        </w:rPr>
        <w:sectPr w:rsidR="00507908" w:rsidRPr="00097804" w:rsidSect="00507908">
          <w:footerReference w:type="default" r:id="rId20"/>
          <w:pgSz w:w="16838" w:h="11906" w:orient="landscape"/>
          <w:pgMar w:top="1440" w:right="1440" w:bottom="1440" w:left="1440" w:header="708" w:footer="708" w:gutter="0"/>
          <w:cols w:space="708"/>
          <w:docGrid w:linePitch="360"/>
        </w:sectPr>
      </w:pPr>
    </w:p>
    <w:p w14:paraId="39FDBB1A" w14:textId="0F6FA228" w:rsidR="00507908" w:rsidRPr="00097804" w:rsidRDefault="00507908" w:rsidP="00097804">
      <w:pPr>
        <w:spacing w:after="0" w:line="240" w:lineRule="auto"/>
        <w:rPr>
          <w:rFonts w:ascii="Calibri" w:eastAsia="Calibri" w:hAnsi="Calibri" w:cs="Calibri"/>
          <w:b/>
          <w:color w:val="000000"/>
        </w:rPr>
      </w:pPr>
      <w:r w:rsidRPr="00097804">
        <w:rPr>
          <w:rFonts w:ascii="Calibri" w:eastAsia="Calibri" w:hAnsi="Calibri" w:cs="Calibri"/>
          <w:b/>
          <w:color w:val="000000"/>
        </w:rPr>
        <w:lastRenderedPageBreak/>
        <w:t xml:space="preserve">Evaluation Objective </w:t>
      </w:r>
      <w:r w:rsidR="00407429" w:rsidRPr="00097804">
        <w:rPr>
          <w:rFonts w:ascii="Calibri" w:eastAsia="Calibri" w:hAnsi="Calibri" w:cs="Calibri"/>
          <w:b/>
          <w:color w:val="000000"/>
        </w:rPr>
        <w:t>6</w:t>
      </w:r>
      <w:r w:rsidRPr="00097804">
        <w:rPr>
          <w:rFonts w:ascii="Calibri" w:eastAsia="Calibri" w:hAnsi="Calibri" w:cs="Calibri"/>
          <w:b/>
          <w:color w:val="000000"/>
        </w:rPr>
        <w:t xml:space="preserve">: </w:t>
      </w:r>
      <w:r w:rsidR="00146409" w:rsidRPr="00097804">
        <w:rPr>
          <w:rFonts w:ascii="Calibri" w:eastAsia="Calibri" w:hAnsi="Calibri" w:cs="Calibri"/>
          <w:b/>
          <w:color w:val="000000"/>
        </w:rPr>
        <w:t>Lessons Learned and Recommendations</w:t>
      </w:r>
    </w:p>
    <w:p w14:paraId="55FFAEBC" w14:textId="1375A41E" w:rsidR="00507908" w:rsidRPr="00097804" w:rsidRDefault="007D3A6C" w:rsidP="00097804">
      <w:pPr>
        <w:spacing w:after="0" w:line="240" w:lineRule="auto"/>
        <w:rPr>
          <w:rFonts w:ascii="Calibri" w:eastAsia="Calibri" w:hAnsi="Calibri" w:cs="Calibri"/>
          <w:bCs/>
        </w:rPr>
      </w:pPr>
      <w:r w:rsidRPr="00097804">
        <w:rPr>
          <w:rFonts w:ascii="Calibri" w:eastAsia="Calibri" w:hAnsi="Calibri" w:cs="Calibri"/>
          <w:bCs/>
          <w:color w:val="000000"/>
        </w:rPr>
        <w:t>Generate lessons and recommendations to guide the strategic focus, delivery model and partnerships for a potential Phase 2, and to support broader regional learning on inclusive, climate-resilient urban development using NbS</w:t>
      </w:r>
    </w:p>
    <w:tbl>
      <w:tblPr>
        <w:tblStyle w:val="TableGrid"/>
        <w:tblW w:w="0" w:type="auto"/>
        <w:tblLayout w:type="fixed"/>
        <w:tblLook w:val="04A0" w:firstRow="1" w:lastRow="0" w:firstColumn="1" w:lastColumn="0" w:noHBand="0" w:noVBand="1"/>
      </w:tblPr>
      <w:tblGrid>
        <w:gridCol w:w="4531"/>
        <w:gridCol w:w="851"/>
        <w:gridCol w:w="850"/>
        <w:gridCol w:w="1560"/>
        <w:gridCol w:w="992"/>
        <w:gridCol w:w="1417"/>
        <w:gridCol w:w="1276"/>
        <w:gridCol w:w="1276"/>
        <w:gridCol w:w="1195"/>
      </w:tblGrid>
      <w:tr w:rsidR="00507908" w:rsidRPr="00097804" w14:paraId="6DC97804" w14:textId="77777777" w:rsidTr="006639AB">
        <w:trPr>
          <w:tblHeader/>
        </w:trPr>
        <w:tc>
          <w:tcPr>
            <w:tcW w:w="4531" w:type="dxa"/>
          </w:tcPr>
          <w:p w14:paraId="4CDF376A" w14:textId="77777777" w:rsidR="00507908" w:rsidRPr="00097804" w:rsidRDefault="00507908" w:rsidP="00097804">
            <w:pPr>
              <w:rPr>
                <w:rFonts w:ascii="Calibri" w:hAnsi="Calibri" w:cs="Calibri"/>
                <w:color w:val="000000" w:themeColor="text1"/>
              </w:rPr>
            </w:pPr>
            <w:r w:rsidRPr="00097804">
              <w:rPr>
                <w:rFonts w:ascii="Calibri" w:eastAsia="Calibri" w:hAnsi="Calibri" w:cs="Calibri"/>
                <w:b/>
              </w:rPr>
              <w:t>Key evaluation questions</w:t>
            </w:r>
          </w:p>
        </w:tc>
        <w:tc>
          <w:tcPr>
            <w:tcW w:w="851" w:type="dxa"/>
            <w:vAlign w:val="center"/>
          </w:tcPr>
          <w:p w14:paraId="2A5DC489" w14:textId="77777777" w:rsidR="00507908" w:rsidRPr="00097804" w:rsidRDefault="00507908" w:rsidP="000D42BD">
            <w:pPr>
              <w:jc w:val="center"/>
              <w:rPr>
                <w:rFonts w:ascii="Calibri" w:hAnsi="Calibri" w:cs="Calibri"/>
                <w:color w:val="000000" w:themeColor="text1"/>
              </w:rPr>
            </w:pPr>
            <w:r w:rsidRPr="00097804">
              <w:rPr>
                <w:rFonts w:ascii="Calibri" w:eastAsia="Calibri" w:hAnsi="Calibri" w:cs="Calibri"/>
                <w:b/>
              </w:rPr>
              <w:t>DFAT</w:t>
            </w:r>
          </w:p>
        </w:tc>
        <w:tc>
          <w:tcPr>
            <w:tcW w:w="850" w:type="dxa"/>
            <w:vAlign w:val="center"/>
          </w:tcPr>
          <w:p w14:paraId="6A498C3E" w14:textId="77777777" w:rsidR="00507908" w:rsidRPr="00097804" w:rsidRDefault="00507908" w:rsidP="000D42BD">
            <w:pPr>
              <w:jc w:val="center"/>
              <w:rPr>
                <w:rFonts w:ascii="Calibri" w:hAnsi="Calibri" w:cs="Calibri"/>
                <w:color w:val="000000" w:themeColor="text1"/>
              </w:rPr>
            </w:pPr>
            <w:r w:rsidRPr="00097804">
              <w:rPr>
                <w:rFonts w:ascii="Calibri" w:eastAsia="Calibri" w:hAnsi="Calibri" w:cs="Calibri"/>
                <w:b/>
              </w:rPr>
              <w:t>WSCA/ICEM team</w:t>
            </w:r>
          </w:p>
        </w:tc>
        <w:tc>
          <w:tcPr>
            <w:tcW w:w="1560" w:type="dxa"/>
            <w:vAlign w:val="center"/>
          </w:tcPr>
          <w:p w14:paraId="22960383" w14:textId="77777777" w:rsidR="00507908" w:rsidRPr="00097804" w:rsidRDefault="00507908" w:rsidP="000D42BD">
            <w:pPr>
              <w:jc w:val="center"/>
              <w:rPr>
                <w:rFonts w:ascii="Calibri" w:hAnsi="Calibri" w:cs="Calibri"/>
                <w:color w:val="000000" w:themeColor="text1"/>
              </w:rPr>
            </w:pPr>
            <w:r w:rsidRPr="00097804">
              <w:rPr>
                <w:rFonts w:ascii="Calibri" w:eastAsia="Calibri" w:hAnsi="Calibri" w:cs="Calibri"/>
                <w:b/>
              </w:rPr>
              <w:t>Other implementing partners</w:t>
            </w:r>
          </w:p>
        </w:tc>
        <w:tc>
          <w:tcPr>
            <w:tcW w:w="992" w:type="dxa"/>
            <w:vAlign w:val="center"/>
          </w:tcPr>
          <w:p w14:paraId="70117C06" w14:textId="77777777" w:rsidR="00507908" w:rsidRPr="00097804" w:rsidRDefault="00507908" w:rsidP="000D42BD">
            <w:pPr>
              <w:jc w:val="center"/>
              <w:rPr>
                <w:rFonts w:ascii="Calibri" w:hAnsi="Calibri" w:cs="Calibri"/>
                <w:color w:val="000000" w:themeColor="text1"/>
              </w:rPr>
            </w:pPr>
            <w:r w:rsidRPr="00097804">
              <w:rPr>
                <w:rFonts w:ascii="Calibri" w:eastAsia="Calibri" w:hAnsi="Calibri" w:cs="Calibri"/>
                <w:b/>
              </w:rPr>
              <w:t>GEDSI TAG</w:t>
            </w:r>
          </w:p>
        </w:tc>
        <w:tc>
          <w:tcPr>
            <w:tcW w:w="1417" w:type="dxa"/>
            <w:vAlign w:val="center"/>
          </w:tcPr>
          <w:p w14:paraId="69CFDE4D" w14:textId="77777777" w:rsidR="00507908" w:rsidRPr="00097804" w:rsidRDefault="00507908" w:rsidP="000D42BD">
            <w:pPr>
              <w:jc w:val="center"/>
              <w:rPr>
                <w:rFonts w:ascii="Calibri" w:hAnsi="Calibri" w:cs="Calibri"/>
                <w:color w:val="000000" w:themeColor="text1"/>
              </w:rPr>
            </w:pPr>
            <w:r w:rsidRPr="00097804">
              <w:rPr>
                <w:rFonts w:ascii="Calibri" w:eastAsia="Calibri" w:hAnsi="Calibri" w:cs="Calibri"/>
                <w:b/>
              </w:rPr>
              <w:t>Government partners</w:t>
            </w:r>
          </w:p>
        </w:tc>
        <w:tc>
          <w:tcPr>
            <w:tcW w:w="1276" w:type="dxa"/>
            <w:vAlign w:val="center"/>
          </w:tcPr>
          <w:p w14:paraId="66900E01" w14:textId="77777777" w:rsidR="00507908" w:rsidRPr="00097804" w:rsidRDefault="00507908" w:rsidP="000D42BD">
            <w:pPr>
              <w:jc w:val="center"/>
              <w:rPr>
                <w:rFonts w:ascii="Calibri" w:hAnsi="Calibri" w:cs="Calibri"/>
                <w:color w:val="000000" w:themeColor="text1"/>
              </w:rPr>
            </w:pPr>
            <w:r w:rsidRPr="00097804">
              <w:rPr>
                <w:rFonts w:ascii="Calibri" w:eastAsia="Calibri" w:hAnsi="Calibri" w:cs="Calibri"/>
                <w:b/>
              </w:rPr>
              <w:t>University partners</w:t>
            </w:r>
          </w:p>
        </w:tc>
        <w:tc>
          <w:tcPr>
            <w:tcW w:w="1276" w:type="dxa"/>
            <w:vAlign w:val="center"/>
          </w:tcPr>
          <w:p w14:paraId="3F763AFE" w14:textId="77777777" w:rsidR="00507908" w:rsidRPr="00097804" w:rsidRDefault="00507908" w:rsidP="000D42BD">
            <w:pPr>
              <w:jc w:val="center"/>
              <w:rPr>
                <w:rFonts w:ascii="Calibri" w:hAnsi="Calibri" w:cs="Calibri"/>
                <w:color w:val="000000" w:themeColor="text1"/>
              </w:rPr>
            </w:pPr>
            <w:r w:rsidRPr="00097804">
              <w:rPr>
                <w:rFonts w:ascii="Calibri" w:eastAsia="Calibri" w:hAnsi="Calibri" w:cs="Calibri"/>
                <w:b/>
              </w:rPr>
              <w:t>NGO/CSO/ private sector partners/ community groups</w:t>
            </w:r>
          </w:p>
        </w:tc>
        <w:tc>
          <w:tcPr>
            <w:tcW w:w="1195" w:type="dxa"/>
            <w:vAlign w:val="center"/>
          </w:tcPr>
          <w:p w14:paraId="35C1FB10" w14:textId="77777777" w:rsidR="00507908" w:rsidRPr="00097804" w:rsidRDefault="00507908" w:rsidP="000D42BD">
            <w:pPr>
              <w:jc w:val="center"/>
              <w:rPr>
                <w:rFonts w:ascii="Calibri" w:hAnsi="Calibri" w:cs="Calibri"/>
                <w:color w:val="000000" w:themeColor="text1"/>
              </w:rPr>
            </w:pPr>
            <w:r w:rsidRPr="00097804">
              <w:rPr>
                <w:rFonts w:ascii="Calibri" w:eastAsia="Calibri" w:hAnsi="Calibri" w:cs="Calibri"/>
                <w:b/>
              </w:rPr>
              <w:t>Informed third parties</w:t>
            </w:r>
          </w:p>
        </w:tc>
      </w:tr>
      <w:tr w:rsidR="000D2577" w:rsidRPr="00097804" w14:paraId="314D908C" w14:textId="77777777" w:rsidTr="006639AB">
        <w:tc>
          <w:tcPr>
            <w:tcW w:w="4531" w:type="dxa"/>
          </w:tcPr>
          <w:p w14:paraId="650E1E2C" w14:textId="7CFE89C7" w:rsidR="000D2577" w:rsidRPr="00097804" w:rsidRDefault="000D2577" w:rsidP="00097804">
            <w:pPr>
              <w:rPr>
                <w:rFonts w:ascii="Calibri" w:hAnsi="Calibri" w:cs="Calibri"/>
                <w:color w:val="000000" w:themeColor="text1"/>
              </w:rPr>
            </w:pPr>
            <w:r w:rsidRPr="00097804">
              <w:rPr>
                <w:rFonts w:ascii="Calibri" w:eastAsia="Calibri" w:hAnsi="Calibri" w:cs="Calibri"/>
                <w:color w:val="000000"/>
              </w:rPr>
              <w:t>What strategic and operational lessons should</w:t>
            </w:r>
            <w:r w:rsidRPr="00097804">
              <w:rPr>
                <w:rFonts w:ascii="Calibri" w:eastAsia="Calibri" w:hAnsi="Calibri" w:cs="Calibri"/>
              </w:rPr>
              <w:t xml:space="preserve"> inform the scale up or design of future program?</w:t>
            </w:r>
          </w:p>
        </w:tc>
        <w:tc>
          <w:tcPr>
            <w:tcW w:w="851" w:type="dxa"/>
            <w:vAlign w:val="center"/>
          </w:tcPr>
          <w:p w14:paraId="69A86D67" w14:textId="77777777" w:rsidR="000D2577" w:rsidRPr="00097804" w:rsidRDefault="000D2577" w:rsidP="000D42BD">
            <w:pPr>
              <w:jc w:val="center"/>
              <w:rPr>
                <w:rFonts w:ascii="Calibri" w:hAnsi="Calibri" w:cs="Calibri"/>
                <w:color w:val="000000" w:themeColor="text1"/>
              </w:rPr>
            </w:pPr>
            <w:r w:rsidRPr="00097804">
              <w:rPr>
                <w:rFonts w:ascii="Calibri" w:hAnsi="Calibri" w:cs="Calibri"/>
              </w:rPr>
              <w:t>Yes</w:t>
            </w:r>
          </w:p>
        </w:tc>
        <w:tc>
          <w:tcPr>
            <w:tcW w:w="850" w:type="dxa"/>
            <w:vAlign w:val="center"/>
          </w:tcPr>
          <w:p w14:paraId="7D79E613" w14:textId="77777777" w:rsidR="000D2577" w:rsidRPr="00097804" w:rsidRDefault="000D2577" w:rsidP="000D42BD">
            <w:pPr>
              <w:jc w:val="center"/>
              <w:rPr>
                <w:rFonts w:ascii="Calibri" w:hAnsi="Calibri" w:cs="Calibri"/>
                <w:color w:val="000000" w:themeColor="text1"/>
              </w:rPr>
            </w:pPr>
            <w:r w:rsidRPr="00097804">
              <w:rPr>
                <w:rFonts w:ascii="Calibri" w:hAnsi="Calibri" w:cs="Calibri"/>
              </w:rPr>
              <w:t>Yes</w:t>
            </w:r>
          </w:p>
        </w:tc>
        <w:tc>
          <w:tcPr>
            <w:tcW w:w="1560" w:type="dxa"/>
            <w:vAlign w:val="center"/>
          </w:tcPr>
          <w:p w14:paraId="487C690D" w14:textId="77777777" w:rsidR="000D2577" w:rsidRPr="00097804" w:rsidRDefault="000D2577" w:rsidP="000D42BD">
            <w:pPr>
              <w:jc w:val="center"/>
              <w:rPr>
                <w:rFonts w:ascii="Calibri" w:hAnsi="Calibri" w:cs="Calibri"/>
                <w:color w:val="000000" w:themeColor="text1"/>
              </w:rPr>
            </w:pPr>
            <w:r w:rsidRPr="00097804">
              <w:rPr>
                <w:rFonts w:ascii="Calibri" w:hAnsi="Calibri" w:cs="Calibri"/>
              </w:rPr>
              <w:t>Yes</w:t>
            </w:r>
          </w:p>
        </w:tc>
        <w:tc>
          <w:tcPr>
            <w:tcW w:w="992" w:type="dxa"/>
            <w:vAlign w:val="center"/>
          </w:tcPr>
          <w:p w14:paraId="67D70531" w14:textId="77777777" w:rsidR="000D2577" w:rsidRPr="00097804" w:rsidRDefault="000D2577" w:rsidP="000D42BD">
            <w:pPr>
              <w:jc w:val="center"/>
              <w:rPr>
                <w:rFonts w:ascii="Calibri" w:hAnsi="Calibri" w:cs="Calibri"/>
                <w:color w:val="000000" w:themeColor="text1"/>
              </w:rPr>
            </w:pPr>
            <w:r w:rsidRPr="00097804">
              <w:rPr>
                <w:rFonts w:ascii="Calibri" w:hAnsi="Calibri" w:cs="Calibri"/>
              </w:rPr>
              <w:t>Yes</w:t>
            </w:r>
          </w:p>
        </w:tc>
        <w:tc>
          <w:tcPr>
            <w:tcW w:w="1417" w:type="dxa"/>
            <w:vAlign w:val="center"/>
          </w:tcPr>
          <w:p w14:paraId="3EEF111A" w14:textId="77777777" w:rsidR="000D2577" w:rsidRPr="00097804" w:rsidRDefault="000D2577" w:rsidP="000D42BD">
            <w:pPr>
              <w:jc w:val="center"/>
              <w:rPr>
                <w:rFonts w:ascii="Calibri" w:hAnsi="Calibri" w:cs="Calibri"/>
                <w:color w:val="000000" w:themeColor="text1"/>
              </w:rPr>
            </w:pPr>
            <w:r w:rsidRPr="00097804">
              <w:rPr>
                <w:rFonts w:ascii="Calibri" w:hAnsi="Calibri" w:cs="Calibri"/>
              </w:rPr>
              <w:t>Yes</w:t>
            </w:r>
          </w:p>
        </w:tc>
        <w:tc>
          <w:tcPr>
            <w:tcW w:w="1276" w:type="dxa"/>
            <w:vAlign w:val="center"/>
          </w:tcPr>
          <w:p w14:paraId="746FE64A" w14:textId="77777777" w:rsidR="000D2577" w:rsidRPr="00097804" w:rsidRDefault="000D2577" w:rsidP="000D42BD">
            <w:pPr>
              <w:jc w:val="center"/>
              <w:rPr>
                <w:rFonts w:ascii="Calibri" w:hAnsi="Calibri" w:cs="Calibri"/>
                <w:color w:val="000000" w:themeColor="text1"/>
              </w:rPr>
            </w:pPr>
            <w:r w:rsidRPr="00097804">
              <w:rPr>
                <w:rFonts w:ascii="Calibri" w:hAnsi="Calibri" w:cs="Calibri"/>
              </w:rPr>
              <w:t>Yes</w:t>
            </w:r>
          </w:p>
        </w:tc>
        <w:tc>
          <w:tcPr>
            <w:tcW w:w="1276" w:type="dxa"/>
            <w:vAlign w:val="center"/>
          </w:tcPr>
          <w:p w14:paraId="03E2888B" w14:textId="77777777" w:rsidR="000D2577" w:rsidRPr="00097804" w:rsidRDefault="000D2577" w:rsidP="000D42BD">
            <w:pPr>
              <w:jc w:val="center"/>
              <w:rPr>
                <w:rFonts w:ascii="Calibri" w:hAnsi="Calibri" w:cs="Calibri"/>
                <w:color w:val="000000" w:themeColor="text1"/>
              </w:rPr>
            </w:pPr>
            <w:r w:rsidRPr="00097804">
              <w:rPr>
                <w:rFonts w:ascii="Calibri" w:hAnsi="Calibri" w:cs="Calibri"/>
              </w:rPr>
              <w:t>Yes</w:t>
            </w:r>
          </w:p>
        </w:tc>
        <w:tc>
          <w:tcPr>
            <w:tcW w:w="1195" w:type="dxa"/>
            <w:vAlign w:val="center"/>
          </w:tcPr>
          <w:p w14:paraId="249CE017" w14:textId="77777777" w:rsidR="000D2577" w:rsidRPr="00097804" w:rsidRDefault="000D2577" w:rsidP="000D42BD">
            <w:pPr>
              <w:jc w:val="center"/>
              <w:rPr>
                <w:rFonts w:ascii="Calibri" w:hAnsi="Calibri" w:cs="Calibri"/>
                <w:color w:val="000000" w:themeColor="text1"/>
              </w:rPr>
            </w:pPr>
            <w:r w:rsidRPr="00097804">
              <w:rPr>
                <w:rFonts w:ascii="Calibri" w:hAnsi="Calibri" w:cs="Calibri"/>
              </w:rPr>
              <w:t>Yes</w:t>
            </w:r>
          </w:p>
        </w:tc>
      </w:tr>
      <w:tr w:rsidR="000D2577" w:rsidRPr="00097804" w14:paraId="504AA630" w14:textId="77777777" w:rsidTr="006639AB">
        <w:tc>
          <w:tcPr>
            <w:tcW w:w="4531" w:type="dxa"/>
          </w:tcPr>
          <w:p w14:paraId="07AF1B90" w14:textId="4BF87F5E" w:rsidR="000D2577" w:rsidRPr="00097804" w:rsidRDefault="000D2577" w:rsidP="00097804">
            <w:pPr>
              <w:rPr>
                <w:rFonts w:ascii="Calibri" w:hAnsi="Calibri" w:cs="Calibri"/>
                <w:color w:val="000000" w:themeColor="text1"/>
              </w:rPr>
            </w:pPr>
            <w:r w:rsidRPr="00097804">
              <w:rPr>
                <w:rFonts w:ascii="Calibri" w:eastAsia="Calibri" w:hAnsi="Calibri" w:cs="Calibri"/>
                <w:color w:val="000000"/>
              </w:rPr>
              <w:t>What elements of the delivery model, scaling</w:t>
            </w:r>
            <w:r w:rsidRPr="00097804">
              <w:rPr>
                <w:rFonts w:ascii="Calibri" w:eastAsia="Calibri" w:hAnsi="Calibri" w:cs="Calibri"/>
              </w:rPr>
              <w:t xml:space="preserve"> </w:t>
            </w:r>
            <w:r w:rsidRPr="00097804">
              <w:rPr>
                <w:rFonts w:ascii="Calibri" w:eastAsia="Calibri" w:hAnsi="Calibri" w:cs="Calibri"/>
                <w:color w:val="000000"/>
              </w:rPr>
              <w:t>strategies or partnerships should be retained,</w:t>
            </w:r>
            <w:r w:rsidRPr="00097804">
              <w:rPr>
                <w:rFonts w:ascii="Calibri" w:eastAsia="Calibri" w:hAnsi="Calibri" w:cs="Calibri"/>
              </w:rPr>
              <w:t xml:space="preserve"> adjusted, or strengthened?</w:t>
            </w:r>
          </w:p>
        </w:tc>
        <w:tc>
          <w:tcPr>
            <w:tcW w:w="851" w:type="dxa"/>
            <w:vAlign w:val="center"/>
          </w:tcPr>
          <w:p w14:paraId="63C1087A" w14:textId="77777777" w:rsidR="000D2577" w:rsidRPr="00097804" w:rsidRDefault="000D2577" w:rsidP="000D42BD">
            <w:pPr>
              <w:jc w:val="center"/>
              <w:rPr>
                <w:rFonts w:ascii="Calibri" w:hAnsi="Calibri" w:cs="Calibri"/>
                <w:color w:val="000000" w:themeColor="text1"/>
              </w:rPr>
            </w:pPr>
            <w:r w:rsidRPr="00097804">
              <w:rPr>
                <w:rFonts w:ascii="Calibri" w:hAnsi="Calibri" w:cs="Calibri"/>
              </w:rPr>
              <w:t>Yes</w:t>
            </w:r>
          </w:p>
        </w:tc>
        <w:tc>
          <w:tcPr>
            <w:tcW w:w="850" w:type="dxa"/>
            <w:vAlign w:val="center"/>
          </w:tcPr>
          <w:p w14:paraId="7F6F0DC1" w14:textId="77777777" w:rsidR="000D2577" w:rsidRPr="00097804" w:rsidRDefault="000D2577" w:rsidP="000D42BD">
            <w:pPr>
              <w:jc w:val="center"/>
              <w:rPr>
                <w:rFonts w:ascii="Calibri" w:hAnsi="Calibri" w:cs="Calibri"/>
                <w:color w:val="000000" w:themeColor="text1"/>
              </w:rPr>
            </w:pPr>
            <w:r w:rsidRPr="00097804">
              <w:rPr>
                <w:rFonts w:ascii="Calibri" w:hAnsi="Calibri" w:cs="Calibri"/>
              </w:rPr>
              <w:t>Yes</w:t>
            </w:r>
          </w:p>
        </w:tc>
        <w:tc>
          <w:tcPr>
            <w:tcW w:w="1560" w:type="dxa"/>
            <w:vAlign w:val="center"/>
          </w:tcPr>
          <w:p w14:paraId="626F925B" w14:textId="77777777" w:rsidR="000D2577" w:rsidRPr="00097804" w:rsidRDefault="000D2577" w:rsidP="000D42BD">
            <w:pPr>
              <w:jc w:val="center"/>
              <w:rPr>
                <w:rFonts w:ascii="Calibri" w:hAnsi="Calibri" w:cs="Calibri"/>
                <w:color w:val="000000" w:themeColor="text1"/>
              </w:rPr>
            </w:pPr>
            <w:r w:rsidRPr="00097804">
              <w:rPr>
                <w:rFonts w:ascii="Calibri" w:hAnsi="Calibri" w:cs="Calibri"/>
              </w:rPr>
              <w:t>Yes</w:t>
            </w:r>
          </w:p>
        </w:tc>
        <w:tc>
          <w:tcPr>
            <w:tcW w:w="992" w:type="dxa"/>
            <w:vAlign w:val="center"/>
          </w:tcPr>
          <w:p w14:paraId="6D4EA6F7" w14:textId="77777777" w:rsidR="000D2577" w:rsidRPr="00097804" w:rsidRDefault="000D2577" w:rsidP="000D42BD">
            <w:pPr>
              <w:jc w:val="center"/>
              <w:rPr>
                <w:rFonts w:ascii="Calibri" w:hAnsi="Calibri" w:cs="Calibri"/>
                <w:color w:val="000000" w:themeColor="text1"/>
              </w:rPr>
            </w:pPr>
            <w:r w:rsidRPr="00097804">
              <w:rPr>
                <w:rFonts w:ascii="Calibri" w:hAnsi="Calibri" w:cs="Calibri"/>
              </w:rPr>
              <w:t>Yes</w:t>
            </w:r>
          </w:p>
        </w:tc>
        <w:tc>
          <w:tcPr>
            <w:tcW w:w="1417" w:type="dxa"/>
            <w:vAlign w:val="center"/>
          </w:tcPr>
          <w:p w14:paraId="7D683FDF" w14:textId="77777777" w:rsidR="000D2577" w:rsidRPr="00097804" w:rsidRDefault="000D2577" w:rsidP="000D42BD">
            <w:pPr>
              <w:jc w:val="center"/>
              <w:rPr>
                <w:rFonts w:ascii="Calibri" w:hAnsi="Calibri" w:cs="Calibri"/>
                <w:color w:val="000000" w:themeColor="text1"/>
              </w:rPr>
            </w:pPr>
            <w:r w:rsidRPr="00097804">
              <w:rPr>
                <w:rFonts w:ascii="Calibri" w:hAnsi="Calibri" w:cs="Calibri"/>
              </w:rPr>
              <w:t>Yes</w:t>
            </w:r>
          </w:p>
        </w:tc>
        <w:tc>
          <w:tcPr>
            <w:tcW w:w="1276" w:type="dxa"/>
            <w:vAlign w:val="center"/>
          </w:tcPr>
          <w:p w14:paraId="23674ED1" w14:textId="77777777" w:rsidR="000D2577" w:rsidRPr="00097804" w:rsidRDefault="000D2577" w:rsidP="000D42BD">
            <w:pPr>
              <w:jc w:val="center"/>
              <w:rPr>
                <w:rFonts w:ascii="Calibri" w:hAnsi="Calibri" w:cs="Calibri"/>
                <w:color w:val="000000" w:themeColor="text1"/>
              </w:rPr>
            </w:pPr>
            <w:r w:rsidRPr="00097804">
              <w:rPr>
                <w:rFonts w:ascii="Calibri" w:hAnsi="Calibri" w:cs="Calibri"/>
              </w:rPr>
              <w:t>Yes</w:t>
            </w:r>
          </w:p>
        </w:tc>
        <w:tc>
          <w:tcPr>
            <w:tcW w:w="1276" w:type="dxa"/>
            <w:vAlign w:val="center"/>
          </w:tcPr>
          <w:p w14:paraId="4D4764B1" w14:textId="77777777" w:rsidR="000D2577" w:rsidRPr="00097804" w:rsidRDefault="000D2577" w:rsidP="000D42BD">
            <w:pPr>
              <w:jc w:val="center"/>
              <w:rPr>
                <w:rFonts w:ascii="Calibri" w:hAnsi="Calibri" w:cs="Calibri"/>
                <w:color w:val="000000" w:themeColor="text1"/>
              </w:rPr>
            </w:pPr>
            <w:r w:rsidRPr="00097804">
              <w:rPr>
                <w:rFonts w:ascii="Calibri" w:hAnsi="Calibri" w:cs="Calibri"/>
              </w:rPr>
              <w:t>Yes</w:t>
            </w:r>
          </w:p>
        </w:tc>
        <w:tc>
          <w:tcPr>
            <w:tcW w:w="1195" w:type="dxa"/>
            <w:vAlign w:val="center"/>
          </w:tcPr>
          <w:p w14:paraId="46EEC00E" w14:textId="77777777" w:rsidR="000D2577" w:rsidRPr="00097804" w:rsidRDefault="000D2577" w:rsidP="000D42BD">
            <w:pPr>
              <w:jc w:val="center"/>
              <w:rPr>
                <w:rFonts w:ascii="Calibri" w:hAnsi="Calibri" w:cs="Calibri"/>
                <w:color w:val="000000" w:themeColor="text1"/>
              </w:rPr>
            </w:pPr>
            <w:r w:rsidRPr="00097804">
              <w:rPr>
                <w:rFonts w:ascii="Calibri" w:hAnsi="Calibri" w:cs="Calibri"/>
              </w:rPr>
              <w:t>Yes</w:t>
            </w:r>
          </w:p>
        </w:tc>
      </w:tr>
    </w:tbl>
    <w:p w14:paraId="24EBAD4C" w14:textId="77777777" w:rsidR="00507908" w:rsidRPr="00941B21" w:rsidRDefault="00507908" w:rsidP="00507908">
      <w:pPr>
        <w:spacing w:after="0" w:line="240" w:lineRule="auto"/>
        <w:rPr>
          <w:rFonts w:ascii="Calibri" w:hAnsi="Calibri" w:cs="Calibri"/>
        </w:rPr>
        <w:sectPr w:rsidR="00507908" w:rsidRPr="00941B21" w:rsidSect="00507908">
          <w:footerReference w:type="default" r:id="rId21"/>
          <w:pgSz w:w="16838" w:h="11906" w:orient="landscape"/>
          <w:pgMar w:top="1440" w:right="1440" w:bottom="1440" w:left="1440" w:header="708" w:footer="708" w:gutter="0"/>
          <w:cols w:space="708"/>
          <w:docGrid w:linePitch="360"/>
        </w:sectPr>
      </w:pPr>
    </w:p>
    <w:p w14:paraId="3ABFA41D" w14:textId="593BB746" w:rsidR="00030728" w:rsidRPr="003D4B91" w:rsidRDefault="00030728" w:rsidP="00030728">
      <w:pPr>
        <w:pStyle w:val="Heading1"/>
      </w:pPr>
      <w:bookmarkStart w:id="168" w:name="_Toc225951870"/>
      <w:r w:rsidRPr="003D4B91">
        <w:lastRenderedPageBreak/>
        <w:t xml:space="preserve">Appendix </w:t>
      </w:r>
      <w:r w:rsidR="00BB016F" w:rsidRPr="003D4B91">
        <w:t>D</w:t>
      </w:r>
      <w:r w:rsidRPr="003D4B91">
        <w:t xml:space="preserve">: </w:t>
      </w:r>
      <w:r w:rsidR="00253689" w:rsidRPr="003D4B91">
        <w:t xml:space="preserve">RUCaS </w:t>
      </w:r>
      <w:r w:rsidRPr="003D4B91">
        <w:t>Evaluability Assessment</w:t>
      </w:r>
      <w:bookmarkEnd w:id="168"/>
    </w:p>
    <w:p w14:paraId="21C0DC87" w14:textId="77777777" w:rsidR="00253689" w:rsidRPr="00C66109" w:rsidRDefault="00253689" w:rsidP="00C66109">
      <w:pPr>
        <w:rPr>
          <w:rFonts w:asciiTheme="majorHAnsi" w:hAnsiTheme="majorHAnsi"/>
          <w:color w:val="124F1A" w:themeColor="accent3" w:themeShade="BF"/>
          <w:sz w:val="32"/>
          <w:szCs w:val="32"/>
          <w:lang w:val="en-US"/>
        </w:rPr>
      </w:pPr>
      <w:r w:rsidRPr="00C66109">
        <w:rPr>
          <w:rFonts w:asciiTheme="majorHAnsi" w:hAnsiTheme="majorHAnsi"/>
          <w:color w:val="124F1A" w:themeColor="accent3" w:themeShade="BF"/>
          <w:sz w:val="32"/>
          <w:szCs w:val="32"/>
          <w:lang w:val="en-US"/>
        </w:rPr>
        <w:t>Background</w:t>
      </w:r>
    </w:p>
    <w:p w14:paraId="7ED8EC7F" w14:textId="77777777" w:rsidR="00253689" w:rsidRPr="003D4B91" w:rsidRDefault="00253689" w:rsidP="00037A46">
      <w:pPr>
        <w:pStyle w:val="ListParagraph"/>
        <w:numPr>
          <w:ilvl w:val="0"/>
          <w:numId w:val="2"/>
        </w:numPr>
        <w:rPr>
          <w:lang w:val="en-US"/>
        </w:rPr>
      </w:pPr>
      <w:r w:rsidRPr="003D4B91">
        <w:rPr>
          <w:lang w:val="en-US"/>
        </w:rPr>
        <w:t xml:space="preserve">This note is an assessment of the program logic for </w:t>
      </w:r>
      <w:r w:rsidRPr="003D4B91">
        <w:rPr>
          <w:i/>
          <w:iCs/>
        </w:rPr>
        <w:t>Resilient Urban Centres and Surrounds</w:t>
      </w:r>
      <w:r w:rsidRPr="003D4B91">
        <w:t xml:space="preserve"> (RUCaS)</w:t>
      </w:r>
      <w:r w:rsidRPr="003D4B91">
        <w:rPr>
          <w:lang w:val="en-US"/>
        </w:rPr>
        <w:t>—an investment by Australia’s Department of Foreign Affairs and Trade (DFAT).</w:t>
      </w:r>
    </w:p>
    <w:p w14:paraId="62F5D2F3" w14:textId="77777777" w:rsidR="00253689" w:rsidRPr="003D4B91" w:rsidRDefault="00253689" w:rsidP="00037A46">
      <w:pPr>
        <w:pStyle w:val="ListParagraph"/>
        <w:numPr>
          <w:ilvl w:val="0"/>
          <w:numId w:val="2"/>
        </w:numPr>
        <w:rPr>
          <w:lang w:val="en-US"/>
        </w:rPr>
      </w:pPr>
      <w:r w:rsidRPr="003D4B91">
        <w:rPr>
          <w:lang w:val="en-US"/>
        </w:rPr>
        <w:t>This note was prepared as part of an independent evaluation of RUCaS commissioned by WSCA/ICEM on behalf of DFAT between September 2025 and February 2026.</w:t>
      </w:r>
    </w:p>
    <w:p w14:paraId="0BAA9636" w14:textId="557C6A8D" w:rsidR="00253689" w:rsidRPr="003D4B91" w:rsidRDefault="00253689" w:rsidP="00037A46">
      <w:pPr>
        <w:pStyle w:val="ListParagraph"/>
        <w:numPr>
          <w:ilvl w:val="0"/>
          <w:numId w:val="10"/>
        </w:numPr>
        <w:ind w:hanging="357"/>
      </w:pPr>
      <w:r w:rsidRPr="003D4B91">
        <w:t>A clear and conforming program logic</w:t>
      </w:r>
      <w:r w:rsidRPr="003D4B91">
        <w:rPr>
          <w:rStyle w:val="FootnoteReference"/>
        </w:rPr>
        <w:footnoteReference w:id="49"/>
      </w:r>
      <w:r w:rsidRPr="003D4B91">
        <w:t xml:space="preserve"> is a requirement of DFAT design, monitoring and evaluation (</w:t>
      </w:r>
      <w:r w:rsidR="001A3619">
        <w:t>MEL</w:t>
      </w:r>
      <w:r w:rsidRPr="003D4B91">
        <w:t xml:space="preserve"> standards) and is necessary to articulate the basis for judging the success (i.e. desired ‘end-state’) of a development investment, and the means/mechanisms adopted to reach the end-state.</w:t>
      </w:r>
    </w:p>
    <w:p w14:paraId="2A51589B" w14:textId="112D39E4" w:rsidR="00253689" w:rsidRPr="003D4B91" w:rsidRDefault="001A3619" w:rsidP="00037A46">
      <w:pPr>
        <w:pStyle w:val="ListParagraph"/>
        <w:numPr>
          <w:ilvl w:val="1"/>
          <w:numId w:val="10"/>
        </w:numPr>
        <w:ind w:hanging="357"/>
      </w:pPr>
      <w:r>
        <w:t>MEL</w:t>
      </w:r>
      <w:r w:rsidR="00253689" w:rsidRPr="003D4B91">
        <w:t xml:space="preserve"> may then be understood as a set of processes/methods to confirm that intended changes are happening, and to verify the ongoing merit of those changes.</w:t>
      </w:r>
    </w:p>
    <w:p w14:paraId="0DC0F4A0" w14:textId="77777777" w:rsidR="00253689" w:rsidRPr="003D4B91" w:rsidRDefault="00253689" w:rsidP="00037A46">
      <w:pPr>
        <w:pStyle w:val="ListParagraph"/>
        <w:numPr>
          <w:ilvl w:val="0"/>
          <w:numId w:val="10"/>
        </w:numPr>
        <w:ind w:hanging="357"/>
      </w:pPr>
      <w:r w:rsidRPr="003D4B91">
        <w:t>This assessment refers to a version of the program logic provided in a MEL Framework submitted to DFAT in late 2025 (RUCaS Updated MEL Framework – FINAL). This Framework is an updated version of the original submitted to DFAT.</w:t>
      </w:r>
    </w:p>
    <w:p w14:paraId="3E754816" w14:textId="59982741" w:rsidR="00253689" w:rsidRPr="003D4B91" w:rsidRDefault="00253689" w:rsidP="00037A46">
      <w:pPr>
        <w:pStyle w:val="ListParagraph"/>
        <w:numPr>
          <w:ilvl w:val="0"/>
          <w:numId w:val="10"/>
        </w:numPr>
        <w:ind w:hanging="357"/>
      </w:pPr>
      <w:r w:rsidRPr="003D4B91">
        <w:t xml:space="preserve">This assessment is done on a purely technical basis informed by DFAT’s </w:t>
      </w:r>
      <w:r w:rsidR="001A3619">
        <w:t>MEL</w:t>
      </w:r>
      <w:r w:rsidRPr="003D4B91">
        <w:t xml:space="preserve"> Standards and program theory conventions more broadly. </w:t>
      </w:r>
    </w:p>
    <w:p w14:paraId="345B430B" w14:textId="77777777" w:rsidR="00253689" w:rsidRPr="003D4B91" w:rsidRDefault="00253689" w:rsidP="00037A46">
      <w:pPr>
        <w:pStyle w:val="ListParagraph"/>
        <w:numPr>
          <w:ilvl w:val="0"/>
          <w:numId w:val="10"/>
        </w:numPr>
      </w:pPr>
      <w:r w:rsidRPr="003D4B91">
        <w:t>The evaluation team respects that RUCaS involved a complicated evolution; namely it consisted of a series of short-term phases (defined by Amendments, with new/changed activities and additional funding), as opposed to being designed as a single program with a total time and budget known from the outset. This meant that the MEL Framework had to evolve with each phase and has made measuring progress over time, complicated.</w:t>
      </w:r>
    </w:p>
    <w:p w14:paraId="2C27C8AD" w14:textId="6FEAA06A" w:rsidR="00253689" w:rsidRPr="003D4B91" w:rsidRDefault="00253689" w:rsidP="00037A46">
      <w:pPr>
        <w:pStyle w:val="ListParagraph"/>
        <w:numPr>
          <w:ilvl w:val="0"/>
          <w:numId w:val="10"/>
        </w:numPr>
      </w:pPr>
      <w:r w:rsidRPr="003D4B91">
        <w:t>A general critique of the MEL Framework is that ‘</w:t>
      </w:r>
      <w:proofErr w:type="spellStart"/>
      <w:r w:rsidRPr="003D4B91">
        <w:t>NbS’</w:t>
      </w:r>
      <w:proofErr w:type="spellEnd"/>
      <w:r w:rsidRPr="003D4B91">
        <w:t xml:space="preserve"> and ‘hybrid </w:t>
      </w:r>
      <w:proofErr w:type="spellStart"/>
      <w:r w:rsidRPr="003D4B91">
        <w:t>NbS’</w:t>
      </w:r>
      <w:proofErr w:type="spellEnd"/>
      <w:r w:rsidRPr="003D4B91">
        <w:t xml:space="preserve"> are technical terms that are not defined (nor universally agreed upon in the case of ‘hybrid </w:t>
      </w:r>
      <w:proofErr w:type="spellStart"/>
      <w:r w:rsidRPr="003D4B91">
        <w:t>NbS’</w:t>
      </w:r>
      <w:proofErr w:type="spellEnd"/>
      <w:r w:rsidRPr="003D4B91">
        <w:t xml:space="preserve">), which means that it is not possible to convey the intent of RUCaS to a broad audience with this document. The evaluation team note that there are other RUCaS documents that describe these terms in the context of RUCaS but, ideally, the MEL Framework (as a representation of the program logic) should be able to convey the intent of an investment to the broadest possible audience. </w:t>
      </w:r>
    </w:p>
    <w:p w14:paraId="0D4A59DC" w14:textId="77777777" w:rsidR="00253689" w:rsidRPr="00C66109" w:rsidRDefault="00253689" w:rsidP="00C66109">
      <w:pPr>
        <w:rPr>
          <w:rFonts w:asciiTheme="majorHAnsi" w:hAnsiTheme="majorHAnsi"/>
          <w:color w:val="124F1A" w:themeColor="accent3" w:themeShade="BF"/>
          <w:sz w:val="32"/>
          <w:szCs w:val="32"/>
          <w:lang w:val="en-US"/>
        </w:rPr>
      </w:pPr>
      <w:r w:rsidRPr="00C66109">
        <w:rPr>
          <w:rFonts w:asciiTheme="majorHAnsi" w:hAnsiTheme="majorHAnsi"/>
          <w:color w:val="124F1A" w:themeColor="accent3" w:themeShade="BF"/>
          <w:sz w:val="32"/>
          <w:szCs w:val="32"/>
          <w:lang w:val="en-US"/>
        </w:rPr>
        <w:t>Goal and Overall Aim</w:t>
      </w:r>
    </w:p>
    <w:p w14:paraId="78660B8F" w14:textId="77777777" w:rsidR="00253689" w:rsidRPr="00A5084A" w:rsidRDefault="00253689" w:rsidP="00253689">
      <w:pPr>
        <w:rPr>
          <w:rFonts w:eastAsiaTheme="majorEastAsia" w:cstheme="majorBidi"/>
          <w:i/>
          <w:iCs/>
          <w:lang w:val="en-US"/>
        </w:rPr>
      </w:pPr>
      <w:r w:rsidRPr="00A5084A">
        <w:rPr>
          <w:rFonts w:eastAsiaTheme="majorEastAsia" w:cstheme="majorBidi"/>
          <w:lang w:val="en-US"/>
        </w:rPr>
        <w:t>Goal:</w:t>
      </w:r>
      <w:r w:rsidRPr="00A5084A">
        <w:rPr>
          <w:rFonts w:eastAsiaTheme="majorEastAsia" w:cstheme="majorBidi"/>
          <w:i/>
          <w:iCs/>
          <w:lang w:val="en-US"/>
        </w:rPr>
        <w:t xml:space="preserve"> “Resilient, sustainable, inclusive and prosperous cities where Hybrid Nature-based Solutions (NbS) drive climate change adaptation and enhance economic, social, and environmental values.”</w:t>
      </w:r>
    </w:p>
    <w:p w14:paraId="7DD66774" w14:textId="77777777" w:rsidR="00253689" w:rsidRPr="00A5084A" w:rsidRDefault="00253689" w:rsidP="00253689">
      <w:pPr>
        <w:rPr>
          <w:rFonts w:eastAsiaTheme="majorEastAsia" w:cstheme="majorBidi"/>
          <w:b/>
          <w:bCs/>
          <w:i/>
          <w:iCs/>
        </w:rPr>
      </w:pPr>
      <w:r w:rsidRPr="00A5084A">
        <w:rPr>
          <w:rFonts w:eastAsiaTheme="majorEastAsia" w:cstheme="majorBidi"/>
          <w:lang w:val="en-US"/>
        </w:rPr>
        <w:t xml:space="preserve">End of Investment Outcome/Overall aim of RUCaS: </w:t>
      </w:r>
      <w:r w:rsidRPr="00A5084A">
        <w:rPr>
          <w:rFonts w:eastAsiaTheme="majorEastAsia" w:cstheme="majorBidi"/>
          <w:i/>
          <w:iCs/>
          <w:lang w:val="en-US"/>
        </w:rPr>
        <w:t>“</w:t>
      </w:r>
      <w:r w:rsidRPr="00A5084A">
        <w:rPr>
          <w:rFonts w:eastAsiaTheme="majorEastAsia" w:cstheme="majorBidi"/>
          <w:i/>
          <w:iCs/>
        </w:rPr>
        <w:t xml:space="preserve">Mekong country partners have </w:t>
      </w:r>
      <w:r w:rsidRPr="00A5084A">
        <w:rPr>
          <w:rFonts w:eastAsiaTheme="majorEastAsia" w:cstheme="majorBidi"/>
          <w:b/>
          <w:bCs/>
          <w:i/>
          <w:iCs/>
        </w:rPr>
        <w:t>improved technical capacity</w:t>
      </w:r>
      <w:r w:rsidRPr="00A5084A">
        <w:rPr>
          <w:rFonts w:eastAsiaTheme="majorEastAsia" w:cstheme="majorBidi"/>
          <w:i/>
          <w:iCs/>
        </w:rPr>
        <w:t xml:space="preserve">, </w:t>
      </w:r>
      <w:r w:rsidRPr="00A5084A">
        <w:rPr>
          <w:rFonts w:eastAsiaTheme="majorEastAsia" w:cstheme="majorBidi"/>
          <w:b/>
          <w:bCs/>
          <w:i/>
          <w:iCs/>
        </w:rPr>
        <w:t>local demonstrations of concept</w:t>
      </w:r>
      <w:r w:rsidRPr="00A5084A">
        <w:rPr>
          <w:rFonts w:eastAsiaTheme="majorEastAsia" w:cstheme="majorBidi"/>
          <w:i/>
          <w:iCs/>
        </w:rPr>
        <w:t xml:space="preserve">, </w:t>
      </w:r>
      <w:r w:rsidRPr="00A5084A">
        <w:rPr>
          <w:rFonts w:eastAsiaTheme="majorEastAsia" w:cstheme="majorBidi"/>
          <w:b/>
          <w:bCs/>
          <w:i/>
          <w:iCs/>
        </w:rPr>
        <w:t xml:space="preserve">enhanced institutional buy-in </w:t>
      </w:r>
      <w:r w:rsidRPr="00A5084A">
        <w:rPr>
          <w:rFonts w:eastAsiaTheme="majorEastAsia" w:cstheme="majorBidi"/>
          <w:i/>
          <w:iCs/>
        </w:rPr>
        <w:t xml:space="preserve">and </w:t>
      </w:r>
      <w:r w:rsidRPr="00A5084A">
        <w:rPr>
          <w:rFonts w:eastAsiaTheme="majorEastAsia" w:cstheme="majorBidi"/>
          <w:b/>
          <w:bCs/>
          <w:i/>
          <w:iCs/>
        </w:rPr>
        <w:t xml:space="preserve">regional collaboration </w:t>
      </w:r>
      <w:r w:rsidRPr="00A5084A">
        <w:rPr>
          <w:rFonts w:eastAsiaTheme="majorEastAsia" w:cstheme="majorBidi"/>
          <w:i/>
          <w:iCs/>
        </w:rPr>
        <w:t>to support scaling NbS and hybrid solutions for more climate resilient development of urban areas</w:t>
      </w:r>
      <w:r w:rsidRPr="00A5084A">
        <w:rPr>
          <w:rFonts w:eastAsiaTheme="majorEastAsia" w:cstheme="majorBidi"/>
          <w:b/>
          <w:bCs/>
          <w:i/>
          <w:iCs/>
        </w:rPr>
        <w:t xml:space="preserve"> </w:t>
      </w:r>
      <w:r w:rsidRPr="00A5084A">
        <w:rPr>
          <w:rFonts w:eastAsiaTheme="majorEastAsia" w:cstheme="majorBidi"/>
          <w:i/>
          <w:iCs/>
        </w:rPr>
        <w:t>and their surrounds.”</w:t>
      </w:r>
    </w:p>
    <w:p w14:paraId="254BCCBF" w14:textId="77777777" w:rsidR="00253689" w:rsidRPr="003D4B91" w:rsidRDefault="00253689" w:rsidP="00037A46">
      <w:pPr>
        <w:pStyle w:val="ListParagraph"/>
        <w:numPr>
          <w:ilvl w:val="0"/>
          <w:numId w:val="3"/>
        </w:numPr>
        <w:ind w:left="360"/>
      </w:pPr>
      <w:r w:rsidRPr="003D4B91">
        <w:lastRenderedPageBreak/>
        <w:t>A goal statement defines the basis for judging the ‘relevance’</w:t>
      </w:r>
      <w:r w:rsidRPr="003D4B91">
        <w:rPr>
          <w:rStyle w:val="FootnoteReference"/>
        </w:rPr>
        <w:footnoteReference w:id="50"/>
      </w:r>
      <w:r w:rsidRPr="003D4B91">
        <w:t xml:space="preserve"> of the development investment and the nature of its intended ‘impact’</w:t>
      </w:r>
      <w:r w:rsidRPr="003D4B91">
        <w:rPr>
          <w:rStyle w:val="FootnoteReference"/>
        </w:rPr>
        <w:footnoteReference w:id="51"/>
      </w:r>
      <w:r w:rsidRPr="003D4B91">
        <w:t>; that is, the ‘significant and lasting change’ that the investment will contribute towards but not necessarily achieve on its own or during the lifetime of the investment. It is typically framed by the policy/development priorities of Australia and the partner country/countries and reflects key needs of specified beneficiaries.</w:t>
      </w:r>
    </w:p>
    <w:p w14:paraId="67FA7BBF" w14:textId="767752C2" w:rsidR="00253689" w:rsidRPr="003D4B91" w:rsidRDefault="00253689" w:rsidP="00037A46">
      <w:pPr>
        <w:pStyle w:val="ListParagraph"/>
        <w:numPr>
          <w:ilvl w:val="0"/>
          <w:numId w:val="3"/>
        </w:numPr>
        <w:ind w:left="360"/>
      </w:pPr>
      <w:r w:rsidRPr="003D4B91">
        <w:t>The RUCaS goal statement sets out a clear intended significant and lasting change (‘</w:t>
      </w:r>
      <w:r w:rsidRPr="003D4B91">
        <w:rPr>
          <w:i/>
          <w:iCs/>
        </w:rPr>
        <w:t>resilient, sustainable, inclusive and prosperous cities’</w:t>
      </w:r>
      <w:r w:rsidRPr="003D4B91">
        <w:t xml:space="preserve">), though these terms require further definition for the purposes of </w:t>
      </w:r>
      <w:r w:rsidR="00204C74" w:rsidRPr="003D4B91">
        <w:t>measurement.</w:t>
      </w:r>
    </w:p>
    <w:p w14:paraId="0F6A4FB7" w14:textId="629C92AD" w:rsidR="00253689" w:rsidRPr="003D4B91" w:rsidRDefault="00253689" w:rsidP="00037A46">
      <w:pPr>
        <w:pStyle w:val="ListParagraph"/>
        <w:numPr>
          <w:ilvl w:val="0"/>
          <w:numId w:val="3"/>
        </w:numPr>
        <w:ind w:left="360"/>
      </w:pPr>
      <w:r w:rsidRPr="003D4B91">
        <w:rPr>
          <w:b/>
          <w:bCs/>
        </w:rPr>
        <w:t xml:space="preserve">Conjugated goal statement: </w:t>
      </w:r>
      <w:r w:rsidRPr="003D4B91">
        <w:t>In addition to the goal of ‘</w:t>
      </w:r>
      <w:r w:rsidRPr="003D4B91">
        <w:rPr>
          <w:i/>
          <w:iCs/>
        </w:rPr>
        <w:t>resilient, sustainable, inclusive and prosperous cities’</w:t>
      </w:r>
      <w:r w:rsidRPr="003D4B91">
        <w:t xml:space="preserve"> (which would be sufficient as is), there is an additional statement: ‘</w:t>
      </w:r>
      <w:r w:rsidRPr="003D4B91">
        <w:rPr>
          <w:rFonts w:eastAsiaTheme="majorEastAsia" w:cstheme="majorBidi"/>
          <w:i/>
          <w:iCs/>
          <w:u w:val="single"/>
          <w:lang w:val="en-US"/>
        </w:rPr>
        <w:t>where</w:t>
      </w:r>
      <w:r w:rsidRPr="003D4B91">
        <w:rPr>
          <w:rFonts w:eastAsiaTheme="majorEastAsia" w:cstheme="majorBidi"/>
          <w:i/>
          <w:iCs/>
          <w:lang w:val="en-US"/>
        </w:rPr>
        <w:t xml:space="preserve"> Hybrid Nature-based Solutions (NbS) drive climate change adaptation and enhance economic, social, and environmental </w:t>
      </w:r>
      <w:proofErr w:type="gramStart"/>
      <w:r w:rsidRPr="003D4B91">
        <w:rPr>
          <w:rFonts w:eastAsiaTheme="majorEastAsia" w:cstheme="majorBidi"/>
          <w:i/>
          <w:iCs/>
          <w:lang w:val="en-US"/>
        </w:rPr>
        <w:t>values’</w:t>
      </w:r>
      <w:proofErr w:type="gramEnd"/>
      <w:r w:rsidRPr="003D4B91">
        <w:rPr>
          <w:rFonts w:eastAsiaTheme="majorEastAsia" w:cstheme="majorBidi"/>
          <w:i/>
          <w:iCs/>
          <w:lang w:val="en-US"/>
        </w:rPr>
        <w:t>.</w:t>
      </w:r>
      <w:r w:rsidRPr="003D4B91">
        <w:rPr>
          <w:rFonts w:eastAsiaTheme="majorEastAsia" w:cstheme="majorBidi"/>
          <w:lang w:val="en-US"/>
        </w:rPr>
        <w:t xml:space="preserve"> As written, this goal includes a </w:t>
      </w:r>
      <w:r w:rsidRPr="003D4B91">
        <w:rPr>
          <w:rFonts w:eastAsiaTheme="majorEastAsia" w:cstheme="majorBidi"/>
          <w:i/>
          <w:iCs/>
          <w:lang w:val="en-US"/>
        </w:rPr>
        <w:t>goal</w:t>
      </w:r>
      <w:r w:rsidRPr="003D4B91">
        <w:rPr>
          <w:rFonts w:eastAsiaTheme="majorEastAsia" w:cstheme="majorBidi"/>
          <w:lang w:val="en-US"/>
        </w:rPr>
        <w:t xml:space="preserve"> as well as a </w:t>
      </w:r>
      <w:r w:rsidRPr="003D4B91">
        <w:rPr>
          <w:rFonts w:eastAsiaTheme="majorEastAsia" w:cstheme="majorBidi"/>
          <w:i/>
          <w:iCs/>
          <w:lang w:val="en-US"/>
        </w:rPr>
        <w:t>possible means to achieve that goal</w:t>
      </w:r>
      <w:r w:rsidRPr="003D4B91">
        <w:rPr>
          <w:rFonts w:eastAsiaTheme="majorEastAsia" w:cstheme="majorBidi"/>
          <w:lang w:val="en-US"/>
        </w:rPr>
        <w:t>. In program theory convention, each level in a program logic should define a single stage in the overall change. By including a conjunction such as “where”</w:t>
      </w:r>
      <w:r w:rsidR="00A10D79">
        <w:rPr>
          <w:rFonts w:eastAsiaTheme="majorEastAsia" w:cstheme="majorBidi"/>
          <w:lang w:val="en-US"/>
        </w:rPr>
        <w:t>,</w:t>
      </w:r>
      <w:r w:rsidRPr="003D4B91">
        <w:rPr>
          <w:rFonts w:eastAsiaTheme="majorEastAsia" w:cstheme="majorBidi"/>
          <w:lang w:val="en-US"/>
        </w:rPr>
        <w:t xml:space="preserve"> the goal statement add</w:t>
      </w:r>
      <w:r w:rsidR="00A10D79">
        <w:rPr>
          <w:rFonts w:eastAsiaTheme="majorEastAsia" w:cstheme="majorBidi"/>
          <w:lang w:val="en-US"/>
        </w:rPr>
        <w:t>s</w:t>
      </w:r>
      <w:r w:rsidRPr="003D4B91">
        <w:rPr>
          <w:rFonts w:eastAsiaTheme="majorEastAsia" w:cstheme="majorBidi"/>
          <w:lang w:val="en-US"/>
        </w:rPr>
        <w:t xml:space="preserve"> the </w:t>
      </w:r>
      <w:r w:rsidRPr="003D4B91">
        <w:rPr>
          <w:rFonts w:eastAsiaTheme="majorEastAsia" w:cstheme="majorBidi"/>
          <w:i/>
          <w:iCs/>
          <w:lang w:val="en-US"/>
        </w:rPr>
        <w:t>means</w:t>
      </w:r>
      <w:r w:rsidRPr="003D4B91">
        <w:rPr>
          <w:rFonts w:eastAsiaTheme="majorEastAsia" w:cstheme="majorBidi"/>
          <w:lang w:val="en-US"/>
        </w:rPr>
        <w:t xml:space="preserve"> to achieving the goal, which should ordinarily be captured in the EOPO below. </w:t>
      </w:r>
    </w:p>
    <w:p w14:paraId="7C80E696" w14:textId="77777777" w:rsidR="00253689" w:rsidRPr="003D4B91" w:rsidRDefault="00253689" w:rsidP="00037A46">
      <w:pPr>
        <w:pStyle w:val="ListParagraph"/>
        <w:numPr>
          <w:ilvl w:val="0"/>
          <w:numId w:val="3"/>
        </w:numPr>
        <w:ind w:left="360"/>
      </w:pPr>
      <w:r w:rsidRPr="003D4B91">
        <w:rPr>
          <w:b/>
          <w:bCs/>
        </w:rPr>
        <w:t>Undefined target/beneficiaries:</w:t>
      </w:r>
      <w:r w:rsidRPr="003D4B91">
        <w:t xml:space="preserve"> ‘</w:t>
      </w:r>
      <w:r w:rsidRPr="003D4B91">
        <w:rPr>
          <w:i/>
          <w:iCs/>
        </w:rPr>
        <w:t>cities’</w:t>
      </w:r>
      <w:r w:rsidRPr="003D4B91">
        <w:t xml:space="preserve"> cannot be beneficiaries of an investment (alternate wording could have stated which people, in which cities, in which country were the target of the investment). It is an important principle of Official Development Assistance that the beneficiaries of development investments are explicitly defined.</w:t>
      </w:r>
    </w:p>
    <w:p w14:paraId="781AF0CA" w14:textId="0A7E86B0" w:rsidR="00253689" w:rsidRPr="003D4B91" w:rsidRDefault="00253689" w:rsidP="00037A46">
      <w:pPr>
        <w:pStyle w:val="ListParagraph"/>
        <w:numPr>
          <w:ilvl w:val="0"/>
          <w:numId w:val="3"/>
        </w:numPr>
        <w:ind w:left="360"/>
      </w:pPr>
      <w:r w:rsidRPr="003D4B91">
        <w:t xml:space="preserve">The inclusion of an overall aim as well as a goal is confusing from a </w:t>
      </w:r>
      <w:r w:rsidR="001A3619">
        <w:t>MEL</w:t>
      </w:r>
      <w:r w:rsidRPr="003D4B91">
        <w:t xml:space="preserve"> standpoint. The usual convention for DFAT programming is for a program logic defined on the basis that </w:t>
      </w:r>
      <w:r w:rsidRPr="003D4B91">
        <w:rPr>
          <w:i/>
          <w:iCs/>
        </w:rPr>
        <w:t>outputs</w:t>
      </w:r>
      <w:r w:rsidRPr="003D4B91">
        <w:t xml:space="preserve"> lead to </w:t>
      </w:r>
      <w:r w:rsidRPr="003D4B91">
        <w:rPr>
          <w:i/>
          <w:iCs/>
        </w:rPr>
        <w:t>intermediate outcomes</w:t>
      </w:r>
      <w:r w:rsidRPr="003D4B91">
        <w:t xml:space="preserve"> (IO) which led to end of program outcomes (EOPO</w:t>
      </w:r>
      <w:r w:rsidR="00A10D79">
        <w:t>,</w:t>
      </w:r>
      <w:r w:rsidRPr="003D4B91">
        <w:t xml:space="preserve"> that are plausibly achievable by the end of the investment)</w:t>
      </w:r>
      <w:r w:rsidR="00A10D79">
        <w:t xml:space="preserve"> </w:t>
      </w:r>
      <w:r w:rsidRPr="003D4B91">
        <w:t xml:space="preserve">which in turn contribute to towards the goal (likely beyond the life of investment). </w:t>
      </w:r>
    </w:p>
    <w:p w14:paraId="3C946F97" w14:textId="77777777" w:rsidR="00253689" w:rsidRPr="003D4B91" w:rsidRDefault="00253689" w:rsidP="00037A46">
      <w:pPr>
        <w:pStyle w:val="ListParagraph"/>
        <w:numPr>
          <w:ilvl w:val="0"/>
          <w:numId w:val="3"/>
        </w:numPr>
        <w:ind w:left="360"/>
      </w:pPr>
      <w:r w:rsidRPr="003D4B91">
        <w:t>As it is written, the overall aim summarises the combined intent of the three EOPO; and is an improvement on the wording of the EOPO because it defines a clear change agent (‘</w:t>
      </w:r>
      <w:r w:rsidRPr="003D4B91">
        <w:rPr>
          <w:i/>
          <w:iCs/>
        </w:rPr>
        <w:t>Mekong country partners’</w:t>
      </w:r>
      <w:r w:rsidRPr="003D4B91">
        <w:t>).</w:t>
      </w:r>
    </w:p>
    <w:p w14:paraId="2589D796" w14:textId="77777777" w:rsidR="00253689" w:rsidRPr="003D4B91" w:rsidRDefault="00253689" w:rsidP="00037A46">
      <w:pPr>
        <w:pStyle w:val="ListParagraph"/>
        <w:numPr>
          <w:ilvl w:val="0"/>
          <w:numId w:val="3"/>
        </w:numPr>
        <w:ind w:left="360"/>
      </w:pPr>
      <w:r w:rsidRPr="003D4B91">
        <w:rPr>
          <w:b/>
          <w:bCs/>
          <w:lang w:val="en-US"/>
        </w:rPr>
        <w:t>Ambiguous/tentative change:</w:t>
      </w:r>
      <w:r w:rsidRPr="003D4B91">
        <w:rPr>
          <w:lang w:val="en-US"/>
        </w:rPr>
        <w:t xml:space="preserve"> in the aim, the phrases ‘</w:t>
      </w:r>
      <w:r w:rsidRPr="003D4B91">
        <w:rPr>
          <w:i/>
          <w:iCs/>
          <w:lang w:val="en-US"/>
        </w:rPr>
        <w:t>improved’</w:t>
      </w:r>
      <w:r w:rsidRPr="003D4B91">
        <w:rPr>
          <w:lang w:val="en-US"/>
        </w:rPr>
        <w:t xml:space="preserve"> and ‘</w:t>
      </w:r>
      <w:r w:rsidRPr="003D4B91">
        <w:rPr>
          <w:i/>
          <w:iCs/>
          <w:lang w:val="en-US"/>
        </w:rPr>
        <w:t>enhanced’</w:t>
      </w:r>
      <w:r w:rsidRPr="003D4B91">
        <w:rPr>
          <w:lang w:val="en-US"/>
        </w:rPr>
        <w:t xml:space="preserve"> are ambiguous and tentative from a progress measurement standpoint. Technically, even a small amount of improvement or enhancement after day 1 of implementation would constitute success in achieving the overall aim of the program (which is obviously not the intent).</w:t>
      </w:r>
    </w:p>
    <w:p w14:paraId="34206644" w14:textId="77777777" w:rsidR="00253689" w:rsidRPr="003D4B91" w:rsidRDefault="00253689" w:rsidP="00037A46">
      <w:pPr>
        <w:pStyle w:val="ListParagraph"/>
        <w:numPr>
          <w:ilvl w:val="0"/>
          <w:numId w:val="3"/>
        </w:numPr>
        <w:ind w:left="360"/>
      </w:pPr>
      <w:r w:rsidRPr="003D4B91">
        <w:t>An alternative framework would not include an overall aim; rather it would have a goal with clearly defined beneficiaries and EOPO that clearly define the performance/behaviour change that is expected among a class of counterparts/change agents during the lifetime of the investment.</w:t>
      </w:r>
    </w:p>
    <w:p w14:paraId="5A001133" w14:textId="77777777" w:rsidR="00253689" w:rsidRPr="00C66109" w:rsidRDefault="00253689" w:rsidP="00C66109">
      <w:pPr>
        <w:rPr>
          <w:rFonts w:asciiTheme="majorHAnsi" w:hAnsiTheme="majorHAnsi"/>
          <w:color w:val="124F1A" w:themeColor="accent3" w:themeShade="BF"/>
          <w:sz w:val="32"/>
          <w:szCs w:val="32"/>
          <w:lang w:val="en-US"/>
        </w:rPr>
      </w:pPr>
      <w:r w:rsidRPr="00C66109">
        <w:rPr>
          <w:rFonts w:asciiTheme="majorHAnsi" w:hAnsiTheme="majorHAnsi"/>
          <w:color w:val="124F1A" w:themeColor="accent3" w:themeShade="BF"/>
          <w:sz w:val="32"/>
          <w:szCs w:val="32"/>
          <w:lang w:val="en-US"/>
        </w:rPr>
        <w:lastRenderedPageBreak/>
        <w:t>End of Program Outcomes</w:t>
      </w:r>
    </w:p>
    <w:p w14:paraId="4FA0AAD7" w14:textId="77777777" w:rsidR="00253689" w:rsidRPr="003D4B91" w:rsidRDefault="00253689" w:rsidP="00037A46">
      <w:pPr>
        <w:pStyle w:val="ListParagraph"/>
        <w:numPr>
          <w:ilvl w:val="0"/>
          <w:numId w:val="10"/>
        </w:numPr>
      </w:pPr>
      <w:r w:rsidRPr="003D4B91">
        <w:t>An EOPO statement defines what can reasonably be expected by the end of investment.</w:t>
      </w:r>
    </w:p>
    <w:p w14:paraId="61C6E7B9" w14:textId="77777777" w:rsidR="00253689" w:rsidRPr="003D4B91" w:rsidRDefault="00253689" w:rsidP="00037A46">
      <w:pPr>
        <w:pStyle w:val="ListParagraph"/>
        <w:numPr>
          <w:ilvl w:val="1"/>
          <w:numId w:val="10"/>
        </w:numPr>
      </w:pPr>
      <w:r w:rsidRPr="003D4B91">
        <w:t>More broadly, in program theory an ‘outcome’ is a change in performance/behaviour expected among a class of counterpart/change agent.</w:t>
      </w:r>
    </w:p>
    <w:p w14:paraId="26B49A72" w14:textId="171907A9" w:rsidR="00253689" w:rsidRPr="003D4B91" w:rsidRDefault="00253689" w:rsidP="00037A46">
      <w:pPr>
        <w:pStyle w:val="ListParagraph"/>
        <w:numPr>
          <w:ilvl w:val="1"/>
          <w:numId w:val="10"/>
        </w:numPr>
      </w:pPr>
      <w:r w:rsidRPr="003D4B91">
        <w:t>The extent to which an outcome is achieved is a measure of ‘effectiveness’</w:t>
      </w:r>
      <w:r w:rsidRPr="003D4B91">
        <w:rPr>
          <w:rStyle w:val="FootnoteReference"/>
        </w:rPr>
        <w:footnoteReference w:id="52"/>
      </w:r>
      <w:r w:rsidR="00A10D79">
        <w:t>,</w:t>
      </w:r>
      <w:r w:rsidRPr="003D4B91">
        <w:t xml:space="preserve"> and whether it is expected to endure is a measure of ‘sustainability’</w:t>
      </w:r>
      <w:r w:rsidRPr="003D4B91">
        <w:rPr>
          <w:rStyle w:val="FootnoteReference"/>
        </w:rPr>
        <w:footnoteReference w:id="53"/>
      </w:r>
      <w:r w:rsidRPr="003D4B91">
        <w:t>.</w:t>
      </w:r>
    </w:p>
    <w:p w14:paraId="7995D303" w14:textId="6800B32D" w:rsidR="00253689" w:rsidRPr="003D4B91" w:rsidRDefault="00253689" w:rsidP="00037A46">
      <w:pPr>
        <w:pStyle w:val="ListParagraph"/>
        <w:numPr>
          <w:ilvl w:val="0"/>
          <w:numId w:val="10"/>
        </w:numPr>
      </w:pPr>
      <w:r w:rsidRPr="003D4B91">
        <w:t xml:space="preserve">RUCaS has three EOPO as well as a ‘cross-cutting focus’ on GEDSI which has been included in the </w:t>
      </w:r>
      <w:r w:rsidR="001A3619">
        <w:t>MEL</w:t>
      </w:r>
      <w:r w:rsidRPr="003D4B91">
        <w:t xml:space="preserve"> framework at the same level as the EOPO; therefore, it has been included in this critique.</w:t>
      </w:r>
    </w:p>
    <w:p w14:paraId="03CD24DC" w14:textId="18BDB0BB" w:rsidR="00253689" w:rsidRPr="003D4B91" w:rsidRDefault="004513F7" w:rsidP="00253689">
      <w:pPr>
        <w:pStyle w:val="Heading4"/>
        <w:rPr>
          <w:lang w:val="en-US"/>
        </w:rPr>
      </w:pPr>
      <w:r w:rsidRPr="003D4B91">
        <w:rPr>
          <w:lang w:val="en-US"/>
        </w:rPr>
        <w:t>EOPO 1</w:t>
      </w:r>
      <w:r w:rsidR="00253689" w:rsidRPr="003D4B91">
        <w:rPr>
          <w:lang w:val="en-US"/>
        </w:rPr>
        <w:t>: “The value of hybrid NbS is accepted.”</w:t>
      </w:r>
    </w:p>
    <w:p w14:paraId="700BCEAE" w14:textId="77777777" w:rsidR="00253689" w:rsidRPr="003D4B91" w:rsidRDefault="00253689" w:rsidP="00037A46">
      <w:pPr>
        <w:pStyle w:val="ListParagraph"/>
        <w:numPr>
          <w:ilvl w:val="0"/>
          <w:numId w:val="10"/>
        </w:numPr>
        <w:rPr>
          <w:lang w:val="en-US"/>
        </w:rPr>
      </w:pPr>
      <w:r w:rsidRPr="003D4B91">
        <w:rPr>
          <w:b/>
          <w:bCs/>
          <w:lang w:val="en-US"/>
        </w:rPr>
        <w:t>Ambiguous/tentative change:</w:t>
      </w:r>
      <w:r w:rsidRPr="003D4B91">
        <w:rPr>
          <w:lang w:val="en-US"/>
        </w:rPr>
        <w:t xml:space="preserve"> The expected change in this statement is ambiguous because ‘</w:t>
      </w:r>
      <w:r w:rsidRPr="003D4B91">
        <w:rPr>
          <w:i/>
          <w:iCs/>
          <w:lang w:val="en-US"/>
        </w:rPr>
        <w:t>value’</w:t>
      </w:r>
      <w:r w:rsidRPr="003D4B91">
        <w:rPr>
          <w:lang w:val="en-US"/>
        </w:rPr>
        <w:t xml:space="preserve"> and ‘</w:t>
      </w:r>
      <w:r w:rsidRPr="003D4B91">
        <w:rPr>
          <w:i/>
          <w:iCs/>
          <w:lang w:val="en-US"/>
        </w:rPr>
        <w:t>accepted’</w:t>
      </w:r>
      <w:r w:rsidRPr="003D4B91">
        <w:rPr>
          <w:lang w:val="en-US"/>
        </w:rPr>
        <w:t xml:space="preserve"> are undefined and therefore not measurable.</w:t>
      </w:r>
    </w:p>
    <w:p w14:paraId="1004E359" w14:textId="77777777" w:rsidR="00253689" w:rsidRPr="003D4B91" w:rsidRDefault="00253689" w:rsidP="00037A46">
      <w:pPr>
        <w:pStyle w:val="ListParagraph"/>
        <w:numPr>
          <w:ilvl w:val="0"/>
          <w:numId w:val="10"/>
        </w:numPr>
        <w:rPr>
          <w:lang w:val="en-US"/>
        </w:rPr>
      </w:pPr>
      <w:r w:rsidRPr="003D4B91">
        <w:rPr>
          <w:b/>
          <w:bCs/>
          <w:lang w:val="en-US"/>
        </w:rPr>
        <w:t xml:space="preserve">Undefined EOPO change agent: </w:t>
      </w:r>
      <w:r w:rsidRPr="003D4B91">
        <w:rPr>
          <w:lang w:val="en-US"/>
        </w:rPr>
        <w:t>It is unclear who will accept the value of hybrid NbS. This has practical implications for performance evaluation since the ‘evaluand’ is unspecified.</w:t>
      </w:r>
    </w:p>
    <w:p w14:paraId="269283CF" w14:textId="77777777" w:rsidR="00253689" w:rsidRPr="003D4B91" w:rsidRDefault="00253689" w:rsidP="00037A46">
      <w:pPr>
        <w:pStyle w:val="ListParagraph"/>
        <w:numPr>
          <w:ilvl w:val="0"/>
          <w:numId w:val="10"/>
        </w:numPr>
        <w:rPr>
          <w:lang w:val="en-US"/>
        </w:rPr>
      </w:pPr>
      <w:r w:rsidRPr="003D4B91">
        <w:rPr>
          <w:b/>
          <w:bCs/>
          <w:lang w:val="en-US"/>
        </w:rPr>
        <w:t xml:space="preserve">Weak causality between the EOPO and the goal: </w:t>
      </w:r>
      <w:r w:rsidRPr="003D4B91">
        <w:rPr>
          <w:lang w:val="en-US"/>
        </w:rPr>
        <w:t xml:space="preserve">Whilst ‘valuing’ NbS is an important precursor to a situation where NbS would ‘drive’ climate change adaptation, it is far from sufficient; therefore, the logical step from EOPO to goal seems implausible. Furthermore, it is difficult to measure a change in attitude such as ‘valuing’ (in a way that would meaningfully indicate progress toward reaching the goal): it would be better to measure a change in </w:t>
      </w:r>
      <w:r w:rsidRPr="003D4B91">
        <w:t>behaviour</w:t>
      </w:r>
      <w:r w:rsidRPr="003D4B91">
        <w:rPr>
          <w:lang w:val="en-US"/>
        </w:rPr>
        <w:t>/practice that might arise from a change in attitude.</w:t>
      </w:r>
    </w:p>
    <w:p w14:paraId="5DD751B2" w14:textId="77777777" w:rsidR="00253689" w:rsidRPr="003D4B91" w:rsidRDefault="00253689" w:rsidP="00037A46">
      <w:pPr>
        <w:pStyle w:val="ListParagraph"/>
        <w:numPr>
          <w:ilvl w:val="0"/>
          <w:numId w:val="10"/>
        </w:numPr>
        <w:rPr>
          <w:i/>
          <w:iCs/>
        </w:rPr>
      </w:pPr>
      <w:r w:rsidRPr="003D4B91">
        <w:rPr>
          <w:lang w:val="en-US"/>
        </w:rPr>
        <w:t xml:space="preserve">The indicator for this </w:t>
      </w:r>
      <w:proofErr w:type="gramStart"/>
      <w:r w:rsidRPr="003D4B91">
        <w:rPr>
          <w:lang w:val="en-US"/>
        </w:rPr>
        <w:t>EOPO (‘</w:t>
      </w:r>
      <w:proofErr w:type="gramEnd"/>
      <w:r w:rsidRPr="003D4B91">
        <w:rPr>
          <w:i/>
          <w:iCs/>
        </w:rPr>
        <w:t>Number and evidence of case studies with integrated GEDSI</w:t>
      </w:r>
    </w:p>
    <w:p w14:paraId="28660E08" w14:textId="77777777" w:rsidR="00253689" w:rsidRPr="003D4B91" w:rsidRDefault="00253689" w:rsidP="00253689">
      <w:pPr>
        <w:pStyle w:val="ListParagraph"/>
        <w:ind w:left="360"/>
      </w:pPr>
      <w:r w:rsidRPr="003D4B91">
        <w:rPr>
          <w:i/>
          <w:iCs/>
        </w:rPr>
        <w:t xml:space="preserve"> principles that Mekong subregion partners and like-minded partners </w:t>
      </w:r>
      <w:r w:rsidRPr="003D4B91">
        <w:rPr>
          <w:b/>
          <w:bCs/>
          <w:i/>
          <w:iCs/>
        </w:rPr>
        <w:t>have taken from concept to demonstration</w:t>
      </w:r>
      <w:r w:rsidRPr="003D4B91">
        <w:t>.’) could be the basis of a more plausible EOPO because it defines a change agent as well as what ‘valuing’ means in a measurable way. However, it does not include a definition of ‘case study’, ‘concept’ or ‘demonstration’ (</w:t>
      </w:r>
      <w:proofErr w:type="gramStart"/>
      <w:r w:rsidRPr="003D4B91">
        <w:t>in particular how</w:t>
      </w:r>
      <w:proofErr w:type="gramEnd"/>
      <w:r w:rsidRPr="003D4B91">
        <w:t xml:space="preserve"> NbS relate to these).</w:t>
      </w:r>
    </w:p>
    <w:p w14:paraId="6E34FFC0" w14:textId="2AB7364F" w:rsidR="00253689" w:rsidRPr="003D4B91" w:rsidRDefault="004513F7" w:rsidP="00253689">
      <w:pPr>
        <w:pStyle w:val="Heading4"/>
        <w:rPr>
          <w:lang w:val="en-US"/>
        </w:rPr>
      </w:pPr>
      <w:r w:rsidRPr="003D4B91">
        <w:rPr>
          <w:lang w:val="en-US"/>
        </w:rPr>
        <w:t>EOPO 2</w:t>
      </w:r>
      <w:r w:rsidR="00253689" w:rsidRPr="003D4B91">
        <w:rPr>
          <w:lang w:val="en-US"/>
        </w:rPr>
        <w:t>: “The foundations for upscaling are being put in place.”</w:t>
      </w:r>
    </w:p>
    <w:p w14:paraId="02446775" w14:textId="77777777" w:rsidR="00253689" w:rsidRPr="003D4B91" w:rsidRDefault="00253689" w:rsidP="00037A46">
      <w:pPr>
        <w:pStyle w:val="ListParagraph"/>
        <w:numPr>
          <w:ilvl w:val="0"/>
          <w:numId w:val="10"/>
        </w:numPr>
        <w:rPr>
          <w:lang w:val="en-US"/>
        </w:rPr>
      </w:pPr>
      <w:r w:rsidRPr="003D4B91">
        <w:rPr>
          <w:b/>
          <w:bCs/>
          <w:lang w:val="en-US"/>
        </w:rPr>
        <w:t>Ambiguous/tentative change:</w:t>
      </w:r>
      <w:r w:rsidRPr="003D4B91">
        <w:rPr>
          <w:lang w:val="en-US"/>
        </w:rPr>
        <w:t xml:space="preserve"> The expected change in this statement is ambiguous because ‘</w:t>
      </w:r>
      <w:r w:rsidRPr="003D4B91">
        <w:rPr>
          <w:i/>
          <w:iCs/>
          <w:lang w:val="en-US"/>
        </w:rPr>
        <w:t>foundations for upscaling’</w:t>
      </w:r>
      <w:r w:rsidRPr="003D4B91">
        <w:rPr>
          <w:lang w:val="en-US"/>
        </w:rPr>
        <w:t xml:space="preserve"> and ‘</w:t>
      </w:r>
      <w:r w:rsidRPr="003D4B91">
        <w:rPr>
          <w:i/>
          <w:iCs/>
          <w:lang w:val="en-US"/>
        </w:rPr>
        <w:t>put in place’</w:t>
      </w:r>
      <w:r w:rsidRPr="003D4B91">
        <w:rPr>
          <w:lang w:val="en-US"/>
        </w:rPr>
        <w:t xml:space="preserve"> are undefined and therefore not measurable. A subject is also missing; that is, it is unclear what exactly is being upscaled, by whom.</w:t>
      </w:r>
    </w:p>
    <w:p w14:paraId="1541ACFA" w14:textId="77777777" w:rsidR="00253689" w:rsidRPr="003D4B91" w:rsidRDefault="00253689" w:rsidP="00037A46">
      <w:pPr>
        <w:pStyle w:val="ListParagraph"/>
        <w:numPr>
          <w:ilvl w:val="0"/>
          <w:numId w:val="10"/>
        </w:numPr>
        <w:rPr>
          <w:lang w:val="en-US"/>
        </w:rPr>
      </w:pPr>
      <w:r w:rsidRPr="003D4B91">
        <w:rPr>
          <w:b/>
          <w:bCs/>
          <w:lang w:val="en-US"/>
        </w:rPr>
        <w:t xml:space="preserve">Undefined EOPO change agent: </w:t>
      </w:r>
      <w:r w:rsidRPr="003D4B91">
        <w:rPr>
          <w:lang w:val="en-US"/>
        </w:rPr>
        <w:t>It is unclear who will put the foundations for upscaling in place; hence it will not be possible to evaluate the merits of approaches to creating these ‘</w:t>
      </w:r>
      <w:proofErr w:type="gramStart"/>
      <w:r w:rsidRPr="003D4B91">
        <w:rPr>
          <w:lang w:val="en-US"/>
        </w:rPr>
        <w:t>foundations’</w:t>
      </w:r>
      <w:proofErr w:type="gramEnd"/>
      <w:r w:rsidRPr="003D4B91">
        <w:rPr>
          <w:lang w:val="en-US"/>
        </w:rPr>
        <w:t>.</w:t>
      </w:r>
    </w:p>
    <w:p w14:paraId="1395B284" w14:textId="55F4D026" w:rsidR="00253689" w:rsidRPr="003D4B91" w:rsidRDefault="00253689" w:rsidP="00037A46">
      <w:pPr>
        <w:pStyle w:val="ListParagraph"/>
        <w:numPr>
          <w:ilvl w:val="0"/>
          <w:numId w:val="10"/>
        </w:numPr>
        <w:rPr>
          <w:i/>
          <w:iCs/>
        </w:rPr>
      </w:pPr>
      <w:r w:rsidRPr="003D4B91">
        <w:rPr>
          <w:lang w:val="en-US"/>
        </w:rPr>
        <w:t xml:space="preserve">The indicator for this </w:t>
      </w:r>
      <w:r w:rsidR="005D4DED" w:rsidRPr="003D4B91">
        <w:rPr>
          <w:lang w:val="en-US"/>
        </w:rPr>
        <w:t>EOPO (</w:t>
      </w:r>
      <w:r w:rsidRPr="003D4B91">
        <w:rPr>
          <w:i/>
          <w:iCs/>
        </w:rPr>
        <w:t xml:space="preserve">Number and evidence of national and/or local-level urban climate policies, regulations, planning documents, or technical standards and tools that </w:t>
      </w:r>
      <w:r w:rsidRPr="003D4B91">
        <w:rPr>
          <w:b/>
          <w:bCs/>
          <w:i/>
          <w:iCs/>
        </w:rPr>
        <w:t>integrate NbS</w:t>
      </w:r>
      <w:r w:rsidRPr="003D4B91">
        <w:rPr>
          <w:i/>
          <w:iCs/>
        </w:rPr>
        <w:t xml:space="preserve"> </w:t>
      </w:r>
      <w:r w:rsidRPr="003D4B91">
        <w:rPr>
          <w:b/>
          <w:bCs/>
          <w:i/>
          <w:iCs/>
        </w:rPr>
        <w:t>principles supported</w:t>
      </w:r>
      <w:r w:rsidRPr="003D4B91">
        <w:rPr>
          <w:i/>
          <w:iCs/>
        </w:rPr>
        <w:t xml:space="preserve"> </w:t>
      </w:r>
      <w:r w:rsidRPr="003D4B91">
        <w:rPr>
          <w:b/>
          <w:bCs/>
          <w:i/>
          <w:iCs/>
        </w:rPr>
        <w:t xml:space="preserve">by </w:t>
      </w:r>
      <w:proofErr w:type="gramStart"/>
      <w:r w:rsidRPr="003D4B91">
        <w:rPr>
          <w:b/>
          <w:bCs/>
          <w:i/>
          <w:iCs/>
        </w:rPr>
        <w:t>RUCaS’</w:t>
      </w:r>
      <w:r w:rsidRPr="003D4B91">
        <w:t>)</w:t>
      </w:r>
      <w:proofErr w:type="gramEnd"/>
      <w:r w:rsidRPr="003D4B91">
        <w:t xml:space="preserve">, again, could be the basis of a more </w:t>
      </w:r>
      <w:r w:rsidRPr="003D4B91">
        <w:lastRenderedPageBreak/>
        <w:t xml:space="preserve">plausible EOPO. This is because it defines what ‘putting the foundations for upscaling in place’ is in a measurable way. However, there is still </w:t>
      </w:r>
      <w:proofErr w:type="gramStart"/>
      <w:r w:rsidRPr="003D4B91">
        <w:t>no</w:t>
      </w:r>
      <w:proofErr w:type="gramEnd"/>
      <w:r w:rsidRPr="003D4B91">
        <w:t xml:space="preserve"> clearly define</w:t>
      </w:r>
      <w:r w:rsidR="00A10D79">
        <w:t>d</w:t>
      </w:r>
      <w:r w:rsidRPr="003D4B91">
        <w:t xml:space="preserve"> EOPO change agent (the implementing partner—RUCaS—cannot be the EOPO change agent</w:t>
      </w:r>
      <w:r w:rsidR="00A10D79">
        <w:t xml:space="preserve">; </w:t>
      </w:r>
      <w:r w:rsidRPr="003D4B91">
        <w:t xml:space="preserve">RUCaS, as the implementation entity, can only be the actor accountable for delivering </w:t>
      </w:r>
      <w:r w:rsidRPr="003D4B91">
        <w:rPr>
          <w:i/>
          <w:iCs/>
        </w:rPr>
        <w:t>outputs</w:t>
      </w:r>
      <w:r w:rsidRPr="003D4B91">
        <w:t xml:space="preserve">). It is also unclear whether the intent is that RUCaS supports the development of these policies, regulations etc. or that RUCaS is written into these policies etc. as a supporter of NbS principles. </w:t>
      </w:r>
    </w:p>
    <w:p w14:paraId="70EE2534" w14:textId="33EDF5EF" w:rsidR="00253689" w:rsidRPr="003D4B91" w:rsidRDefault="00253689" w:rsidP="00037A46">
      <w:pPr>
        <w:pStyle w:val="ListParagraph"/>
        <w:numPr>
          <w:ilvl w:val="0"/>
          <w:numId w:val="10"/>
        </w:numPr>
        <w:rPr>
          <w:i/>
          <w:iCs/>
        </w:rPr>
      </w:pPr>
      <w:r w:rsidRPr="003D4B91">
        <w:rPr>
          <w:b/>
          <w:bCs/>
          <w:lang w:val="en-US"/>
        </w:rPr>
        <w:t>Indicator is a weak representation of the EOPO and therefore suggests weak causality between the EOPO and the goal:</w:t>
      </w:r>
      <w:r w:rsidRPr="003D4B91">
        <w:rPr>
          <w:lang w:val="en-US"/>
        </w:rPr>
        <w:t xml:space="preserve"> Establishing the foundations for upscaling NbS is a plausible precursor to the RUCaS goal. However, the indicator for </w:t>
      </w:r>
      <w:r w:rsidR="004513F7" w:rsidRPr="003D4B91">
        <w:rPr>
          <w:lang w:val="en-US"/>
        </w:rPr>
        <w:t>EOPO 2</w:t>
      </w:r>
      <w:r w:rsidRPr="003D4B91">
        <w:rPr>
          <w:lang w:val="en-US"/>
        </w:rPr>
        <w:t xml:space="preserve">—developing policies etc.—is far from sufficient for ‘putting in place the foundations for upscaling </w:t>
      </w:r>
      <w:proofErr w:type="spellStart"/>
      <w:r w:rsidRPr="003D4B91">
        <w:rPr>
          <w:lang w:val="en-US"/>
        </w:rPr>
        <w:t>NbS’</w:t>
      </w:r>
      <w:proofErr w:type="spellEnd"/>
      <w:r w:rsidRPr="003D4B91">
        <w:rPr>
          <w:lang w:val="en-US"/>
        </w:rPr>
        <w:t xml:space="preserve"> in cities in the Mekong region which would require several other important components for upscaling. Put another way, the EOPO, combined with its indicator, implies that developing policy and other tools would be sufficient for laying the foundations to scale up NbS in cities across the Mekong region to the point where climate resilience is driven by NbS, which is implausible.</w:t>
      </w:r>
    </w:p>
    <w:p w14:paraId="7B161F04" w14:textId="2BEA680B" w:rsidR="00253689" w:rsidRPr="003D4B91" w:rsidRDefault="004513F7" w:rsidP="00253689">
      <w:pPr>
        <w:pStyle w:val="Heading4"/>
        <w:rPr>
          <w:lang w:val="en-US"/>
        </w:rPr>
      </w:pPr>
      <w:r w:rsidRPr="003D4B91">
        <w:rPr>
          <w:lang w:val="en-US"/>
        </w:rPr>
        <w:t>EOPO 3</w:t>
      </w:r>
      <w:r w:rsidR="00253689" w:rsidRPr="003D4B91">
        <w:rPr>
          <w:lang w:val="en-US"/>
        </w:rPr>
        <w:t>: “Partnerships and capacity for achieving scaling are established.”</w:t>
      </w:r>
    </w:p>
    <w:p w14:paraId="1AB0E8A6" w14:textId="77777777" w:rsidR="00253689" w:rsidRPr="003D4B91" w:rsidRDefault="00253689" w:rsidP="00037A46">
      <w:pPr>
        <w:pStyle w:val="ListParagraph"/>
        <w:numPr>
          <w:ilvl w:val="0"/>
          <w:numId w:val="10"/>
        </w:numPr>
        <w:rPr>
          <w:lang w:val="en-US"/>
        </w:rPr>
      </w:pPr>
      <w:r w:rsidRPr="003D4B91">
        <w:rPr>
          <w:b/>
          <w:bCs/>
          <w:lang w:val="en-US"/>
        </w:rPr>
        <w:t xml:space="preserve">Ambiguous/tentative change: </w:t>
      </w:r>
      <w:r w:rsidRPr="003D4B91">
        <w:rPr>
          <w:lang w:val="en-US"/>
        </w:rPr>
        <w:t>It is unclear what is meant by ‘</w:t>
      </w:r>
      <w:r w:rsidRPr="003D4B91">
        <w:rPr>
          <w:i/>
          <w:iCs/>
          <w:lang w:val="en-US"/>
        </w:rPr>
        <w:t>partnerships for achieving scaling</w:t>
      </w:r>
      <w:r w:rsidRPr="003D4B91">
        <w:rPr>
          <w:lang w:val="en-US"/>
        </w:rPr>
        <w:t>’ and it is unclear what ‘</w:t>
      </w:r>
      <w:r w:rsidRPr="003D4B91">
        <w:rPr>
          <w:i/>
          <w:iCs/>
          <w:lang w:val="en-US"/>
        </w:rPr>
        <w:t>capacity</w:t>
      </w:r>
      <w:r w:rsidRPr="003D4B91">
        <w:rPr>
          <w:lang w:val="en-US"/>
        </w:rPr>
        <w:t>’ is being established. More valuable for performance measurement purposes would be to articulate the change in performance or behavior that might be discernible from an increase in ‘capacity’.</w:t>
      </w:r>
    </w:p>
    <w:p w14:paraId="0FD9D617" w14:textId="5C36168F" w:rsidR="00253689" w:rsidRPr="003D4B91" w:rsidRDefault="00253689" w:rsidP="00037A46">
      <w:pPr>
        <w:pStyle w:val="ListParagraph"/>
        <w:numPr>
          <w:ilvl w:val="0"/>
          <w:numId w:val="10"/>
        </w:numPr>
        <w:rPr>
          <w:lang w:val="en-US"/>
        </w:rPr>
      </w:pPr>
      <w:r w:rsidRPr="003D4B91">
        <w:rPr>
          <w:b/>
          <w:bCs/>
          <w:lang w:val="en-US"/>
        </w:rPr>
        <w:t xml:space="preserve">Undefined EOPO change agent: </w:t>
      </w:r>
      <w:r w:rsidRPr="003D4B91">
        <w:rPr>
          <w:lang w:val="en-US"/>
        </w:rPr>
        <w:t>It is unclear who will form partnerships with whom and whose capacity will be established. Unlike for the other EOPO</w:t>
      </w:r>
      <w:r w:rsidR="00A10D79">
        <w:rPr>
          <w:lang w:val="en-US"/>
        </w:rPr>
        <w:t xml:space="preserve"> (</w:t>
      </w:r>
      <w:r w:rsidRPr="003D4B91">
        <w:rPr>
          <w:lang w:val="en-US"/>
        </w:rPr>
        <w:t>where the implied change agent can be deduced with some confidence</w:t>
      </w:r>
      <w:r w:rsidR="00A10D79">
        <w:rPr>
          <w:lang w:val="en-US"/>
        </w:rPr>
        <w:t>)</w:t>
      </w:r>
      <w:r w:rsidRPr="003D4B91">
        <w:rPr>
          <w:lang w:val="en-US"/>
        </w:rPr>
        <w:t>, it is unclear</w:t>
      </w:r>
      <w:r w:rsidR="00A10D79" w:rsidRPr="00A10D79">
        <w:rPr>
          <w:lang w:val="en-US"/>
        </w:rPr>
        <w:t xml:space="preserve"> </w:t>
      </w:r>
      <w:r w:rsidR="00A10D79" w:rsidRPr="003D4B91">
        <w:rPr>
          <w:lang w:val="en-US"/>
        </w:rPr>
        <w:t>in the case of EOPO 3</w:t>
      </w:r>
      <w:r w:rsidRPr="003D4B91">
        <w:rPr>
          <w:lang w:val="en-US"/>
        </w:rPr>
        <w:t xml:space="preserve"> whether partnerships are between Mekong partners or between Mekong partners and the RUCaS implementing team. Whilst it is inappropriate for an implementing team to be written into an EOPO (because this compromises sustainability of the outcome), it appeared that this EOPO did indeed mean partnerships between the Mekong partners and the RUCaS implementing team (see </w:t>
      </w:r>
      <w:proofErr w:type="spellStart"/>
      <w:r w:rsidRPr="003D4B91">
        <w:rPr>
          <w:lang w:val="en-US"/>
        </w:rPr>
        <w:t>RUCaS_MTR</w:t>
      </w:r>
      <w:proofErr w:type="spellEnd"/>
      <w:r w:rsidRPr="003D4B91">
        <w:rPr>
          <w:lang w:val="en-US"/>
        </w:rPr>
        <w:t xml:space="preserve"> report - May-Oct2025). </w:t>
      </w:r>
    </w:p>
    <w:p w14:paraId="32F6E328" w14:textId="2A77D945" w:rsidR="00253689" w:rsidRPr="003D4B91" w:rsidRDefault="00253689" w:rsidP="00037A46">
      <w:pPr>
        <w:pStyle w:val="ListParagraph"/>
        <w:numPr>
          <w:ilvl w:val="0"/>
          <w:numId w:val="10"/>
        </w:numPr>
        <w:rPr>
          <w:lang w:val="en-US"/>
        </w:rPr>
      </w:pPr>
      <w:r w:rsidRPr="003D4B91">
        <w:rPr>
          <w:b/>
          <w:bCs/>
          <w:lang w:val="en-US"/>
        </w:rPr>
        <w:t>Redundancy/circularity in the overall logic:</w:t>
      </w:r>
      <w:r w:rsidRPr="003D4B91">
        <w:rPr>
          <w:lang w:val="en-US"/>
        </w:rPr>
        <w:t xml:space="preserve"> </w:t>
      </w:r>
      <w:r w:rsidR="004513F7" w:rsidRPr="003D4B91">
        <w:rPr>
          <w:lang w:val="en-US"/>
        </w:rPr>
        <w:t>EOPO 2</w:t>
      </w:r>
      <w:r w:rsidRPr="003D4B91">
        <w:rPr>
          <w:lang w:val="en-US"/>
        </w:rPr>
        <w:t xml:space="preserve"> is about the ‘foundations for scaling’ and </w:t>
      </w:r>
      <w:r w:rsidR="004513F7" w:rsidRPr="003D4B91">
        <w:rPr>
          <w:lang w:val="en-US"/>
        </w:rPr>
        <w:t>EOPO 3</w:t>
      </w:r>
      <w:r w:rsidRPr="003D4B91">
        <w:rPr>
          <w:lang w:val="en-US"/>
        </w:rPr>
        <w:t xml:space="preserve"> is, similarly, about working towards ‘scaling’, so it is illogical that these two EOPO exist at the same level in the logic. </w:t>
      </w:r>
    </w:p>
    <w:p w14:paraId="44755537" w14:textId="446B420C" w:rsidR="00253689" w:rsidRPr="003D4B91" w:rsidRDefault="00253689" w:rsidP="00037A46">
      <w:pPr>
        <w:pStyle w:val="ListParagraph"/>
        <w:numPr>
          <w:ilvl w:val="0"/>
          <w:numId w:val="10"/>
        </w:numPr>
        <w:rPr>
          <w:lang w:val="en-US"/>
        </w:rPr>
      </w:pPr>
      <w:r w:rsidRPr="003D4B91">
        <w:rPr>
          <w:lang w:val="en-US"/>
        </w:rPr>
        <w:t xml:space="preserve">The indicator for this EOPO </w:t>
      </w:r>
      <w:r w:rsidR="005D4DED">
        <w:rPr>
          <w:lang w:val="en-US"/>
        </w:rPr>
        <w:t xml:space="preserve">is </w:t>
      </w:r>
      <w:r w:rsidR="005D4DED" w:rsidRPr="003D4B91">
        <w:rPr>
          <w:lang w:val="en-US"/>
        </w:rPr>
        <w:t>(</w:t>
      </w:r>
      <w:r w:rsidRPr="003D4B91">
        <w:rPr>
          <w:i/>
          <w:iCs/>
        </w:rPr>
        <w:t xml:space="preserve">Evidence of </w:t>
      </w:r>
      <w:r w:rsidRPr="003D4B91">
        <w:rPr>
          <w:b/>
          <w:bCs/>
          <w:i/>
          <w:iCs/>
        </w:rPr>
        <w:t>established, inclusive</w:t>
      </w:r>
      <w:r w:rsidRPr="003D4B91">
        <w:rPr>
          <w:i/>
          <w:iCs/>
        </w:rPr>
        <w:t xml:space="preserve"> </w:t>
      </w:r>
      <w:r w:rsidRPr="003D4B91">
        <w:rPr>
          <w:b/>
          <w:bCs/>
          <w:i/>
          <w:iCs/>
        </w:rPr>
        <w:t>cohort of NbS</w:t>
      </w:r>
      <w:r w:rsidRPr="003D4B91">
        <w:rPr>
          <w:i/>
          <w:iCs/>
        </w:rPr>
        <w:t xml:space="preserve"> </w:t>
      </w:r>
      <w:r w:rsidRPr="003D4B91">
        <w:rPr>
          <w:b/>
          <w:bCs/>
          <w:i/>
          <w:iCs/>
        </w:rPr>
        <w:t xml:space="preserve">champions </w:t>
      </w:r>
      <w:r w:rsidRPr="003D4B91">
        <w:rPr>
          <w:i/>
          <w:iCs/>
        </w:rPr>
        <w:t xml:space="preserve">that is </w:t>
      </w:r>
      <w:r w:rsidRPr="003D4B91">
        <w:rPr>
          <w:b/>
          <w:bCs/>
          <w:i/>
          <w:iCs/>
        </w:rPr>
        <w:t xml:space="preserve">maintained </w:t>
      </w:r>
      <w:r w:rsidRPr="003D4B91">
        <w:rPr>
          <w:i/>
          <w:iCs/>
        </w:rPr>
        <w:t xml:space="preserve">and </w:t>
      </w:r>
      <w:r w:rsidRPr="003D4B91">
        <w:rPr>
          <w:b/>
          <w:bCs/>
          <w:i/>
          <w:iCs/>
        </w:rPr>
        <w:t>linked</w:t>
      </w:r>
      <w:r w:rsidRPr="003D4B91">
        <w:rPr>
          <w:i/>
          <w:iCs/>
        </w:rPr>
        <w:t xml:space="preserve"> </w:t>
      </w:r>
      <w:r w:rsidRPr="003D4B91">
        <w:rPr>
          <w:b/>
          <w:bCs/>
          <w:i/>
          <w:iCs/>
        </w:rPr>
        <w:t xml:space="preserve">to networks </w:t>
      </w:r>
      <w:r w:rsidRPr="003D4B91">
        <w:rPr>
          <w:i/>
          <w:iCs/>
        </w:rPr>
        <w:t>across the Mekong to promote and collaborate on hybrid NbS.’</w:t>
      </w:r>
      <w:r w:rsidRPr="003D4B91">
        <w:t>) Again, the strengths of this indicator are that it defines a clear (and appropriate) change agent; however, the expected change is vague in that ‘established’, ‘maintained’, ‘networks’, ‘linked’ and ‘collaborate’ are all undefined and hence are challenging to verify.</w:t>
      </w:r>
    </w:p>
    <w:p w14:paraId="6452F718" w14:textId="77777777" w:rsidR="00253689" w:rsidRPr="003D4B91" w:rsidRDefault="00253689" w:rsidP="00253689">
      <w:pPr>
        <w:pStyle w:val="Heading4"/>
        <w:rPr>
          <w:lang w:val="en-US"/>
        </w:rPr>
      </w:pPr>
      <w:r w:rsidRPr="003D4B91">
        <w:rPr>
          <w:lang w:val="en-US"/>
        </w:rPr>
        <w:t>The GEDSI cross-cutting focus is that: “GEDSI principles are demonstrated and embedded in the program implementation.”</w:t>
      </w:r>
    </w:p>
    <w:p w14:paraId="5DDE44EF" w14:textId="23F8CBD6" w:rsidR="00253689" w:rsidRPr="003D4B91" w:rsidRDefault="00253689" w:rsidP="00037A46">
      <w:pPr>
        <w:pStyle w:val="ListParagraph"/>
        <w:numPr>
          <w:ilvl w:val="0"/>
          <w:numId w:val="10"/>
        </w:numPr>
        <w:rPr>
          <w:lang w:val="en-US"/>
        </w:rPr>
      </w:pPr>
      <w:r w:rsidRPr="003D4B91">
        <w:rPr>
          <w:b/>
          <w:bCs/>
          <w:lang w:val="en-US"/>
        </w:rPr>
        <w:t xml:space="preserve">Weak causality between the EOPO and the goal: </w:t>
      </w:r>
      <w:r w:rsidRPr="003D4B91">
        <w:rPr>
          <w:lang w:val="en-US"/>
        </w:rPr>
        <w:t xml:space="preserve">This EOPO is </w:t>
      </w:r>
      <w:r w:rsidR="003349AE">
        <w:rPr>
          <w:lang w:val="en-US"/>
        </w:rPr>
        <w:t>focused</w:t>
      </w:r>
      <w:r w:rsidRPr="003D4B91">
        <w:rPr>
          <w:lang w:val="en-US"/>
        </w:rPr>
        <w:t xml:space="preserve"> on a change in the </w:t>
      </w:r>
      <w:r w:rsidRPr="003D4B91">
        <w:rPr>
          <w:i/>
          <w:iCs/>
          <w:lang w:val="en-US"/>
        </w:rPr>
        <w:t>program implementation</w:t>
      </w:r>
      <w:r w:rsidRPr="003D4B91">
        <w:rPr>
          <w:lang w:val="en-US"/>
        </w:rPr>
        <w:t xml:space="preserve">, which means that it is better placed at the level of ‘output’ in the MEL Framework. An EOPO should define an expected change in behavior or performance by a change agent (which should not be part of the implementing team) and contribute to progress towards the goal. As written, there are several necessary steps missing between ‘inclusive program implementation’ and the goal (which does not reference inclusivity, but it </w:t>
      </w:r>
      <w:r w:rsidRPr="003D4B91">
        <w:rPr>
          <w:lang w:val="en-US"/>
        </w:rPr>
        <w:lastRenderedPageBreak/>
        <w:t xml:space="preserve">can be assumed that ‘cities’ includes all people, including those who are typically </w:t>
      </w:r>
      <w:proofErr w:type="spellStart"/>
      <w:r w:rsidRPr="003D4B91">
        <w:rPr>
          <w:lang w:val="en-US"/>
        </w:rPr>
        <w:t>marginalised</w:t>
      </w:r>
      <w:proofErr w:type="spellEnd"/>
      <w:r w:rsidRPr="003D4B91">
        <w:rPr>
          <w:lang w:val="en-US"/>
        </w:rPr>
        <w:t>.)</w:t>
      </w:r>
    </w:p>
    <w:p w14:paraId="33077046" w14:textId="77777777" w:rsidR="00253689" w:rsidRPr="003D4B91" w:rsidRDefault="00253689" w:rsidP="00037A46">
      <w:pPr>
        <w:pStyle w:val="ListParagraph"/>
        <w:numPr>
          <w:ilvl w:val="0"/>
          <w:numId w:val="10"/>
        </w:numPr>
        <w:rPr>
          <w:lang w:val="en-US"/>
        </w:rPr>
      </w:pPr>
      <w:r w:rsidRPr="003D4B91">
        <w:rPr>
          <w:b/>
          <w:bCs/>
          <w:lang w:val="en-US"/>
        </w:rPr>
        <w:t xml:space="preserve">Undefined EOPO change agent: </w:t>
      </w:r>
      <w:r w:rsidRPr="003D4B91">
        <w:rPr>
          <w:lang w:val="en-US"/>
        </w:rPr>
        <w:t>It is unclear who is responsible for ensuring that GEDSI principles are demonstrated etc.</w:t>
      </w:r>
    </w:p>
    <w:p w14:paraId="3F6AF30A" w14:textId="1AB097A1" w:rsidR="00253689" w:rsidRPr="003D4B91" w:rsidRDefault="00253689" w:rsidP="00037A46">
      <w:pPr>
        <w:pStyle w:val="ListParagraph"/>
        <w:numPr>
          <w:ilvl w:val="0"/>
          <w:numId w:val="10"/>
        </w:numPr>
        <w:rPr>
          <w:lang w:val="en-US"/>
        </w:rPr>
      </w:pPr>
      <w:r w:rsidRPr="003D4B91">
        <w:rPr>
          <w:lang w:val="en-US"/>
        </w:rPr>
        <w:t>The indicator for this cross-cutting focus (</w:t>
      </w:r>
      <w:r w:rsidRPr="003D4B91">
        <w:rPr>
          <w:i/>
          <w:iCs/>
        </w:rPr>
        <w:t>‘Evidence that GEDSI principles are embedded across case studies, pilots, and policy processes in all countries, demonstrating influence on decision-making and inclusive design outcomes.’</w:t>
      </w:r>
      <w:r w:rsidRPr="003D4B91">
        <w:t xml:space="preserve">) clearly defines which aspects of program implementation are the target; that is, ‘case studies, pilots and policy processes’ which makes it easier to measure. However, expecting to see GEDSI principles embedded in ‘policy processes’ is implausible without defining which policy processes (depending </w:t>
      </w:r>
      <w:proofErr w:type="gramStart"/>
      <w:r w:rsidRPr="003D4B91">
        <w:t>on the subject of the</w:t>
      </w:r>
      <w:proofErr w:type="gramEnd"/>
      <w:r w:rsidRPr="003D4B91">
        <w:t xml:space="preserve"> policies and the level at which they apply, this could be well beyond the capability of RUCaS). ‘Demonstrating influence on decision-making’ also needs further clarification; that is, who is doing the influencing on </w:t>
      </w:r>
      <w:proofErr w:type="gramStart"/>
      <w:r w:rsidRPr="003D4B91">
        <w:t>whose</w:t>
      </w:r>
      <w:proofErr w:type="gramEnd"/>
      <w:r w:rsidRPr="003D4B91">
        <w:t xml:space="preserve"> decision-making and about what.</w:t>
      </w:r>
    </w:p>
    <w:p w14:paraId="04FA96A9" w14:textId="77777777" w:rsidR="00253689" w:rsidRPr="00C66109" w:rsidRDefault="00253689" w:rsidP="00C66109">
      <w:pPr>
        <w:rPr>
          <w:rFonts w:asciiTheme="majorHAnsi" w:hAnsiTheme="majorHAnsi"/>
          <w:color w:val="124F1A" w:themeColor="accent3" w:themeShade="BF"/>
          <w:sz w:val="32"/>
          <w:szCs w:val="32"/>
          <w:lang w:val="en-US"/>
        </w:rPr>
      </w:pPr>
      <w:r w:rsidRPr="00C66109">
        <w:rPr>
          <w:rFonts w:asciiTheme="majorHAnsi" w:hAnsiTheme="majorHAnsi"/>
          <w:color w:val="124F1A" w:themeColor="accent3" w:themeShade="BF"/>
          <w:sz w:val="32"/>
          <w:szCs w:val="32"/>
          <w:lang w:val="en-US"/>
        </w:rPr>
        <w:t>Intermediate Outcomes</w:t>
      </w:r>
    </w:p>
    <w:p w14:paraId="1C728493" w14:textId="77777777" w:rsidR="00253689" w:rsidRPr="003D4B91" w:rsidRDefault="00253689" w:rsidP="00037A46">
      <w:pPr>
        <w:pStyle w:val="ListParagraph"/>
        <w:numPr>
          <w:ilvl w:val="0"/>
          <w:numId w:val="10"/>
        </w:numPr>
        <w:rPr>
          <w:lang w:val="en-US"/>
        </w:rPr>
      </w:pPr>
      <w:r w:rsidRPr="003D4B91">
        <w:rPr>
          <w:lang w:val="en-US"/>
        </w:rPr>
        <w:t xml:space="preserve">For some designs it is appropriate/useful to introduce Intermediate Outcomes (IO) that either specify the role of a </w:t>
      </w:r>
      <w:r w:rsidRPr="003D4B91">
        <w:rPr>
          <w:i/>
          <w:iCs/>
          <w:lang w:val="en-US"/>
        </w:rPr>
        <w:t>different</w:t>
      </w:r>
      <w:r w:rsidRPr="003D4B91">
        <w:rPr>
          <w:lang w:val="en-US"/>
        </w:rPr>
        <w:t xml:space="preserve"> class of actor who operates between the implementing team (Outputs) and change agents (EOPO); or sometimes to articulate an intermediary change in </w:t>
      </w:r>
      <w:proofErr w:type="spellStart"/>
      <w:r w:rsidRPr="003D4B91">
        <w:rPr>
          <w:lang w:val="en-US"/>
        </w:rPr>
        <w:t>behaviour</w:t>
      </w:r>
      <w:proofErr w:type="spellEnd"/>
      <w:r w:rsidRPr="003D4B91">
        <w:rPr>
          <w:lang w:val="en-US"/>
        </w:rPr>
        <w:t xml:space="preserve"> of the change agent as a precursor to the behavior specified in the EOPO. </w:t>
      </w:r>
    </w:p>
    <w:p w14:paraId="7054B133" w14:textId="13D781B7" w:rsidR="00253689" w:rsidRPr="003D4B91" w:rsidRDefault="00253689" w:rsidP="00037A46">
      <w:pPr>
        <w:pStyle w:val="ListParagraph"/>
        <w:numPr>
          <w:ilvl w:val="0"/>
          <w:numId w:val="10"/>
        </w:numPr>
        <w:rPr>
          <w:lang w:val="en-US"/>
        </w:rPr>
      </w:pPr>
      <w:r w:rsidRPr="003D4B91">
        <w:rPr>
          <w:lang w:val="en-US"/>
        </w:rPr>
        <w:t xml:space="preserve">For RUCaS, three IO have been defined; one for each of the EOPO. There is also an ‘expected change’ for GEDSI at the same level of IO in the </w:t>
      </w:r>
      <w:r w:rsidR="001A3619">
        <w:rPr>
          <w:lang w:val="en-US"/>
        </w:rPr>
        <w:t>MEL</w:t>
      </w:r>
      <w:r w:rsidRPr="003D4B91">
        <w:rPr>
          <w:lang w:val="en-US"/>
        </w:rPr>
        <w:t xml:space="preserve"> Framework which has been included in this critique.</w:t>
      </w:r>
    </w:p>
    <w:p w14:paraId="7C1EDB66" w14:textId="03ECCF76" w:rsidR="00253689" w:rsidRPr="003D4B91" w:rsidRDefault="004513F7" w:rsidP="00253689">
      <w:pPr>
        <w:pStyle w:val="Heading4"/>
        <w:rPr>
          <w:lang w:val="en-US"/>
        </w:rPr>
      </w:pPr>
      <w:r w:rsidRPr="003D4B91">
        <w:rPr>
          <w:lang w:val="en-US"/>
        </w:rPr>
        <w:t>IO 1</w:t>
      </w:r>
      <w:r w:rsidR="00253689" w:rsidRPr="003D4B91">
        <w:rPr>
          <w:lang w:val="en-US"/>
        </w:rPr>
        <w:t>: “Mekong subregion partners buy in to the value of hybrid NbS in strengthening economic, social, and environmental resilience.”</w:t>
      </w:r>
    </w:p>
    <w:p w14:paraId="46D3CB38" w14:textId="03B5A886" w:rsidR="00253689" w:rsidRPr="003D4B91" w:rsidRDefault="004513F7" w:rsidP="00037A46">
      <w:pPr>
        <w:pStyle w:val="ListParagraph"/>
        <w:numPr>
          <w:ilvl w:val="0"/>
          <w:numId w:val="10"/>
        </w:numPr>
        <w:rPr>
          <w:lang w:val="en-US"/>
        </w:rPr>
      </w:pPr>
      <w:r w:rsidRPr="003D4B91">
        <w:rPr>
          <w:lang w:val="en-US"/>
        </w:rPr>
        <w:t>IO 1</w:t>
      </w:r>
      <w:r w:rsidR="00253689" w:rsidRPr="003D4B91">
        <w:rPr>
          <w:lang w:val="en-US"/>
        </w:rPr>
        <w:t xml:space="preserve"> appropriately identifies the change agent. However, the indicator for </w:t>
      </w:r>
      <w:r w:rsidRPr="003D4B91">
        <w:rPr>
          <w:lang w:val="en-US"/>
        </w:rPr>
        <w:t>IO 1</w:t>
      </w:r>
      <w:r w:rsidR="00253689" w:rsidRPr="003D4B91">
        <w:rPr>
          <w:lang w:val="en-US"/>
        </w:rPr>
        <w:t xml:space="preserve"> does not clearly define the change agent: that is, it suggests that case studies are carried out (without defining by whom, but presumably the RUCaS implementing team) with guidance from the Mekong subregion partners. The indicator does not clearly represent </w:t>
      </w:r>
      <w:r w:rsidRPr="003D4B91">
        <w:rPr>
          <w:lang w:val="en-US"/>
        </w:rPr>
        <w:t>IO 1</w:t>
      </w:r>
      <w:r w:rsidR="000359F0">
        <w:rPr>
          <w:lang w:val="en-US"/>
        </w:rPr>
        <w:t>,</w:t>
      </w:r>
      <w:r w:rsidR="00253689" w:rsidRPr="003D4B91">
        <w:rPr>
          <w:lang w:val="en-US"/>
        </w:rPr>
        <w:t xml:space="preserve"> and the confusion of which actors are responsible for what change/end-state makes both measuring progress as well as </w:t>
      </w:r>
      <w:r w:rsidR="00204C74" w:rsidRPr="003D4B91">
        <w:rPr>
          <w:lang w:val="en-US"/>
        </w:rPr>
        <w:t>implementation</w:t>
      </w:r>
      <w:r w:rsidR="00253689" w:rsidRPr="003D4B91">
        <w:rPr>
          <w:lang w:val="en-US"/>
        </w:rPr>
        <w:t xml:space="preserve"> difficult.</w:t>
      </w:r>
    </w:p>
    <w:p w14:paraId="4628043A" w14:textId="42B38DEC" w:rsidR="00253689" w:rsidRPr="003D4B91" w:rsidRDefault="00253689" w:rsidP="00037A46">
      <w:pPr>
        <w:pStyle w:val="ListParagraph"/>
        <w:numPr>
          <w:ilvl w:val="0"/>
          <w:numId w:val="10"/>
        </w:numPr>
        <w:rPr>
          <w:lang w:val="en-US"/>
        </w:rPr>
      </w:pPr>
      <w:r w:rsidRPr="003D4B91">
        <w:rPr>
          <w:b/>
          <w:bCs/>
          <w:lang w:val="en-US"/>
        </w:rPr>
        <w:t xml:space="preserve">Ambiguous change: </w:t>
      </w:r>
      <w:r w:rsidR="005D4DED" w:rsidRPr="003D4B91">
        <w:rPr>
          <w:lang w:val="en-US"/>
        </w:rPr>
        <w:t xml:space="preserve">However, </w:t>
      </w:r>
      <w:r w:rsidRPr="003D4B91">
        <w:rPr>
          <w:lang w:val="en-US"/>
        </w:rPr>
        <w:t>buy in’ is not defined and therefore measurement of progress toward this IO is not possible.</w:t>
      </w:r>
    </w:p>
    <w:p w14:paraId="0836F998" w14:textId="787DB071" w:rsidR="00253689" w:rsidRPr="003D4B91" w:rsidRDefault="00253689" w:rsidP="00037A46">
      <w:pPr>
        <w:pStyle w:val="ListParagraph"/>
        <w:numPr>
          <w:ilvl w:val="0"/>
          <w:numId w:val="10"/>
        </w:numPr>
        <w:rPr>
          <w:lang w:val="en-US"/>
        </w:rPr>
      </w:pPr>
      <w:r w:rsidRPr="003D4B91">
        <w:rPr>
          <w:b/>
          <w:bCs/>
          <w:lang w:val="en-US"/>
        </w:rPr>
        <w:t xml:space="preserve">Redundancy in the logic: </w:t>
      </w:r>
      <w:r w:rsidR="004513F7" w:rsidRPr="003D4B91">
        <w:rPr>
          <w:lang w:val="en-US"/>
        </w:rPr>
        <w:t>IO 1</w:t>
      </w:r>
      <w:r w:rsidRPr="003D4B91">
        <w:rPr>
          <w:lang w:val="en-US"/>
        </w:rPr>
        <w:t xml:space="preserve"> should precede </w:t>
      </w:r>
      <w:r w:rsidR="004513F7" w:rsidRPr="003D4B91">
        <w:rPr>
          <w:lang w:val="en-US"/>
        </w:rPr>
        <w:t>EOPO 1</w:t>
      </w:r>
      <w:r w:rsidRPr="003D4B91">
        <w:rPr>
          <w:lang w:val="en-US"/>
        </w:rPr>
        <w:t xml:space="preserve">, but it is not logical that Mekong subregion partners would ‘buy in’ to NbS before they ‘value it’. </w:t>
      </w:r>
    </w:p>
    <w:p w14:paraId="4011EB80" w14:textId="7820403D" w:rsidR="00253689" w:rsidRPr="003D4B91" w:rsidRDefault="004513F7" w:rsidP="00253689">
      <w:pPr>
        <w:pStyle w:val="Heading4"/>
        <w:rPr>
          <w:lang w:val="en-US"/>
        </w:rPr>
      </w:pPr>
      <w:r w:rsidRPr="003D4B91">
        <w:rPr>
          <w:lang w:val="en-US"/>
        </w:rPr>
        <w:t>IO 2</w:t>
      </w:r>
      <w:r w:rsidR="00253689" w:rsidRPr="003D4B91">
        <w:rPr>
          <w:lang w:val="en-US"/>
        </w:rPr>
        <w:t>: “Mekong authorities and partners consider hybrid NbS in policies, regulations, and technical guidance and tools for climate change adaptation.”</w:t>
      </w:r>
    </w:p>
    <w:p w14:paraId="0A845895" w14:textId="187DFEA9" w:rsidR="00253689" w:rsidRPr="003D4B91" w:rsidRDefault="004513F7" w:rsidP="00037A46">
      <w:pPr>
        <w:pStyle w:val="ListParagraph"/>
        <w:numPr>
          <w:ilvl w:val="0"/>
          <w:numId w:val="10"/>
        </w:numPr>
        <w:rPr>
          <w:lang w:val="en-US"/>
        </w:rPr>
      </w:pPr>
      <w:r w:rsidRPr="003D4B91">
        <w:rPr>
          <w:lang w:val="en-US"/>
        </w:rPr>
        <w:t>IO 2</w:t>
      </w:r>
      <w:r w:rsidR="00253689" w:rsidRPr="003D4B91">
        <w:rPr>
          <w:lang w:val="en-US"/>
        </w:rPr>
        <w:t xml:space="preserve"> appropriately identifies the change agent.</w:t>
      </w:r>
    </w:p>
    <w:p w14:paraId="1246FFC2" w14:textId="458A4193" w:rsidR="00253689" w:rsidRPr="003D4B91" w:rsidRDefault="00253689" w:rsidP="00037A46">
      <w:pPr>
        <w:pStyle w:val="ListParagraph"/>
        <w:numPr>
          <w:ilvl w:val="0"/>
          <w:numId w:val="10"/>
        </w:numPr>
        <w:rPr>
          <w:lang w:val="en-US"/>
        </w:rPr>
      </w:pPr>
      <w:r w:rsidRPr="003D4B91">
        <w:rPr>
          <w:b/>
          <w:bCs/>
          <w:lang w:val="en-US"/>
        </w:rPr>
        <w:t xml:space="preserve">Ambiguous change: </w:t>
      </w:r>
      <w:r w:rsidR="005D4DED" w:rsidRPr="003D4B91">
        <w:rPr>
          <w:lang w:val="en-US"/>
        </w:rPr>
        <w:t xml:space="preserve">However, </w:t>
      </w:r>
      <w:r w:rsidRPr="003D4B91">
        <w:rPr>
          <w:lang w:val="en-US"/>
        </w:rPr>
        <w:t>consider’ is not defined and therefore measurement of progress toward this IO is not possible.</w:t>
      </w:r>
    </w:p>
    <w:p w14:paraId="48CE6EB9" w14:textId="603AA2D3" w:rsidR="00253689" w:rsidRPr="003D4B91" w:rsidRDefault="004513F7" w:rsidP="00037A46">
      <w:pPr>
        <w:pStyle w:val="ListParagraph"/>
        <w:numPr>
          <w:ilvl w:val="0"/>
          <w:numId w:val="10"/>
        </w:numPr>
        <w:rPr>
          <w:lang w:val="en-US"/>
        </w:rPr>
      </w:pPr>
      <w:r w:rsidRPr="003D4B91">
        <w:rPr>
          <w:lang w:val="en-US"/>
        </w:rPr>
        <w:t>IO 2</w:t>
      </w:r>
      <w:r w:rsidR="00253689" w:rsidRPr="003D4B91">
        <w:rPr>
          <w:lang w:val="en-US"/>
        </w:rPr>
        <w:t xml:space="preserve"> logically precedes the </w:t>
      </w:r>
      <w:r w:rsidR="00253689" w:rsidRPr="003D4B91">
        <w:rPr>
          <w:i/>
          <w:iCs/>
          <w:lang w:val="en-US"/>
        </w:rPr>
        <w:t>indicator</w:t>
      </w:r>
      <w:r w:rsidR="00253689" w:rsidRPr="003D4B91">
        <w:rPr>
          <w:lang w:val="en-US"/>
        </w:rPr>
        <w:t xml:space="preserve"> for </w:t>
      </w:r>
      <w:r w:rsidRPr="003D4B91">
        <w:rPr>
          <w:lang w:val="en-US"/>
        </w:rPr>
        <w:t>EOPO 2</w:t>
      </w:r>
      <w:r w:rsidR="00253689" w:rsidRPr="003D4B91">
        <w:rPr>
          <w:lang w:val="en-US"/>
        </w:rPr>
        <w:t>, which is positive, but as discussed above, considering and having policies etc. is a necessary but insufficient component of the foundations for upscaling (</w:t>
      </w:r>
      <w:r w:rsidRPr="003D4B91">
        <w:rPr>
          <w:lang w:val="en-US"/>
        </w:rPr>
        <w:t>EOPO 2</w:t>
      </w:r>
      <w:r w:rsidR="00253689" w:rsidRPr="003D4B91">
        <w:rPr>
          <w:lang w:val="en-US"/>
        </w:rPr>
        <w:t>).</w:t>
      </w:r>
    </w:p>
    <w:p w14:paraId="327A805B" w14:textId="1AD5764A" w:rsidR="00253689" w:rsidRPr="003D4B91" w:rsidRDefault="004513F7" w:rsidP="00253689">
      <w:pPr>
        <w:pStyle w:val="Heading4"/>
        <w:rPr>
          <w:lang w:val="en-US"/>
        </w:rPr>
      </w:pPr>
      <w:r w:rsidRPr="003D4B91">
        <w:rPr>
          <w:lang w:val="en-US"/>
        </w:rPr>
        <w:lastRenderedPageBreak/>
        <w:t>IO 3</w:t>
      </w:r>
      <w:r w:rsidR="00253689" w:rsidRPr="003D4B91">
        <w:rPr>
          <w:lang w:val="en-US"/>
        </w:rPr>
        <w:t>: “Inclusive cohort of NbS champions established to promote hybrid NbS. Evidence of strengthened capacity within an inclusive cohort of NbS champions to achieve NbS scaling.”</w:t>
      </w:r>
    </w:p>
    <w:p w14:paraId="209AF209" w14:textId="3102059C" w:rsidR="00253689" w:rsidRPr="003D4B91" w:rsidRDefault="004513F7" w:rsidP="00037A46">
      <w:pPr>
        <w:pStyle w:val="ListParagraph"/>
        <w:numPr>
          <w:ilvl w:val="0"/>
          <w:numId w:val="10"/>
        </w:numPr>
        <w:rPr>
          <w:lang w:val="en-US"/>
        </w:rPr>
      </w:pPr>
      <w:r w:rsidRPr="003D4B91">
        <w:rPr>
          <w:lang w:val="en-US"/>
        </w:rPr>
        <w:t>IO 3</w:t>
      </w:r>
      <w:r w:rsidR="00253689" w:rsidRPr="003D4B91">
        <w:rPr>
          <w:lang w:val="en-US"/>
        </w:rPr>
        <w:t xml:space="preserve"> identifies the change agent; however, this could be improved by defining what ‘inclusive’ means in this context as well as what defines an ‘NbS champion’.</w:t>
      </w:r>
    </w:p>
    <w:p w14:paraId="734407FA" w14:textId="2951F8D9" w:rsidR="00253689" w:rsidRPr="003D4B91" w:rsidRDefault="00253689" w:rsidP="00037A46">
      <w:pPr>
        <w:pStyle w:val="ListParagraph"/>
        <w:numPr>
          <w:ilvl w:val="0"/>
          <w:numId w:val="10"/>
        </w:numPr>
        <w:rPr>
          <w:lang w:val="en-US"/>
        </w:rPr>
      </w:pPr>
      <w:r w:rsidRPr="003D4B91">
        <w:rPr>
          <w:b/>
          <w:bCs/>
          <w:lang w:val="en-US"/>
        </w:rPr>
        <w:t>Combines different changes/end-states:</w:t>
      </w:r>
      <w:r w:rsidRPr="003D4B91">
        <w:rPr>
          <w:lang w:val="en-US"/>
        </w:rPr>
        <w:t xml:space="preserve"> </w:t>
      </w:r>
      <w:r w:rsidR="004513F7" w:rsidRPr="003D4B91">
        <w:rPr>
          <w:lang w:val="en-US"/>
        </w:rPr>
        <w:t>IO 3</w:t>
      </w:r>
      <w:r w:rsidRPr="003D4B91">
        <w:rPr>
          <w:lang w:val="en-US"/>
        </w:rPr>
        <w:t xml:space="preserve"> calls for two end-states: 1) the establishment of a cohort and 2) evidence of strengthened capacity. This complicates measuring progress toward this </w:t>
      </w:r>
      <w:r w:rsidR="004513F7" w:rsidRPr="003D4B91">
        <w:rPr>
          <w:lang w:val="en-US"/>
        </w:rPr>
        <w:t>IO 3</w:t>
      </w:r>
      <w:r w:rsidRPr="003D4B91">
        <w:rPr>
          <w:lang w:val="en-US"/>
        </w:rPr>
        <w:t xml:space="preserve">. An improvement would be to split the IO, or to have one IO that combines the two end-states e.g. ‘A cohort of diverse NbS champions are capable of promoting and scaling </w:t>
      </w:r>
      <w:proofErr w:type="gramStart"/>
      <w:r w:rsidRPr="003D4B91">
        <w:rPr>
          <w:lang w:val="en-US"/>
        </w:rPr>
        <w:t>NbS.’</w:t>
      </w:r>
      <w:proofErr w:type="gramEnd"/>
    </w:p>
    <w:p w14:paraId="13F2F151" w14:textId="230E90E2" w:rsidR="00253689" w:rsidRPr="003D4B91" w:rsidRDefault="00253689" w:rsidP="00037A46">
      <w:pPr>
        <w:pStyle w:val="ListParagraph"/>
        <w:numPr>
          <w:ilvl w:val="0"/>
          <w:numId w:val="10"/>
        </w:numPr>
        <w:rPr>
          <w:lang w:val="en-US"/>
        </w:rPr>
      </w:pPr>
      <w:r w:rsidRPr="003D4B91">
        <w:rPr>
          <w:b/>
          <w:bCs/>
          <w:lang w:val="en-US"/>
        </w:rPr>
        <w:t>Circular logic:</w:t>
      </w:r>
      <w:r w:rsidRPr="003D4B91">
        <w:rPr>
          <w:lang w:val="en-US"/>
        </w:rPr>
        <w:t xml:space="preserve"> </w:t>
      </w:r>
      <w:r w:rsidR="004513F7" w:rsidRPr="003D4B91">
        <w:rPr>
          <w:lang w:val="en-US"/>
        </w:rPr>
        <w:t>EOPO 3</w:t>
      </w:r>
      <w:r w:rsidRPr="003D4B91">
        <w:rPr>
          <w:lang w:val="en-US"/>
        </w:rPr>
        <w:t xml:space="preserve"> is about capacity to achieve scaling, and </w:t>
      </w:r>
      <w:r w:rsidR="004513F7" w:rsidRPr="003D4B91">
        <w:rPr>
          <w:lang w:val="en-US"/>
        </w:rPr>
        <w:t>IO 3</w:t>
      </w:r>
      <w:r w:rsidRPr="003D4B91">
        <w:rPr>
          <w:lang w:val="en-US"/>
        </w:rPr>
        <w:t xml:space="preserve"> is worded in much the same way, thereby creating a circular logic: ‘strengthened capacity […] to achieve scaling’ (</w:t>
      </w:r>
      <w:r w:rsidR="004513F7" w:rsidRPr="003D4B91">
        <w:rPr>
          <w:lang w:val="en-US"/>
        </w:rPr>
        <w:t>IO 3</w:t>
      </w:r>
      <w:r w:rsidRPr="003D4B91">
        <w:rPr>
          <w:lang w:val="en-US"/>
        </w:rPr>
        <w:t xml:space="preserve">) </w:t>
      </w:r>
      <w:r w:rsidRPr="003D4B91">
        <w:rPr>
          <w:i/>
          <w:iCs/>
          <w:lang w:val="en-US"/>
        </w:rPr>
        <w:t>in order that</w:t>
      </w:r>
      <w:r w:rsidRPr="003D4B91">
        <w:rPr>
          <w:lang w:val="en-US"/>
        </w:rPr>
        <w:t xml:space="preserve"> ‘capacity for achieving scaling </w:t>
      </w:r>
      <w:r w:rsidR="00204C74" w:rsidRPr="003D4B91">
        <w:rPr>
          <w:lang w:val="en-US"/>
        </w:rPr>
        <w:t>is</w:t>
      </w:r>
      <w:r w:rsidRPr="003D4B91">
        <w:rPr>
          <w:lang w:val="en-US"/>
        </w:rPr>
        <w:t xml:space="preserve"> established’ (</w:t>
      </w:r>
      <w:r w:rsidR="004513F7" w:rsidRPr="003D4B91">
        <w:rPr>
          <w:lang w:val="en-US"/>
        </w:rPr>
        <w:t>EOPO 3</w:t>
      </w:r>
      <w:r w:rsidRPr="003D4B91">
        <w:rPr>
          <w:lang w:val="en-US"/>
        </w:rPr>
        <w:t>).</w:t>
      </w:r>
    </w:p>
    <w:p w14:paraId="6A206EB0" w14:textId="77777777" w:rsidR="00253689" w:rsidRPr="003D4B91" w:rsidRDefault="00253689" w:rsidP="00253689">
      <w:pPr>
        <w:pStyle w:val="Heading4"/>
        <w:rPr>
          <w:lang w:val="en-US"/>
        </w:rPr>
      </w:pPr>
      <w:r w:rsidRPr="003D4B91">
        <w:rPr>
          <w:lang w:val="en-US"/>
        </w:rPr>
        <w:t>Expected change: “GEDSI principles are embedded in the development of case studies, pilots, and the formulation of policy recommendation in all countries.”</w:t>
      </w:r>
    </w:p>
    <w:p w14:paraId="794353F7" w14:textId="77777777" w:rsidR="00253689" w:rsidRPr="003D4B91" w:rsidRDefault="00253689" w:rsidP="00037A46">
      <w:pPr>
        <w:pStyle w:val="ListParagraph"/>
        <w:numPr>
          <w:ilvl w:val="0"/>
          <w:numId w:val="10"/>
        </w:numPr>
        <w:rPr>
          <w:lang w:val="en-US"/>
        </w:rPr>
      </w:pPr>
      <w:r w:rsidRPr="003D4B91">
        <w:rPr>
          <w:b/>
          <w:bCs/>
          <w:lang w:val="en-US"/>
        </w:rPr>
        <w:t xml:space="preserve">Circular logic: </w:t>
      </w:r>
      <w:r w:rsidRPr="003D4B91">
        <w:rPr>
          <w:lang w:val="en-US"/>
        </w:rPr>
        <w:t xml:space="preserve">This expected change is almost the same as the indicator for the definition of the cross-cutting focus (at the level of the EOPO) which creates a circular logic. </w:t>
      </w:r>
    </w:p>
    <w:p w14:paraId="26F91881" w14:textId="77777777" w:rsidR="00253689" w:rsidRPr="00C66109" w:rsidRDefault="00253689" w:rsidP="00C66109">
      <w:pPr>
        <w:rPr>
          <w:rFonts w:asciiTheme="majorHAnsi" w:hAnsiTheme="majorHAnsi"/>
          <w:color w:val="124F1A" w:themeColor="accent3" w:themeShade="BF"/>
          <w:sz w:val="32"/>
          <w:szCs w:val="32"/>
          <w:lang w:val="en-US"/>
        </w:rPr>
      </w:pPr>
      <w:proofErr w:type="gramStart"/>
      <w:r w:rsidRPr="00C66109">
        <w:rPr>
          <w:rFonts w:asciiTheme="majorHAnsi" w:hAnsiTheme="majorHAnsi"/>
          <w:color w:val="124F1A" w:themeColor="accent3" w:themeShade="BF"/>
          <w:sz w:val="32"/>
          <w:szCs w:val="32"/>
          <w:lang w:val="en-US"/>
        </w:rPr>
        <w:t>Outputs</w:t>
      </w:r>
      <w:proofErr w:type="gramEnd"/>
    </w:p>
    <w:p w14:paraId="3D2DC463" w14:textId="3D29E85F" w:rsidR="00253689" w:rsidRPr="003D4B91" w:rsidRDefault="00253689" w:rsidP="00037A46">
      <w:pPr>
        <w:pStyle w:val="ListParagraph"/>
        <w:numPr>
          <w:ilvl w:val="0"/>
          <w:numId w:val="10"/>
        </w:numPr>
        <w:rPr>
          <w:lang w:val="en-US"/>
        </w:rPr>
      </w:pPr>
      <w:r w:rsidRPr="003D4B91">
        <w:rPr>
          <w:lang w:val="en-US"/>
        </w:rPr>
        <w:t>Fifteen broad outputs are defined to influence the above outcomes. These are arranged under each of the EOPO and IO.</w:t>
      </w:r>
    </w:p>
    <w:p w14:paraId="1FD3D44C" w14:textId="6931826D" w:rsidR="00253689" w:rsidRPr="003D4B91" w:rsidRDefault="00253689" w:rsidP="00253689">
      <w:pPr>
        <w:pStyle w:val="Heading4"/>
        <w:rPr>
          <w:lang w:val="en-US"/>
        </w:rPr>
      </w:pPr>
      <w:r w:rsidRPr="003D4B91">
        <w:rPr>
          <w:lang w:val="en-US"/>
        </w:rPr>
        <w:t xml:space="preserve">Outputs for </w:t>
      </w:r>
      <w:r w:rsidR="004513F7" w:rsidRPr="003D4B91">
        <w:rPr>
          <w:lang w:val="en-US"/>
        </w:rPr>
        <w:t>EOPO 1</w:t>
      </w:r>
    </w:p>
    <w:p w14:paraId="1C842248" w14:textId="7227FEB2" w:rsidR="00253689" w:rsidRPr="003D4B91" w:rsidRDefault="00253689" w:rsidP="00037A46">
      <w:pPr>
        <w:pStyle w:val="ListParagraph"/>
        <w:numPr>
          <w:ilvl w:val="0"/>
          <w:numId w:val="10"/>
        </w:numPr>
        <w:rPr>
          <w:lang w:val="en-US"/>
        </w:rPr>
      </w:pPr>
      <w:r w:rsidRPr="003D4B91">
        <w:rPr>
          <w:lang w:val="en-US"/>
        </w:rPr>
        <w:t xml:space="preserve">There is no verb or actor defined for any of the outputs pertaining to </w:t>
      </w:r>
      <w:r w:rsidR="004513F7" w:rsidRPr="003D4B91">
        <w:rPr>
          <w:lang w:val="en-US"/>
        </w:rPr>
        <w:t>EOPO 1</w:t>
      </w:r>
      <w:r w:rsidRPr="003D4B91">
        <w:rPr>
          <w:lang w:val="en-US"/>
        </w:rPr>
        <w:t>.</w:t>
      </w:r>
    </w:p>
    <w:p w14:paraId="1423E040" w14:textId="77777777" w:rsidR="00253689" w:rsidRPr="003D4B91" w:rsidRDefault="00253689" w:rsidP="00037A46">
      <w:pPr>
        <w:pStyle w:val="ListParagraph"/>
        <w:numPr>
          <w:ilvl w:val="0"/>
          <w:numId w:val="10"/>
        </w:numPr>
        <w:rPr>
          <w:lang w:val="en-US"/>
        </w:rPr>
      </w:pPr>
      <w:r w:rsidRPr="003D4B91">
        <w:rPr>
          <w:lang w:val="en-US"/>
        </w:rPr>
        <w:t>Output 1.1 does not define what a ‘concept study’ is.</w:t>
      </w:r>
    </w:p>
    <w:p w14:paraId="3F5EC4A7" w14:textId="77777777" w:rsidR="00253689" w:rsidRPr="003D4B91" w:rsidRDefault="00253689" w:rsidP="00037A46">
      <w:pPr>
        <w:pStyle w:val="ListParagraph"/>
        <w:numPr>
          <w:ilvl w:val="0"/>
          <w:numId w:val="10"/>
        </w:numPr>
        <w:rPr>
          <w:lang w:val="en-US"/>
        </w:rPr>
      </w:pPr>
      <w:r w:rsidRPr="003D4B91">
        <w:rPr>
          <w:lang w:val="en-US"/>
        </w:rPr>
        <w:t xml:space="preserve">Output 1.2 gives examples of what an integrated pilot or direct intervention might be, but these are either vague (‘design of hybrid </w:t>
      </w:r>
      <w:proofErr w:type="spellStart"/>
      <w:r w:rsidRPr="003D4B91">
        <w:rPr>
          <w:lang w:val="en-US"/>
        </w:rPr>
        <w:t>NbS’</w:t>
      </w:r>
      <w:proofErr w:type="spellEnd"/>
      <w:r w:rsidRPr="003D4B91">
        <w:rPr>
          <w:lang w:val="en-US"/>
        </w:rPr>
        <w:t xml:space="preserve"> does not convey whether the design is a concept or detailed design) or tentative (environmental monitoring is a small representation of NbS activities and does not accurately represent an ‘integrated pilot’ or ‘direct intervention’ of NbS).</w:t>
      </w:r>
    </w:p>
    <w:p w14:paraId="31AB067F" w14:textId="5F343993" w:rsidR="00253689" w:rsidRPr="003D4B91" w:rsidRDefault="00253689" w:rsidP="00037A46">
      <w:pPr>
        <w:pStyle w:val="ListParagraph"/>
        <w:numPr>
          <w:ilvl w:val="0"/>
          <w:numId w:val="10"/>
        </w:numPr>
        <w:ind w:left="357" w:hanging="357"/>
        <w:rPr>
          <w:lang w:val="en-US"/>
        </w:rPr>
      </w:pPr>
      <w:r w:rsidRPr="003D4B91">
        <w:rPr>
          <w:b/>
          <w:bCs/>
          <w:lang w:val="en-US"/>
        </w:rPr>
        <w:t>Circular logic:</w:t>
      </w:r>
      <w:r w:rsidRPr="003D4B91">
        <w:rPr>
          <w:lang w:val="en-US"/>
        </w:rPr>
        <w:t xml:space="preserve"> There is an implied assumption that outputs including concept studies and integrated pilots/direct interventions (outputs 1.1 and 1.2) will lead to Mekong subregion partners ‘buying in to </w:t>
      </w:r>
      <w:proofErr w:type="spellStart"/>
      <w:r w:rsidRPr="003D4B91">
        <w:rPr>
          <w:lang w:val="en-US"/>
        </w:rPr>
        <w:t>NbS’</w:t>
      </w:r>
      <w:proofErr w:type="spellEnd"/>
      <w:r w:rsidRPr="003D4B91">
        <w:rPr>
          <w:lang w:val="en-US"/>
        </w:rPr>
        <w:t xml:space="preserve"> as indicated by them guiding an undefined change agent to ‘carry out’ the case studies (</w:t>
      </w:r>
      <w:r w:rsidR="004513F7" w:rsidRPr="003D4B91">
        <w:rPr>
          <w:lang w:val="en-US"/>
        </w:rPr>
        <w:t>IO 1</w:t>
      </w:r>
      <w:r w:rsidRPr="003D4B91">
        <w:rPr>
          <w:lang w:val="en-US"/>
        </w:rPr>
        <w:t>). It is logical that concept studies (output 1.1) would proceed ‘carrying out case studies’ (</w:t>
      </w:r>
      <w:r w:rsidR="004513F7" w:rsidRPr="003D4B91">
        <w:rPr>
          <w:lang w:val="en-US"/>
        </w:rPr>
        <w:t>IO 1</w:t>
      </w:r>
      <w:r w:rsidRPr="003D4B91">
        <w:rPr>
          <w:lang w:val="en-US"/>
        </w:rPr>
        <w:t>) but anticipating that ‘integrated pilots/direct interventions’ (as they are defined in output 1.2) would lead to ‘carrying out case studies’, is redundant.</w:t>
      </w:r>
    </w:p>
    <w:p w14:paraId="09250916" w14:textId="30398053" w:rsidR="00253689" w:rsidRPr="003D4B91" w:rsidRDefault="00253689" w:rsidP="00253689">
      <w:pPr>
        <w:pStyle w:val="Heading4"/>
        <w:rPr>
          <w:lang w:val="en-US"/>
        </w:rPr>
      </w:pPr>
      <w:proofErr w:type="gramStart"/>
      <w:r w:rsidRPr="003D4B91">
        <w:rPr>
          <w:lang w:val="en-US"/>
        </w:rPr>
        <w:t>Outputs</w:t>
      </w:r>
      <w:proofErr w:type="gramEnd"/>
      <w:r w:rsidRPr="003D4B91">
        <w:rPr>
          <w:lang w:val="en-US"/>
        </w:rPr>
        <w:t xml:space="preserve"> for </w:t>
      </w:r>
      <w:r w:rsidR="004513F7" w:rsidRPr="003D4B91">
        <w:rPr>
          <w:lang w:val="en-US"/>
        </w:rPr>
        <w:t>EOPO 2</w:t>
      </w:r>
    </w:p>
    <w:p w14:paraId="6CDA4763" w14:textId="77777777" w:rsidR="00253689" w:rsidRPr="003D4B91" w:rsidRDefault="00253689" w:rsidP="00037A46">
      <w:pPr>
        <w:pStyle w:val="ListParagraph"/>
        <w:numPr>
          <w:ilvl w:val="0"/>
          <w:numId w:val="10"/>
        </w:numPr>
        <w:rPr>
          <w:lang w:val="en-US"/>
        </w:rPr>
      </w:pPr>
      <w:r w:rsidRPr="003D4B91">
        <w:rPr>
          <w:lang w:val="en-US"/>
        </w:rPr>
        <w:t>Output 2.1 does not have an actor or verb.</w:t>
      </w:r>
    </w:p>
    <w:p w14:paraId="0CF19C3A" w14:textId="77777777" w:rsidR="00253689" w:rsidRPr="003D4B91" w:rsidRDefault="00253689" w:rsidP="00037A46">
      <w:pPr>
        <w:pStyle w:val="ListParagraph"/>
        <w:numPr>
          <w:ilvl w:val="0"/>
          <w:numId w:val="10"/>
        </w:numPr>
        <w:rPr>
          <w:lang w:val="en-US"/>
        </w:rPr>
      </w:pPr>
      <w:r w:rsidRPr="003D4B91">
        <w:rPr>
          <w:lang w:val="en-US"/>
        </w:rPr>
        <w:t xml:space="preserve">Output 2.2 defines an actor and a verb but does not define key terms such as ‘prioritized’ which means that measuring progress is difficult. </w:t>
      </w:r>
    </w:p>
    <w:p w14:paraId="2C0308E8" w14:textId="77777777" w:rsidR="00253689" w:rsidRPr="003D4B91" w:rsidRDefault="00253689" w:rsidP="00037A46">
      <w:pPr>
        <w:pStyle w:val="ListParagraph"/>
        <w:numPr>
          <w:ilvl w:val="0"/>
          <w:numId w:val="10"/>
        </w:numPr>
        <w:rPr>
          <w:lang w:val="en-US"/>
        </w:rPr>
      </w:pPr>
      <w:r w:rsidRPr="003D4B91">
        <w:rPr>
          <w:lang w:val="en-US"/>
        </w:rPr>
        <w:t>Output 2.3 does not have an actor or verb.</w:t>
      </w:r>
    </w:p>
    <w:p w14:paraId="0B7969BA" w14:textId="4E85E639" w:rsidR="00253689" w:rsidRPr="003D4B91" w:rsidRDefault="00253689" w:rsidP="00037A46">
      <w:pPr>
        <w:pStyle w:val="ListParagraph"/>
        <w:numPr>
          <w:ilvl w:val="0"/>
          <w:numId w:val="10"/>
        </w:numPr>
        <w:rPr>
          <w:lang w:val="en-US"/>
        </w:rPr>
      </w:pPr>
      <w:r w:rsidRPr="003D4B91">
        <w:rPr>
          <w:lang w:val="en-US"/>
        </w:rPr>
        <w:t xml:space="preserve">Output 2.4 is ‘Mekong partners adopt NbS enabling policies and technical guidance’. This defines an actor and a verb (although ‘adopt’ is unclear and therefore difficult to measure). Furthermore, </w:t>
      </w:r>
      <w:r w:rsidR="004513F7" w:rsidRPr="003D4B91">
        <w:rPr>
          <w:lang w:val="en-US"/>
        </w:rPr>
        <w:t>IO 2</w:t>
      </w:r>
      <w:r w:rsidRPr="003D4B91">
        <w:rPr>
          <w:lang w:val="en-US"/>
        </w:rPr>
        <w:t xml:space="preserve"> states that ‘Mekong partners </w:t>
      </w:r>
      <w:r w:rsidRPr="003D4B91">
        <w:rPr>
          <w:i/>
          <w:iCs/>
          <w:lang w:val="en-US"/>
        </w:rPr>
        <w:t>consider</w:t>
      </w:r>
      <w:r w:rsidRPr="003D4B91">
        <w:rPr>
          <w:lang w:val="en-US"/>
        </w:rPr>
        <w:t xml:space="preserve"> NbS enabling policies etc.’ and it is illogical to suggest that ‘adopting’ would precede ‘considering’.</w:t>
      </w:r>
    </w:p>
    <w:p w14:paraId="4BD9B5F3" w14:textId="44220762" w:rsidR="00253689" w:rsidRPr="003D4B91" w:rsidRDefault="00253689" w:rsidP="00253689">
      <w:pPr>
        <w:pStyle w:val="Heading4"/>
        <w:rPr>
          <w:lang w:val="en-US"/>
        </w:rPr>
      </w:pPr>
      <w:r w:rsidRPr="003D4B91">
        <w:rPr>
          <w:lang w:val="en-US"/>
        </w:rPr>
        <w:lastRenderedPageBreak/>
        <w:t xml:space="preserve">Outputs for </w:t>
      </w:r>
      <w:r w:rsidR="004513F7" w:rsidRPr="003D4B91">
        <w:rPr>
          <w:lang w:val="en-US"/>
        </w:rPr>
        <w:t>EOPO 3</w:t>
      </w:r>
    </w:p>
    <w:p w14:paraId="7A25F9A6" w14:textId="6B0ED686" w:rsidR="00253689" w:rsidRPr="003D4B91" w:rsidRDefault="00253689" w:rsidP="00037A46">
      <w:pPr>
        <w:pStyle w:val="ListParagraph"/>
        <w:numPr>
          <w:ilvl w:val="0"/>
          <w:numId w:val="10"/>
        </w:numPr>
        <w:rPr>
          <w:lang w:val="en-US"/>
        </w:rPr>
      </w:pPr>
      <w:r w:rsidRPr="003D4B91">
        <w:rPr>
          <w:lang w:val="en-US"/>
        </w:rPr>
        <w:t xml:space="preserve">Output 3.1 does not describe a change in </w:t>
      </w:r>
      <w:proofErr w:type="spellStart"/>
      <w:r w:rsidRPr="003D4B91">
        <w:rPr>
          <w:lang w:val="en-US"/>
        </w:rPr>
        <w:t>behaviour</w:t>
      </w:r>
      <w:proofErr w:type="spellEnd"/>
      <w:r w:rsidRPr="003D4B91">
        <w:rPr>
          <w:lang w:val="en-US"/>
        </w:rPr>
        <w:t xml:space="preserve"> or end-state brought about by RUCaS</w:t>
      </w:r>
      <w:r w:rsidR="000359F0">
        <w:rPr>
          <w:lang w:val="en-US"/>
        </w:rPr>
        <w:t>,</w:t>
      </w:r>
      <w:r w:rsidR="000359F0" w:rsidRPr="003D4B91">
        <w:rPr>
          <w:lang w:val="en-US"/>
        </w:rPr>
        <w:t xml:space="preserve"> </w:t>
      </w:r>
      <w:r w:rsidRPr="003D4B91">
        <w:rPr>
          <w:lang w:val="en-US"/>
        </w:rPr>
        <w:t>the implementing partner.</w:t>
      </w:r>
    </w:p>
    <w:p w14:paraId="1DE7555C" w14:textId="6BF673BB" w:rsidR="00253689" w:rsidRPr="003D4B91" w:rsidRDefault="00253689" w:rsidP="00037A46">
      <w:pPr>
        <w:pStyle w:val="ListParagraph"/>
        <w:numPr>
          <w:ilvl w:val="0"/>
          <w:numId w:val="10"/>
        </w:numPr>
        <w:rPr>
          <w:lang w:val="en-US"/>
        </w:rPr>
      </w:pPr>
      <w:r w:rsidRPr="003D4B91">
        <w:rPr>
          <w:lang w:val="en-US"/>
        </w:rPr>
        <w:t xml:space="preserve">Outputs 3.2 and 3.3 do not define an actor. They refer to ‘knowledge exchange </w:t>
      </w:r>
      <w:r w:rsidR="00523369" w:rsidRPr="003D4B91">
        <w:rPr>
          <w:lang w:val="en-US"/>
        </w:rPr>
        <w:t xml:space="preserve">events and </w:t>
      </w:r>
      <w:proofErr w:type="gramStart"/>
      <w:r w:rsidRPr="003D4B91">
        <w:rPr>
          <w:lang w:val="en-US"/>
        </w:rPr>
        <w:t>trainings</w:t>
      </w:r>
      <w:proofErr w:type="gramEnd"/>
      <w:r w:rsidRPr="003D4B91">
        <w:rPr>
          <w:lang w:val="en-US"/>
        </w:rPr>
        <w:t xml:space="preserve"> and </w:t>
      </w:r>
      <w:proofErr w:type="gramStart"/>
      <w:r w:rsidRPr="003D4B91">
        <w:rPr>
          <w:lang w:val="en-US"/>
        </w:rPr>
        <w:t>workshops’</w:t>
      </w:r>
      <w:proofErr w:type="gramEnd"/>
      <w:r w:rsidRPr="003D4B91">
        <w:rPr>
          <w:lang w:val="en-US"/>
        </w:rPr>
        <w:t xml:space="preserve"> without defining what these are.</w:t>
      </w:r>
    </w:p>
    <w:p w14:paraId="4EC26E3B" w14:textId="77777777" w:rsidR="00253689" w:rsidRPr="003D4B91" w:rsidRDefault="00253689" w:rsidP="00037A46">
      <w:pPr>
        <w:pStyle w:val="ListParagraph"/>
        <w:numPr>
          <w:ilvl w:val="0"/>
          <w:numId w:val="10"/>
        </w:numPr>
        <w:rPr>
          <w:lang w:val="en-US"/>
        </w:rPr>
      </w:pPr>
      <w:r w:rsidRPr="003D4B91">
        <w:rPr>
          <w:lang w:val="en-US"/>
        </w:rPr>
        <w:t>Output 3.4 is ‘Formal arrangements for future collaboration and capacity building in place’. This does not define any actors, nor what ‘formal’ constitutes, nor what the collaborations should be about.</w:t>
      </w:r>
    </w:p>
    <w:p w14:paraId="140BB609" w14:textId="77777777" w:rsidR="00253689" w:rsidRPr="003D4B91" w:rsidRDefault="00253689" w:rsidP="00037A46">
      <w:pPr>
        <w:pStyle w:val="ListParagraph"/>
        <w:numPr>
          <w:ilvl w:val="0"/>
          <w:numId w:val="10"/>
        </w:numPr>
        <w:rPr>
          <w:lang w:val="en-US"/>
        </w:rPr>
      </w:pPr>
      <w:r w:rsidRPr="003D4B91">
        <w:rPr>
          <w:lang w:val="en-US"/>
        </w:rPr>
        <w:t xml:space="preserve">Output 3.5 is ‘RUCaS contribution to regional sharing and collaboration’. This appropriately identifies RUCaS as the actor but there is no verb and it is unclear what ‘regional sharing and collaboration’ mean, which makes measuring progress difficult. </w:t>
      </w:r>
    </w:p>
    <w:p w14:paraId="205340A0" w14:textId="5B7CA8FC" w:rsidR="00253689" w:rsidRPr="003D4B91" w:rsidRDefault="00253689" w:rsidP="00037A46">
      <w:pPr>
        <w:pStyle w:val="ListParagraph"/>
        <w:numPr>
          <w:ilvl w:val="0"/>
          <w:numId w:val="10"/>
        </w:numPr>
        <w:rPr>
          <w:lang w:val="en-US"/>
        </w:rPr>
      </w:pPr>
      <w:r w:rsidRPr="003D4B91">
        <w:rPr>
          <w:lang w:val="en-US"/>
        </w:rPr>
        <w:t xml:space="preserve">The logical progression from these outputs to </w:t>
      </w:r>
      <w:r w:rsidR="004513F7" w:rsidRPr="003D4B91">
        <w:rPr>
          <w:lang w:val="en-US"/>
        </w:rPr>
        <w:t>IO 3</w:t>
      </w:r>
      <w:r w:rsidRPr="003D4B91">
        <w:rPr>
          <w:lang w:val="en-US"/>
        </w:rPr>
        <w:t xml:space="preserve"> and </w:t>
      </w:r>
      <w:r w:rsidR="004513F7" w:rsidRPr="003D4B91">
        <w:rPr>
          <w:lang w:val="en-US"/>
        </w:rPr>
        <w:t>EOPO 3</w:t>
      </w:r>
      <w:r w:rsidRPr="003D4B91">
        <w:rPr>
          <w:lang w:val="en-US"/>
        </w:rPr>
        <w:t xml:space="preserve"> are clear and somewhat plausible.</w:t>
      </w:r>
    </w:p>
    <w:p w14:paraId="34E30D4C" w14:textId="77777777" w:rsidR="00253689" w:rsidRPr="003D4B91" w:rsidRDefault="00253689" w:rsidP="00253689">
      <w:pPr>
        <w:pStyle w:val="Heading4"/>
        <w:rPr>
          <w:lang w:val="en-US"/>
        </w:rPr>
      </w:pPr>
      <w:r w:rsidRPr="003D4B91">
        <w:rPr>
          <w:lang w:val="en-US"/>
        </w:rPr>
        <w:t>Outputs for GEDSI</w:t>
      </w:r>
    </w:p>
    <w:p w14:paraId="0581E7EB" w14:textId="77777777" w:rsidR="00253689" w:rsidRPr="003D4B91" w:rsidRDefault="00253689" w:rsidP="00037A46">
      <w:pPr>
        <w:pStyle w:val="ListParagraph"/>
        <w:numPr>
          <w:ilvl w:val="0"/>
          <w:numId w:val="10"/>
        </w:numPr>
        <w:rPr>
          <w:lang w:val="en-US"/>
        </w:rPr>
      </w:pPr>
      <w:r w:rsidRPr="003D4B91">
        <w:rPr>
          <w:lang w:val="en-US"/>
        </w:rPr>
        <w:t>Output 4.1 is a logical precursor to the expected change for GEDSI; however, it does not define an actor.</w:t>
      </w:r>
    </w:p>
    <w:p w14:paraId="63AAC489" w14:textId="77777777" w:rsidR="00253689" w:rsidRPr="003D4B91" w:rsidRDefault="00253689" w:rsidP="00037A46">
      <w:pPr>
        <w:pStyle w:val="ListParagraph"/>
        <w:numPr>
          <w:ilvl w:val="0"/>
          <w:numId w:val="10"/>
        </w:numPr>
        <w:rPr>
          <w:lang w:val="en-US"/>
        </w:rPr>
      </w:pPr>
      <w:r w:rsidRPr="003D4B91">
        <w:rPr>
          <w:lang w:val="en-US"/>
        </w:rPr>
        <w:t>Output 4.2 does not define an actor nor intended participants (or beneficiaries) for the regional GEDSI and NBS workshop and training.</w:t>
      </w:r>
    </w:p>
    <w:p w14:paraId="2942B561" w14:textId="77777777" w:rsidR="00253689" w:rsidRPr="003D4B91" w:rsidRDefault="00253689" w:rsidP="00037A46">
      <w:pPr>
        <w:pStyle w:val="ListParagraph"/>
        <w:numPr>
          <w:ilvl w:val="0"/>
          <w:numId w:val="10"/>
        </w:numPr>
        <w:rPr>
          <w:lang w:val="en-US"/>
        </w:rPr>
      </w:pPr>
      <w:r w:rsidRPr="003D4B91">
        <w:rPr>
          <w:lang w:val="en-US"/>
        </w:rPr>
        <w:t>Output 4.3 defines an actor; however, it does not define what ‘supporting mainstreaming’ is which makes it difficult to measure.</w:t>
      </w:r>
    </w:p>
    <w:p w14:paraId="7F351C82" w14:textId="77777777" w:rsidR="00253689" w:rsidRPr="003D4B91" w:rsidRDefault="00253689" w:rsidP="00037A46">
      <w:pPr>
        <w:pStyle w:val="ListParagraph"/>
        <w:numPr>
          <w:ilvl w:val="0"/>
          <w:numId w:val="10"/>
        </w:numPr>
        <w:rPr>
          <w:lang w:val="en-US"/>
        </w:rPr>
      </w:pPr>
      <w:r w:rsidRPr="003D4B91">
        <w:rPr>
          <w:lang w:val="en-US"/>
        </w:rPr>
        <w:t>Output 4.4 does not define an actor.</w:t>
      </w:r>
    </w:p>
    <w:p w14:paraId="33939200" w14:textId="77777777" w:rsidR="00253689" w:rsidRPr="00C66109" w:rsidRDefault="00253689" w:rsidP="007B7FCF">
      <w:pPr>
        <w:spacing w:after="120"/>
        <w:rPr>
          <w:rFonts w:asciiTheme="majorHAnsi" w:hAnsiTheme="majorHAnsi"/>
          <w:color w:val="124F1A" w:themeColor="accent3" w:themeShade="BF"/>
          <w:sz w:val="32"/>
          <w:szCs w:val="32"/>
          <w:lang w:val="en-US"/>
        </w:rPr>
      </w:pPr>
      <w:r w:rsidRPr="00C66109">
        <w:rPr>
          <w:rFonts w:asciiTheme="majorHAnsi" w:hAnsiTheme="majorHAnsi"/>
          <w:color w:val="124F1A" w:themeColor="accent3" w:themeShade="BF"/>
          <w:sz w:val="32"/>
          <w:szCs w:val="32"/>
          <w:lang w:val="en-US"/>
        </w:rPr>
        <w:t>Alternative program logic</w:t>
      </w:r>
    </w:p>
    <w:p w14:paraId="3F54DDB2" w14:textId="5CBE7E6E" w:rsidR="00253689" w:rsidRPr="003D4B91" w:rsidRDefault="00253689" w:rsidP="00037A46">
      <w:pPr>
        <w:pStyle w:val="ListParagraph"/>
        <w:numPr>
          <w:ilvl w:val="0"/>
          <w:numId w:val="10"/>
        </w:numPr>
        <w:rPr>
          <w:lang w:val="en-US"/>
        </w:rPr>
      </w:pPr>
      <w:r w:rsidRPr="003D4B91">
        <w:rPr>
          <w:lang w:val="en-US"/>
        </w:rPr>
        <w:t xml:space="preserve">Arguably, a simpler more succinct program logic supports easier communication of program intent to a broad </w:t>
      </w:r>
      <w:r w:rsidR="00204C74" w:rsidRPr="003D4B91">
        <w:rPr>
          <w:lang w:val="en-US"/>
        </w:rPr>
        <w:t>audience and</w:t>
      </w:r>
      <w:r w:rsidRPr="003D4B91">
        <w:rPr>
          <w:lang w:val="en-US"/>
        </w:rPr>
        <w:t xml:space="preserve"> hence is better for mobilizing support. It is also easier to </w:t>
      </w:r>
      <w:proofErr w:type="spellStart"/>
      <w:r w:rsidRPr="003D4B91">
        <w:rPr>
          <w:lang w:val="en-US"/>
        </w:rPr>
        <w:t>operationalise</w:t>
      </w:r>
      <w:proofErr w:type="spellEnd"/>
      <w:r w:rsidRPr="003D4B91">
        <w:rPr>
          <w:lang w:val="en-US"/>
        </w:rPr>
        <w:t xml:space="preserve"> from a </w:t>
      </w:r>
      <w:r w:rsidR="001A3619">
        <w:rPr>
          <w:lang w:val="en-US"/>
        </w:rPr>
        <w:t>MEL</w:t>
      </w:r>
      <w:r w:rsidRPr="003D4B91">
        <w:rPr>
          <w:lang w:val="en-US"/>
        </w:rPr>
        <w:t xml:space="preserve"> standpoint.</w:t>
      </w:r>
    </w:p>
    <w:p w14:paraId="35C9CB62" w14:textId="77777777" w:rsidR="00253689" w:rsidRDefault="00253689" w:rsidP="00037A46">
      <w:pPr>
        <w:pStyle w:val="ListParagraph"/>
        <w:numPr>
          <w:ilvl w:val="0"/>
          <w:numId w:val="10"/>
        </w:numPr>
        <w:rPr>
          <w:lang w:val="en-US"/>
        </w:rPr>
      </w:pPr>
      <w:r w:rsidRPr="003D4B91">
        <w:rPr>
          <w:lang w:val="en-US"/>
        </w:rPr>
        <w:t>Drawing from the above critique, a simpler and more conforming program logic for RUCaS could be as set out below:</w:t>
      </w:r>
    </w:p>
    <w:p w14:paraId="1B69C39D" w14:textId="79CDE24D" w:rsidR="00466189" w:rsidRPr="0096571E" w:rsidRDefault="00CF0603" w:rsidP="00855EF1">
      <w:pPr>
        <w:pBdr>
          <w:top w:val="single" w:sz="4" w:space="1" w:color="auto"/>
          <w:left w:val="single" w:sz="4" w:space="4" w:color="auto"/>
          <w:bottom w:val="single" w:sz="4" w:space="1" w:color="auto"/>
          <w:right w:val="single" w:sz="4" w:space="4" w:color="auto"/>
        </w:pBdr>
        <w:spacing w:before="240" w:after="240"/>
        <w:contextualSpacing/>
        <w:rPr>
          <w:b/>
          <w:bCs/>
          <w:lang w:val="en-US"/>
        </w:rPr>
      </w:pPr>
      <w:r w:rsidRPr="0096571E">
        <w:rPr>
          <w:b/>
          <w:bCs/>
          <w:lang w:val="en-US"/>
        </w:rPr>
        <w:t>Urban communities in the Mekong region (specifically in Thailand, Lao PDR, Cambodia and Viet Nam) are resilient, sustainable, inclusive and prosperous in the face of climate change impacts.</w:t>
      </w:r>
    </w:p>
    <w:p w14:paraId="23084D7C" w14:textId="77777777" w:rsidR="002A53D1" w:rsidRDefault="009B2316" w:rsidP="00855EF1">
      <w:pPr>
        <w:pBdr>
          <w:top w:val="single" w:sz="4" w:space="1" w:color="auto"/>
          <w:left w:val="single" w:sz="4" w:space="4" w:color="auto"/>
          <w:bottom w:val="single" w:sz="4" w:space="1" w:color="auto"/>
          <w:right w:val="single" w:sz="4" w:space="4" w:color="auto"/>
        </w:pBdr>
        <w:spacing w:before="240" w:after="240"/>
        <w:contextualSpacing/>
        <w:rPr>
          <w:lang w:val="en-US"/>
        </w:rPr>
      </w:pPr>
      <w:r w:rsidRPr="009B2316">
        <w:rPr>
          <w:lang w:val="en-US"/>
        </w:rPr>
        <w:t>EOPO 1: Mekong subregion partners have the motivation to use NbS to adapt to the negative impacts of climate change in urban areas.</w:t>
      </w:r>
    </w:p>
    <w:p w14:paraId="70201DAC" w14:textId="179AA713" w:rsidR="00466189" w:rsidRDefault="009B2316" w:rsidP="00855EF1">
      <w:pPr>
        <w:pBdr>
          <w:top w:val="single" w:sz="4" w:space="1" w:color="auto"/>
          <w:left w:val="single" w:sz="4" w:space="4" w:color="auto"/>
          <w:bottom w:val="single" w:sz="4" w:space="1" w:color="auto"/>
          <w:right w:val="single" w:sz="4" w:space="4" w:color="auto"/>
        </w:pBdr>
        <w:spacing w:before="240" w:after="240"/>
        <w:contextualSpacing/>
        <w:rPr>
          <w:lang w:val="en-US"/>
        </w:rPr>
      </w:pPr>
      <w:r w:rsidRPr="009B2316">
        <w:rPr>
          <w:lang w:val="en-US"/>
        </w:rPr>
        <w:t>Outputs:</w:t>
      </w:r>
      <w:r w:rsidR="0096571E">
        <w:rPr>
          <w:lang w:val="en-US"/>
        </w:rPr>
        <w:t xml:space="preserve"> </w:t>
      </w:r>
      <w:r w:rsidR="00466189">
        <w:rPr>
          <w:lang w:val="en-US"/>
        </w:rPr>
        <w:t xml:space="preserve">(a) </w:t>
      </w:r>
      <w:r w:rsidR="00466189" w:rsidRPr="00466189">
        <w:rPr>
          <w:lang w:val="en-US"/>
        </w:rPr>
        <w:t>Implementing team creates NbS examples that demonstrate the financial cost and benefit of NbS</w:t>
      </w:r>
      <w:r w:rsidR="00466189">
        <w:rPr>
          <w:lang w:val="en-US"/>
        </w:rPr>
        <w:t xml:space="preserve"> and (b) </w:t>
      </w:r>
      <w:r w:rsidR="00466189" w:rsidRPr="00466189">
        <w:rPr>
          <w:lang w:val="en-US"/>
        </w:rPr>
        <w:t>Implementing team facilitates tours of NbS examples for urban planners in the Mekong countries.</w:t>
      </w:r>
    </w:p>
    <w:p w14:paraId="19F1F8A5" w14:textId="2F155B6B" w:rsidR="009B2316" w:rsidRDefault="009B2316" w:rsidP="00855EF1">
      <w:pPr>
        <w:pBdr>
          <w:top w:val="single" w:sz="4" w:space="1" w:color="auto"/>
          <w:left w:val="single" w:sz="4" w:space="4" w:color="auto"/>
          <w:bottom w:val="single" w:sz="4" w:space="1" w:color="auto"/>
          <w:right w:val="single" w:sz="4" w:space="4" w:color="auto"/>
        </w:pBdr>
        <w:spacing w:before="240" w:after="240"/>
        <w:contextualSpacing/>
      </w:pPr>
      <w:r w:rsidRPr="009B2316">
        <w:t xml:space="preserve">EOPO 2: Mekong subregion partners have the </w:t>
      </w:r>
      <w:r w:rsidRPr="007B7FCF">
        <w:t>technical knowledge</w:t>
      </w:r>
      <w:r w:rsidRPr="009B2316">
        <w:rPr>
          <w:b/>
          <w:bCs/>
        </w:rPr>
        <w:t xml:space="preserve"> </w:t>
      </w:r>
      <w:r w:rsidRPr="009B2316">
        <w:t>to use NbS to adapt to the negative impacts of climate change in urban areas.</w:t>
      </w:r>
    </w:p>
    <w:p w14:paraId="21F0034E" w14:textId="157C102A" w:rsidR="00466189" w:rsidRPr="007B7FCF" w:rsidRDefault="0000571C" w:rsidP="00855EF1">
      <w:pPr>
        <w:pBdr>
          <w:top w:val="single" w:sz="4" w:space="1" w:color="auto"/>
          <w:left w:val="single" w:sz="4" w:space="4" w:color="auto"/>
          <w:bottom w:val="single" w:sz="4" w:space="1" w:color="auto"/>
          <w:right w:val="single" w:sz="4" w:space="4" w:color="auto"/>
        </w:pBdr>
        <w:spacing w:before="240" w:after="240"/>
        <w:contextualSpacing/>
      </w:pPr>
      <w:r>
        <w:t xml:space="preserve">Outputs: </w:t>
      </w:r>
      <w:r w:rsidRPr="00466189">
        <w:rPr>
          <w:lang w:val="en-US"/>
        </w:rPr>
        <w:t>Implementing team facilitates learning events including conferences and workshops where NbS experts share their knowledge with urban planners in Mekong countries.</w:t>
      </w:r>
    </w:p>
    <w:p w14:paraId="1A552F4B" w14:textId="44D186AD" w:rsidR="00466189" w:rsidRDefault="009B2316" w:rsidP="00855EF1">
      <w:pPr>
        <w:pBdr>
          <w:top w:val="single" w:sz="4" w:space="1" w:color="auto"/>
          <w:left w:val="single" w:sz="4" w:space="4" w:color="auto"/>
          <w:bottom w:val="single" w:sz="4" w:space="1" w:color="auto"/>
          <w:right w:val="single" w:sz="4" w:space="4" w:color="auto"/>
        </w:pBdr>
        <w:spacing w:before="240" w:after="240"/>
        <w:contextualSpacing/>
        <w:rPr>
          <w:lang w:val="en-US"/>
        </w:rPr>
      </w:pPr>
      <w:r w:rsidRPr="009B2316">
        <w:rPr>
          <w:lang w:val="en-US"/>
        </w:rPr>
        <w:t>EOPO 3: Mekong subregion partners have the systems to use NbS to adapt to the negative impacts of climate change in urban areas.</w:t>
      </w:r>
    </w:p>
    <w:p w14:paraId="7A92CC6E" w14:textId="10914FC3" w:rsidR="009F65A9" w:rsidRDefault="0000571C" w:rsidP="002A53D1">
      <w:pPr>
        <w:pBdr>
          <w:top w:val="single" w:sz="4" w:space="1" w:color="auto"/>
          <w:left w:val="single" w:sz="4" w:space="4" w:color="auto"/>
          <w:bottom w:val="single" w:sz="4" w:space="1" w:color="auto"/>
          <w:right w:val="single" w:sz="4" w:space="4" w:color="auto"/>
        </w:pBdr>
        <w:spacing w:before="240" w:after="240"/>
        <w:contextualSpacing/>
      </w:pPr>
      <w:r w:rsidRPr="0000571C">
        <w:rPr>
          <w:lang w:val="en-US"/>
        </w:rPr>
        <w:t xml:space="preserve">Outputs: </w:t>
      </w:r>
      <w:r w:rsidRPr="00466189">
        <w:rPr>
          <w:lang w:val="en-US"/>
        </w:rPr>
        <w:t xml:space="preserve">Implementing team supports urban planners in Mekong region to integrate NbS into existing policy, develop new NbS policy and/or standards, guidelines to implement </w:t>
      </w:r>
      <w:proofErr w:type="spellStart"/>
      <w:r w:rsidRPr="00466189">
        <w:rPr>
          <w:lang w:val="en-US"/>
        </w:rPr>
        <w:t>NbS</w:t>
      </w:r>
      <w:proofErr w:type="spellEnd"/>
      <w:r w:rsidRPr="00466189">
        <w:rPr>
          <w:lang w:val="en-US"/>
        </w:rPr>
        <w:t>.</w:t>
      </w:r>
      <w:r w:rsidR="009F65A9">
        <w:tab/>
      </w:r>
    </w:p>
    <w:p w14:paraId="14CD2D00" w14:textId="77777777" w:rsidR="009F65A9" w:rsidRPr="009F65A9" w:rsidRDefault="009F65A9" w:rsidP="009F65A9">
      <w:pPr>
        <w:sectPr w:rsidR="009F65A9" w:rsidRPr="009F65A9" w:rsidSect="00156392">
          <w:footerReference w:type="default" r:id="rId22"/>
          <w:pgSz w:w="11906" w:h="16838"/>
          <w:pgMar w:top="1440" w:right="1440" w:bottom="1440" w:left="1440" w:header="708" w:footer="708" w:gutter="0"/>
          <w:cols w:space="708"/>
          <w:docGrid w:linePitch="360"/>
        </w:sectPr>
      </w:pPr>
    </w:p>
    <w:p w14:paraId="4409C5C9" w14:textId="703F5FBC" w:rsidR="007475F3" w:rsidRDefault="00B445D3" w:rsidP="00030728">
      <w:pPr>
        <w:pStyle w:val="Heading1"/>
      </w:pPr>
      <w:bookmarkStart w:id="169" w:name="_Toc225951871"/>
      <w:r w:rsidRPr="003D4B91">
        <w:lastRenderedPageBreak/>
        <w:t xml:space="preserve">Appendix </w:t>
      </w:r>
      <w:r w:rsidR="00E42F01" w:rsidRPr="003D4B91">
        <w:t>E</w:t>
      </w:r>
      <w:r w:rsidRPr="003D4B91">
        <w:t>: RUCaS Framework</w:t>
      </w:r>
      <w:bookmarkEnd w:id="169"/>
    </w:p>
    <w:p w14:paraId="466B56B0" w14:textId="363DDECD" w:rsidR="003E2D17" w:rsidRDefault="003E2D17" w:rsidP="00EB700F">
      <w:pPr>
        <w:rPr>
          <w:b/>
          <w:bCs/>
          <w:lang w:val="en-GB"/>
        </w:rPr>
      </w:pPr>
      <w:r w:rsidRPr="003E2D17">
        <w:rPr>
          <w:b/>
          <w:bCs/>
          <w:lang w:val="en-US"/>
        </w:rPr>
        <w:t>1. Define your urban system context</w:t>
      </w:r>
      <w:r w:rsidRPr="003E2D17">
        <w:rPr>
          <w:b/>
          <w:bCs/>
          <w:lang w:val="en-GB"/>
        </w:rPr>
        <w:t> </w:t>
      </w:r>
    </w:p>
    <w:p w14:paraId="0CF5F109" w14:textId="77777777" w:rsidR="003E2D17" w:rsidRPr="0049403D" w:rsidRDefault="003E2D17" w:rsidP="00EB700F">
      <w:pPr>
        <w:spacing w:after="60"/>
      </w:pPr>
      <w:r w:rsidRPr="0049403D">
        <w:rPr>
          <w:lang w:val="en-US"/>
        </w:rPr>
        <w:t>Considerations:</w:t>
      </w:r>
      <w:r w:rsidRPr="0049403D">
        <w:t> </w:t>
      </w:r>
    </w:p>
    <w:p w14:paraId="522C97B9" w14:textId="77777777" w:rsidR="003E2D17" w:rsidRPr="0049403D" w:rsidRDefault="003E2D17" w:rsidP="00EB700F">
      <w:pPr>
        <w:numPr>
          <w:ilvl w:val="0"/>
          <w:numId w:val="13"/>
        </w:numPr>
        <w:spacing w:after="60"/>
        <w:ind w:left="709" w:hanging="283"/>
      </w:pPr>
      <w:r w:rsidRPr="0049403D">
        <w:rPr>
          <w:lang w:val="en-US"/>
        </w:rPr>
        <w:t>What are the objectives and functions of the urban area of focus from a hydrologic, social, environmental and economic perspective?</w:t>
      </w:r>
      <w:r w:rsidRPr="0049403D">
        <w:t> </w:t>
      </w:r>
    </w:p>
    <w:p w14:paraId="13C5698E" w14:textId="77777777" w:rsidR="003E2D17" w:rsidRPr="0049403D" w:rsidRDefault="003E2D17" w:rsidP="00EB700F">
      <w:pPr>
        <w:numPr>
          <w:ilvl w:val="0"/>
          <w:numId w:val="14"/>
        </w:numPr>
        <w:spacing w:after="60"/>
        <w:ind w:left="709" w:hanging="283"/>
      </w:pPr>
      <w:r w:rsidRPr="0049403D">
        <w:rPr>
          <w:lang w:val="en-US"/>
        </w:rPr>
        <w:t>Define GEDSI characteristics, interests and rights for the area of focus</w:t>
      </w:r>
      <w:r w:rsidRPr="0049403D">
        <w:t> </w:t>
      </w:r>
    </w:p>
    <w:p w14:paraId="317C8E0A" w14:textId="5A96F9DC" w:rsidR="003E2D17" w:rsidRPr="006926C7" w:rsidRDefault="003E2D17" w:rsidP="00EB700F">
      <w:pPr>
        <w:numPr>
          <w:ilvl w:val="0"/>
          <w:numId w:val="15"/>
        </w:numPr>
        <w:spacing w:after="60"/>
        <w:ind w:left="709" w:hanging="283"/>
      </w:pPr>
      <w:r w:rsidRPr="0049403D">
        <w:rPr>
          <w:lang w:val="en-US"/>
        </w:rPr>
        <w:t>How do these objectives and functions interact with wider catchment and regional factors?</w:t>
      </w:r>
      <w:r w:rsidRPr="0049403D">
        <w:t> </w:t>
      </w:r>
      <w:r w:rsidR="006926C7">
        <w:t xml:space="preserve"> </w:t>
      </w:r>
      <w:r w:rsidRPr="006926C7">
        <w:rPr>
          <w:lang w:val="en-US"/>
        </w:rPr>
        <w:t>Assess climate variability and degree to which the objectives of the urban system are impacted by different types of climate hazards</w:t>
      </w:r>
    </w:p>
    <w:p w14:paraId="6E614399" w14:textId="20EEEB57" w:rsidR="003E2D17" w:rsidRPr="003E2D17" w:rsidRDefault="003E2D17" w:rsidP="00EB700F">
      <w:pPr>
        <w:rPr>
          <w:b/>
          <w:bCs/>
        </w:rPr>
      </w:pPr>
      <w:r w:rsidRPr="003E2D17">
        <w:rPr>
          <w:b/>
          <w:bCs/>
        </w:rPr>
        <w:t>2. Consider full range of options</w:t>
      </w:r>
    </w:p>
    <w:p w14:paraId="7EA8C627" w14:textId="77777777" w:rsidR="003E2D17" w:rsidRPr="0049403D" w:rsidRDefault="003E2D17" w:rsidP="00EB700F">
      <w:pPr>
        <w:spacing w:after="60"/>
      </w:pPr>
      <w:r w:rsidRPr="0049403D">
        <w:rPr>
          <w:lang w:val="en-US"/>
        </w:rPr>
        <w:t>Considerations:</w:t>
      </w:r>
      <w:r w:rsidRPr="0049403D">
        <w:t> </w:t>
      </w:r>
    </w:p>
    <w:p w14:paraId="2BC6D548" w14:textId="77777777" w:rsidR="003E2D17" w:rsidRPr="0049403D" w:rsidRDefault="003E2D17" w:rsidP="00EB700F">
      <w:pPr>
        <w:numPr>
          <w:ilvl w:val="0"/>
          <w:numId w:val="17"/>
        </w:numPr>
        <w:spacing w:after="60"/>
        <w:ind w:left="709" w:hanging="283"/>
      </w:pPr>
      <w:r w:rsidRPr="0049403D">
        <w:rPr>
          <w:lang w:val="en-US"/>
        </w:rPr>
        <w:t>Identify a selection of context-appropriate management interventions/options, based on the three-tiered strategy: prepare, respond, recover</w:t>
      </w:r>
      <w:r w:rsidRPr="0049403D">
        <w:t> </w:t>
      </w:r>
    </w:p>
    <w:p w14:paraId="19CFCF46" w14:textId="77777777" w:rsidR="0058386D" w:rsidRPr="0058386D" w:rsidRDefault="003E2D17" w:rsidP="00EB700F">
      <w:pPr>
        <w:numPr>
          <w:ilvl w:val="0"/>
          <w:numId w:val="18"/>
        </w:numPr>
        <w:spacing w:after="60"/>
        <w:ind w:left="709" w:hanging="283"/>
      </w:pPr>
      <w:r w:rsidRPr="0049403D">
        <w:rPr>
          <w:lang w:val="en-US"/>
        </w:rPr>
        <w:t>Consider full spectrum of green, grey and blue interventions as well as non-structural solutions</w:t>
      </w:r>
    </w:p>
    <w:p w14:paraId="33E1F60B" w14:textId="0958415A" w:rsidR="003E2D17" w:rsidRPr="0058386D" w:rsidRDefault="003E2D17" w:rsidP="00EB700F">
      <w:pPr>
        <w:numPr>
          <w:ilvl w:val="0"/>
          <w:numId w:val="18"/>
        </w:numPr>
        <w:spacing w:after="60"/>
        <w:ind w:left="709" w:hanging="283"/>
      </w:pPr>
      <w:r w:rsidRPr="0058386D">
        <w:rPr>
          <w:lang w:val="en-US"/>
        </w:rPr>
        <w:t>Identify GEDSI interests/needs in each option</w:t>
      </w:r>
    </w:p>
    <w:p w14:paraId="5FC9E7BC" w14:textId="0681851D" w:rsidR="003E2D17" w:rsidRDefault="003E2D17" w:rsidP="00EB700F">
      <w:pPr>
        <w:rPr>
          <w:b/>
          <w:bCs/>
        </w:rPr>
      </w:pPr>
      <w:r w:rsidRPr="003E2D17">
        <w:rPr>
          <w:b/>
          <w:bCs/>
          <w:lang w:val="en-US"/>
        </w:rPr>
        <w:t>3. Identify and value benefits and costs</w:t>
      </w:r>
      <w:r w:rsidRPr="003E2D17">
        <w:rPr>
          <w:b/>
          <w:bCs/>
        </w:rPr>
        <w:t> </w:t>
      </w:r>
    </w:p>
    <w:p w14:paraId="6B9C1C3B" w14:textId="77777777" w:rsidR="003E2D17" w:rsidRPr="0049403D" w:rsidRDefault="003E2D17" w:rsidP="00EB700F">
      <w:pPr>
        <w:spacing w:after="60"/>
      </w:pPr>
      <w:r w:rsidRPr="0049403D">
        <w:rPr>
          <w:lang w:val="en-US"/>
        </w:rPr>
        <w:t>Considerations:</w:t>
      </w:r>
      <w:r w:rsidRPr="0049403D">
        <w:t> </w:t>
      </w:r>
    </w:p>
    <w:p w14:paraId="1EED3AE8" w14:textId="77777777" w:rsidR="00F56ED9" w:rsidRDefault="003E2D17" w:rsidP="00EB700F">
      <w:pPr>
        <w:numPr>
          <w:ilvl w:val="0"/>
          <w:numId w:val="20"/>
        </w:numPr>
        <w:spacing w:after="60"/>
        <w:ind w:left="709" w:hanging="283"/>
      </w:pPr>
      <w:r w:rsidRPr="0049403D">
        <w:rPr>
          <w:lang w:val="en-US"/>
        </w:rPr>
        <w:t>The direct and indirect benefits, costs and risks of different options need to be identified and quantified</w:t>
      </w:r>
      <w:r w:rsidRPr="0049403D">
        <w:t> </w:t>
      </w:r>
    </w:p>
    <w:p w14:paraId="18DCD9CC" w14:textId="6F760D68" w:rsidR="003E2D17" w:rsidRPr="00F56ED9" w:rsidRDefault="003E2D17" w:rsidP="00EB700F">
      <w:pPr>
        <w:numPr>
          <w:ilvl w:val="0"/>
          <w:numId w:val="20"/>
        </w:numPr>
        <w:spacing w:after="60"/>
        <w:ind w:left="709" w:hanging="283"/>
      </w:pPr>
      <w:r w:rsidRPr="00F56ED9">
        <w:rPr>
          <w:lang w:val="en-US"/>
        </w:rPr>
        <w:t>Consider the distribution of benefits, costs and risks across time, stakeholders and location, including a particular focus on vulnerable population groups identified through your earlier GEDSI analysis</w:t>
      </w:r>
    </w:p>
    <w:p w14:paraId="51C7D7DA" w14:textId="46D2AF63" w:rsidR="003E2D17" w:rsidRDefault="003E2D17" w:rsidP="00EB700F">
      <w:pPr>
        <w:rPr>
          <w:b/>
          <w:bCs/>
        </w:rPr>
      </w:pPr>
      <w:r w:rsidRPr="003E2D17">
        <w:rPr>
          <w:b/>
          <w:bCs/>
          <w:lang w:val="en-US"/>
        </w:rPr>
        <w:t>4. Evaluate and compare options</w:t>
      </w:r>
      <w:r w:rsidRPr="003E2D17">
        <w:rPr>
          <w:b/>
          <w:bCs/>
        </w:rPr>
        <w:t> </w:t>
      </w:r>
    </w:p>
    <w:p w14:paraId="0FEFB7C2" w14:textId="77777777" w:rsidR="003E2D17" w:rsidRPr="0049403D" w:rsidRDefault="003E2D17" w:rsidP="00EB700F">
      <w:pPr>
        <w:spacing w:after="60"/>
      </w:pPr>
      <w:r w:rsidRPr="0049403D">
        <w:rPr>
          <w:lang w:val="en-US"/>
        </w:rPr>
        <w:t>Considerations:</w:t>
      </w:r>
      <w:r w:rsidRPr="0049403D">
        <w:t> </w:t>
      </w:r>
    </w:p>
    <w:p w14:paraId="7A694FB6" w14:textId="77777777" w:rsidR="003E2D17" w:rsidRPr="0049403D" w:rsidRDefault="003E2D17" w:rsidP="00EB700F">
      <w:pPr>
        <w:numPr>
          <w:ilvl w:val="0"/>
          <w:numId w:val="22"/>
        </w:numPr>
        <w:spacing w:after="60"/>
        <w:ind w:left="709" w:hanging="283"/>
      </w:pPr>
      <w:r w:rsidRPr="0049403D">
        <w:rPr>
          <w:lang w:val="en-US"/>
        </w:rPr>
        <w:t>Benefit cost analysis provides a rigorous method to compare different options</w:t>
      </w:r>
      <w:r w:rsidRPr="0049403D">
        <w:t> </w:t>
      </w:r>
    </w:p>
    <w:p w14:paraId="3523E8D6" w14:textId="77777777" w:rsidR="003E2D17" w:rsidRPr="0049403D" w:rsidRDefault="003E2D17" w:rsidP="00EB700F">
      <w:pPr>
        <w:numPr>
          <w:ilvl w:val="0"/>
          <w:numId w:val="23"/>
        </w:numPr>
        <w:spacing w:after="60"/>
        <w:ind w:left="709" w:hanging="283"/>
      </w:pPr>
      <w:r w:rsidRPr="0049403D">
        <w:rPr>
          <w:lang w:val="en-US"/>
        </w:rPr>
        <w:t>Sensitivity testing and transparent assumptions build understanding and support better decisions</w:t>
      </w:r>
      <w:r w:rsidRPr="0049403D">
        <w:t> </w:t>
      </w:r>
    </w:p>
    <w:p w14:paraId="51283CF0" w14:textId="77777777" w:rsidR="00EB700F" w:rsidRDefault="003E2D17" w:rsidP="00EB700F">
      <w:pPr>
        <w:numPr>
          <w:ilvl w:val="0"/>
          <w:numId w:val="24"/>
        </w:numPr>
        <w:spacing w:after="60"/>
        <w:ind w:left="709" w:hanging="283"/>
      </w:pPr>
      <w:r w:rsidRPr="0049403D">
        <w:rPr>
          <w:lang w:val="en-US"/>
        </w:rPr>
        <w:t>Distributional impacts for both benefits and costs are important considerations</w:t>
      </w:r>
      <w:r w:rsidRPr="0049403D">
        <w:t> </w:t>
      </w:r>
    </w:p>
    <w:p w14:paraId="277D609A" w14:textId="139EE0F1" w:rsidR="003E2D17" w:rsidRDefault="003E2D17" w:rsidP="00EB700F">
      <w:pPr>
        <w:numPr>
          <w:ilvl w:val="0"/>
          <w:numId w:val="24"/>
        </w:numPr>
        <w:spacing w:after="60"/>
        <w:ind w:left="709" w:hanging="283"/>
      </w:pPr>
      <w:r w:rsidRPr="00EB700F">
        <w:rPr>
          <w:lang w:val="en-US"/>
        </w:rPr>
        <w:t>Independent or peer review and participatory processes enhance confidence in options assessments</w:t>
      </w:r>
      <w:r w:rsidRPr="0049403D">
        <w:t> </w:t>
      </w:r>
    </w:p>
    <w:p w14:paraId="49320FC4" w14:textId="0762D521" w:rsidR="003E2D17" w:rsidRDefault="003E2D17" w:rsidP="00EB700F">
      <w:pPr>
        <w:rPr>
          <w:b/>
          <w:bCs/>
        </w:rPr>
      </w:pPr>
      <w:r w:rsidRPr="003E2D17">
        <w:rPr>
          <w:b/>
          <w:bCs/>
          <w:lang w:val="en-US"/>
        </w:rPr>
        <w:t>5. Identify appropriate financing and funding</w:t>
      </w:r>
      <w:r w:rsidRPr="003E2D17">
        <w:rPr>
          <w:b/>
          <w:bCs/>
        </w:rPr>
        <w:t> </w:t>
      </w:r>
    </w:p>
    <w:p w14:paraId="4C7DB892" w14:textId="77777777" w:rsidR="003E2D17" w:rsidRPr="0049403D" w:rsidRDefault="003E2D17" w:rsidP="00EB700F">
      <w:pPr>
        <w:spacing w:after="60"/>
      </w:pPr>
      <w:r w:rsidRPr="0049403D">
        <w:rPr>
          <w:lang w:val="en-US"/>
        </w:rPr>
        <w:t>Considerations:</w:t>
      </w:r>
      <w:r w:rsidRPr="0049403D">
        <w:t> </w:t>
      </w:r>
    </w:p>
    <w:p w14:paraId="20643318" w14:textId="77777777" w:rsidR="00F56ED9" w:rsidRDefault="003E2D17" w:rsidP="00EB700F">
      <w:pPr>
        <w:pStyle w:val="ListParagraph"/>
        <w:numPr>
          <w:ilvl w:val="0"/>
          <w:numId w:val="29"/>
        </w:numPr>
        <w:ind w:hanging="294"/>
      </w:pPr>
      <w:r w:rsidRPr="00EB700F">
        <w:rPr>
          <w:lang w:val="en-US"/>
        </w:rPr>
        <w:t>Once you have selected the optimal mix of interventions, principles for fair and efficient financing options need to be identified and options assessed</w:t>
      </w:r>
      <w:r w:rsidRPr="003D4B91">
        <w:t xml:space="preserve"> </w:t>
      </w:r>
    </w:p>
    <w:p w14:paraId="07F3456B" w14:textId="0B2187D2" w:rsidR="006B5613" w:rsidRDefault="00B445D3" w:rsidP="003E2D17">
      <w:r w:rsidRPr="003D4B91">
        <w:t>(</w:t>
      </w:r>
      <w:r w:rsidR="009A1670">
        <w:t xml:space="preserve">Based on </w:t>
      </w:r>
      <w:r w:rsidRPr="003D4B91">
        <w:t>RUCaS Annual Report 2025)</w:t>
      </w:r>
    </w:p>
    <w:sectPr w:rsidR="006B5613" w:rsidSect="0015639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9F22B" w14:textId="77777777" w:rsidR="008E0E84" w:rsidRDefault="008E0E84" w:rsidP="00500E52">
      <w:pPr>
        <w:spacing w:after="0" w:line="240" w:lineRule="auto"/>
      </w:pPr>
      <w:r>
        <w:separator/>
      </w:r>
    </w:p>
  </w:endnote>
  <w:endnote w:type="continuationSeparator" w:id="0">
    <w:p w14:paraId="537F6441" w14:textId="77777777" w:rsidR="008E0E84" w:rsidRDefault="008E0E84" w:rsidP="00500E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Calibri Bold">
    <w:panose1 w:val="020F07020304040302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AAD2A" w14:textId="58573223" w:rsidR="00A74565" w:rsidRDefault="00A74565">
    <w:pPr>
      <w:pStyle w:val="Footer"/>
    </w:pPr>
    <w:r>
      <w:rPr>
        <w:noProof/>
      </w:rPr>
      <mc:AlternateContent>
        <mc:Choice Requires="wps">
          <w:drawing>
            <wp:anchor distT="0" distB="0" distL="0" distR="0" simplePos="0" relativeHeight="251658245" behindDoc="0" locked="0" layoutInCell="1" allowOverlap="1" wp14:anchorId="242B3EE2" wp14:editId="431F17EF">
              <wp:simplePos x="635" y="635"/>
              <wp:positionH relativeFrom="page">
                <wp:align>center</wp:align>
              </wp:positionH>
              <wp:positionV relativeFrom="page">
                <wp:align>bottom</wp:align>
              </wp:positionV>
              <wp:extent cx="622300" cy="391160"/>
              <wp:effectExtent l="0" t="0" r="6350" b="0"/>
              <wp:wrapNone/>
              <wp:docPr id="15992207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38731E70" w14:textId="33638D9F" w:rsidR="00A74565" w:rsidRPr="00A74565" w:rsidRDefault="00A74565" w:rsidP="00A74565">
                          <w:pPr>
                            <w:spacing w:after="0"/>
                            <w:rPr>
                              <w:rFonts w:ascii="Aptos" w:eastAsia="Aptos" w:hAnsi="Aptos" w:cs="Aptos"/>
                              <w:noProof/>
                              <w:color w:val="FF0000"/>
                              <w:sz w:val="24"/>
                              <w:szCs w:val="24"/>
                            </w:rPr>
                          </w:pPr>
                          <w:r w:rsidRPr="00A74565">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42B3EE2" id="_x0000_t202" coordsize="21600,21600" o:spt="202" path="m,l,21600r21600,l21600,xe">
              <v:stroke joinstyle="miter"/>
              <v:path gradientshapeok="t" o:connecttype="rect"/>
            </v:shapetype>
            <v:shape id="Text Box 5" o:spid="_x0000_s1027" type="#_x0000_t202" alt="OFFICIAL" style="position:absolute;margin-left:0;margin-top:0;width:49pt;height:30.8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SAVDA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" filled="f" stroked="f">
              <v:textbox style="mso-fit-shape-to-text:t" inset="0,0,0,15pt">
                <w:txbxContent>
                  <w:p w14:paraId="38731E70" w14:textId="33638D9F" w:rsidR="00A74565" w:rsidRPr="00A74565" w:rsidRDefault="00A74565" w:rsidP="00A74565">
                    <w:pPr>
                      <w:spacing w:after="0"/>
                      <w:rPr>
                        <w:rFonts w:ascii="Aptos" w:eastAsia="Aptos" w:hAnsi="Aptos" w:cs="Aptos"/>
                        <w:noProof/>
                        <w:color w:val="FF0000"/>
                        <w:sz w:val="24"/>
                        <w:szCs w:val="24"/>
                      </w:rPr>
                    </w:pPr>
                    <w:r w:rsidRPr="00A74565">
                      <w:rPr>
                        <w:rFonts w:ascii="Aptos" w:eastAsia="Aptos" w:hAnsi="Aptos" w:cs="Aptos"/>
                        <w:noProof/>
                        <w:color w:val="FF0000"/>
                        <w:sz w:val="24"/>
                        <w:szCs w:val="24"/>
                      </w:rPr>
                      <w:t>OFFICIAL</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E5CD1" w14:textId="5BB01560" w:rsidR="00194E96" w:rsidRDefault="00A74565" w:rsidP="007171C2">
    <w:pPr>
      <w:pStyle w:val="Footer"/>
      <w:jc w:val="right"/>
    </w:pPr>
    <w:r>
      <w:rPr>
        <w:noProof/>
        <w:color w:val="BFBFBF" w:themeColor="background1" w:themeShade="BF"/>
      </w:rPr>
      <mc:AlternateContent>
        <mc:Choice Requires="wps">
          <w:drawing>
            <wp:anchor distT="0" distB="0" distL="0" distR="0" simplePos="0" relativeHeight="251652096" behindDoc="0" locked="0" layoutInCell="1" allowOverlap="1" wp14:anchorId="3DBB45FF" wp14:editId="32D68F62">
              <wp:simplePos x="635" y="635"/>
              <wp:positionH relativeFrom="page">
                <wp:align>center</wp:align>
              </wp:positionH>
              <wp:positionV relativeFrom="page">
                <wp:align>bottom</wp:align>
              </wp:positionV>
              <wp:extent cx="622300" cy="391160"/>
              <wp:effectExtent l="0" t="0" r="6350" b="0"/>
              <wp:wrapNone/>
              <wp:docPr id="1525864394"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6890E94C" w14:textId="1A52F6AF" w:rsidR="00A74565" w:rsidRPr="00A74565" w:rsidRDefault="00A74565" w:rsidP="00A74565">
                          <w:pPr>
                            <w:spacing w:after="0"/>
                            <w:rPr>
                              <w:rFonts w:ascii="Aptos" w:eastAsia="Aptos" w:hAnsi="Aptos" w:cs="Aptos"/>
                              <w:noProof/>
                              <w:color w:val="FF0000"/>
                              <w:sz w:val="24"/>
                              <w:szCs w:val="24"/>
                            </w:rPr>
                          </w:pPr>
                          <w:r w:rsidRPr="00A74565">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DBB45FF" id="_x0000_t202" coordsize="21600,21600" o:spt="202" path="m,l,21600r21600,l21600,xe">
              <v:stroke joinstyle="miter"/>
              <v:path gradientshapeok="t" o:connecttype="rect"/>
            </v:shapetype>
            <v:shape id="_x0000_s1034" type="#_x0000_t202" alt="OFFICIAL" style="position:absolute;left:0;text-align:left;margin-left:0;margin-top:0;width:49pt;height:30.8pt;z-index:25165209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" filled="f" stroked="f">
              <v:textbox style="mso-fit-shape-to-text:t" inset="0,0,0,15pt">
                <w:txbxContent>
                  <w:p w14:paraId="6890E94C" w14:textId="1A52F6AF" w:rsidR="00A74565" w:rsidRPr="00A74565" w:rsidRDefault="00A74565" w:rsidP="00A74565">
                    <w:pPr>
                      <w:spacing w:after="0"/>
                      <w:rPr>
                        <w:rFonts w:ascii="Aptos" w:eastAsia="Aptos" w:hAnsi="Aptos" w:cs="Aptos"/>
                        <w:noProof/>
                        <w:color w:val="FF0000"/>
                        <w:sz w:val="24"/>
                        <w:szCs w:val="24"/>
                      </w:rPr>
                    </w:pPr>
                    <w:r w:rsidRPr="00A74565">
                      <w:rPr>
                        <w:rFonts w:ascii="Aptos" w:eastAsia="Aptos" w:hAnsi="Aptos" w:cs="Aptos"/>
                        <w:noProof/>
                        <w:color w:val="FF0000"/>
                        <w:sz w:val="24"/>
                        <w:szCs w:val="24"/>
                      </w:rPr>
                      <w:t>OFFICIAL</w:t>
                    </w:r>
                  </w:p>
                </w:txbxContent>
              </v:textbox>
              <w10:wrap anchorx="page" anchory="page"/>
            </v:shape>
          </w:pict>
        </mc:Fallback>
      </mc:AlternateContent>
    </w:r>
    <w:sdt>
      <w:sdtPr>
        <w:rPr>
          <w:color w:val="BFBFBF" w:themeColor="background1" w:themeShade="BF"/>
        </w:rPr>
        <w:id w:val="142080577"/>
        <w:docPartObj>
          <w:docPartGallery w:val="Page Numbers (Bottom of Page)"/>
          <w:docPartUnique/>
        </w:docPartObj>
      </w:sdtPr>
      <w:sdtEndPr>
        <w:rPr>
          <w:noProof/>
          <w:color w:val="auto"/>
        </w:rPr>
      </w:sdtEndPr>
      <w:sdtContent>
        <w:r w:rsidR="00194E96" w:rsidRPr="006D676A">
          <w:rPr>
            <w:sz w:val="20"/>
            <w:szCs w:val="20"/>
          </w:rPr>
          <w:t>FH Designs Pty Ltd</w:t>
        </w:r>
        <w:r w:rsidR="000D42BD">
          <w:rPr>
            <w:sz w:val="20"/>
            <w:szCs w:val="20"/>
          </w:rPr>
          <w:tab/>
        </w:r>
        <w:r w:rsidR="00194E96">
          <w:tab/>
        </w:r>
        <w:r w:rsidR="00194E96">
          <w:fldChar w:fldCharType="begin"/>
        </w:r>
        <w:r w:rsidR="00194E96">
          <w:instrText xml:space="preserve"> PAGE   \* MERGEFORMAT </w:instrText>
        </w:r>
        <w:r w:rsidR="00194E96">
          <w:fldChar w:fldCharType="separate"/>
        </w:r>
        <w:r w:rsidR="00194E96">
          <w:rPr>
            <w:noProof/>
          </w:rPr>
          <w:t>2</w:t>
        </w:r>
        <w:r w:rsidR="00194E96">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E763D" w14:textId="4A31A797" w:rsidR="00164CF7" w:rsidRDefault="00000000">
    <w:pPr>
      <w:pStyle w:val="Footer"/>
      <w:jc w:val="right"/>
    </w:pPr>
    <w:sdt>
      <w:sdtPr>
        <w:rPr>
          <w:color w:val="BFBFBF" w:themeColor="background1" w:themeShade="BF"/>
        </w:rPr>
        <w:id w:val="608638018"/>
        <w:docPartObj>
          <w:docPartGallery w:val="Page Numbers (Bottom of Page)"/>
          <w:docPartUnique/>
        </w:docPartObj>
      </w:sdtPr>
      <w:sdtEndPr>
        <w:rPr>
          <w:noProof/>
          <w:color w:val="auto"/>
        </w:rPr>
      </w:sdtEndPr>
      <w:sdtContent>
        <w:r w:rsidR="00130369" w:rsidRPr="00564D87">
          <w:rPr>
            <w:sz w:val="20"/>
            <w:szCs w:val="20"/>
          </w:rPr>
          <w:t>FH Designs Pty Ltd</w:t>
        </w:r>
        <w:r w:rsidR="00130369">
          <w:tab/>
        </w:r>
        <w:r w:rsidR="00130369">
          <w:tab/>
        </w:r>
        <w:r w:rsidR="00164CF7">
          <w:fldChar w:fldCharType="begin"/>
        </w:r>
        <w:r w:rsidR="00164CF7">
          <w:instrText xml:space="preserve"> PAGE   \* MERGEFORMAT </w:instrText>
        </w:r>
        <w:r w:rsidR="00164CF7">
          <w:fldChar w:fldCharType="separate"/>
        </w:r>
        <w:r w:rsidR="00164CF7">
          <w:rPr>
            <w:noProof/>
          </w:rPr>
          <w:t>2</w:t>
        </w:r>
        <w:r w:rsidR="00164CF7">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27DBC" w14:textId="4AF2E943" w:rsidR="00637E0D" w:rsidRDefault="00637E0D" w:rsidP="00637E0D">
    <w:pPr>
      <w:pStyle w:val="Footer"/>
      <w:tabs>
        <w:tab w:val="clear" w:pos="4513"/>
        <w:tab w:val="clear" w:pos="9026"/>
        <w:tab w:val="left" w:pos="4185"/>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A212E" w14:textId="07F46561" w:rsidR="00B14098" w:rsidRDefault="00B14098" w:rsidP="0010569B">
    <w:pPr>
      <w:pStyle w:val="Footer"/>
      <w:jc w:val="right"/>
    </w:pPr>
    <w:r>
      <w:rPr>
        <w:noProof/>
        <w:color w:val="BFBFBF" w:themeColor="background1" w:themeShade="BF"/>
      </w:rPr>
      <mc:AlternateContent>
        <mc:Choice Requires="wps">
          <w:drawing>
            <wp:anchor distT="0" distB="0" distL="0" distR="0" simplePos="0" relativeHeight="251689984" behindDoc="0" locked="0" layoutInCell="1" allowOverlap="1" wp14:anchorId="0CDA973C" wp14:editId="38E88E5F">
              <wp:simplePos x="635" y="635"/>
              <wp:positionH relativeFrom="page">
                <wp:align>center</wp:align>
              </wp:positionH>
              <wp:positionV relativeFrom="page">
                <wp:align>bottom</wp:align>
              </wp:positionV>
              <wp:extent cx="622300" cy="391160"/>
              <wp:effectExtent l="0" t="0" r="6350" b="0"/>
              <wp:wrapNone/>
              <wp:docPr id="1185822505"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5CD5D3C3" w14:textId="77777777" w:rsidR="00B14098" w:rsidRPr="00A74565" w:rsidRDefault="00B14098" w:rsidP="00A74565">
                          <w:pPr>
                            <w:spacing w:after="0"/>
                            <w:rPr>
                              <w:rFonts w:ascii="Aptos" w:eastAsia="Aptos" w:hAnsi="Aptos" w:cs="Aptos"/>
                              <w:noProof/>
                              <w:color w:val="FF0000"/>
                              <w:sz w:val="24"/>
                              <w:szCs w:val="24"/>
                            </w:rPr>
                          </w:pPr>
                          <w:r w:rsidRPr="00A74565">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DA973C" id="_x0000_t202" coordsize="21600,21600" o:spt="202" path="m,l,21600r21600,l21600,xe">
              <v:stroke joinstyle="miter"/>
              <v:path gradientshapeok="t" o:connecttype="rect"/>
            </v:shapetype>
            <v:shape id="Text Box 7" o:spid="_x0000_s1028" type="#_x0000_t202" alt="OFFICIAL" style="position:absolute;left:0;text-align:left;margin-left:0;margin-top:0;width:49pt;height:30.8pt;z-index:2516899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PdT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0rPh2n30J9pKUQTnx7J1cttV4LH54FEsE0LYk2&#10;PNGhDfQVh7PFWQP482/+mE+4U5SzngRTcUuK5sx8t8RH1NZo4Ghsk1Hc5p8jPHbf3QPJsKAX4WQy&#10;yYvBjKZG6F5JzsvYiELCSmpX8e1o3oeTcuk5SLVcpiSSkRNhbTdOxtIRrojly/Aq0J0BD8TUI4xq&#10;EuU73E+58aZ3y30g9BMpEdoTkGfESYKJq/NziRp/+5+yro968Qs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LoM91MNAgAAHAQA&#10;AA4AAAAAAAAAAAAAAAAALgIAAGRycy9lMm9Eb2MueG1sUEsBAi0AFAAGAAgAAAAhAIJRlNfaAAAA&#10;AwEAAA8AAAAAAAAAAAAAAAAAZwQAAGRycy9kb3ducmV2LnhtbFBLBQYAAAAABAAEAPMAAABuBQAA&#10;AAA=&#10;" filled="f" stroked="f">
              <v:textbox style="mso-fit-shape-to-text:t" inset="0,0,0,15pt">
                <w:txbxContent>
                  <w:p w14:paraId="5CD5D3C3" w14:textId="77777777" w:rsidR="00B14098" w:rsidRPr="00A74565" w:rsidRDefault="00B14098" w:rsidP="00A74565">
                    <w:pPr>
                      <w:spacing w:after="0"/>
                      <w:rPr>
                        <w:rFonts w:ascii="Aptos" w:eastAsia="Aptos" w:hAnsi="Aptos" w:cs="Aptos"/>
                        <w:noProof/>
                        <w:color w:val="FF0000"/>
                        <w:sz w:val="24"/>
                        <w:szCs w:val="24"/>
                      </w:rPr>
                    </w:pPr>
                    <w:r w:rsidRPr="00A74565">
                      <w:rPr>
                        <w:rFonts w:ascii="Aptos" w:eastAsia="Aptos" w:hAnsi="Aptos" w:cs="Aptos"/>
                        <w:noProof/>
                        <w:color w:val="FF0000"/>
                        <w:sz w:val="24"/>
                        <w:szCs w:val="24"/>
                      </w:rPr>
                      <w:t>OFFICIAL</w:t>
                    </w:r>
                  </w:p>
                </w:txbxContent>
              </v:textbox>
              <w10:wrap anchorx="page" anchory="page"/>
            </v:shape>
          </w:pict>
        </mc:Fallback>
      </mc:AlternateContent>
    </w:r>
    <w:sdt>
      <w:sdtPr>
        <w:rPr>
          <w:color w:val="BFBFBF" w:themeColor="background1" w:themeShade="BF"/>
        </w:rPr>
        <w:id w:val="-255218349"/>
        <w:docPartObj>
          <w:docPartGallery w:val="Page Numbers (Bottom of Page)"/>
          <w:docPartUnique/>
        </w:docPartObj>
      </w:sdtPr>
      <w:sdtEndPr>
        <w:rPr>
          <w:noProof/>
          <w:color w:val="auto"/>
        </w:rPr>
      </w:sdtEndPr>
      <w:sdtContent>
        <w:r w:rsidRPr="006D676A">
          <w:rPr>
            <w:sz w:val="20"/>
            <w:szCs w:val="20"/>
          </w:rPr>
          <w:t>FH Designs Pty Ltd</w:t>
        </w:r>
        <w:r w:rsidR="0010569B">
          <w:rPr>
            <w:sz w:val="20"/>
            <w:szCs w:val="20"/>
          </w:rPr>
          <w:tab/>
        </w:r>
        <w:r w:rsidR="0010569B">
          <w:rPr>
            <w:sz w:val="20"/>
            <w:szCs w:val="20"/>
          </w:rPr>
          <w:tab/>
        </w:r>
        <w:r w:rsidR="0010569B">
          <w:rPr>
            <w:sz w:val="20"/>
            <w:szCs w:val="20"/>
          </w:rPr>
          <w:tab/>
        </w:r>
        <w:r w:rsidR="0010569B">
          <w:rPr>
            <w:sz w:val="20"/>
            <w:szCs w:val="20"/>
          </w:rPr>
          <w:tab/>
        </w:r>
        <w:r w:rsidR="0010569B">
          <w:rPr>
            <w:sz w:val="20"/>
            <w:szCs w:val="20"/>
          </w:rPr>
          <w:tab/>
        </w:r>
        <w:r w:rsidR="0010569B">
          <w:rPr>
            <w:sz w:val="20"/>
            <w:szCs w:val="20"/>
          </w:rPr>
          <w:tab/>
        </w:r>
        <w:r w:rsidR="0010569B">
          <w:rPr>
            <w:sz w:val="20"/>
            <w:szCs w:val="20"/>
          </w:rPr>
          <w:tab/>
        </w:r>
        <w:r>
          <w:tab/>
        </w:r>
        <w:r>
          <w:tab/>
        </w:r>
        <w:r>
          <w:fldChar w:fldCharType="begin"/>
        </w:r>
        <w:r>
          <w:instrText xml:space="preserve"> PAGE   \* MERGEFORMAT </w:instrText>
        </w:r>
        <w:r>
          <w:fldChar w:fldCharType="separate"/>
        </w:r>
        <w:r>
          <w:rPr>
            <w:noProof/>
          </w:rPr>
          <w:t>2</w:t>
        </w:r>
        <w:r>
          <w:rPr>
            <w:noProof/>
          </w:rPr>
          <w:fldChar w:fldCharType="end"/>
        </w:r>
      </w:sdtContent>
    </w:sdt>
  </w:p>
  <w:p w14:paraId="1C07CD9C" w14:textId="77777777" w:rsidR="00B14098" w:rsidRDefault="00B1409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AAA2C" w14:textId="3816B16B" w:rsidR="00B63D04" w:rsidRDefault="00B63D04" w:rsidP="00C52D7D">
    <w:pPr>
      <w:pStyle w:val="Footer"/>
      <w:jc w:val="right"/>
    </w:pPr>
    <w:r>
      <w:rPr>
        <w:noProof/>
        <w:color w:val="BFBFBF" w:themeColor="background1" w:themeShade="BF"/>
      </w:rPr>
      <mc:AlternateContent>
        <mc:Choice Requires="wps">
          <w:drawing>
            <wp:anchor distT="0" distB="0" distL="0" distR="0" simplePos="0" relativeHeight="251657216" behindDoc="0" locked="0" layoutInCell="1" allowOverlap="1" wp14:anchorId="4148CA46" wp14:editId="2084BDB1">
              <wp:simplePos x="635" y="635"/>
              <wp:positionH relativeFrom="page">
                <wp:align>center</wp:align>
              </wp:positionH>
              <wp:positionV relativeFrom="page">
                <wp:align>bottom</wp:align>
              </wp:positionV>
              <wp:extent cx="622300" cy="391160"/>
              <wp:effectExtent l="0" t="0" r="6350" b="0"/>
              <wp:wrapNone/>
              <wp:docPr id="1680434329"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237C69B3" w14:textId="77777777" w:rsidR="00B63D04" w:rsidRPr="00A74565" w:rsidRDefault="00B63D04" w:rsidP="00A74565">
                          <w:pPr>
                            <w:spacing w:after="0"/>
                            <w:rPr>
                              <w:rFonts w:ascii="Aptos" w:eastAsia="Aptos" w:hAnsi="Aptos" w:cs="Aptos"/>
                              <w:noProof/>
                              <w:color w:val="FF0000"/>
                              <w:sz w:val="24"/>
                              <w:szCs w:val="24"/>
                            </w:rPr>
                          </w:pPr>
                          <w:r w:rsidRPr="00A74565">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148CA46" id="_x0000_t202" coordsize="21600,21600" o:spt="202" path="m,l,21600r21600,l21600,xe">
              <v:stroke joinstyle="miter"/>
              <v:path gradientshapeok="t" o:connecttype="rect"/>
            </v:shapetype>
            <v:shape id="_x0000_s1029" type="#_x0000_t202" alt="OFFICIAL" style="position:absolute;left:0;text-align:left;margin-left:0;margin-top:0;width:49pt;height:30.8pt;z-index:25165721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0Vu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2p+Tj9FuojLYVw4ts7uWqp9Vr48CyQCKZpSbTh&#10;iQ5toK84nC3OGsCff/PHfMKdopz1JJiKW1I0Z+a7JT6itkYDR2ObjOI2/xzhsfvuHkiGBb0IJ5NJ&#10;XgxmNDVC90pyXsZGFBJWUruKb0fzPpyUS89BquUyJZGMnAhru3Eylo5wRSxfhleB7gx4IKYeYVST&#10;KN/hfsqNN71b7gOhn0iJ0J6APCNOEkxcnZ9L1Pjb/5R1fdSLXwA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NezRW4NAgAAHAQA&#10;AA4AAAAAAAAAAAAAAAAALgIAAGRycy9lMm9Eb2MueG1sUEsBAi0AFAAGAAgAAAAhAIJRlNfaAAAA&#10;AwEAAA8AAAAAAAAAAAAAAAAAZwQAAGRycy9kb3ducmV2LnhtbFBLBQYAAAAABAAEAPMAAABuBQAA&#10;AAA=&#10;" filled="f" stroked="f">
              <v:textbox style="mso-fit-shape-to-text:t" inset="0,0,0,15pt">
                <w:txbxContent>
                  <w:p w14:paraId="237C69B3" w14:textId="77777777" w:rsidR="00B63D04" w:rsidRPr="00A74565" w:rsidRDefault="00B63D04" w:rsidP="00A74565">
                    <w:pPr>
                      <w:spacing w:after="0"/>
                      <w:rPr>
                        <w:rFonts w:ascii="Aptos" w:eastAsia="Aptos" w:hAnsi="Aptos" w:cs="Aptos"/>
                        <w:noProof/>
                        <w:color w:val="FF0000"/>
                        <w:sz w:val="24"/>
                        <w:szCs w:val="24"/>
                      </w:rPr>
                    </w:pPr>
                    <w:r w:rsidRPr="00A74565">
                      <w:rPr>
                        <w:rFonts w:ascii="Aptos" w:eastAsia="Aptos" w:hAnsi="Aptos" w:cs="Aptos"/>
                        <w:noProof/>
                        <w:color w:val="FF0000"/>
                        <w:sz w:val="24"/>
                        <w:szCs w:val="24"/>
                      </w:rPr>
                      <w:t>OFFICIAL</w:t>
                    </w:r>
                  </w:p>
                </w:txbxContent>
              </v:textbox>
              <w10:wrap anchorx="page" anchory="page"/>
            </v:shape>
          </w:pict>
        </mc:Fallback>
      </mc:AlternateContent>
    </w:r>
    <w:sdt>
      <w:sdtPr>
        <w:rPr>
          <w:color w:val="BFBFBF" w:themeColor="background1" w:themeShade="BF"/>
        </w:rPr>
        <w:id w:val="1006939899"/>
        <w:docPartObj>
          <w:docPartGallery w:val="Page Numbers (Bottom of Page)"/>
          <w:docPartUnique/>
        </w:docPartObj>
      </w:sdtPr>
      <w:sdtEndPr>
        <w:rPr>
          <w:noProof/>
          <w:color w:val="auto"/>
        </w:rPr>
      </w:sdtEndPr>
      <w:sdtContent>
        <w:r w:rsidRPr="006D676A">
          <w:rPr>
            <w:sz w:val="20"/>
            <w:szCs w:val="20"/>
          </w:rPr>
          <w:t>FH Designs Pty Ltd</w:t>
        </w:r>
        <w:r w:rsidR="000D42BD">
          <w:rPr>
            <w:sz w:val="20"/>
            <w:szCs w:val="20"/>
          </w:rPr>
          <w:tab/>
        </w:r>
        <w:r w:rsidR="000D42BD">
          <w:rPr>
            <w:sz w:val="20"/>
            <w:szCs w:val="20"/>
          </w:rPr>
          <w:tab/>
        </w:r>
        <w:r w:rsidR="000D42BD">
          <w:rPr>
            <w:sz w:val="20"/>
            <w:szCs w:val="20"/>
          </w:rPr>
          <w:tab/>
        </w:r>
        <w:r w:rsidR="000D42BD">
          <w:rPr>
            <w:sz w:val="20"/>
            <w:szCs w:val="20"/>
          </w:rPr>
          <w:tab/>
        </w:r>
        <w:r w:rsidR="000D42BD">
          <w:rPr>
            <w:sz w:val="20"/>
            <w:szCs w:val="20"/>
          </w:rPr>
          <w:tab/>
        </w:r>
        <w:r w:rsidR="000D42BD">
          <w:rPr>
            <w:sz w:val="20"/>
            <w:szCs w:val="20"/>
          </w:rPr>
          <w:tab/>
        </w:r>
        <w:r w:rsidR="000D42BD">
          <w:rPr>
            <w:sz w:val="20"/>
            <w:szCs w:val="20"/>
          </w:rPr>
          <w:tab/>
        </w:r>
        <w:r>
          <w:tab/>
        </w:r>
        <w:r>
          <w:tab/>
        </w:r>
        <w:r>
          <w:fldChar w:fldCharType="begin"/>
        </w:r>
        <w:r>
          <w:instrText xml:space="preserve"> PAGE   \* MERGEFORMAT </w:instrText>
        </w:r>
        <w:r>
          <w:fldChar w:fldCharType="separate"/>
        </w:r>
        <w:r>
          <w:rPr>
            <w:noProof/>
          </w:rPr>
          <w:t>2</w:t>
        </w:r>
        <w:r>
          <w:rPr>
            <w:noProof/>
          </w:rPr>
          <w:fldChar w:fldCharType="end"/>
        </w:r>
      </w:sdtContent>
    </w:sdt>
  </w:p>
  <w:p w14:paraId="5C1F4E0C" w14:textId="77777777" w:rsidR="00B63D04" w:rsidRDefault="00B63D0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FE229" w14:textId="01D2E816" w:rsidR="00B63D04" w:rsidRDefault="00B63D04" w:rsidP="00C52D7D">
    <w:pPr>
      <w:pStyle w:val="Footer"/>
      <w:jc w:val="right"/>
    </w:pPr>
    <w:r>
      <w:rPr>
        <w:noProof/>
        <w:color w:val="BFBFBF" w:themeColor="background1" w:themeShade="BF"/>
      </w:rPr>
      <mc:AlternateContent>
        <mc:Choice Requires="wps">
          <w:drawing>
            <wp:anchor distT="0" distB="0" distL="0" distR="0" simplePos="0" relativeHeight="251662336" behindDoc="0" locked="0" layoutInCell="1" allowOverlap="1" wp14:anchorId="45A71152" wp14:editId="3550580C">
              <wp:simplePos x="635" y="635"/>
              <wp:positionH relativeFrom="page">
                <wp:align>center</wp:align>
              </wp:positionH>
              <wp:positionV relativeFrom="page">
                <wp:align>bottom</wp:align>
              </wp:positionV>
              <wp:extent cx="622300" cy="391160"/>
              <wp:effectExtent l="0" t="0" r="6350" b="0"/>
              <wp:wrapNone/>
              <wp:docPr id="759178083"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68649B80" w14:textId="77777777" w:rsidR="00B63D04" w:rsidRPr="00A74565" w:rsidRDefault="00B63D04" w:rsidP="00A74565">
                          <w:pPr>
                            <w:spacing w:after="0"/>
                            <w:rPr>
                              <w:rFonts w:ascii="Aptos" w:eastAsia="Aptos" w:hAnsi="Aptos" w:cs="Aptos"/>
                              <w:noProof/>
                              <w:color w:val="FF0000"/>
                              <w:sz w:val="24"/>
                              <w:szCs w:val="24"/>
                            </w:rPr>
                          </w:pPr>
                          <w:r w:rsidRPr="00A74565">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5A71152" id="_x0000_t202" coordsize="21600,21600" o:spt="202" path="m,l,21600r21600,l21600,xe">
              <v:stroke joinstyle="miter"/>
              <v:path gradientshapeok="t" o:connecttype="rect"/>
            </v:shapetype>
            <v:shape id="_x0000_s1030" type="#_x0000_t202" alt="OFFICIAL" style="position:absolute;left:0;text-align:left;margin-left:0;margin-top:0;width:49pt;height:30.8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" filled="f" stroked="f">
              <v:textbox style="mso-fit-shape-to-text:t" inset="0,0,0,15pt">
                <w:txbxContent>
                  <w:p w14:paraId="68649B80" w14:textId="77777777" w:rsidR="00B63D04" w:rsidRPr="00A74565" w:rsidRDefault="00B63D04" w:rsidP="00A74565">
                    <w:pPr>
                      <w:spacing w:after="0"/>
                      <w:rPr>
                        <w:rFonts w:ascii="Aptos" w:eastAsia="Aptos" w:hAnsi="Aptos" w:cs="Aptos"/>
                        <w:noProof/>
                        <w:color w:val="FF0000"/>
                        <w:sz w:val="24"/>
                        <w:szCs w:val="24"/>
                      </w:rPr>
                    </w:pPr>
                    <w:r w:rsidRPr="00A74565">
                      <w:rPr>
                        <w:rFonts w:ascii="Aptos" w:eastAsia="Aptos" w:hAnsi="Aptos" w:cs="Aptos"/>
                        <w:noProof/>
                        <w:color w:val="FF0000"/>
                        <w:sz w:val="24"/>
                        <w:szCs w:val="24"/>
                      </w:rPr>
                      <w:t>OFFICIAL</w:t>
                    </w:r>
                  </w:p>
                </w:txbxContent>
              </v:textbox>
              <w10:wrap anchorx="page" anchory="page"/>
            </v:shape>
          </w:pict>
        </mc:Fallback>
      </mc:AlternateContent>
    </w:r>
    <w:sdt>
      <w:sdtPr>
        <w:rPr>
          <w:color w:val="BFBFBF" w:themeColor="background1" w:themeShade="BF"/>
        </w:rPr>
        <w:id w:val="-347326677"/>
        <w:docPartObj>
          <w:docPartGallery w:val="Page Numbers (Bottom of Page)"/>
          <w:docPartUnique/>
        </w:docPartObj>
      </w:sdtPr>
      <w:sdtEndPr>
        <w:rPr>
          <w:noProof/>
          <w:color w:val="auto"/>
        </w:rPr>
      </w:sdtEndPr>
      <w:sdtContent>
        <w:r w:rsidRPr="006D676A">
          <w:rPr>
            <w:sz w:val="20"/>
            <w:szCs w:val="20"/>
          </w:rPr>
          <w:t>FH Designs Pty Ltd</w:t>
        </w:r>
        <w:r w:rsidR="000D42BD">
          <w:rPr>
            <w:sz w:val="20"/>
            <w:szCs w:val="20"/>
          </w:rPr>
          <w:tab/>
        </w:r>
        <w:r w:rsidR="000D42BD">
          <w:rPr>
            <w:sz w:val="20"/>
            <w:szCs w:val="20"/>
          </w:rPr>
          <w:tab/>
        </w:r>
        <w:r w:rsidR="000D42BD">
          <w:rPr>
            <w:sz w:val="20"/>
            <w:szCs w:val="20"/>
          </w:rPr>
          <w:tab/>
        </w:r>
        <w:r w:rsidR="000D42BD">
          <w:rPr>
            <w:sz w:val="20"/>
            <w:szCs w:val="20"/>
          </w:rPr>
          <w:tab/>
        </w:r>
        <w:r w:rsidR="000D42BD">
          <w:rPr>
            <w:sz w:val="20"/>
            <w:szCs w:val="20"/>
          </w:rPr>
          <w:tab/>
        </w:r>
        <w:r w:rsidR="000D42BD">
          <w:rPr>
            <w:sz w:val="20"/>
            <w:szCs w:val="20"/>
          </w:rPr>
          <w:tab/>
        </w:r>
        <w:r w:rsidR="000D42BD">
          <w:rPr>
            <w:sz w:val="20"/>
            <w:szCs w:val="20"/>
          </w:rPr>
          <w:tab/>
        </w:r>
        <w:r>
          <w:tab/>
        </w:r>
        <w:r>
          <w:tab/>
        </w:r>
        <w:r>
          <w:fldChar w:fldCharType="begin"/>
        </w:r>
        <w:r>
          <w:instrText xml:space="preserve"> PAGE   \* MERGEFORMAT </w:instrText>
        </w:r>
        <w:r>
          <w:fldChar w:fldCharType="separate"/>
        </w:r>
        <w:r>
          <w:rPr>
            <w:noProof/>
          </w:rPr>
          <w:t>2</w:t>
        </w:r>
        <w:r>
          <w:rPr>
            <w:noProof/>
          </w:rPr>
          <w:fldChar w:fldCharType="end"/>
        </w:r>
      </w:sdtContent>
    </w:sdt>
  </w:p>
  <w:p w14:paraId="30F40D32" w14:textId="543F036C" w:rsidR="00B63D04" w:rsidRDefault="000D42BD">
    <w:pPr>
      <w:pStyle w:val="Footer"/>
    </w:pPr>
    <w:r>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097A9" w14:textId="25D82485" w:rsidR="00507908" w:rsidRDefault="00507908" w:rsidP="00C52D7D">
    <w:pPr>
      <w:pStyle w:val="Footer"/>
      <w:jc w:val="right"/>
    </w:pPr>
    <w:r>
      <w:rPr>
        <w:noProof/>
        <w:color w:val="BFBFBF" w:themeColor="background1" w:themeShade="BF"/>
      </w:rPr>
      <mc:AlternateContent>
        <mc:Choice Requires="wps">
          <w:drawing>
            <wp:anchor distT="0" distB="0" distL="0" distR="0" simplePos="0" relativeHeight="251667456" behindDoc="0" locked="0" layoutInCell="1" allowOverlap="1" wp14:anchorId="43E006A8" wp14:editId="046C425C">
              <wp:simplePos x="635" y="635"/>
              <wp:positionH relativeFrom="page">
                <wp:align>center</wp:align>
              </wp:positionH>
              <wp:positionV relativeFrom="page">
                <wp:align>bottom</wp:align>
              </wp:positionV>
              <wp:extent cx="622300" cy="391160"/>
              <wp:effectExtent l="0" t="0" r="6350" b="0"/>
              <wp:wrapNone/>
              <wp:docPr id="489342016"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5B011189" w14:textId="77777777" w:rsidR="00507908" w:rsidRPr="00A74565" w:rsidRDefault="00507908" w:rsidP="00A74565">
                          <w:pPr>
                            <w:spacing w:after="0"/>
                            <w:rPr>
                              <w:rFonts w:ascii="Aptos" w:eastAsia="Aptos" w:hAnsi="Aptos" w:cs="Aptos"/>
                              <w:noProof/>
                              <w:color w:val="FF0000"/>
                              <w:sz w:val="24"/>
                              <w:szCs w:val="24"/>
                            </w:rPr>
                          </w:pPr>
                          <w:r w:rsidRPr="00A74565">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3E006A8" id="_x0000_t202" coordsize="21600,21600" o:spt="202" path="m,l,21600r21600,l21600,xe">
              <v:stroke joinstyle="miter"/>
              <v:path gradientshapeok="t" o:connecttype="rect"/>
            </v:shapetype>
            <v:shape id="_x0000_s1031" type="#_x0000_t202" alt="OFFICIAL" style="position:absolute;left:0;text-align:left;margin-left:0;margin-top:0;width:49pt;height:30.8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" filled="f" stroked="f">
              <v:textbox style="mso-fit-shape-to-text:t" inset="0,0,0,15pt">
                <w:txbxContent>
                  <w:p w14:paraId="5B011189" w14:textId="77777777" w:rsidR="00507908" w:rsidRPr="00A74565" w:rsidRDefault="00507908" w:rsidP="00A74565">
                    <w:pPr>
                      <w:spacing w:after="0"/>
                      <w:rPr>
                        <w:rFonts w:ascii="Aptos" w:eastAsia="Aptos" w:hAnsi="Aptos" w:cs="Aptos"/>
                        <w:noProof/>
                        <w:color w:val="FF0000"/>
                        <w:sz w:val="24"/>
                        <w:szCs w:val="24"/>
                      </w:rPr>
                    </w:pPr>
                    <w:r w:rsidRPr="00A74565">
                      <w:rPr>
                        <w:rFonts w:ascii="Aptos" w:eastAsia="Aptos" w:hAnsi="Aptos" w:cs="Aptos"/>
                        <w:noProof/>
                        <w:color w:val="FF0000"/>
                        <w:sz w:val="24"/>
                        <w:szCs w:val="24"/>
                      </w:rPr>
                      <w:t>OFFICIAL</w:t>
                    </w:r>
                  </w:p>
                </w:txbxContent>
              </v:textbox>
              <w10:wrap anchorx="page" anchory="page"/>
            </v:shape>
          </w:pict>
        </mc:Fallback>
      </mc:AlternateContent>
    </w:r>
    <w:sdt>
      <w:sdtPr>
        <w:rPr>
          <w:color w:val="BFBFBF" w:themeColor="background1" w:themeShade="BF"/>
        </w:rPr>
        <w:id w:val="-974993797"/>
        <w:docPartObj>
          <w:docPartGallery w:val="Page Numbers (Bottom of Page)"/>
          <w:docPartUnique/>
        </w:docPartObj>
      </w:sdtPr>
      <w:sdtEndPr>
        <w:rPr>
          <w:noProof/>
          <w:color w:val="auto"/>
        </w:rPr>
      </w:sdtEndPr>
      <w:sdtContent>
        <w:r w:rsidRPr="006D676A">
          <w:rPr>
            <w:sz w:val="20"/>
            <w:szCs w:val="20"/>
          </w:rPr>
          <w:t>FH Designs Pty Ltd</w:t>
        </w:r>
        <w:r w:rsidR="000D42BD">
          <w:rPr>
            <w:sz w:val="20"/>
            <w:szCs w:val="20"/>
          </w:rPr>
          <w:tab/>
        </w:r>
        <w:r w:rsidR="000D42BD">
          <w:rPr>
            <w:sz w:val="20"/>
            <w:szCs w:val="20"/>
          </w:rPr>
          <w:tab/>
        </w:r>
        <w:r w:rsidR="000D42BD">
          <w:rPr>
            <w:sz w:val="20"/>
            <w:szCs w:val="20"/>
          </w:rPr>
          <w:tab/>
        </w:r>
        <w:r w:rsidR="000D42BD">
          <w:rPr>
            <w:sz w:val="20"/>
            <w:szCs w:val="20"/>
          </w:rPr>
          <w:tab/>
        </w:r>
        <w:r w:rsidR="000D42BD">
          <w:rPr>
            <w:sz w:val="20"/>
            <w:szCs w:val="20"/>
          </w:rPr>
          <w:tab/>
        </w:r>
        <w:r w:rsidR="000D42BD">
          <w:rPr>
            <w:sz w:val="20"/>
            <w:szCs w:val="20"/>
          </w:rPr>
          <w:tab/>
        </w:r>
        <w:r w:rsidR="000D42BD">
          <w:rPr>
            <w:sz w:val="20"/>
            <w:szCs w:val="20"/>
          </w:rPr>
          <w:tab/>
        </w:r>
        <w:r>
          <w:tab/>
        </w:r>
        <w:r>
          <w:tab/>
        </w:r>
        <w:r>
          <w:fldChar w:fldCharType="begin"/>
        </w:r>
        <w:r>
          <w:instrText xml:space="preserve"> PAGE   \* MERGEFORMAT </w:instrText>
        </w:r>
        <w:r>
          <w:fldChar w:fldCharType="separate"/>
        </w:r>
        <w:r>
          <w:rPr>
            <w:noProof/>
          </w:rPr>
          <w:t>2</w:t>
        </w:r>
        <w:r>
          <w:rPr>
            <w:noProof/>
          </w:rPr>
          <w:fldChar w:fldCharType="end"/>
        </w:r>
      </w:sdtContent>
    </w:sdt>
  </w:p>
  <w:p w14:paraId="58470D41" w14:textId="77777777" w:rsidR="00507908" w:rsidRDefault="0050790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A6DB6" w14:textId="2EFA878D" w:rsidR="00507908" w:rsidRDefault="00507908" w:rsidP="00C52D7D">
    <w:pPr>
      <w:pStyle w:val="Footer"/>
      <w:jc w:val="right"/>
    </w:pPr>
    <w:r>
      <w:rPr>
        <w:noProof/>
        <w:color w:val="BFBFBF" w:themeColor="background1" w:themeShade="BF"/>
      </w:rPr>
      <mc:AlternateContent>
        <mc:Choice Requires="wps">
          <w:drawing>
            <wp:anchor distT="0" distB="0" distL="0" distR="0" simplePos="0" relativeHeight="251670528" behindDoc="0" locked="0" layoutInCell="1" allowOverlap="1" wp14:anchorId="5430BB4F" wp14:editId="6C8EB68A">
              <wp:simplePos x="635" y="635"/>
              <wp:positionH relativeFrom="page">
                <wp:align>center</wp:align>
              </wp:positionH>
              <wp:positionV relativeFrom="page">
                <wp:align>bottom</wp:align>
              </wp:positionV>
              <wp:extent cx="622300" cy="391160"/>
              <wp:effectExtent l="0" t="0" r="6350" b="0"/>
              <wp:wrapNone/>
              <wp:docPr id="2105482982"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2730C0A6" w14:textId="77777777" w:rsidR="00507908" w:rsidRPr="00A74565" w:rsidRDefault="00507908" w:rsidP="00A74565">
                          <w:pPr>
                            <w:spacing w:after="0"/>
                            <w:rPr>
                              <w:rFonts w:ascii="Aptos" w:eastAsia="Aptos" w:hAnsi="Aptos" w:cs="Aptos"/>
                              <w:noProof/>
                              <w:color w:val="FF0000"/>
                              <w:sz w:val="24"/>
                              <w:szCs w:val="24"/>
                            </w:rPr>
                          </w:pPr>
                          <w:r w:rsidRPr="00A74565">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430BB4F" id="_x0000_t202" coordsize="21600,21600" o:spt="202" path="m,l,21600r21600,l21600,xe">
              <v:stroke joinstyle="miter"/>
              <v:path gradientshapeok="t" o:connecttype="rect"/>
            </v:shapetype>
            <v:shape id="_x0000_s1032" type="#_x0000_t202" alt="OFFICIAL" style="position:absolute;left:0;text-align:left;margin-left:0;margin-top:0;width:49pt;height:30.8pt;z-index:2516705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T2l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1pkHH6LdRHWgrhxLd3ctVS67Xw4VkgEUzTkmjD&#10;Ex3aQF9xOFucNYA//+aP+YQ7RTnrSTAVt6Rozsx3S3xEbY0GjsY2GcVt/jnCY/fdPZAMC3oRTiaT&#10;vBjMaGqE7pXkvIyNKCSspHYV347mfTgpl56DVMtlSiIZORHWduNkLB3hili+DK8C3RnwQEw9wqgm&#10;Ub7D/ZQbb3q33AdCP5ESoT0BeUacJJi4Oj+XqPG3/ynr+qgXvwA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A7xPaUNAgAAHAQA&#10;AA4AAAAAAAAAAAAAAAAALgIAAGRycy9lMm9Eb2MueG1sUEsBAi0AFAAGAAgAAAAhAIJRlNfaAAAA&#10;AwEAAA8AAAAAAAAAAAAAAAAAZwQAAGRycy9kb3ducmV2LnhtbFBLBQYAAAAABAAEAPMAAABuBQAA&#10;AAA=&#10;" filled="f" stroked="f">
              <v:textbox style="mso-fit-shape-to-text:t" inset="0,0,0,15pt">
                <w:txbxContent>
                  <w:p w14:paraId="2730C0A6" w14:textId="77777777" w:rsidR="00507908" w:rsidRPr="00A74565" w:rsidRDefault="00507908" w:rsidP="00A74565">
                    <w:pPr>
                      <w:spacing w:after="0"/>
                      <w:rPr>
                        <w:rFonts w:ascii="Aptos" w:eastAsia="Aptos" w:hAnsi="Aptos" w:cs="Aptos"/>
                        <w:noProof/>
                        <w:color w:val="FF0000"/>
                        <w:sz w:val="24"/>
                        <w:szCs w:val="24"/>
                      </w:rPr>
                    </w:pPr>
                    <w:r w:rsidRPr="00A74565">
                      <w:rPr>
                        <w:rFonts w:ascii="Aptos" w:eastAsia="Aptos" w:hAnsi="Aptos" w:cs="Aptos"/>
                        <w:noProof/>
                        <w:color w:val="FF0000"/>
                        <w:sz w:val="24"/>
                        <w:szCs w:val="24"/>
                      </w:rPr>
                      <w:t>OFFICIAL</w:t>
                    </w:r>
                  </w:p>
                </w:txbxContent>
              </v:textbox>
              <w10:wrap anchorx="page" anchory="page"/>
            </v:shape>
          </w:pict>
        </mc:Fallback>
      </mc:AlternateContent>
    </w:r>
    <w:sdt>
      <w:sdtPr>
        <w:rPr>
          <w:color w:val="BFBFBF" w:themeColor="background1" w:themeShade="BF"/>
        </w:rPr>
        <w:id w:val="1613553634"/>
        <w:docPartObj>
          <w:docPartGallery w:val="Page Numbers (Bottom of Page)"/>
          <w:docPartUnique/>
        </w:docPartObj>
      </w:sdtPr>
      <w:sdtEndPr>
        <w:rPr>
          <w:noProof/>
          <w:color w:val="auto"/>
        </w:rPr>
      </w:sdtEndPr>
      <w:sdtContent>
        <w:r w:rsidRPr="006D676A">
          <w:rPr>
            <w:sz w:val="20"/>
            <w:szCs w:val="20"/>
          </w:rPr>
          <w:t>FH Designs Pty Ltd</w:t>
        </w:r>
        <w:r w:rsidR="000D42BD">
          <w:rPr>
            <w:sz w:val="20"/>
            <w:szCs w:val="20"/>
          </w:rPr>
          <w:tab/>
        </w:r>
        <w:r w:rsidR="000D42BD">
          <w:rPr>
            <w:sz w:val="20"/>
            <w:szCs w:val="20"/>
          </w:rPr>
          <w:tab/>
        </w:r>
        <w:r w:rsidR="000D42BD">
          <w:rPr>
            <w:sz w:val="20"/>
            <w:szCs w:val="20"/>
          </w:rPr>
          <w:tab/>
        </w:r>
        <w:r w:rsidR="000D42BD">
          <w:rPr>
            <w:sz w:val="20"/>
            <w:szCs w:val="20"/>
          </w:rPr>
          <w:tab/>
        </w:r>
        <w:r w:rsidR="000D42BD">
          <w:rPr>
            <w:sz w:val="20"/>
            <w:szCs w:val="20"/>
          </w:rPr>
          <w:tab/>
        </w:r>
        <w:r w:rsidR="000D42BD">
          <w:rPr>
            <w:sz w:val="20"/>
            <w:szCs w:val="20"/>
          </w:rPr>
          <w:tab/>
        </w:r>
        <w:r w:rsidR="000D42BD">
          <w:rPr>
            <w:sz w:val="20"/>
            <w:szCs w:val="20"/>
          </w:rPr>
          <w:tab/>
        </w:r>
        <w:r>
          <w:tab/>
        </w:r>
        <w:r>
          <w:tab/>
        </w:r>
        <w:r>
          <w:fldChar w:fldCharType="begin"/>
        </w:r>
        <w:r>
          <w:instrText xml:space="preserve"> PAGE   \* MERGEFORMAT </w:instrText>
        </w:r>
        <w:r>
          <w:fldChar w:fldCharType="separate"/>
        </w:r>
        <w:r>
          <w:rPr>
            <w:noProof/>
          </w:rPr>
          <w:t>2</w:t>
        </w:r>
        <w:r>
          <w:rPr>
            <w:noProof/>
          </w:rPr>
          <w:fldChar w:fldCharType="end"/>
        </w:r>
      </w:sdtContent>
    </w:sdt>
  </w:p>
  <w:p w14:paraId="384F91D8" w14:textId="77777777" w:rsidR="00507908" w:rsidRDefault="00507908">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A22C7" w14:textId="04B5A6FD" w:rsidR="00507908" w:rsidRDefault="00507908" w:rsidP="00C52D7D">
    <w:pPr>
      <w:pStyle w:val="Footer"/>
      <w:jc w:val="right"/>
    </w:pPr>
    <w:r>
      <w:rPr>
        <w:noProof/>
        <w:color w:val="BFBFBF" w:themeColor="background1" w:themeShade="BF"/>
      </w:rPr>
      <mc:AlternateContent>
        <mc:Choice Requires="wps">
          <w:drawing>
            <wp:anchor distT="0" distB="0" distL="0" distR="0" simplePos="0" relativeHeight="251679744" behindDoc="0" locked="0" layoutInCell="1" allowOverlap="1" wp14:anchorId="0AE26648" wp14:editId="2A7A936D">
              <wp:simplePos x="635" y="635"/>
              <wp:positionH relativeFrom="page">
                <wp:align>center</wp:align>
              </wp:positionH>
              <wp:positionV relativeFrom="page">
                <wp:align>bottom</wp:align>
              </wp:positionV>
              <wp:extent cx="622300" cy="391160"/>
              <wp:effectExtent l="0" t="0" r="6350" b="0"/>
              <wp:wrapNone/>
              <wp:docPr id="1308373654"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7A1C8066" w14:textId="77777777" w:rsidR="00507908" w:rsidRPr="00A74565" w:rsidRDefault="00507908" w:rsidP="00A74565">
                          <w:pPr>
                            <w:spacing w:after="0"/>
                            <w:rPr>
                              <w:rFonts w:ascii="Aptos" w:eastAsia="Aptos" w:hAnsi="Aptos" w:cs="Aptos"/>
                              <w:noProof/>
                              <w:color w:val="FF0000"/>
                              <w:sz w:val="24"/>
                              <w:szCs w:val="24"/>
                            </w:rPr>
                          </w:pPr>
                          <w:r w:rsidRPr="00A74565">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AE26648" id="_x0000_t202" coordsize="21600,21600" o:spt="202" path="m,l,21600r21600,l21600,xe">
              <v:stroke joinstyle="miter"/>
              <v:path gradientshapeok="t" o:connecttype="rect"/>
            </v:shapetype>
            <v:shape id="_x0000_s1033" type="#_x0000_t202" alt="OFFICIAL" style="position:absolute;left:0;text-align:left;margin-left:0;margin-top:0;width:49pt;height:30.8pt;z-index:2516797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" filled="f" stroked="f">
              <v:textbox style="mso-fit-shape-to-text:t" inset="0,0,0,15pt">
                <w:txbxContent>
                  <w:p w14:paraId="7A1C8066" w14:textId="77777777" w:rsidR="00507908" w:rsidRPr="00A74565" w:rsidRDefault="00507908" w:rsidP="00A74565">
                    <w:pPr>
                      <w:spacing w:after="0"/>
                      <w:rPr>
                        <w:rFonts w:ascii="Aptos" w:eastAsia="Aptos" w:hAnsi="Aptos" w:cs="Aptos"/>
                        <w:noProof/>
                        <w:color w:val="FF0000"/>
                        <w:sz w:val="24"/>
                        <w:szCs w:val="24"/>
                      </w:rPr>
                    </w:pPr>
                    <w:r w:rsidRPr="00A74565">
                      <w:rPr>
                        <w:rFonts w:ascii="Aptos" w:eastAsia="Aptos" w:hAnsi="Aptos" w:cs="Aptos"/>
                        <w:noProof/>
                        <w:color w:val="FF0000"/>
                        <w:sz w:val="24"/>
                        <w:szCs w:val="24"/>
                      </w:rPr>
                      <w:t>OFFICIAL</w:t>
                    </w:r>
                  </w:p>
                </w:txbxContent>
              </v:textbox>
              <w10:wrap anchorx="page" anchory="page"/>
            </v:shape>
          </w:pict>
        </mc:Fallback>
      </mc:AlternateContent>
    </w:r>
    <w:sdt>
      <w:sdtPr>
        <w:rPr>
          <w:color w:val="BFBFBF" w:themeColor="background1" w:themeShade="BF"/>
        </w:rPr>
        <w:id w:val="13120564"/>
        <w:docPartObj>
          <w:docPartGallery w:val="Page Numbers (Bottom of Page)"/>
          <w:docPartUnique/>
        </w:docPartObj>
      </w:sdtPr>
      <w:sdtEndPr>
        <w:rPr>
          <w:noProof/>
          <w:color w:val="auto"/>
        </w:rPr>
      </w:sdtEndPr>
      <w:sdtContent>
        <w:r w:rsidRPr="006D676A">
          <w:rPr>
            <w:sz w:val="20"/>
            <w:szCs w:val="20"/>
          </w:rPr>
          <w:t>FH Designs Pty Ltd</w:t>
        </w:r>
        <w:r w:rsidR="000D42BD">
          <w:rPr>
            <w:sz w:val="20"/>
            <w:szCs w:val="20"/>
          </w:rPr>
          <w:tab/>
        </w:r>
        <w:r w:rsidR="000D42BD">
          <w:rPr>
            <w:sz w:val="20"/>
            <w:szCs w:val="20"/>
          </w:rPr>
          <w:tab/>
        </w:r>
        <w:r w:rsidR="000D42BD">
          <w:rPr>
            <w:sz w:val="20"/>
            <w:szCs w:val="20"/>
          </w:rPr>
          <w:tab/>
        </w:r>
        <w:r w:rsidR="000D42BD">
          <w:rPr>
            <w:sz w:val="20"/>
            <w:szCs w:val="20"/>
          </w:rPr>
          <w:tab/>
        </w:r>
        <w:r w:rsidR="000D42BD">
          <w:rPr>
            <w:sz w:val="20"/>
            <w:szCs w:val="20"/>
          </w:rPr>
          <w:tab/>
        </w:r>
        <w:r w:rsidR="000D42BD">
          <w:rPr>
            <w:sz w:val="20"/>
            <w:szCs w:val="20"/>
          </w:rPr>
          <w:tab/>
        </w:r>
        <w:r w:rsidR="000D42BD">
          <w:rPr>
            <w:sz w:val="20"/>
            <w:szCs w:val="20"/>
          </w:rPr>
          <w:tab/>
        </w:r>
        <w:r>
          <w:tab/>
        </w:r>
        <w:r>
          <w:tab/>
        </w:r>
        <w:r>
          <w:fldChar w:fldCharType="begin"/>
        </w:r>
        <w:r>
          <w:instrText xml:space="preserve"> PAGE   \* MERGEFORMAT </w:instrText>
        </w:r>
        <w:r>
          <w:fldChar w:fldCharType="separate"/>
        </w:r>
        <w:r>
          <w:rPr>
            <w:noProof/>
          </w:rPr>
          <w:t>2</w:t>
        </w:r>
        <w:r>
          <w:rPr>
            <w:noProof/>
          </w:rPr>
          <w:fldChar w:fldCharType="end"/>
        </w:r>
      </w:sdtContent>
    </w:sdt>
  </w:p>
  <w:p w14:paraId="2A24D44E" w14:textId="77777777" w:rsidR="00507908" w:rsidRDefault="005079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851FA" w14:textId="77777777" w:rsidR="008E0E84" w:rsidRDefault="008E0E84" w:rsidP="00500E52">
      <w:pPr>
        <w:spacing w:after="0" w:line="240" w:lineRule="auto"/>
      </w:pPr>
      <w:r>
        <w:separator/>
      </w:r>
    </w:p>
  </w:footnote>
  <w:footnote w:type="continuationSeparator" w:id="0">
    <w:p w14:paraId="1F581057" w14:textId="77777777" w:rsidR="008E0E84" w:rsidRDefault="008E0E84" w:rsidP="00500E52">
      <w:pPr>
        <w:spacing w:after="0" w:line="240" w:lineRule="auto"/>
      </w:pPr>
      <w:r>
        <w:continuationSeparator/>
      </w:r>
    </w:p>
  </w:footnote>
  <w:footnote w:id="1">
    <w:p w14:paraId="252FC488" w14:textId="63377FA5" w:rsidR="00FB5AAB" w:rsidRDefault="00FB5AAB">
      <w:pPr>
        <w:pStyle w:val="FootnoteText"/>
      </w:pPr>
      <w:r>
        <w:rPr>
          <w:rStyle w:val="FootnoteReference"/>
        </w:rPr>
        <w:footnoteRef/>
      </w:r>
      <w:r>
        <w:t xml:space="preserve"> Previously Mekong-Australia Partnership Water, Energy, Climate (MAP-WEC)</w:t>
      </w:r>
    </w:p>
  </w:footnote>
  <w:footnote w:id="2">
    <w:p w14:paraId="13C196D8" w14:textId="47AC94A8" w:rsidR="00AE51E0" w:rsidRPr="009B17DC" w:rsidRDefault="00AE51E0">
      <w:pPr>
        <w:pStyle w:val="FootnoteText"/>
        <w:rPr>
          <w:color w:val="auto"/>
        </w:rPr>
      </w:pPr>
      <w:r w:rsidRPr="009B17DC">
        <w:rPr>
          <w:rStyle w:val="FootnoteReference"/>
          <w:color w:val="auto"/>
        </w:rPr>
        <w:footnoteRef/>
      </w:r>
      <w:r w:rsidRPr="009B17DC">
        <w:rPr>
          <w:color w:val="auto"/>
        </w:rPr>
        <w:t xml:space="preserve"> Previously Mekong-Australia Partnership Water, Energy, Climate (MAP-WEC)</w:t>
      </w:r>
    </w:p>
  </w:footnote>
  <w:footnote w:id="3">
    <w:p w14:paraId="127E5BEC" w14:textId="59C1F791" w:rsidR="005300D3" w:rsidRPr="009B17DC" w:rsidRDefault="005300D3" w:rsidP="005300D3">
      <w:pPr>
        <w:pStyle w:val="FootnoteText"/>
        <w:rPr>
          <w:color w:val="auto"/>
        </w:rPr>
      </w:pPr>
      <w:r w:rsidRPr="009B17DC">
        <w:rPr>
          <w:rStyle w:val="FootnoteReference"/>
          <w:color w:val="auto"/>
        </w:rPr>
        <w:footnoteRef/>
      </w:r>
      <w:r w:rsidRPr="009B17DC">
        <w:rPr>
          <w:color w:val="auto"/>
        </w:rPr>
        <w:t xml:space="preserve"> The independent evaluation team comprised two Australia-based evaluators and one evaluator based in Lao PDR. The evaluation team was supported Dr Paul Crawford and </w:t>
      </w:r>
      <w:r w:rsidR="00AE51E0" w:rsidRPr="009B17DC">
        <w:rPr>
          <w:color w:val="auto"/>
        </w:rPr>
        <w:t xml:space="preserve">Mr </w:t>
      </w:r>
      <w:r w:rsidRPr="009B17DC">
        <w:rPr>
          <w:color w:val="auto"/>
        </w:rPr>
        <w:t>Paul Tyndale-Biscoe.</w:t>
      </w:r>
    </w:p>
  </w:footnote>
  <w:footnote w:id="4">
    <w:p w14:paraId="1F2D6E96" w14:textId="54725A94" w:rsidR="005300D3" w:rsidRPr="009B17DC" w:rsidRDefault="005300D3">
      <w:pPr>
        <w:pStyle w:val="FootnoteText"/>
        <w:rPr>
          <w:color w:val="auto"/>
          <w:u w:val="single"/>
        </w:rPr>
      </w:pPr>
      <w:r w:rsidRPr="009B17DC">
        <w:rPr>
          <w:rStyle w:val="FootnoteReference"/>
          <w:color w:val="auto"/>
        </w:rPr>
        <w:footnoteRef/>
      </w:r>
      <w:r w:rsidRPr="009B17DC">
        <w:rPr>
          <w:color w:val="auto"/>
        </w:rPr>
        <w:t xml:space="preserve"> </w:t>
      </w:r>
      <w:hyperlink r:id="rId1">
        <w:r w:rsidRPr="009B17DC">
          <w:rPr>
            <w:color w:val="auto"/>
            <w:u w:val="single"/>
          </w:rPr>
          <w:t>DFAT Design and Monitoring, Evaluation and Learning Standards (Australian Government Department of Foreign Affairs and Trade</w:t>
        </w:r>
      </w:hyperlink>
      <w:r w:rsidRPr="009B17DC">
        <w:rPr>
          <w:color w:val="auto"/>
          <w:u w:val="single"/>
        </w:rPr>
        <w:t>)</w:t>
      </w:r>
    </w:p>
  </w:footnote>
  <w:footnote w:id="5">
    <w:p w14:paraId="1157702C" w14:textId="1C173DA7" w:rsidR="005300D3" w:rsidRPr="009B17DC" w:rsidRDefault="005300D3">
      <w:pPr>
        <w:pStyle w:val="FootnoteText"/>
        <w:rPr>
          <w:color w:val="auto"/>
        </w:rPr>
      </w:pPr>
      <w:r w:rsidRPr="009B17DC">
        <w:rPr>
          <w:rStyle w:val="FootnoteReference"/>
          <w:color w:val="auto"/>
        </w:rPr>
        <w:footnoteRef/>
      </w:r>
      <w:r w:rsidRPr="009B17DC">
        <w:rPr>
          <w:color w:val="auto"/>
        </w:rPr>
        <w:t xml:space="preserve"> </w:t>
      </w:r>
      <w:hyperlink r:id="rId2">
        <w:r w:rsidRPr="009B17DC">
          <w:rPr>
            <w:color w:val="auto"/>
            <w:u w:val="single"/>
          </w:rPr>
          <w:t>Ethical Research and Evaluation Guidance Note (Australian Government Department of Foreign Affairs and Trade)</w:t>
        </w:r>
      </w:hyperlink>
    </w:p>
  </w:footnote>
  <w:footnote w:id="6">
    <w:p w14:paraId="79FBABA2" w14:textId="42194B21" w:rsidR="00AE51E0" w:rsidRPr="009B17DC" w:rsidRDefault="00AE51E0">
      <w:pPr>
        <w:pStyle w:val="FootnoteText"/>
        <w:rPr>
          <w:color w:val="auto"/>
        </w:rPr>
      </w:pPr>
      <w:r w:rsidRPr="009B17DC">
        <w:rPr>
          <w:rStyle w:val="FootnoteReference"/>
          <w:color w:val="auto"/>
        </w:rPr>
        <w:footnoteRef/>
      </w:r>
      <w:r w:rsidRPr="009B17DC">
        <w:rPr>
          <w:color w:val="auto"/>
        </w:rPr>
        <w:t xml:space="preserve"> </w:t>
      </w:r>
      <w:hyperlink r:id="rId3" w:history="1">
        <w:r w:rsidR="00980A21" w:rsidRPr="009B17DC">
          <w:rPr>
            <w:rStyle w:val="Hyperlink"/>
            <w:color w:val="auto"/>
          </w:rPr>
          <w:t>https://www.adb.org/sites/default/files/publication/185008/urban-development</w:t>
        </w:r>
      </w:hyperlink>
      <w:r w:rsidR="00980A21" w:rsidRPr="009B17DC">
        <w:rPr>
          <w:color w:val="auto"/>
        </w:rPr>
        <w:t xml:space="preserve"> </w:t>
      </w:r>
    </w:p>
  </w:footnote>
  <w:footnote w:id="7">
    <w:p w14:paraId="7216A008" w14:textId="77777777" w:rsidR="00F15725" w:rsidRPr="006461DD" w:rsidRDefault="00F15725" w:rsidP="00F15725">
      <w:pPr>
        <w:pStyle w:val="FootnoteText"/>
      </w:pPr>
      <w:r w:rsidRPr="009B17DC">
        <w:rPr>
          <w:rStyle w:val="FootnoteReference"/>
          <w:color w:val="auto"/>
        </w:rPr>
        <w:footnoteRef/>
      </w:r>
      <w:r w:rsidRPr="009B17DC">
        <w:rPr>
          <w:color w:val="auto"/>
        </w:rPr>
        <w:t xml:space="preserve"> </w:t>
      </w:r>
      <w:hyperlink r:id="rId4" w:history="1">
        <w:r w:rsidRPr="009B17DC">
          <w:rPr>
            <w:rStyle w:val="Hyperlink"/>
            <w:color w:val="auto"/>
          </w:rPr>
          <w:t>https://www.unep.org/topics/nature-action/nature-based-solutions/overview-nature-based-solutions</w:t>
        </w:r>
      </w:hyperlink>
      <w:r w:rsidRPr="009B17DC">
        <w:rPr>
          <w:color w:val="auto"/>
        </w:rPr>
        <w:t xml:space="preserve"> </w:t>
      </w:r>
    </w:p>
  </w:footnote>
  <w:footnote w:id="8">
    <w:p w14:paraId="7294F32B" w14:textId="4B0BC2BC" w:rsidR="00D242FA" w:rsidRDefault="00D242FA">
      <w:pPr>
        <w:pStyle w:val="FootnoteText"/>
      </w:pPr>
      <w:r>
        <w:rPr>
          <w:rStyle w:val="FootnoteReference"/>
        </w:rPr>
        <w:footnoteRef/>
      </w:r>
      <w:r>
        <w:t xml:space="preserve"> Activities included engagement training and demonstration of the NbS concept in primary and secondary cities in the four counties as well as international conferences and events.</w:t>
      </w:r>
    </w:p>
  </w:footnote>
  <w:footnote w:id="9">
    <w:p w14:paraId="301A05DD" w14:textId="0ED48F7E" w:rsidR="00D242FA" w:rsidRDefault="00D242FA">
      <w:pPr>
        <w:pStyle w:val="FootnoteText"/>
      </w:pPr>
      <w:r>
        <w:rPr>
          <w:rStyle w:val="FootnoteReference"/>
        </w:rPr>
        <w:footnoteRef/>
      </w:r>
      <w:r>
        <w:t xml:space="preserve"> </w:t>
      </w:r>
      <w:r w:rsidRPr="009B17DC">
        <w:t xml:space="preserve">This was to move from identifying pilot sites to commencing physical activities across those sites; deliver 4 additional trainings; and </w:t>
      </w:r>
      <w:r>
        <w:t xml:space="preserve">to </w:t>
      </w:r>
      <w:r w:rsidRPr="009B17DC">
        <w:t>move the Scaling Strategies to a more participatory process.</w:t>
      </w:r>
    </w:p>
  </w:footnote>
  <w:footnote w:id="10">
    <w:p w14:paraId="4D243BCD" w14:textId="65D24C27" w:rsidR="00D242FA" w:rsidRDefault="00D242FA">
      <w:pPr>
        <w:pStyle w:val="FootnoteText"/>
      </w:pPr>
      <w:r>
        <w:rPr>
          <w:rStyle w:val="FootnoteReference"/>
        </w:rPr>
        <w:footnoteRef/>
      </w:r>
      <w:r>
        <w:t xml:space="preserve"> </w:t>
      </w:r>
      <w:r w:rsidRPr="009B17DC">
        <w:t>This was to shift activities from capacity building to physical activities; commence implementation of Scaling Strategies; move from sharing information with partners to co-delivery and co-funding; improve operations and performance on cross-cutting priorities (GEDSI and MEL); and to continue to build regional collaboration and sharing.</w:t>
      </w:r>
    </w:p>
  </w:footnote>
  <w:footnote w:id="11">
    <w:p w14:paraId="0D58D410" w14:textId="6D5F6CD7" w:rsidR="00D265AD" w:rsidRDefault="00D265AD">
      <w:pPr>
        <w:pStyle w:val="FootnoteText"/>
      </w:pPr>
      <w:r>
        <w:rPr>
          <w:rStyle w:val="FootnoteReference"/>
        </w:rPr>
        <w:footnoteRef/>
      </w:r>
      <w:r>
        <w:t xml:space="preserve"> See Grant Agreement between DFAT and WSCA signed in March 2022. </w:t>
      </w:r>
    </w:p>
  </w:footnote>
  <w:footnote w:id="12">
    <w:p w14:paraId="46D88738" w14:textId="4A4BB6CD" w:rsidR="006B43D8" w:rsidRPr="009B17DC" w:rsidRDefault="006B43D8">
      <w:pPr>
        <w:pStyle w:val="FootnoteText"/>
        <w:rPr>
          <w:color w:val="auto"/>
        </w:rPr>
      </w:pPr>
      <w:r w:rsidRPr="009B17DC">
        <w:rPr>
          <w:rStyle w:val="FootnoteReference"/>
          <w:color w:val="auto"/>
        </w:rPr>
        <w:footnoteRef/>
      </w:r>
      <w:r w:rsidRPr="009B17DC">
        <w:rPr>
          <w:color w:val="auto"/>
        </w:rPr>
        <w:t xml:space="preserve"> For further detail about the background, context and overview of the RUCaS program, please refer to the Evaluation Plan which includes an </w:t>
      </w:r>
      <w:r w:rsidR="00C7502A" w:rsidRPr="009B17DC">
        <w:rPr>
          <w:color w:val="auto"/>
        </w:rPr>
        <w:t>Appendix</w:t>
      </w:r>
      <w:r w:rsidRPr="009B17DC">
        <w:rPr>
          <w:color w:val="auto"/>
        </w:rPr>
        <w:t>: RUCaS Document Review.</w:t>
      </w:r>
    </w:p>
  </w:footnote>
  <w:footnote w:id="13">
    <w:p w14:paraId="55BB5BEF" w14:textId="2486A814" w:rsidR="00474346" w:rsidRDefault="00474346">
      <w:pPr>
        <w:pStyle w:val="FootnoteText"/>
      </w:pPr>
      <w:r w:rsidRPr="009B17DC">
        <w:rPr>
          <w:rStyle w:val="FootnoteReference"/>
          <w:color w:val="auto"/>
        </w:rPr>
        <w:footnoteRef/>
      </w:r>
      <w:r w:rsidRPr="009B17DC">
        <w:rPr>
          <w:color w:val="auto"/>
        </w:rPr>
        <w:t xml:space="preserve"> </w:t>
      </w:r>
      <w:hyperlink r:id="rId5">
        <w:r w:rsidRPr="009B17DC">
          <w:rPr>
            <w:color w:val="auto"/>
            <w:u w:val="single"/>
          </w:rPr>
          <w:t>DFAT Design and Monitoring, Evaluation and Learning Standards (Australian Government Department of Foreign Affairs and Trade</w:t>
        </w:r>
      </w:hyperlink>
      <w:r w:rsidRPr="009B17DC">
        <w:rPr>
          <w:color w:val="auto"/>
          <w:u w:val="single"/>
        </w:rPr>
        <w:t>)</w:t>
      </w:r>
    </w:p>
  </w:footnote>
  <w:footnote w:id="14">
    <w:p w14:paraId="206FB2B1" w14:textId="77B8A683" w:rsidR="00276845" w:rsidRDefault="00276845">
      <w:pPr>
        <w:pStyle w:val="FootnoteText"/>
      </w:pPr>
      <w:r>
        <w:rPr>
          <w:rStyle w:val="FootnoteReference"/>
        </w:rPr>
        <w:footnoteRef/>
      </w:r>
      <w:r>
        <w:t xml:space="preserve"> </w:t>
      </w:r>
      <w:r w:rsidRPr="007E3D2D">
        <w:t xml:space="preserve">See Appendix </w:t>
      </w:r>
      <w:r w:rsidR="00C21F40" w:rsidRPr="007E3D2D">
        <w:t>C</w:t>
      </w:r>
      <w:r w:rsidRPr="007E3D2D">
        <w:t>: Evaluation</w:t>
      </w:r>
      <w:r>
        <w:t xml:space="preserve"> Matrix</w:t>
      </w:r>
    </w:p>
  </w:footnote>
  <w:footnote w:id="15">
    <w:p w14:paraId="3DDBFE2F" w14:textId="5747040A" w:rsidR="00544FFE" w:rsidRDefault="00544FFE">
      <w:pPr>
        <w:pStyle w:val="FootnoteText"/>
      </w:pPr>
      <w:r>
        <w:rPr>
          <w:rStyle w:val="FootnoteReference"/>
        </w:rPr>
        <w:footnoteRef/>
      </w:r>
      <w:r>
        <w:t xml:space="preserve"> An assessment of the MEL framework and processes was beyond the scope of this evaluation; however, ‘</w:t>
      </w:r>
      <w:r w:rsidRPr="003D4B91">
        <w:t>Appendix D: Evaluability assessment</w:t>
      </w:r>
      <w:r>
        <w:t xml:space="preserve">’ was included to a) enable the evaluation team to understand the intention underlying the EOPO and therefore </w:t>
      </w:r>
      <w:r w:rsidR="00A5084A">
        <w:t>support</w:t>
      </w:r>
      <w:r>
        <w:t xml:space="preserve"> a nuanced assessment of the overall investment and b) to support the design of a potential future phase of RUCaS. Furthermore, the team recommends that MEL is properly resourced (both with staff time/dedicated personnel as well as MEL expertise) in any potential future phase of RUCaS.</w:t>
      </w:r>
    </w:p>
  </w:footnote>
  <w:footnote w:id="16">
    <w:p w14:paraId="0C8C22DD" w14:textId="55A37DCE" w:rsidR="001667D4" w:rsidRDefault="001667D4">
      <w:pPr>
        <w:pStyle w:val="FootnoteText"/>
      </w:pPr>
      <w:r>
        <w:rPr>
          <w:rStyle w:val="FootnoteReference"/>
        </w:rPr>
        <w:footnoteRef/>
      </w:r>
      <w:r>
        <w:t xml:space="preserve"> This was not </w:t>
      </w:r>
      <w:r w:rsidR="00D265AD">
        <w:t xml:space="preserve">included in the definition of </w:t>
      </w:r>
      <w:r w:rsidR="00E75D50">
        <w:t>‘pilots/direct interventions’ under Output 1.2</w:t>
      </w:r>
      <w:r>
        <w:t xml:space="preserve"> in the MEL Framework, but the interviews revealed that the </w:t>
      </w:r>
      <w:r w:rsidR="00D265AD">
        <w:t xml:space="preserve">many of the </w:t>
      </w:r>
      <w:r>
        <w:t xml:space="preserve">RUCaS </w:t>
      </w:r>
      <w:r w:rsidR="00D265AD">
        <w:t xml:space="preserve">implementing </w:t>
      </w:r>
      <w:r>
        <w:t xml:space="preserve">team considered ‘small-scale construction’ an example of ‘direct intervention’. </w:t>
      </w:r>
    </w:p>
  </w:footnote>
  <w:footnote w:id="17">
    <w:p w14:paraId="23C672F0" w14:textId="155C805F" w:rsidR="00CF430B" w:rsidRDefault="00CF430B">
      <w:pPr>
        <w:pStyle w:val="FootnoteText"/>
      </w:pPr>
      <w:r>
        <w:rPr>
          <w:rStyle w:val="FootnoteReference"/>
        </w:rPr>
        <w:footnoteRef/>
      </w:r>
      <w:r>
        <w:t xml:space="preserve"> Note that whilst the indicator for EOPO 1 is the ‘</w:t>
      </w:r>
      <w:r w:rsidRPr="003D4B91">
        <w:t>Number and evidence of case studies with integrated GEDSI principles that Mekong subregion partners and like-minded partners have taken from concept to demonstration</w:t>
      </w:r>
      <w:r>
        <w:t>’, this was meant to be interpreted as there being ‘</w:t>
      </w:r>
      <w:r w:rsidRPr="00CF430B">
        <w:t>at least clear pathways for the RUCaS case studies to be progressed to full implementation (by either local or likeminded partners).</w:t>
      </w:r>
      <w:r>
        <w:t>’ This interpretation came about as the program progressed and it was realised</w:t>
      </w:r>
      <w:r w:rsidR="00507FB6">
        <w:t xml:space="preserve"> by the implementing team and DFAT</w:t>
      </w:r>
      <w:r>
        <w:t xml:space="preserve"> that expecting partners to take case studies from ‘concept to demonstration’ was not feasible for Phase 1.</w:t>
      </w:r>
    </w:p>
  </w:footnote>
  <w:footnote w:id="18">
    <w:p w14:paraId="143509A8" w14:textId="408729C9" w:rsidR="00F029A0" w:rsidRDefault="00F029A0" w:rsidP="00F029A0">
      <w:pPr>
        <w:pStyle w:val="FootnoteText"/>
      </w:pPr>
      <w:r>
        <w:rPr>
          <w:rStyle w:val="FootnoteReference"/>
        </w:rPr>
        <w:footnoteRef/>
      </w:r>
      <w:r>
        <w:t xml:space="preserve"> While DFAT Bangkok Post raised their perspective that environmental monitoring should be part of </w:t>
      </w:r>
      <w:r w:rsidR="004513F7">
        <w:t>EOPO 2</w:t>
      </w:r>
      <w:r>
        <w:t xml:space="preserve">, the evaluation team have proceeded with noting it as progress towards </w:t>
      </w:r>
      <w:r w:rsidR="004513F7">
        <w:t>EOPO 1</w:t>
      </w:r>
      <w:r>
        <w:t xml:space="preserve"> given it was specified in output 1.2. </w:t>
      </w:r>
    </w:p>
  </w:footnote>
  <w:footnote w:id="19">
    <w:p w14:paraId="49436CFD" w14:textId="06A52C35" w:rsidR="0017407A" w:rsidRDefault="0017407A">
      <w:pPr>
        <w:pStyle w:val="FootnoteText"/>
      </w:pPr>
      <w:r>
        <w:rPr>
          <w:rStyle w:val="FootnoteReference"/>
        </w:rPr>
        <w:footnoteRef/>
      </w:r>
      <w:r>
        <w:t xml:space="preserve"> Two </w:t>
      </w:r>
      <w:r w:rsidRPr="0017407A">
        <w:t>stormwater planter boxes</w:t>
      </w:r>
      <w:r>
        <w:t xml:space="preserve"> were also designed, constructed, and displayed as part of Bangkok Design Week 2026, though not specifically at the On Nut site.</w:t>
      </w:r>
    </w:p>
  </w:footnote>
  <w:footnote w:id="20">
    <w:p w14:paraId="7DA8C0E0" w14:textId="43290479" w:rsidR="00AD3F2C" w:rsidRDefault="00AD3F2C">
      <w:pPr>
        <w:pStyle w:val="FootnoteText"/>
      </w:pPr>
      <w:r>
        <w:rPr>
          <w:rStyle w:val="FootnoteReference"/>
        </w:rPr>
        <w:footnoteRef/>
      </w:r>
      <w:r>
        <w:t xml:space="preserve"> The evaluation team note that the sites were proposed by the government (</w:t>
      </w:r>
      <w:r w:rsidRPr="00AD3F2C">
        <w:t>BMA and DCCE</w:t>
      </w:r>
      <w:r>
        <w:t>) and agreed to by the RUCaS implementing team.</w:t>
      </w:r>
    </w:p>
  </w:footnote>
  <w:footnote w:id="21">
    <w:p w14:paraId="3F6BB07B" w14:textId="77777777" w:rsidR="005F3734" w:rsidRDefault="005F3734" w:rsidP="005F3734">
      <w:pPr>
        <w:pStyle w:val="FootnoteText"/>
      </w:pPr>
      <w:r>
        <w:rPr>
          <w:rStyle w:val="FootnoteReference"/>
        </w:rPr>
        <w:footnoteRef/>
      </w:r>
      <w:r>
        <w:t xml:space="preserve"> An example includes discussions between RUCaS and the National University of Laos (NUOL) to</w:t>
      </w:r>
      <w:r w:rsidRPr="00914CBC">
        <w:t xml:space="preserve"> </w:t>
      </w:r>
      <w:r>
        <w:t>showcase</w:t>
      </w:r>
      <w:r w:rsidRPr="00914CBC">
        <w:t xml:space="preserve"> existing NbS </w:t>
      </w:r>
      <w:r>
        <w:t>(</w:t>
      </w:r>
      <w:r w:rsidRPr="00914CBC">
        <w:t>e.g. natural wetland systems</w:t>
      </w:r>
      <w:r>
        <w:t>) with the goal of demonstrating</w:t>
      </w:r>
      <w:r w:rsidRPr="00914CBC">
        <w:t xml:space="preserve"> the importance of protecting the</w:t>
      </w:r>
      <w:r>
        <w:t>m (</w:t>
      </w:r>
      <w:r w:rsidRPr="00914CBC">
        <w:t>and the cost of destroying them</w:t>
      </w:r>
      <w:r>
        <w:t>)</w:t>
      </w:r>
      <w:r w:rsidRPr="00914CBC">
        <w:t xml:space="preserve">. </w:t>
      </w:r>
      <w:r>
        <w:t>Furthermore, co-design was taking place in Cambodia and Viet Nam for detailed designs of case studies, at the time of the evaluation.</w:t>
      </w:r>
    </w:p>
  </w:footnote>
  <w:footnote w:id="22">
    <w:p w14:paraId="215E2E42" w14:textId="77777777" w:rsidR="005F3734" w:rsidRDefault="005F3734" w:rsidP="005F3734">
      <w:pPr>
        <w:pStyle w:val="FootnoteText"/>
      </w:pPr>
      <w:r w:rsidRPr="009B17DC">
        <w:rPr>
          <w:rStyle w:val="FootnoteReference"/>
          <w:color w:val="auto"/>
        </w:rPr>
        <w:footnoteRef/>
      </w:r>
      <w:r w:rsidRPr="009B17DC">
        <w:rPr>
          <w:color w:val="auto"/>
        </w:rPr>
        <w:t xml:space="preserve"> </w:t>
      </w:r>
      <w:hyperlink r:id="rId6" w:history="1">
        <w:r w:rsidRPr="009B17DC">
          <w:rPr>
            <w:rStyle w:val="Hyperlink"/>
            <w:color w:val="auto"/>
          </w:rPr>
          <w:t>https://www.ideou.com/blogs/inspiration/what-is-design-thinking</w:t>
        </w:r>
      </w:hyperlink>
    </w:p>
  </w:footnote>
  <w:footnote w:id="23">
    <w:p w14:paraId="3DBB3B88" w14:textId="656E0937" w:rsidR="00507FB6" w:rsidRDefault="00507FB6">
      <w:pPr>
        <w:pStyle w:val="FootnoteText"/>
      </w:pPr>
      <w:r>
        <w:rPr>
          <w:rStyle w:val="FootnoteReference"/>
        </w:rPr>
        <w:footnoteRef/>
      </w:r>
      <w:r>
        <w:t xml:space="preserve"> </w:t>
      </w:r>
      <w:r w:rsidRPr="009B17DC">
        <w:t>Buy-in in Thailand may be most advanced because of existing</w:t>
      </w:r>
      <w:r>
        <w:t xml:space="preserve"> NbS</w:t>
      </w:r>
      <w:r w:rsidRPr="009B17DC">
        <w:t xml:space="preserve"> projects, specifically Benjakitti Forest Park.</w:t>
      </w:r>
    </w:p>
  </w:footnote>
  <w:footnote w:id="24">
    <w:p w14:paraId="2A933E0A" w14:textId="77777777" w:rsidR="00D11BD1" w:rsidRDefault="00D11BD1" w:rsidP="00D11BD1">
      <w:pPr>
        <w:pStyle w:val="FootnoteText"/>
      </w:pPr>
      <w:r>
        <w:rPr>
          <w:rStyle w:val="FootnoteReference"/>
        </w:rPr>
        <w:footnoteRef/>
      </w:r>
      <w:r>
        <w:t xml:space="preserve"> This is already taking place to some extent in </w:t>
      </w:r>
      <w:r w:rsidRPr="00F16555">
        <w:t xml:space="preserve">Can Tho and Battambang, </w:t>
      </w:r>
      <w:r>
        <w:t>where detailed designs are being supported by the RUCaS program; however, for many informants, ‘demonstration’ should go beyond ‘detailed design’.</w:t>
      </w:r>
    </w:p>
  </w:footnote>
  <w:footnote w:id="25">
    <w:p w14:paraId="06EC5C65" w14:textId="77777777" w:rsidR="000A3085" w:rsidRPr="009B17DC" w:rsidRDefault="000A3085" w:rsidP="000A3085">
      <w:pPr>
        <w:pStyle w:val="FootnoteText"/>
      </w:pPr>
      <w:r w:rsidRPr="009B17DC">
        <w:rPr>
          <w:rStyle w:val="FootnoteReference"/>
        </w:rPr>
        <w:footnoteRef/>
      </w:r>
      <w:r w:rsidRPr="009B17DC">
        <w:t xml:space="preserve"> Co-developed with Kasetsart University.</w:t>
      </w:r>
    </w:p>
  </w:footnote>
  <w:footnote w:id="26">
    <w:p w14:paraId="34A150DB" w14:textId="77777777" w:rsidR="000A3085" w:rsidRDefault="000A3085" w:rsidP="000A3085">
      <w:pPr>
        <w:pStyle w:val="FootnoteText"/>
      </w:pPr>
      <w:r w:rsidRPr="009B17DC">
        <w:rPr>
          <w:rStyle w:val="FootnoteReference"/>
        </w:rPr>
        <w:footnoteRef/>
      </w:r>
      <w:r w:rsidRPr="009B17DC">
        <w:t xml:space="preserve"> Development by RUCaS with input from the GEDSI TAG.</w:t>
      </w:r>
    </w:p>
  </w:footnote>
  <w:footnote w:id="27">
    <w:p w14:paraId="1A7F9347" w14:textId="4208AC5A" w:rsidR="000A3085" w:rsidRDefault="000A3085">
      <w:pPr>
        <w:pStyle w:val="FootnoteText"/>
      </w:pPr>
      <w:r>
        <w:rPr>
          <w:rStyle w:val="FootnoteReference"/>
        </w:rPr>
        <w:footnoteRef/>
      </w:r>
      <w:r>
        <w:t xml:space="preserve"> </w:t>
      </w:r>
      <w:r w:rsidRPr="003D4B91">
        <w:t>The RUCaS 2025 mid-term report listed further developed technical guidance (p. 5), but these were not discussed by informants of the evaluation.</w:t>
      </w:r>
    </w:p>
  </w:footnote>
  <w:footnote w:id="28">
    <w:p w14:paraId="33F1B864" w14:textId="2A4EAA5B" w:rsidR="009B13A7" w:rsidRDefault="009B13A7">
      <w:pPr>
        <w:pStyle w:val="FootnoteText"/>
      </w:pPr>
      <w:r>
        <w:rPr>
          <w:rStyle w:val="FootnoteReference"/>
        </w:rPr>
        <w:footnoteRef/>
      </w:r>
      <w:r>
        <w:t xml:space="preserve"> For more details, see Appendix D.</w:t>
      </w:r>
    </w:p>
  </w:footnote>
  <w:footnote w:id="29">
    <w:p w14:paraId="6E35A8A2" w14:textId="1E0E4BB2" w:rsidR="00F30A52" w:rsidRDefault="00F30A52">
      <w:pPr>
        <w:pStyle w:val="FootnoteText"/>
      </w:pPr>
      <w:r>
        <w:rPr>
          <w:rStyle w:val="FootnoteReference"/>
        </w:rPr>
        <w:footnoteRef/>
      </w:r>
      <w:r>
        <w:t xml:space="preserve"> Previously referred to in the RUCaS program as </w:t>
      </w:r>
      <w:r w:rsidRPr="003D4B91">
        <w:t>the Climate Resilient Development Scaling Strategies</w:t>
      </w:r>
      <w:r>
        <w:t>.</w:t>
      </w:r>
    </w:p>
  </w:footnote>
  <w:footnote w:id="30">
    <w:p w14:paraId="6DFD8B3D" w14:textId="24703482" w:rsidR="001D6AA9" w:rsidRPr="009B17DC" w:rsidRDefault="001D6AA9">
      <w:pPr>
        <w:pStyle w:val="FootnoteText"/>
      </w:pPr>
      <w:r w:rsidRPr="009B17DC">
        <w:rPr>
          <w:rStyle w:val="FootnoteReference"/>
        </w:rPr>
        <w:footnoteRef/>
      </w:r>
      <w:r w:rsidRPr="009B17DC">
        <w:t xml:space="preserve"> The RUCaS annual report from April 2025 specified that the (then) Scaling Strategies were being “co-developed with each country” (p. 6).</w:t>
      </w:r>
    </w:p>
  </w:footnote>
  <w:footnote w:id="31">
    <w:p w14:paraId="30549355" w14:textId="5C5897D6" w:rsidR="00585420" w:rsidRDefault="00585420">
      <w:pPr>
        <w:pStyle w:val="FootnoteText"/>
      </w:pPr>
      <w:r>
        <w:rPr>
          <w:rStyle w:val="FootnoteReference"/>
        </w:rPr>
        <w:footnoteRef/>
      </w:r>
      <w:r>
        <w:t xml:space="preserve"> For example, RUCaS could support (through introductions, shared start-up activities, in-person meetings etc.) the establishment of MoUs between local partners that last beyond the scope of the RUCaS program without being named as one of the signatories. </w:t>
      </w:r>
    </w:p>
  </w:footnote>
  <w:footnote w:id="32">
    <w:p w14:paraId="51D43D9B" w14:textId="58580811" w:rsidR="003E56F4" w:rsidRPr="004513F7" w:rsidRDefault="003E56F4">
      <w:pPr>
        <w:pStyle w:val="FootnoteText"/>
      </w:pPr>
      <w:r w:rsidRPr="004513F7">
        <w:rPr>
          <w:rStyle w:val="FootnoteReference"/>
        </w:rPr>
        <w:footnoteRef/>
      </w:r>
      <w:r w:rsidRPr="004513F7">
        <w:t xml:space="preserve"> Informants also highlighted other NbS champions outside of RUCaS who could be beneficial collaborators in the future (e.g. WWF in Viet Nam). </w:t>
      </w:r>
      <w:r w:rsidR="005A7C66" w:rsidRPr="004513F7">
        <w:t>Y</w:t>
      </w:r>
      <w:r w:rsidRPr="004513F7">
        <w:t>outh were also noted</w:t>
      </w:r>
      <w:r w:rsidR="005A7C66" w:rsidRPr="004513F7">
        <w:t xml:space="preserve"> by informants</w:t>
      </w:r>
      <w:r w:rsidRPr="004513F7">
        <w:t xml:space="preserve"> in all countries as being </w:t>
      </w:r>
      <w:r w:rsidR="005A7C66" w:rsidRPr="004513F7">
        <w:t xml:space="preserve">potential </w:t>
      </w:r>
      <w:r w:rsidRPr="004513F7">
        <w:t>NbS champions.</w:t>
      </w:r>
    </w:p>
  </w:footnote>
  <w:footnote w:id="33">
    <w:p w14:paraId="2A4F5C00" w14:textId="4953F98B" w:rsidR="004966B1" w:rsidRDefault="004966B1">
      <w:pPr>
        <w:pStyle w:val="FootnoteText"/>
      </w:pPr>
      <w:r w:rsidRPr="004513F7">
        <w:rPr>
          <w:rStyle w:val="FootnoteReference"/>
        </w:rPr>
        <w:footnoteRef/>
      </w:r>
      <w:r w:rsidRPr="004513F7">
        <w:t xml:space="preserve"> This was further enabled through pre-existing relationships between some of the academics.</w:t>
      </w:r>
    </w:p>
  </w:footnote>
  <w:footnote w:id="34">
    <w:p w14:paraId="05EDA4B0" w14:textId="0666BA7F" w:rsidR="00B2794E" w:rsidRDefault="00B2794E" w:rsidP="00A5084A">
      <w:r w:rsidRPr="00DA00ED">
        <w:rPr>
          <w:rStyle w:val="FootnoteReference"/>
          <w:sz w:val="20"/>
          <w:szCs w:val="20"/>
        </w:rPr>
        <w:footnoteRef/>
      </w:r>
      <w:r w:rsidRPr="00DA00ED">
        <w:rPr>
          <w:sz w:val="20"/>
          <w:szCs w:val="20"/>
        </w:rPr>
        <w:t xml:space="preserve"> Few partners had a solid understanding of the </w:t>
      </w:r>
      <w:r w:rsidRPr="00DA00ED">
        <w:rPr>
          <w:i/>
          <w:iCs/>
          <w:sz w:val="20"/>
          <w:szCs w:val="20"/>
        </w:rPr>
        <w:t>definition</w:t>
      </w:r>
      <w:r w:rsidRPr="00DA00ED">
        <w:rPr>
          <w:sz w:val="20"/>
          <w:szCs w:val="20"/>
        </w:rPr>
        <w:t xml:space="preserve"> of NbS, and those that did were predominantly technical partners. In particular, NbS was often conflated with the concept of </w:t>
      </w:r>
      <w:r w:rsidRPr="00A5084A">
        <w:rPr>
          <w:i/>
          <w:iCs/>
          <w:sz w:val="20"/>
          <w:szCs w:val="20"/>
        </w:rPr>
        <w:t>green development</w:t>
      </w:r>
      <w:r w:rsidR="009E7999">
        <w:rPr>
          <w:sz w:val="20"/>
          <w:szCs w:val="20"/>
        </w:rPr>
        <w:t xml:space="preserve"> (</w:t>
      </w:r>
      <w:r w:rsidR="009E7999" w:rsidRPr="009E7999">
        <w:rPr>
          <w:sz w:val="20"/>
          <w:szCs w:val="20"/>
        </w:rPr>
        <w:t>a broad concept that include</w:t>
      </w:r>
      <w:r w:rsidR="009E7999">
        <w:rPr>
          <w:sz w:val="20"/>
          <w:szCs w:val="20"/>
        </w:rPr>
        <w:t>s</w:t>
      </w:r>
      <w:r w:rsidR="009E7999" w:rsidRPr="009E7999">
        <w:rPr>
          <w:sz w:val="20"/>
          <w:szCs w:val="20"/>
        </w:rPr>
        <w:t xml:space="preserve"> solutions that do</w:t>
      </w:r>
      <w:r w:rsidR="001024C4">
        <w:rPr>
          <w:sz w:val="20"/>
          <w:szCs w:val="20"/>
        </w:rPr>
        <w:t xml:space="preserve"> not</w:t>
      </w:r>
      <w:r w:rsidR="009E7999" w:rsidRPr="009E7999">
        <w:rPr>
          <w:sz w:val="20"/>
          <w:szCs w:val="20"/>
        </w:rPr>
        <w:t xml:space="preserve"> incorporate nature and ecosystems</w:t>
      </w:r>
      <w:r w:rsidR="009E7999">
        <w:rPr>
          <w:sz w:val="20"/>
          <w:szCs w:val="20"/>
        </w:rPr>
        <w:t xml:space="preserve">, e.g. </w:t>
      </w:r>
      <w:r w:rsidR="009E7999" w:rsidRPr="009E7999">
        <w:rPr>
          <w:sz w:val="20"/>
          <w:szCs w:val="20"/>
        </w:rPr>
        <w:t>energy-efficient buildings</w:t>
      </w:r>
      <w:r w:rsidR="009E7999">
        <w:rPr>
          <w:sz w:val="20"/>
          <w:szCs w:val="20"/>
        </w:rPr>
        <w:t>),</w:t>
      </w:r>
      <w:r w:rsidR="009E7999" w:rsidRPr="009E7999">
        <w:rPr>
          <w:sz w:val="20"/>
          <w:szCs w:val="20"/>
        </w:rPr>
        <w:t xml:space="preserve"> </w:t>
      </w:r>
      <w:r w:rsidRPr="00DA00ED">
        <w:rPr>
          <w:sz w:val="20"/>
          <w:szCs w:val="20"/>
        </w:rPr>
        <w:t xml:space="preserve">and the understanding that biodiversity is a foundational element of </w:t>
      </w:r>
      <w:r w:rsidR="009E7999" w:rsidRPr="00DA00ED">
        <w:rPr>
          <w:sz w:val="20"/>
          <w:szCs w:val="20"/>
        </w:rPr>
        <w:t>N</w:t>
      </w:r>
      <w:r w:rsidR="009E7999">
        <w:rPr>
          <w:sz w:val="20"/>
          <w:szCs w:val="20"/>
        </w:rPr>
        <w:t>b</w:t>
      </w:r>
      <w:r w:rsidR="009E7999" w:rsidRPr="00DA00ED">
        <w:rPr>
          <w:sz w:val="20"/>
          <w:szCs w:val="20"/>
        </w:rPr>
        <w:t xml:space="preserve">S </w:t>
      </w:r>
      <w:r w:rsidRPr="00DA00ED">
        <w:rPr>
          <w:sz w:val="20"/>
          <w:szCs w:val="20"/>
        </w:rPr>
        <w:t>did not appear to be understood by most partners. This is a minor issue when contrasted with other challenges in the RUCaS program; however, the goal of this investment is clearly centred on NbS specifically (and not on green infrastructure etc.) so this observation is noted here.</w:t>
      </w:r>
    </w:p>
  </w:footnote>
  <w:footnote w:id="35">
    <w:p w14:paraId="39D66332" w14:textId="64BCE703" w:rsidR="00A80E17" w:rsidRDefault="00A80E17">
      <w:pPr>
        <w:pStyle w:val="FootnoteText"/>
      </w:pPr>
      <w:r>
        <w:rPr>
          <w:rStyle w:val="FootnoteReference"/>
        </w:rPr>
        <w:footnoteRef/>
      </w:r>
      <w:r>
        <w:t xml:space="preserve"> With the exception of Thailand, where informants from the DCCE and BMA were predominantly women.</w:t>
      </w:r>
    </w:p>
  </w:footnote>
  <w:footnote w:id="36">
    <w:p w14:paraId="36DEB9BF" w14:textId="77777777" w:rsidR="00286DC9" w:rsidRDefault="00286DC9" w:rsidP="00286DC9">
      <w:pPr>
        <w:pStyle w:val="FootnoteText"/>
      </w:pPr>
      <w:r>
        <w:rPr>
          <w:rStyle w:val="FootnoteReference"/>
        </w:rPr>
        <w:footnoteRef/>
      </w:r>
      <w:r>
        <w:t xml:space="preserve"> </w:t>
      </w:r>
      <w:r w:rsidRPr="005B5F2D">
        <w:t xml:space="preserve">Nguyen-Trung, K., Cross, K., Simon, M., Flynn, J., &amp; Furmage, B. (2025). </w:t>
      </w:r>
      <w:r w:rsidRPr="005B5F2D">
        <w:rPr>
          <w:i/>
          <w:iCs/>
        </w:rPr>
        <w:t>Inclusive and equitable urban nature-based solutions: A practical guide</w:t>
      </w:r>
      <w:r w:rsidRPr="005B5F2D">
        <w:t>. Water Sensitive Cities Australia.</w:t>
      </w:r>
    </w:p>
  </w:footnote>
  <w:footnote w:id="37">
    <w:p w14:paraId="1988968D" w14:textId="01EC594B" w:rsidR="00286DC9" w:rsidRDefault="00286DC9" w:rsidP="00286DC9">
      <w:pPr>
        <w:pStyle w:val="FootnoteText"/>
      </w:pPr>
      <w:r>
        <w:rPr>
          <w:rStyle w:val="FootnoteReference"/>
        </w:rPr>
        <w:footnoteRef/>
      </w:r>
      <w:r>
        <w:t xml:space="preserve"> See </w:t>
      </w:r>
      <w:r w:rsidRPr="003C3935">
        <w:t>RUCaS</w:t>
      </w:r>
      <w:r>
        <w:t xml:space="preserve"> </w:t>
      </w:r>
      <w:r w:rsidR="00204C74">
        <w:t>mid-term</w:t>
      </w:r>
      <w:r w:rsidRPr="003C3935">
        <w:t xml:space="preserve"> report </w:t>
      </w:r>
      <w:r>
        <w:t>(</w:t>
      </w:r>
      <w:r w:rsidRPr="003C3935">
        <w:t>May-Oct</w:t>
      </w:r>
      <w:r>
        <w:t xml:space="preserve"> </w:t>
      </w:r>
      <w:r w:rsidRPr="003C3935">
        <w:t>2025</w:t>
      </w:r>
      <w:r>
        <w:t>)</w:t>
      </w:r>
    </w:p>
  </w:footnote>
  <w:footnote w:id="38">
    <w:p w14:paraId="2804619C" w14:textId="77777777" w:rsidR="00286DC9" w:rsidRDefault="00286DC9" w:rsidP="00286DC9">
      <w:pPr>
        <w:pStyle w:val="FootnoteText"/>
      </w:pPr>
      <w:r>
        <w:rPr>
          <w:rStyle w:val="FootnoteReference"/>
        </w:rPr>
        <w:footnoteRef/>
      </w:r>
      <w:r>
        <w:t xml:space="preserve"> The sustainability of the GEDSI outcomes will be discussed in the section below.</w:t>
      </w:r>
    </w:p>
  </w:footnote>
  <w:footnote w:id="39">
    <w:p w14:paraId="4B2174F7" w14:textId="77777777" w:rsidR="00286DC9" w:rsidRDefault="00286DC9" w:rsidP="00286DC9">
      <w:pPr>
        <w:pStyle w:val="FootnoteText"/>
      </w:pPr>
      <w:r>
        <w:rPr>
          <w:rStyle w:val="FootnoteReference"/>
        </w:rPr>
        <w:footnoteRef/>
      </w:r>
      <w:r>
        <w:t xml:space="preserve"> So much so, that much work has been done to develop tools that focus on measuring and supporting an organisation’s capacity to do meaningful GEDSI work. See for example, ‘Inclusive WASH workplaces’ (</w:t>
      </w:r>
      <w:hyperlink r:id="rId7" w:history="1">
        <w:r w:rsidRPr="00AE0862">
          <w:rPr>
            <w:rStyle w:val="Hyperlink"/>
          </w:rPr>
          <w:t>https://waterforwomen.uts.edu.au/inclusive-workplaces/</w:t>
        </w:r>
      </w:hyperlink>
      <w:r>
        <w:t>) and the ‘GEDSI Self-Assessment Tool’ (</w:t>
      </w:r>
      <w:r w:rsidRPr="00685C9A">
        <w:t>https://www.waterforwomenfund.org/en/learning-and-resources/resources/KL/Extension-Phase/Water-for-Women_2025_GEDSI-SAT_FINAL_web.pdf</w:t>
      </w:r>
      <w:r>
        <w:t>)</w:t>
      </w:r>
    </w:p>
  </w:footnote>
  <w:footnote w:id="40">
    <w:p w14:paraId="5D90F2A8" w14:textId="77777777" w:rsidR="00286DC9" w:rsidRDefault="00286DC9" w:rsidP="00286DC9">
      <w:pPr>
        <w:pStyle w:val="FootnoteText"/>
      </w:pPr>
      <w:r>
        <w:rPr>
          <w:rStyle w:val="FootnoteReference"/>
        </w:rPr>
        <w:footnoteRef/>
      </w:r>
      <w:r>
        <w:t xml:space="preserve"> Engaging experts who can speak the language of GEDSI, community development and engineering etc. helps to ensure that these fields and responsibilities do not end up siloed as they did in RUCaS Phase 1. Ideally, there would be separate staff responsible for gender equality, disability inclusion, indigenous voices and other socially excluded groups, to ensure that none of these issues becomes de-prioritised and in recognition that each of these fields are specific areas of knowledge and expertise.</w:t>
      </w:r>
    </w:p>
  </w:footnote>
  <w:footnote w:id="41">
    <w:p w14:paraId="1CBA0973" w14:textId="77777777" w:rsidR="00286DC9" w:rsidRDefault="00286DC9" w:rsidP="00286DC9">
      <w:pPr>
        <w:pStyle w:val="FootnoteText"/>
      </w:pPr>
      <w:r>
        <w:rPr>
          <w:rStyle w:val="FootnoteReference"/>
        </w:rPr>
        <w:footnoteRef/>
      </w:r>
      <w:r>
        <w:t xml:space="preserve"> The aim is not to train all RUCaS program staff to become GEDSI experts; however, some degree of self-reflective work and capacity development is needed to ensure that those working in non-GEDSI fields are able to confidently incorporate GEDSI into their work and know how to engage GEDSI-experts when needed.</w:t>
      </w:r>
    </w:p>
  </w:footnote>
  <w:footnote w:id="42">
    <w:p w14:paraId="42DAE171" w14:textId="77777777" w:rsidR="00234C36" w:rsidRDefault="00234C36" w:rsidP="00234C36">
      <w:pPr>
        <w:pStyle w:val="FootnoteText"/>
      </w:pPr>
      <w:r>
        <w:rPr>
          <w:rStyle w:val="FootnoteReference"/>
        </w:rPr>
        <w:footnoteRef/>
      </w:r>
      <w:r>
        <w:t xml:space="preserve"> </w:t>
      </w:r>
      <w:r w:rsidRPr="00000E2B">
        <w:t>https://www.dfat.gov.au/sites/default/files/investment-design-quality-criteria.pdf</w:t>
      </w:r>
    </w:p>
  </w:footnote>
  <w:footnote w:id="43">
    <w:p w14:paraId="7631FE4D" w14:textId="19945A90" w:rsidR="00BD60F4" w:rsidRDefault="00BD60F4">
      <w:pPr>
        <w:pStyle w:val="FootnoteText"/>
      </w:pPr>
      <w:r>
        <w:rPr>
          <w:rStyle w:val="FootnoteReference"/>
        </w:rPr>
        <w:footnoteRef/>
      </w:r>
      <w:r>
        <w:t xml:space="preserve"> See Annual Report – 2025, p 17.</w:t>
      </w:r>
    </w:p>
  </w:footnote>
  <w:footnote w:id="44">
    <w:p w14:paraId="6DBF8D7D" w14:textId="77777777" w:rsidR="003E56F4" w:rsidRPr="009B17DC" w:rsidRDefault="003E56F4" w:rsidP="003E56F4">
      <w:pPr>
        <w:pStyle w:val="FootnoteText"/>
      </w:pPr>
      <w:r w:rsidRPr="009B17DC">
        <w:rPr>
          <w:rStyle w:val="FootnoteReference"/>
        </w:rPr>
        <w:footnoteRef/>
      </w:r>
      <w:r w:rsidRPr="009B17DC">
        <w:t xml:space="preserve"> </w:t>
      </w:r>
      <w:hyperlink r:id="rId8" w:history="1">
        <w:r w:rsidRPr="009B17DC">
          <w:rPr>
            <w:rStyle w:val="Hyperlink"/>
          </w:rPr>
          <w:t>https://one.oecd.org/document/DCD/DAC(2019)58/FINAL/en/pdf</w:t>
        </w:r>
      </w:hyperlink>
      <w:r w:rsidRPr="009B17DC">
        <w:t xml:space="preserve"> </w:t>
      </w:r>
    </w:p>
  </w:footnote>
  <w:footnote w:id="45">
    <w:p w14:paraId="68A3EF97" w14:textId="77777777" w:rsidR="003E56F4" w:rsidRDefault="003E56F4" w:rsidP="003E56F4">
      <w:pPr>
        <w:pStyle w:val="FootnoteText"/>
        <w:rPr>
          <w:sz w:val="18"/>
          <w:szCs w:val="18"/>
        </w:rPr>
      </w:pPr>
      <w:r w:rsidRPr="009B17DC">
        <w:rPr>
          <w:rStyle w:val="FootnoteReference"/>
        </w:rPr>
        <w:footnoteRef/>
      </w:r>
      <w:r w:rsidRPr="009B17DC">
        <w:t xml:space="preserve"> Typical indications of sustainability include whether there are resources (money etc.); human resources (people on the ground); skills (that the people on the ground have capacity); motivation (that the people on the ground have sufficient incentives to use their skills); systems (for the efficient coordination of people with skills and motivation); and leadership (to manage the systems and lead the people on the ground).</w:t>
      </w:r>
    </w:p>
  </w:footnote>
  <w:footnote w:id="46">
    <w:p w14:paraId="26EF9C54" w14:textId="140D627F" w:rsidR="00B87D1D" w:rsidRDefault="00B87D1D">
      <w:pPr>
        <w:pStyle w:val="FootnoteText"/>
      </w:pPr>
      <w:r>
        <w:rPr>
          <w:rStyle w:val="FootnoteReference"/>
        </w:rPr>
        <w:footnoteRef/>
      </w:r>
      <w:r>
        <w:t xml:space="preserve"> This is a common assumption in international development but has been found to be a reason projects often fail. See </w:t>
      </w:r>
      <w:hyperlink r:id="rId9" w:history="1">
        <w:r w:rsidRPr="00B87D1D">
          <w:rPr>
            <w:rStyle w:val="Hyperlink"/>
          </w:rPr>
          <w:t>Barrington et al. 2025</w:t>
        </w:r>
      </w:hyperlink>
      <w:r>
        <w:t xml:space="preserve"> as an example.</w:t>
      </w:r>
    </w:p>
  </w:footnote>
  <w:footnote w:id="47">
    <w:p w14:paraId="1E79FF1B" w14:textId="04905358" w:rsidR="00BA6BFF" w:rsidRDefault="00BA6BFF">
      <w:pPr>
        <w:pStyle w:val="FootnoteText"/>
      </w:pPr>
      <w:r>
        <w:rPr>
          <w:rStyle w:val="FootnoteReference"/>
        </w:rPr>
        <w:footnoteRef/>
      </w:r>
      <w:r>
        <w:t xml:space="preserve"> See </w:t>
      </w:r>
      <w:r w:rsidRPr="003C3935">
        <w:t>RUCaS</w:t>
      </w:r>
      <w:r>
        <w:t xml:space="preserve"> mid-term</w:t>
      </w:r>
      <w:r w:rsidRPr="003C3935">
        <w:t xml:space="preserve"> report </w:t>
      </w:r>
      <w:r>
        <w:t>(</w:t>
      </w:r>
      <w:r w:rsidRPr="003C3935">
        <w:t>May-Oct</w:t>
      </w:r>
      <w:r>
        <w:t xml:space="preserve"> </w:t>
      </w:r>
      <w:r w:rsidRPr="003C3935">
        <w:t>2025</w:t>
      </w:r>
      <w:r>
        <w:t>).</w:t>
      </w:r>
    </w:p>
  </w:footnote>
  <w:footnote w:id="48">
    <w:p w14:paraId="6181101E" w14:textId="7730DD5F" w:rsidR="00D23EE0" w:rsidRPr="00D23EE0" w:rsidRDefault="00D23EE0">
      <w:pPr>
        <w:pStyle w:val="FootnoteText"/>
        <w:rPr>
          <w:color w:val="auto"/>
        </w:rPr>
      </w:pPr>
      <w:r w:rsidRPr="00D23EE0">
        <w:rPr>
          <w:rStyle w:val="FootnoteReference"/>
          <w:color w:val="auto"/>
        </w:rPr>
        <w:footnoteRef/>
      </w:r>
      <w:r w:rsidRPr="00D23EE0">
        <w:rPr>
          <w:color w:val="auto"/>
        </w:rPr>
        <w:t xml:space="preserve"> </w:t>
      </w:r>
      <w:r>
        <w:rPr>
          <w:color w:val="auto"/>
        </w:rPr>
        <w:t>The RUCaS team plan to write an industry note (approximately 4</w:t>
      </w:r>
      <w:r w:rsidR="00AF7715">
        <w:rPr>
          <w:color w:val="auto"/>
        </w:rPr>
        <w:t>-</w:t>
      </w:r>
      <w:r>
        <w:rPr>
          <w:color w:val="auto"/>
        </w:rPr>
        <w:t>page summar</w:t>
      </w:r>
      <w:r w:rsidR="00AF7715">
        <w:rPr>
          <w:color w:val="auto"/>
        </w:rPr>
        <w:t>y</w:t>
      </w:r>
      <w:r>
        <w:rPr>
          <w:color w:val="auto"/>
        </w:rPr>
        <w:t>) of the guideline before April 2026.</w:t>
      </w:r>
    </w:p>
  </w:footnote>
  <w:footnote w:id="49">
    <w:p w14:paraId="6BD55E58" w14:textId="77777777" w:rsidR="00253689" w:rsidRDefault="00253689" w:rsidP="00253689">
      <w:pPr>
        <w:pStyle w:val="FootnoteText"/>
      </w:pPr>
      <w:r>
        <w:rPr>
          <w:rStyle w:val="FootnoteReference"/>
        </w:rPr>
        <w:footnoteRef/>
      </w:r>
      <w:r>
        <w:t xml:space="preserve"> A ‘theory of change’ is a form of program logic that sets out the roles of different classes of actor who will influence the intended social changes.</w:t>
      </w:r>
    </w:p>
  </w:footnote>
  <w:footnote w:id="50">
    <w:p w14:paraId="73915964" w14:textId="77777777" w:rsidR="00253689" w:rsidRDefault="00253689" w:rsidP="00253689">
      <w:pPr>
        <w:pStyle w:val="FootnoteText"/>
      </w:pPr>
      <w:r>
        <w:rPr>
          <w:rStyle w:val="FootnoteReference"/>
        </w:rPr>
        <w:footnoteRef/>
      </w:r>
      <w:r>
        <w:t xml:space="preserve"> </w:t>
      </w:r>
      <w:r w:rsidRPr="00DD23AE">
        <w:t>https://www.oecd-ilibrary.org/sites/543e84ed-en/1/3/4/index.html?itemId=/content/publication/543e84ed-en&amp;_csp_=535d2f2a848b7727d35502d7f36e4885&amp;itemIGO=oecd&amp;itemContentType=book#section-d1e2474</w:t>
      </w:r>
    </w:p>
  </w:footnote>
  <w:footnote w:id="51">
    <w:p w14:paraId="2A1F423F" w14:textId="77777777" w:rsidR="00253689" w:rsidRDefault="00253689" w:rsidP="00253689">
      <w:pPr>
        <w:pStyle w:val="FootnoteText"/>
      </w:pPr>
      <w:r>
        <w:rPr>
          <w:rStyle w:val="FootnoteReference"/>
        </w:rPr>
        <w:footnoteRef/>
      </w:r>
      <w:r>
        <w:t xml:space="preserve"> </w:t>
      </w:r>
      <w:r w:rsidRPr="00AE5D18">
        <w:t>https://www.oecd-ilibrary.org/sites/543e84ed-en/1/3/4/index.html?itemId=/content/publication/543e84ed-en&amp;_csp_=535d2f2a848b7727d35502d7f36e4885&amp;itemIGO=oecd&amp;itemContentType=book#section-d1e4269</w:t>
      </w:r>
    </w:p>
  </w:footnote>
  <w:footnote w:id="52">
    <w:p w14:paraId="0C3D3A8A" w14:textId="77777777" w:rsidR="00253689" w:rsidRDefault="00253689" w:rsidP="00253689">
      <w:pPr>
        <w:pStyle w:val="FootnoteText"/>
      </w:pPr>
      <w:r>
        <w:rPr>
          <w:rStyle w:val="FootnoteReference"/>
        </w:rPr>
        <w:footnoteRef/>
      </w:r>
      <w:r>
        <w:t xml:space="preserve"> </w:t>
      </w:r>
      <w:r w:rsidRPr="00AE5D18">
        <w:t>https://www.oecd-ilibrary.org/sites/543e84ed-en/1/3/4/index.html?itemId=/content/publication/543e84ed-en&amp;_csp_=535d2f2a848b7727d35502d7f36e4885&amp;itemIGO=oecd&amp;itemContentType=book#section-d1e3395</w:t>
      </w:r>
    </w:p>
  </w:footnote>
  <w:footnote w:id="53">
    <w:p w14:paraId="23FB76D5" w14:textId="77777777" w:rsidR="00253689" w:rsidRDefault="00253689" w:rsidP="00253689">
      <w:pPr>
        <w:pStyle w:val="FootnoteText"/>
      </w:pPr>
      <w:r>
        <w:rPr>
          <w:rStyle w:val="FootnoteReference"/>
        </w:rPr>
        <w:footnoteRef/>
      </w:r>
      <w:r>
        <w:t xml:space="preserve"> </w:t>
      </w:r>
      <w:r w:rsidRPr="00BE6CAD">
        <w:t>https://www.oecd-ilibrary.org/sites/543e84ed-en/1/3/4/index.html?itemId=/content/publication/543e84ed-en&amp;_csp_=535d2f2a848b7727d35502d7f36e4885&amp;itemIGO=oecd&amp;itemContentType=book#section-d1e4964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627E" w14:textId="5C0616F8" w:rsidR="00A74565" w:rsidRDefault="00A74565">
    <w:pPr>
      <w:pStyle w:val="Header"/>
    </w:pPr>
    <w:r>
      <w:rPr>
        <w:noProof/>
      </w:rPr>
      <mc:AlternateContent>
        <mc:Choice Requires="wps">
          <w:drawing>
            <wp:anchor distT="0" distB="0" distL="0" distR="0" simplePos="0" relativeHeight="251658244" behindDoc="0" locked="0" layoutInCell="1" allowOverlap="1" wp14:anchorId="70AC1436" wp14:editId="383AD03C">
              <wp:simplePos x="635" y="635"/>
              <wp:positionH relativeFrom="page">
                <wp:align>center</wp:align>
              </wp:positionH>
              <wp:positionV relativeFrom="page">
                <wp:align>top</wp:align>
              </wp:positionV>
              <wp:extent cx="622300" cy="391160"/>
              <wp:effectExtent l="0" t="0" r="6350" b="8890"/>
              <wp:wrapNone/>
              <wp:docPr id="25048841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5BCB2E7C" w14:textId="1CC325A4" w:rsidR="00A74565" w:rsidRPr="00A74565" w:rsidRDefault="00A74565" w:rsidP="00A74565">
                          <w:pPr>
                            <w:spacing w:after="0"/>
                            <w:rPr>
                              <w:rFonts w:ascii="Aptos" w:eastAsia="Aptos" w:hAnsi="Aptos" w:cs="Aptos"/>
                              <w:noProof/>
                              <w:color w:val="FF0000"/>
                              <w:sz w:val="24"/>
                              <w:szCs w:val="24"/>
                            </w:rPr>
                          </w:pPr>
                          <w:r w:rsidRPr="00A74565">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0AC1436" id="_x0000_t202" coordsize="21600,21600" o:spt="202" path="m,l,21600r21600,l21600,xe">
              <v:stroke joinstyle="miter"/>
              <v:path gradientshapeok="t" o:connecttype="rect"/>
            </v:shapetype>
            <v:shape id="Text Box 2" o:spid="_x0000_s1026" type="#_x0000_t202" alt="OFFICIAL" style="position:absolute;margin-left:0;margin-top:0;width:49pt;height:30.8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" filled="f" stroked="f">
              <v:textbox style="mso-fit-shape-to-text:t" inset="0,15pt,0,0">
                <w:txbxContent>
                  <w:p w14:paraId="5BCB2E7C" w14:textId="1CC325A4" w:rsidR="00A74565" w:rsidRPr="00A74565" w:rsidRDefault="00A74565" w:rsidP="00A74565">
                    <w:pPr>
                      <w:spacing w:after="0"/>
                      <w:rPr>
                        <w:rFonts w:ascii="Aptos" w:eastAsia="Aptos" w:hAnsi="Aptos" w:cs="Aptos"/>
                        <w:noProof/>
                        <w:color w:val="FF0000"/>
                        <w:sz w:val="24"/>
                        <w:szCs w:val="24"/>
                      </w:rPr>
                    </w:pPr>
                    <w:r w:rsidRPr="00A74565">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44394" w14:textId="4E794890" w:rsidR="009E1C05" w:rsidRPr="009E1C05" w:rsidRDefault="00156392">
    <w:pPr>
      <w:pStyle w:val="Header"/>
      <w:rPr>
        <w:sz w:val="18"/>
        <w:szCs w:val="18"/>
      </w:rPr>
    </w:pPr>
    <w:proofErr w:type="spellStart"/>
    <w:r>
      <w:rPr>
        <w:sz w:val="18"/>
        <w:szCs w:val="18"/>
      </w:rPr>
      <w:t>RUCaS</w:t>
    </w:r>
    <w:proofErr w:type="spellEnd"/>
    <w:r w:rsidR="000D2530">
      <w:rPr>
        <w:sz w:val="18"/>
        <w:szCs w:val="18"/>
      </w:rPr>
      <w:t xml:space="preserve">: </w:t>
    </w:r>
    <w:r>
      <w:rPr>
        <w:sz w:val="18"/>
        <w:szCs w:val="18"/>
      </w:rPr>
      <w:t>End of Program Evaluation</w:t>
    </w:r>
    <w:r w:rsidR="000D2530">
      <w:rPr>
        <w:sz w:val="18"/>
        <w:szCs w:val="18"/>
      </w:rPr>
      <w:t xml:space="preserve"> </w:t>
    </w:r>
    <w:r w:rsidR="007D1363">
      <w:rPr>
        <w:sz w:val="18"/>
        <w:szCs w:val="18"/>
      </w:rPr>
      <w:t xml:space="preserve">Final </w:t>
    </w:r>
    <w:r w:rsidR="000D2530">
      <w:rPr>
        <w:sz w:val="18"/>
        <w:szCs w:val="18"/>
      </w:rPr>
      <w:t>Report</w:t>
    </w:r>
    <w:r w:rsidR="00DD43BE">
      <w:rPr>
        <w:sz w:val="18"/>
        <w:szCs w:val="18"/>
      </w:rPr>
      <w:t xml:space="preserve"> v2</w:t>
    </w:r>
    <w:r w:rsidR="000D2530">
      <w:rPr>
        <w:sz w:val="18"/>
        <w:szCs w:val="18"/>
      </w:rPr>
      <w:t xml:space="preserve">, </w:t>
    </w:r>
    <w:r w:rsidR="00DD43BE">
      <w:rPr>
        <w:sz w:val="18"/>
        <w:szCs w:val="18"/>
      </w:rPr>
      <w:t xml:space="preserve">March </w:t>
    </w:r>
    <w:r w:rsidR="000D2530">
      <w:rPr>
        <w:sz w:val="18"/>
        <w:szCs w:val="18"/>
      </w:rPr>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30A6"/>
    <w:multiLevelType w:val="hybridMultilevel"/>
    <w:tmpl w:val="09648DC6"/>
    <w:lvl w:ilvl="0" w:tplc="E214CE18">
      <w:start w:val="14"/>
      <w:numFmt w:val="bullet"/>
      <w:lvlText w:val=""/>
      <w:lvlJc w:val="left"/>
      <w:pPr>
        <w:ind w:left="0" w:hanging="360"/>
      </w:pPr>
      <w:rPr>
        <w:rFonts w:ascii="Symbol" w:eastAsiaTheme="minorHAnsi" w:hAnsi="Symbol" w:cstheme="minorBidi"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5B1177B"/>
    <w:multiLevelType w:val="multilevel"/>
    <w:tmpl w:val="6F8A6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AF0FAB"/>
    <w:multiLevelType w:val="multilevel"/>
    <w:tmpl w:val="69C41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AA7C5D"/>
    <w:multiLevelType w:val="multilevel"/>
    <w:tmpl w:val="9586DE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1BE5A5C"/>
    <w:multiLevelType w:val="multilevel"/>
    <w:tmpl w:val="8F380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9586F4A"/>
    <w:multiLevelType w:val="hybridMultilevel"/>
    <w:tmpl w:val="217E50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B344CF1"/>
    <w:multiLevelType w:val="multilevel"/>
    <w:tmpl w:val="F84AC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D519A2"/>
    <w:multiLevelType w:val="multilevel"/>
    <w:tmpl w:val="3E281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50D0B57"/>
    <w:multiLevelType w:val="hybridMultilevel"/>
    <w:tmpl w:val="5BFAE1F8"/>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5833E6E"/>
    <w:multiLevelType w:val="multilevel"/>
    <w:tmpl w:val="B4DCC99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27C01CE7"/>
    <w:multiLevelType w:val="hybridMultilevel"/>
    <w:tmpl w:val="EFC626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C805F56"/>
    <w:multiLevelType w:val="multilevel"/>
    <w:tmpl w:val="6282A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CC70322"/>
    <w:multiLevelType w:val="hybridMultilevel"/>
    <w:tmpl w:val="8340BA3A"/>
    <w:lvl w:ilvl="0" w:tplc="0C090001">
      <w:start w:val="1"/>
      <w:numFmt w:val="bullet"/>
      <w:lvlText w:val=""/>
      <w:lvlJc w:val="left"/>
      <w:pPr>
        <w:ind w:left="720" w:hanging="360"/>
      </w:pPr>
      <w:rPr>
        <w:rFonts w:ascii="Symbol" w:hAnsi="Symbol" w:hint="default"/>
      </w:rPr>
    </w:lvl>
    <w:lvl w:ilvl="1" w:tplc="128A9864">
      <w:numFmt w:val="bullet"/>
      <w:lvlText w:val="•"/>
      <w:lvlJc w:val="left"/>
      <w:pPr>
        <w:ind w:left="1800" w:hanging="720"/>
      </w:pPr>
      <w:rPr>
        <w:rFonts w:ascii="Aptos" w:eastAsiaTheme="minorHAnsi" w:hAnsi="Aptos" w:cstheme="minorBidi"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D363A89"/>
    <w:multiLevelType w:val="hybridMultilevel"/>
    <w:tmpl w:val="857ED136"/>
    <w:lvl w:ilvl="0" w:tplc="B56A3E20">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2011F8F"/>
    <w:multiLevelType w:val="hybridMultilevel"/>
    <w:tmpl w:val="E2C4FB96"/>
    <w:lvl w:ilvl="0" w:tplc="CBB4388A">
      <w:start w:val="1"/>
      <w:numFmt w:val="decimal"/>
      <w:pStyle w:val="Heading2"/>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A8367DB"/>
    <w:multiLevelType w:val="multilevel"/>
    <w:tmpl w:val="0ACED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C961907"/>
    <w:multiLevelType w:val="multilevel"/>
    <w:tmpl w:val="936AE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7193E4D"/>
    <w:multiLevelType w:val="hybridMultilevel"/>
    <w:tmpl w:val="33DE1F06"/>
    <w:lvl w:ilvl="0" w:tplc="FFFFFFFF">
      <w:numFmt w:val="bullet"/>
      <w:lvlText w:val=""/>
      <w:lvlJc w:val="left"/>
      <w:pPr>
        <w:ind w:left="360" w:hanging="360"/>
      </w:pPr>
      <w:rPr>
        <w:rFonts w:ascii="Symbol" w:eastAsiaTheme="minorHAnsi" w:hAnsi="Symbol" w:cstheme="minorBidi"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47AA113A"/>
    <w:multiLevelType w:val="multilevel"/>
    <w:tmpl w:val="31502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91C071E"/>
    <w:multiLevelType w:val="hybridMultilevel"/>
    <w:tmpl w:val="96AA98A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E0270C7"/>
    <w:multiLevelType w:val="multilevel"/>
    <w:tmpl w:val="983A5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4174F15"/>
    <w:multiLevelType w:val="multilevel"/>
    <w:tmpl w:val="6F8A6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E064DE8"/>
    <w:multiLevelType w:val="hybridMultilevel"/>
    <w:tmpl w:val="FF1699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7422A83"/>
    <w:multiLevelType w:val="hybridMultilevel"/>
    <w:tmpl w:val="33DE1F06"/>
    <w:lvl w:ilvl="0" w:tplc="1AF45C1C">
      <w:numFmt w:val="bullet"/>
      <w:lvlText w:val=""/>
      <w:lvlJc w:val="left"/>
      <w:pPr>
        <w:ind w:left="360" w:hanging="360"/>
      </w:pPr>
      <w:rPr>
        <w:rFonts w:ascii="Symbol" w:eastAsiaTheme="minorHAnsi" w:hAnsi="Symbol" w:cstheme="minorBidi"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683801FA"/>
    <w:multiLevelType w:val="multilevel"/>
    <w:tmpl w:val="0F6CE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8A54A4E"/>
    <w:multiLevelType w:val="multilevel"/>
    <w:tmpl w:val="6F8A6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53964D9"/>
    <w:multiLevelType w:val="multilevel"/>
    <w:tmpl w:val="6F8A6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774629A"/>
    <w:multiLevelType w:val="multilevel"/>
    <w:tmpl w:val="0568E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9CA15F8"/>
    <w:multiLevelType w:val="multilevel"/>
    <w:tmpl w:val="FFE47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65085997">
    <w:abstractNumId w:val="9"/>
  </w:num>
  <w:num w:numId="2" w16cid:durableId="981665341">
    <w:abstractNumId w:val="23"/>
  </w:num>
  <w:num w:numId="3" w16cid:durableId="489053849">
    <w:abstractNumId w:val="0"/>
  </w:num>
  <w:num w:numId="4" w16cid:durableId="1988704566">
    <w:abstractNumId w:val="14"/>
  </w:num>
  <w:num w:numId="5" w16cid:durableId="1140155069">
    <w:abstractNumId w:val="12"/>
  </w:num>
  <w:num w:numId="6" w16cid:durableId="537855356">
    <w:abstractNumId w:val="5"/>
  </w:num>
  <w:num w:numId="7" w16cid:durableId="1673680298">
    <w:abstractNumId w:val="10"/>
  </w:num>
  <w:num w:numId="8" w16cid:durableId="36903622">
    <w:abstractNumId w:val="19"/>
  </w:num>
  <w:num w:numId="9" w16cid:durableId="178324393">
    <w:abstractNumId w:val="8"/>
  </w:num>
  <w:num w:numId="10" w16cid:durableId="1086993758">
    <w:abstractNumId w:val="17"/>
  </w:num>
  <w:num w:numId="11" w16cid:durableId="785779694">
    <w:abstractNumId w:val="22"/>
  </w:num>
  <w:num w:numId="12" w16cid:durableId="703361696">
    <w:abstractNumId w:val="3"/>
  </w:num>
  <w:num w:numId="13" w16cid:durableId="730226298">
    <w:abstractNumId w:val="15"/>
  </w:num>
  <w:num w:numId="14" w16cid:durableId="1016228103">
    <w:abstractNumId w:val="16"/>
  </w:num>
  <w:num w:numId="15" w16cid:durableId="1145928782">
    <w:abstractNumId w:val="4"/>
  </w:num>
  <w:num w:numId="16" w16cid:durableId="258559834">
    <w:abstractNumId w:val="2"/>
  </w:num>
  <w:num w:numId="17" w16cid:durableId="1721786569">
    <w:abstractNumId w:val="28"/>
  </w:num>
  <w:num w:numId="18" w16cid:durableId="1988509325">
    <w:abstractNumId w:val="18"/>
  </w:num>
  <w:num w:numId="19" w16cid:durableId="482433476">
    <w:abstractNumId w:val="27"/>
  </w:num>
  <w:num w:numId="20" w16cid:durableId="590620600">
    <w:abstractNumId w:val="26"/>
  </w:num>
  <w:num w:numId="21" w16cid:durableId="1127315861">
    <w:abstractNumId w:val="24"/>
  </w:num>
  <w:num w:numId="22" w16cid:durableId="1970281787">
    <w:abstractNumId w:val="11"/>
  </w:num>
  <w:num w:numId="23" w16cid:durableId="1214266436">
    <w:abstractNumId w:val="7"/>
  </w:num>
  <w:num w:numId="24" w16cid:durableId="1326468875">
    <w:abstractNumId w:val="20"/>
  </w:num>
  <w:num w:numId="25" w16cid:durableId="1938251080">
    <w:abstractNumId w:val="6"/>
  </w:num>
  <w:num w:numId="26" w16cid:durableId="1374312401">
    <w:abstractNumId w:val="13"/>
  </w:num>
  <w:num w:numId="27" w16cid:durableId="36205624">
    <w:abstractNumId w:val="25"/>
  </w:num>
  <w:num w:numId="28" w16cid:durableId="768160973">
    <w:abstractNumId w:val="21"/>
  </w:num>
  <w:num w:numId="29" w16cid:durableId="352999236">
    <w:abstractNumId w:val="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E52"/>
    <w:rsid w:val="00000191"/>
    <w:rsid w:val="000015C0"/>
    <w:rsid w:val="000019B9"/>
    <w:rsid w:val="000019F4"/>
    <w:rsid w:val="00002473"/>
    <w:rsid w:val="0000259D"/>
    <w:rsid w:val="0000571C"/>
    <w:rsid w:val="0000606A"/>
    <w:rsid w:val="00006BBF"/>
    <w:rsid w:val="00006E3D"/>
    <w:rsid w:val="00007015"/>
    <w:rsid w:val="00007F88"/>
    <w:rsid w:val="000107FA"/>
    <w:rsid w:val="00011380"/>
    <w:rsid w:val="000119AF"/>
    <w:rsid w:val="00011BCE"/>
    <w:rsid w:val="0001382F"/>
    <w:rsid w:val="00013841"/>
    <w:rsid w:val="0001416F"/>
    <w:rsid w:val="00014735"/>
    <w:rsid w:val="0001496C"/>
    <w:rsid w:val="00014BC8"/>
    <w:rsid w:val="0001563E"/>
    <w:rsid w:val="00015DD6"/>
    <w:rsid w:val="0001646D"/>
    <w:rsid w:val="00016659"/>
    <w:rsid w:val="00016996"/>
    <w:rsid w:val="00016C66"/>
    <w:rsid w:val="000212D4"/>
    <w:rsid w:val="00021314"/>
    <w:rsid w:val="000219DB"/>
    <w:rsid w:val="000225B6"/>
    <w:rsid w:val="00022AD9"/>
    <w:rsid w:val="000231C1"/>
    <w:rsid w:val="0002441F"/>
    <w:rsid w:val="000245D1"/>
    <w:rsid w:val="0002525D"/>
    <w:rsid w:val="00025A55"/>
    <w:rsid w:val="0002623B"/>
    <w:rsid w:val="0002660E"/>
    <w:rsid w:val="00026619"/>
    <w:rsid w:val="00027283"/>
    <w:rsid w:val="00027BE1"/>
    <w:rsid w:val="000305A3"/>
    <w:rsid w:val="00030728"/>
    <w:rsid w:val="000325CB"/>
    <w:rsid w:val="00033CC3"/>
    <w:rsid w:val="00034286"/>
    <w:rsid w:val="000342AD"/>
    <w:rsid w:val="000359F0"/>
    <w:rsid w:val="00037A46"/>
    <w:rsid w:val="00037D59"/>
    <w:rsid w:val="000408F5"/>
    <w:rsid w:val="00040C5C"/>
    <w:rsid w:val="00041529"/>
    <w:rsid w:val="0004245F"/>
    <w:rsid w:val="000426FF"/>
    <w:rsid w:val="00043063"/>
    <w:rsid w:val="00045303"/>
    <w:rsid w:val="00046581"/>
    <w:rsid w:val="0004757A"/>
    <w:rsid w:val="00047816"/>
    <w:rsid w:val="00047BA9"/>
    <w:rsid w:val="00050235"/>
    <w:rsid w:val="00050736"/>
    <w:rsid w:val="00051CA0"/>
    <w:rsid w:val="00054A98"/>
    <w:rsid w:val="00055049"/>
    <w:rsid w:val="0005588F"/>
    <w:rsid w:val="00055DE3"/>
    <w:rsid w:val="00056E62"/>
    <w:rsid w:val="000570C6"/>
    <w:rsid w:val="00061825"/>
    <w:rsid w:val="000619FF"/>
    <w:rsid w:val="00063A0F"/>
    <w:rsid w:val="00063FD1"/>
    <w:rsid w:val="000654BE"/>
    <w:rsid w:val="00070858"/>
    <w:rsid w:val="00070AA4"/>
    <w:rsid w:val="00071563"/>
    <w:rsid w:val="000716AF"/>
    <w:rsid w:val="00071BD9"/>
    <w:rsid w:val="00073217"/>
    <w:rsid w:val="00073350"/>
    <w:rsid w:val="000733C7"/>
    <w:rsid w:val="00074D8A"/>
    <w:rsid w:val="00075125"/>
    <w:rsid w:val="0007581D"/>
    <w:rsid w:val="00075DF6"/>
    <w:rsid w:val="000771F5"/>
    <w:rsid w:val="0008017F"/>
    <w:rsid w:val="0008538A"/>
    <w:rsid w:val="00085521"/>
    <w:rsid w:val="000858DE"/>
    <w:rsid w:val="00086015"/>
    <w:rsid w:val="00086170"/>
    <w:rsid w:val="000865FD"/>
    <w:rsid w:val="00086BA8"/>
    <w:rsid w:val="000879B8"/>
    <w:rsid w:val="0009051C"/>
    <w:rsid w:val="000907DB"/>
    <w:rsid w:val="000913A0"/>
    <w:rsid w:val="0009255F"/>
    <w:rsid w:val="00093C4B"/>
    <w:rsid w:val="0009414B"/>
    <w:rsid w:val="0009502F"/>
    <w:rsid w:val="00096978"/>
    <w:rsid w:val="000976EC"/>
    <w:rsid w:val="00097804"/>
    <w:rsid w:val="000A09A8"/>
    <w:rsid w:val="000A2874"/>
    <w:rsid w:val="000A3085"/>
    <w:rsid w:val="000A6F93"/>
    <w:rsid w:val="000A7280"/>
    <w:rsid w:val="000A738F"/>
    <w:rsid w:val="000A7B2F"/>
    <w:rsid w:val="000A7B4B"/>
    <w:rsid w:val="000B071C"/>
    <w:rsid w:val="000B1081"/>
    <w:rsid w:val="000B2156"/>
    <w:rsid w:val="000B50E8"/>
    <w:rsid w:val="000B52CD"/>
    <w:rsid w:val="000B5880"/>
    <w:rsid w:val="000B6511"/>
    <w:rsid w:val="000B7372"/>
    <w:rsid w:val="000B7B68"/>
    <w:rsid w:val="000C0422"/>
    <w:rsid w:val="000C087D"/>
    <w:rsid w:val="000C0A98"/>
    <w:rsid w:val="000C11CB"/>
    <w:rsid w:val="000C1411"/>
    <w:rsid w:val="000C2DD2"/>
    <w:rsid w:val="000C3166"/>
    <w:rsid w:val="000C3236"/>
    <w:rsid w:val="000C36A5"/>
    <w:rsid w:val="000D1AA7"/>
    <w:rsid w:val="000D1E55"/>
    <w:rsid w:val="000D2530"/>
    <w:rsid w:val="000D2577"/>
    <w:rsid w:val="000D42BD"/>
    <w:rsid w:val="000D451C"/>
    <w:rsid w:val="000D469F"/>
    <w:rsid w:val="000D6007"/>
    <w:rsid w:val="000D67E2"/>
    <w:rsid w:val="000D6948"/>
    <w:rsid w:val="000D7E20"/>
    <w:rsid w:val="000E01D7"/>
    <w:rsid w:val="000E09A5"/>
    <w:rsid w:val="000E0AA9"/>
    <w:rsid w:val="000E2132"/>
    <w:rsid w:val="000E248C"/>
    <w:rsid w:val="000E29EE"/>
    <w:rsid w:val="000E30A4"/>
    <w:rsid w:val="000E3DE3"/>
    <w:rsid w:val="000E51C0"/>
    <w:rsid w:val="000E5E15"/>
    <w:rsid w:val="000E618D"/>
    <w:rsid w:val="000E776A"/>
    <w:rsid w:val="000F00B5"/>
    <w:rsid w:val="000F1D50"/>
    <w:rsid w:val="000F2824"/>
    <w:rsid w:val="000F326D"/>
    <w:rsid w:val="000F3CEA"/>
    <w:rsid w:val="000F5019"/>
    <w:rsid w:val="000F583A"/>
    <w:rsid w:val="000F6920"/>
    <w:rsid w:val="000F76B5"/>
    <w:rsid w:val="001000DD"/>
    <w:rsid w:val="001001FD"/>
    <w:rsid w:val="00100B18"/>
    <w:rsid w:val="00100E9E"/>
    <w:rsid w:val="00101953"/>
    <w:rsid w:val="001024C4"/>
    <w:rsid w:val="00102AA7"/>
    <w:rsid w:val="00102C6E"/>
    <w:rsid w:val="00102C77"/>
    <w:rsid w:val="00102F8E"/>
    <w:rsid w:val="001032F4"/>
    <w:rsid w:val="001037EE"/>
    <w:rsid w:val="0010386B"/>
    <w:rsid w:val="001038DA"/>
    <w:rsid w:val="001050C6"/>
    <w:rsid w:val="0010569B"/>
    <w:rsid w:val="0010643F"/>
    <w:rsid w:val="001105E1"/>
    <w:rsid w:val="001120DF"/>
    <w:rsid w:val="001133A2"/>
    <w:rsid w:val="001133C6"/>
    <w:rsid w:val="00113B60"/>
    <w:rsid w:val="001140DF"/>
    <w:rsid w:val="00115212"/>
    <w:rsid w:val="00115704"/>
    <w:rsid w:val="0011589E"/>
    <w:rsid w:val="00116527"/>
    <w:rsid w:val="0011671D"/>
    <w:rsid w:val="001167E9"/>
    <w:rsid w:val="00116A05"/>
    <w:rsid w:val="0011729B"/>
    <w:rsid w:val="001174BB"/>
    <w:rsid w:val="001222E5"/>
    <w:rsid w:val="00122C21"/>
    <w:rsid w:val="00124E94"/>
    <w:rsid w:val="0012582D"/>
    <w:rsid w:val="00125D85"/>
    <w:rsid w:val="00126D1E"/>
    <w:rsid w:val="00126EDC"/>
    <w:rsid w:val="0012714E"/>
    <w:rsid w:val="00127A77"/>
    <w:rsid w:val="00130369"/>
    <w:rsid w:val="001304CC"/>
    <w:rsid w:val="001305AE"/>
    <w:rsid w:val="0013075F"/>
    <w:rsid w:val="001308D9"/>
    <w:rsid w:val="00130CFC"/>
    <w:rsid w:val="001319F2"/>
    <w:rsid w:val="00132FF1"/>
    <w:rsid w:val="001334BF"/>
    <w:rsid w:val="00133695"/>
    <w:rsid w:val="00133B8F"/>
    <w:rsid w:val="00133FB4"/>
    <w:rsid w:val="001343FF"/>
    <w:rsid w:val="0013609E"/>
    <w:rsid w:val="00136F5F"/>
    <w:rsid w:val="00137074"/>
    <w:rsid w:val="00137B86"/>
    <w:rsid w:val="0014065A"/>
    <w:rsid w:val="001407F5"/>
    <w:rsid w:val="001409FF"/>
    <w:rsid w:val="001415E4"/>
    <w:rsid w:val="00142D8D"/>
    <w:rsid w:val="001430A4"/>
    <w:rsid w:val="001433FD"/>
    <w:rsid w:val="00143602"/>
    <w:rsid w:val="00143D2F"/>
    <w:rsid w:val="00143D6E"/>
    <w:rsid w:val="00143F8D"/>
    <w:rsid w:val="00144142"/>
    <w:rsid w:val="00144589"/>
    <w:rsid w:val="00144878"/>
    <w:rsid w:val="00146409"/>
    <w:rsid w:val="001466E9"/>
    <w:rsid w:val="00146980"/>
    <w:rsid w:val="00147445"/>
    <w:rsid w:val="00147669"/>
    <w:rsid w:val="00147DCF"/>
    <w:rsid w:val="001520A0"/>
    <w:rsid w:val="00152EA0"/>
    <w:rsid w:val="0015399D"/>
    <w:rsid w:val="00153BA5"/>
    <w:rsid w:val="00155645"/>
    <w:rsid w:val="00156392"/>
    <w:rsid w:val="00157127"/>
    <w:rsid w:val="00157326"/>
    <w:rsid w:val="00157F32"/>
    <w:rsid w:val="0016021E"/>
    <w:rsid w:val="001604EF"/>
    <w:rsid w:val="001613C4"/>
    <w:rsid w:val="00161D3E"/>
    <w:rsid w:val="0016284D"/>
    <w:rsid w:val="00162928"/>
    <w:rsid w:val="00164344"/>
    <w:rsid w:val="001646A4"/>
    <w:rsid w:val="00164CF7"/>
    <w:rsid w:val="001651CE"/>
    <w:rsid w:val="00165481"/>
    <w:rsid w:val="00165E6A"/>
    <w:rsid w:val="001660A6"/>
    <w:rsid w:val="001667D4"/>
    <w:rsid w:val="00170A19"/>
    <w:rsid w:val="00170ECB"/>
    <w:rsid w:val="00171783"/>
    <w:rsid w:val="0017197E"/>
    <w:rsid w:val="00171DE3"/>
    <w:rsid w:val="00172DC7"/>
    <w:rsid w:val="00173EED"/>
    <w:rsid w:val="0017407A"/>
    <w:rsid w:val="00174C04"/>
    <w:rsid w:val="0017545D"/>
    <w:rsid w:val="0017609E"/>
    <w:rsid w:val="001766AF"/>
    <w:rsid w:val="0017747B"/>
    <w:rsid w:val="00177B8C"/>
    <w:rsid w:val="00180085"/>
    <w:rsid w:val="0018179E"/>
    <w:rsid w:val="0018203E"/>
    <w:rsid w:val="00182B83"/>
    <w:rsid w:val="00183330"/>
    <w:rsid w:val="00183443"/>
    <w:rsid w:val="00183AC1"/>
    <w:rsid w:val="00183D19"/>
    <w:rsid w:val="001843CA"/>
    <w:rsid w:val="0018662D"/>
    <w:rsid w:val="00190884"/>
    <w:rsid w:val="00190A0E"/>
    <w:rsid w:val="00190FC9"/>
    <w:rsid w:val="001911A9"/>
    <w:rsid w:val="00192361"/>
    <w:rsid w:val="0019243A"/>
    <w:rsid w:val="0019349E"/>
    <w:rsid w:val="00193634"/>
    <w:rsid w:val="00193B36"/>
    <w:rsid w:val="00193EA9"/>
    <w:rsid w:val="001941E7"/>
    <w:rsid w:val="00194512"/>
    <w:rsid w:val="00194E96"/>
    <w:rsid w:val="001953DC"/>
    <w:rsid w:val="00195A82"/>
    <w:rsid w:val="00195D9B"/>
    <w:rsid w:val="00195DA4"/>
    <w:rsid w:val="00197AB5"/>
    <w:rsid w:val="00197E8A"/>
    <w:rsid w:val="001A068A"/>
    <w:rsid w:val="001A1DB8"/>
    <w:rsid w:val="001A2742"/>
    <w:rsid w:val="001A32E4"/>
    <w:rsid w:val="001A3619"/>
    <w:rsid w:val="001A3787"/>
    <w:rsid w:val="001A576E"/>
    <w:rsid w:val="001A61F2"/>
    <w:rsid w:val="001A6EFB"/>
    <w:rsid w:val="001B00A5"/>
    <w:rsid w:val="001B4466"/>
    <w:rsid w:val="001B44F9"/>
    <w:rsid w:val="001B50AD"/>
    <w:rsid w:val="001B655C"/>
    <w:rsid w:val="001B69E8"/>
    <w:rsid w:val="001B7716"/>
    <w:rsid w:val="001B7AB2"/>
    <w:rsid w:val="001B7ED9"/>
    <w:rsid w:val="001C2833"/>
    <w:rsid w:val="001C28A7"/>
    <w:rsid w:val="001C2CBC"/>
    <w:rsid w:val="001C3FFD"/>
    <w:rsid w:val="001C42C2"/>
    <w:rsid w:val="001C44A8"/>
    <w:rsid w:val="001C4A09"/>
    <w:rsid w:val="001C4DBA"/>
    <w:rsid w:val="001C5339"/>
    <w:rsid w:val="001C55E8"/>
    <w:rsid w:val="001C616C"/>
    <w:rsid w:val="001C67A4"/>
    <w:rsid w:val="001C7789"/>
    <w:rsid w:val="001D0C4D"/>
    <w:rsid w:val="001D1D15"/>
    <w:rsid w:val="001D3232"/>
    <w:rsid w:val="001D36E9"/>
    <w:rsid w:val="001D3C8D"/>
    <w:rsid w:val="001D5669"/>
    <w:rsid w:val="001D6281"/>
    <w:rsid w:val="001D62BD"/>
    <w:rsid w:val="001D6AA9"/>
    <w:rsid w:val="001D7119"/>
    <w:rsid w:val="001D7517"/>
    <w:rsid w:val="001D7752"/>
    <w:rsid w:val="001D7B0F"/>
    <w:rsid w:val="001D7EF8"/>
    <w:rsid w:val="001E0107"/>
    <w:rsid w:val="001E0306"/>
    <w:rsid w:val="001E0404"/>
    <w:rsid w:val="001E0C32"/>
    <w:rsid w:val="001E15E9"/>
    <w:rsid w:val="001E1BB3"/>
    <w:rsid w:val="001E1D8E"/>
    <w:rsid w:val="001E3791"/>
    <w:rsid w:val="001E4D82"/>
    <w:rsid w:val="001E65AA"/>
    <w:rsid w:val="001E6BA8"/>
    <w:rsid w:val="001E6E69"/>
    <w:rsid w:val="001E710D"/>
    <w:rsid w:val="001F071A"/>
    <w:rsid w:val="001F1294"/>
    <w:rsid w:val="001F1A47"/>
    <w:rsid w:val="001F1B77"/>
    <w:rsid w:val="001F2C20"/>
    <w:rsid w:val="001F2C26"/>
    <w:rsid w:val="001F2CEC"/>
    <w:rsid w:val="001F4066"/>
    <w:rsid w:val="001F4C3C"/>
    <w:rsid w:val="001F4CB4"/>
    <w:rsid w:val="001F57D4"/>
    <w:rsid w:val="001F5C80"/>
    <w:rsid w:val="001F6310"/>
    <w:rsid w:val="001F7C19"/>
    <w:rsid w:val="00200686"/>
    <w:rsid w:val="00200B4F"/>
    <w:rsid w:val="00201AAA"/>
    <w:rsid w:val="00201C5F"/>
    <w:rsid w:val="00202CB6"/>
    <w:rsid w:val="0020303C"/>
    <w:rsid w:val="00203B40"/>
    <w:rsid w:val="00203CDD"/>
    <w:rsid w:val="002044D9"/>
    <w:rsid w:val="00204C74"/>
    <w:rsid w:val="00205A41"/>
    <w:rsid w:val="002063F6"/>
    <w:rsid w:val="00206784"/>
    <w:rsid w:val="00207817"/>
    <w:rsid w:val="00210D5B"/>
    <w:rsid w:val="0021147F"/>
    <w:rsid w:val="002116E5"/>
    <w:rsid w:val="00213215"/>
    <w:rsid w:val="00213B92"/>
    <w:rsid w:val="002147EB"/>
    <w:rsid w:val="002151D7"/>
    <w:rsid w:val="00215969"/>
    <w:rsid w:val="002164FD"/>
    <w:rsid w:val="00217932"/>
    <w:rsid w:val="00217E0E"/>
    <w:rsid w:val="00217E53"/>
    <w:rsid w:val="0022012A"/>
    <w:rsid w:val="00220415"/>
    <w:rsid w:val="00220A54"/>
    <w:rsid w:val="002218A1"/>
    <w:rsid w:val="00221E68"/>
    <w:rsid w:val="00222DDF"/>
    <w:rsid w:val="002242F5"/>
    <w:rsid w:val="00224A15"/>
    <w:rsid w:val="00226722"/>
    <w:rsid w:val="00226EC5"/>
    <w:rsid w:val="00227094"/>
    <w:rsid w:val="002307CF"/>
    <w:rsid w:val="00230B6E"/>
    <w:rsid w:val="00230DAF"/>
    <w:rsid w:val="0023173B"/>
    <w:rsid w:val="00232342"/>
    <w:rsid w:val="00232D12"/>
    <w:rsid w:val="002337FF"/>
    <w:rsid w:val="00234C36"/>
    <w:rsid w:val="002358B3"/>
    <w:rsid w:val="0023793D"/>
    <w:rsid w:val="002379F5"/>
    <w:rsid w:val="0024194C"/>
    <w:rsid w:val="00241EC4"/>
    <w:rsid w:val="00242B59"/>
    <w:rsid w:val="00243B13"/>
    <w:rsid w:val="0024443D"/>
    <w:rsid w:val="00244B27"/>
    <w:rsid w:val="00244E16"/>
    <w:rsid w:val="00244E1B"/>
    <w:rsid w:val="00245C33"/>
    <w:rsid w:val="0024647A"/>
    <w:rsid w:val="002464EB"/>
    <w:rsid w:val="002465AA"/>
    <w:rsid w:val="00247A42"/>
    <w:rsid w:val="002503D6"/>
    <w:rsid w:val="002510F7"/>
    <w:rsid w:val="00251757"/>
    <w:rsid w:val="0025214D"/>
    <w:rsid w:val="00253270"/>
    <w:rsid w:val="00253689"/>
    <w:rsid w:val="00254B7B"/>
    <w:rsid w:val="00254C19"/>
    <w:rsid w:val="0025557E"/>
    <w:rsid w:val="00257A35"/>
    <w:rsid w:val="0026020E"/>
    <w:rsid w:val="00260DF4"/>
    <w:rsid w:val="002620D4"/>
    <w:rsid w:val="0026216A"/>
    <w:rsid w:val="00262E8B"/>
    <w:rsid w:val="002639A3"/>
    <w:rsid w:val="002646EF"/>
    <w:rsid w:val="002659E3"/>
    <w:rsid w:val="00267D9E"/>
    <w:rsid w:val="002701AC"/>
    <w:rsid w:val="0027022B"/>
    <w:rsid w:val="002702CA"/>
    <w:rsid w:val="00270C7F"/>
    <w:rsid w:val="00271939"/>
    <w:rsid w:val="00271E1A"/>
    <w:rsid w:val="00271E78"/>
    <w:rsid w:val="00272197"/>
    <w:rsid w:val="00272AE4"/>
    <w:rsid w:val="00274029"/>
    <w:rsid w:val="00274D89"/>
    <w:rsid w:val="00275606"/>
    <w:rsid w:val="0027637D"/>
    <w:rsid w:val="002763DC"/>
    <w:rsid w:val="00276845"/>
    <w:rsid w:val="00277798"/>
    <w:rsid w:val="00277901"/>
    <w:rsid w:val="0028097F"/>
    <w:rsid w:val="00280E21"/>
    <w:rsid w:val="0028127F"/>
    <w:rsid w:val="0028167E"/>
    <w:rsid w:val="00281777"/>
    <w:rsid w:val="0028225E"/>
    <w:rsid w:val="002826BC"/>
    <w:rsid w:val="00282B72"/>
    <w:rsid w:val="00282FC9"/>
    <w:rsid w:val="00283A39"/>
    <w:rsid w:val="0028682A"/>
    <w:rsid w:val="00286C2D"/>
    <w:rsid w:val="00286DC9"/>
    <w:rsid w:val="00287398"/>
    <w:rsid w:val="00290BA9"/>
    <w:rsid w:val="00291CF9"/>
    <w:rsid w:val="00293082"/>
    <w:rsid w:val="00293280"/>
    <w:rsid w:val="00294BE7"/>
    <w:rsid w:val="00294FE1"/>
    <w:rsid w:val="002953FC"/>
    <w:rsid w:val="00295F37"/>
    <w:rsid w:val="00296238"/>
    <w:rsid w:val="0029668D"/>
    <w:rsid w:val="00297785"/>
    <w:rsid w:val="002A17A0"/>
    <w:rsid w:val="002A2006"/>
    <w:rsid w:val="002A202C"/>
    <w:rsid w:val="002A2788"/>
    <w:rsid w:val="002A2AF1"/>
    <w:rsid w:val="002A4603"/>
    <w:rsid w:val="002A4629"/>
    <w:rsid w:val="002A53D1"/>
    <w:rsid w:val="002B0203"/>
    <w:rsid w:val="002B0ABD"/>
    <w:rsid w:val="002B10A5"/>
    <w:rsid w:val="002B2AAD"/>
    <w:rsid w:val="002B2AAE"/>
    <w:rsid w:val="002B379C"/>
    <w:rsid w:val="002B3FC5"/>
    <w:rsid w:val="002B4921"/>
    <w:rsid w:val="002B4F90"/>
    <w:rsid w:val="002B537F"/>
    <w:rsid w:val="002B65E6"/>
    <w:rsid w:val="002B6607"/>
    <w:rsid w:val="002B6757"/>
    <w:rsid w:val="002B74D6"/>
    <w:rsid w:val="002B7D81"/>
    <w:rsid w:val="002C00F1"/>
    <w:rsid w:val="002C259C"/>
    <w:rsid w:val="002C3678"/>
    <w:rsid w:val="002C4411"/>
    <w:rsid w:val="002C4F91"/>
    <w:rsid w:val="002C53EC"/>
    <w:rsid w:val="002C5592"/>
    <w:rsid w:val="002C55B1"/>
    <w:rsid w:val="002C602F"/>
    <w:rsid w:val="002C62DB"/>
    <w:rsid w:val="002C65BB"/>
    <w:rsid w:val="002C710A"/>
    <w:rsid w:val="002D015B"/>
    <w:rsid w:val="002D0E74"/>
    <w:rsid w:val="002D148F"/>
    <w:rsid w:val="002D1C91"/>
    <w:rsid w:val="002D2CBC"/>
    <w:rsid w:val="002D3BB7"/>
    <w:rsid w:val="002D44B0"/>
    <w:rsid w:val="002D5806"/>
    <w:rsid w:val="002D597C"/>
    <w:rsid w:val="002D5BFA"/>
    <w:rsid w:val="002D73DC"/>
    <w:rsid w:val="002E1B61"/>
    <w:rsid w:val="002E1D89"/>
    <w:rsid w:val="002E213E"/>
    <w:rsid w:val="002E366F"/>
    <w:rsid w:val="002E3E4A"/>
    <w:rsid w:val="002E3E4B"/>
    <w:rsid w:val="002E568E"/>
    <w:rsid w:val="002E58BB"/>
    <w:rsid w:val="002E6C19"/>
    <w:rsid w:val="002E70DD"/>
    <w:rsid w:val="002E719A"/>
    <w:rsid w:val="002E73B0"/>
    <w:rsid w:val="002E73FA"/>
    <w:rsid w:val="002E7F53"/>
    <w:rsid w:val="002F003D"/>
    <w:rsid w:val="002F04BC"/>
    <w:rsid w:val="002F0A26"/>
    <w:rsid w:val="002F0DDE"/>
    <w:rsid w:val="002F1D6B"/>
    <w:rsid w:val="002F1F88"/>
    <w:rsid w:val="002F2373"/>
    <w:rsid w:val="002F2C57"/>
    <w:rsid w:val="002F4AFA"/>
    <w:rsid w:val="002F5424"/>
    <w:rsid w:val="002F5781"/>
    <w:rsid w:val="002F5AB3"/>
    <w:rsid w:val="002F5D45"/>
    <w:rsid w:val="002F5EC2"/>
    <w:rsid w:val="002F5F80"/>
    <w:rsid w:val="002F6147"/>
    <w:rsid w:val="002F703F"/>
    <w:rsid w:val="002F785A"/>
    <w:rsid w:val="003006ED"/>
    <w:rsid w:val="00302D4A"/>
    <w:rsid w:val="00303A36"/>
    <w:rsid w:val="00304511"/>
    <w:rsid w:val="00306013"/>
    <w:rsid w:val="00306182"/>
    <w:rsid w:val="0030620F"/>
    <w:rsid w:val="00307BD3"/>
    <w:rsid w:val="00307D91"/>
    <w:rsid w:val="00310392"/>
    <w:rsid w:val="0031045C"/>
    <w:rsid w:val="00311434"/>
    <w:rsid w:val="00311C67"/>
    <w:rsid w:val="003123BE"/>
    <w:rsid w:val="00312958"/>
    <w:rsid w:val="00312C4F"/>
    <w:rsid w:val="00312D93"/>
    <w:rsid w:val="00313AC3"/>
    <w:rsid w:val="003146A4"/>
    <w:rsid w:val="00315992"/>
    <w:rsid w:val="00315C49"/>
    <w:rsid w:val="00316689"/>
    <w:rsid w:val="00316C93"/>
    <w:rsid w:val="00317601"/>
    <w:rsid w:val="003177A5"/>
    <w:rsid w:val="003200F5"/>
    <w:rsid w:val="00321BCC"/>
    <w:rsid w:val="00321DEC"/>
    <w:rsid w:val="0032251E"/>
    <w:rsid w:val="00322B63"/>
    <w:rsid w:val="00323803"/>
    <w:rsid w:val="00324C5B"/>
    <w:rsid w:val="00324DD9"/>
    <w:rsid w:val="0032555B"/>
    <w:rsid w:val="00325902"/>
    <w:rsid w:val="00325A6D"/>
    <w:rsid w:val="003265E7"/>
    <w:rsid w:val="003268EE"/>
    <w:rsid w:val="003313BB"/>
    <w:rsid w:val="00331F30"/>
    <w:rsid w:val="0033243D"/>
    <w:rsid w:val="003349AE"/>
    <w:rsid w:val="00334F6E"/>
    <w:rsid w:val="003369AA"/>
    <w:rsid w:val="00337519"/>
    <w:rsid w:val="003411E5"/>
    <w:rsid w:val="00341437"/>
    <w:rsid w:val="00341709"/>
    <w:rsid w:val="003417AD"/>
    <w:rsid w:val="00342314"/>
    <w:rsid w:val="003427D8"/>
    <w:rsid w:val="00344755"/>
    <w:rsid w:val="00345122"/>
    <w:rsid w:val="003458A0"/>
    <w:rsid w:val="00346793"/>
    <w:rsid w:val="00346C3F"/>
    <w:rsid w:val="00347922"/>
    <w:rsid w:val="00347A0E"/>
    <w:rsid w:val="00347CF3"/>
    <w:rsid w:val="00347F58"/>
    <w:rsid w:val="0035048D"/>
    <w:rsid w:val="00350914"/>
    <w:rsid w:val="00350F9D"/>
    <w:rsid w:val="0035115B"/>
    <w:rsid w:val="00351980"/>
    <w:rsid w:val="00351B67"/>
    <w:rsid w:val="003529D8"/>
    <w:rsid w:val="0035320A"/>
    <w:rsid w:val="003533A3"/>
    <w:rsid w:val="003537F5"/>
    <w:rsid w:val="00353E54"/>
    <w:rsid w:val="00354B18"/>
    <w:rsid w:val="00354FEF"/>
    <w:rsid w:val="00355EB1"/>
    <w:rsid w:val="00356108"/>
    <w:rsid w:val="00356296"/>
    <w:rsid w:val="00356FDD"/>
    <w:rsid w:val="003574C3"/>
    <w:rsid w:val="00357EAB"/>
    <w:rsid w:val="0036058F"/>
    <w:rsid w:val="00360869"/>
    <w:rsid w:val="00360DC1"/>
    <w:rsid w:val="00361636"/>
    <w:rsid w:val="003616C3"/>
    <w:rsid w:val="00362A68"/>
    <w:rsid w:val="00363138"/>
    <w:rsid w:val="003644E9"/>
    <w:rsid w:val="00364856"/>
    <w:rsid w:val="0036507B"/>
    <w:rsid w:val="003655EF"/>
    <w:rsid w:val="00366A5A"/>
    <w:rsid w:val="0036786F"/>
    <w:rsid w:val="003721F9"/>
    <w:rsid w:val="00375054"/>
    <w:rsid w:val="003778A9"/>
    <w:rsid w:val="00377E3E"/>
    <w:rsid w:val="003801FB"/>
    <w:rsid w:val="0038144C"/>
    <w:rsid w:val="0038183F"/>
    <w:rsid w:val="003820FF"/>
    <w:rsid w:val="003821F1"/>
    <w:rsid w:val="0038415D"/>
    <w:rsid w:val="00385112"/>
    <w:rsid w:val="003852B8"/>
    <w:rsid w:val="003857CC"/>
    <w:rsid w:val="00385D52"/>
    <w:rsid w:val="00385E6D"/>
    <w:rsid w:val="00386307"/>
    <w:rsid w:val="0038723E"/>
    <w:rsid w:val="0038777C"/>
    <w:rsid w:val="00387A2C"/>
    <w:rsid w:val="003917DA"/>
    <w:rsid w:val="00394250"/>
    <w:rsid w:val="003944D9"/>
    <w:rsid w:val="00394E3F"/>
    <w:rsid w:val="00397144"/>
    <w:rsid w:val="003976D4"/>
    <w:rsid w:val="00397A08"/>
    <w:rsid w:val="003A06C8"/>
    <w:rsid w:val="003A0A26"/>
    <w:rsid w:val="003A1FBD"/>
    <w:rsid w:val="003A2606"/>
    <w:rsid w:val="003A2884"/>
    <w:rsid w:val="003A2E7A"/>
    <w:rsid w:val="003A2F63"/>
    <w:rsid w:val="003A3100"/>
    <w:rsid w:val="003A44AC"/>
    <w:rsid w:val="003A4C58"/>
    <w:rsid w:val="003A5FD5"/>
    <w:rsid w:val="003A6181"/>
    <w:rsid w:val="003A61D1"/>
    <w:rsid w:val="003B0DC5"/>
    <w:rsid w:val="003B22AF"/>
    <w:rsid w:val="003B23AC"/>
    <w:rsid w:val="003B2C06"/>
    <w:rsid w:val="003B3483"/>
    <w:rsid w:val="003B49EE"/>
    <w:rsid w:val="003B4B81"/>
    <w:rsid w:val="003B5042"/>
    <w:rsid w:val="003B530F"/>
    <w:rsid w:val="003C0B7D"/>
    <w:rsid w:val="003C2303"/>
    <w:rsid w:val="003C258F"/>
    <w:rsid w:val="003C29FE"/>
    <w:rsid w:val="003C347D"/>
    <w:rsid w:val="003C366B"/>
    <w:rsid w:val="003C3EBA"/>
    <w:rsid w:val="003C4867"/>
    <w:rsid w:val="003C5BD8"/>
    <w:rsid w:val="003C63CC"/>
    <w:rsid w:val="003C6ABF"/>
    <w:rsid w:val="003C7072"/>
    <w:rsid w:val="003D0078"/>
    <w:rsid w:val="003D1B30"/>
    <w:rsid w:val="003D1BED"/>
    <w:rsid w:val="003D29DE"/>
    <w:rsid w:val="003D397E"/>
    <w:rsid w:val="003D4B91"/>
    <w:rsid w:val="003D5455"/>
    <w:rsid w:val="003D5AA1"/>
    <w:rsid w:val="003D69F6"/>
    <w:rsid w:val="003D75BD"/>
    <w:rsid w:val="003D7EA2"/>
    <w:rsid w:val="003E0E08"/>
    <w:rsid w:val="003E1E06"/>
    <w:rsid w:val="003E23FD"/>
    <w:rsid w:val="003E2D17"/>
    <w:rsid w:val="003E3767"/>
    <w:rsid w:val="003E3C6E"/>
    <w:rsid w:val="003E46C9"/>
    <w:rsid w:val="003E4C14"/>
    <w:rsid w:val="003E56F4"/>
    <w:rsid w:val="003E57E7"/>
    <w:rsid w:val="003E5D35"/>
    <w:rsid w:val="003E5F69"/>
    <w:rsid w:val="003E6CE6"/>
    <w:rsid w:val="003F0882"/>
    <w:rsid w:val="003F1751"/>
    <w:rsid w:val="003F1BA5"/>
    <w:rsid w:val="003F2C42"/>
    <w:rsid w:val="003F2EC0"/>
    <w:rsid w:val="003F3D8D"/>
    <w:rsid w:val="003F437F"/>
    <w:rsid w:val="003F4FBE"/>
    <w:rsid w:val="003F5741"/>
    <w:rsid w:val="003F57D5"/>
    <w:rsid w:val="003F5831"/>
    <w:rsid w:val="003F5BA4"/>
    <w:rsid w:val="003F7A75"/>
    <w:rsid w:val="004001A8"/>
    <w:rsid w:val="0040123D"/>
    <w:rsid w:val="00401746"/>
    <w:rsid w:val="00401836"/>
    <w:rsid w:val="00401B30"/>
    <w:rsid w:val="00402B95"/>
    <w:rsid w:val="00403D87"/>
    <w:rsid w:val="00403DC1"/>
    <w:rsid w:val="00403EFE"/>
    <w:rsid w:val="00404588"/>
    <w:rsid w:val="004053E2"/>
    <w:rsid w:val="004056D1"/>
    <w:rsid w:val="00405D6C"/>
    <w:rsid w:val="00407429"/>
    <w:rsid w:val="004079F4"/>
    <w:rsid w:val="00407D4F"/>
    <w:rsid w:val="00410EE4"/>
    <w:rsid w:val="004120B6"/>
    <w:rsid w:val="004127D0"/>
    <w:rsid w:val="00412A1D"/>
    <w:rsid w:val="004133AA"/>
    <w:rsid w:val="00414D8E"/>
    <w:rsid w:val="00415A56"/>
    <w:rsid w:val="0041636F"/>
    <w:rsid w:val="00416FE8"/>
    <w:rsid w:val="00417723"/>
    <w:rsid w:val="004206B1"/>
    <w:rsid w:val="00420E4A"/>
    <w:rsid w:val="0042106D"/>
    <w:rsid w:val="00421E91"/>
    <w:rsid w:val="00421FF8"/>
    <w:rsid w:val="00422299"/>
    <w:rsid w:val="00422536"/>
    <w:rsid w:val="00422FCD"/>
    <w:rsid w:val="00427A3E"/>
    <w:rsid w:val="00427CA6"/>
    <w:rsid w:val="00430443"/>
    <w:rsid w:val="00430BDD"/>
    <w:rsid w:val="0043115F"/>
    <w:rsid w:val="0043226F"/>
    <w:rsid w:val="00432EA1"/>
    <w:rsid w:val="004331E1"/>
    <w:rsid w:val="00433F4D"/>
    <w:rsid w:val="00434548"/>
    <w:rsid w:val="0043573C"/>
    <w:rsid w:val="0043677C"/>
    <w:rsid w:val="00436B34"/>
    <w:rsid w:val="00436D8D"/>
    <w:rsid w:val="00437226"/>
    <w:rsid w:val="00437867"/>
    <w:rsid w:val="0044064E"/>
    <w:rsid w:val="00442EBF"/>
    <w:rsid w:val="004445B4"/>
    <w:rsid w:val="00444F60"/>
    <w:rsid w:val="00445855"/>
    <w:rsid w:val="00446352"/>
    <w:rsid w:val="0044649E"/>
    <w:rsid w:val="00446D3A"/>
    <w:rsid w:val="00446D44"/>
    <w:rsid w:val="00446EF1"/>
    <w:rsid w:val="00447398"/>
    <w:rsid w:val="00447A58"/>
    <w:rsid w:val="00447E11"/>
    <w:rsid w:val="004513F7"/>
    <w:rsid w:val="004516D1"/>
    <w:rsid w:val="004522B5"/>
    <w:rsid w:val="004525BB"/>
    <w:rsid w:val="00452F26"/>
    <w:rsid w:val="00453AF9"/>
    <w:rsid w:val="004547FF"/>
    <w:rsid w:val="004549D5"/>
    <w:rsid w:val="004550A2"/>
    <w:rsid w:val="00455528"/>
    <w:rsid w:val="0045630D"/>
    <w:rsid w:val="00456447"/>
    <w:rsid w:val="0045647A"/>
    <w:rsid w:val="004569EE"/>
    <w:rsid w:val="0045750B"/>
    <w:rsid w:val="00457A5E"/>
    <w:rsid w:val="00457EF9"/>
    <w:rsid w:val="00460690"/>
    <w:rsid w:val="00460E12"/>
    <w:rsid w:val="0046290C"/>
    <w:rsid w:val="00462D2F"/>
    <w:rsid w:val="004645C9"/>
    <w:rsid w:val="0046491C"/>
    <w:rsid w:val="0046567B"/>
    <w:rsid w:val="00465D55"/>
    <w:rsid w:val="00466127"/>
    <w:rsid w:val="00466189"/>
    <w:rsid w:val="00466E36"/>
    <w:rsid w:val="00467419"/>
    <w:rsid w:val="00467EE1"/>
    <w:rsid w:val="0047145A"/>
    <w:rsid w:val="004716DD"/>
    <w:rsid w:val="004731EC"/>
    <w:rsid w:val="00473236"/>
    <w:rsid w:val="004742AD"/>
    <w:rsid w:val="00474346"/>
    <w:rsid w:val="00474779"/>
    <w:rsid w:val="00475F0A"/>
    <w:rsid w:val="0047750B"/>
    <w:rsid w:val="004777FB"/>
    <w:rsid w:val="00477F3A"/>
    <w:rsid w:val="0048123E"/>
    <w:rsid w:val="00481F32"/>
    <w:rsid w:val="004820E0"/>
    <w:rsid w:val="0048253A"/>
    <w:rsid w:val="004827D3"/>
    <w:rsid w:val="00482FBE"/>
    <w:rsid w:val="00483BF4"/>
    <w:rsid w:val="004843E9"/>
    <w:rsid w:val="00484496"/>
    <w:rsid w:val="004847C3"/>
    <w:rsid w:val="00484D57"/>
    <w:rsid w:val="00486937"/>
    <w:rsid w:val="0048789F"/>
    <w:rsid w:val="004906CA"/>
    <w:rsid w:val="004918AB"/>
    <w:rsid w:val="00492179"/>
    <w:rsid w:val="004926BE"/>
    <w:rsid w:val="00492806"/>
    <w:rsid w:val="00493976"/>
    <w:rsid w:val="0049408D"/>
    <w:rsid w:val="00494864"/>
    <w:rsid w:val="00494FE2"/>
    <w:rsid w:val="0049552A"/>
    <w:rsid w:val="004966B1"/>
    <w:rsid w:val="00496E05"/>
    <w:rsid w:val="00496F0E"/>
    <w:rsid w:val="004971A7"/>
    <w:rsid w:val="004A0347"/>
    <w:rsid w:val="004A0395"/>
    <w:rsid w:val="004A1426"/>
    <w:rsid w:val="004A235D"/>
    <w:rsid w:val="004A32BD"/>
    <w:rsid w:val="004A4115"/>
    <w:rsid w:val="004A5361"/>
    <w:rsid w:val="004A5931"/>
    <w:rsid w:val="004A5B6C"/>
    <w:rsid w:val="004B061B"/>
    <w:rsid w:val="004B18ED"/>
    <w:rsid w:val="004B242F"/>
    <w:rsid w:val="004B25D5"/>
    <w:rsid w:val="004B2D70"/>
    <w:rsid w:val="004B3AAD"/>
    <w:rsid w:val="004B3BCC"/>
    <w:rsid w:val="004B3BF9"/>
    <w:rsid w:val="004B3FBD"/>
    <w:rsid w:val="004B409D"/>
    <w:rsid w:val="004B50EA"/>
    <w:rsid w:val="004C1C85"/>
    <w:rsid w:val="004C1F30"/>
    <w:rsid w:val="004C2085"/>
    <w:rsid w:val="004C2895"/>
    <w:rsid w:val="004C3708"/>
    <w:rsid w:val="004C3A57"/>
    <w:rsid w:val="004C40CA"/>
    <w:rsid w:val="004C4263"/>
    <w:rsid w:val="004C47A4"/>
    <w:rsid w:val="004C492C"/>
    <w:rsid w:val="004C4C8F"/>
    <w:rsid w:val="004C5985"/>
    <w:rsid w:val="004C5EDC"/>
    <w:rsid w:val="004C7129"/>
    <w:rsid w:val="004C716B"/>
    <w:rsid w:val="004C7C05"/>
    <w:rsid w:val="004C7CD0"/>
    <w:rsid w:val="004D04C7"/>
    <w:rsid w:val="004D139A"/>
    <w:rsid w:val="004D1CAB"/>
    <w:rsid w:val="004D1FD5"/>
    <w:rsid w:val="004D2D70"/>
    <w:rsid w:val="004D45D1"/>
    <w:rsid w:val="004D479A"/>
    <w:rsid w:val="004D4D0A"/>
    <w:rsid w:val="004D4D6B"/>
    <w:rsid w:val="004D5D6B"/>
    <w:rsid w:val="004D6298"/>
    <w:rsid w:val="004D6B04"/>
    <w:rsid w:val="004D7E3A"/>
    <w:rsid w:val="004E12DC"/>
    <w:rsid w:val="004E176F"/>
    <w:rsid w:val="004E24A6"/>
    <w:rsid w:val="004E2A73"/>
    <w:rsid w:val="004E2A89"/>
    <w:rsid w:val="004E2AAA"/>
    <w:rsid w:val="004E32FF"/>
    <w:rsid w:val="004E35FB"/>
    <w:rsid w:val="004E3D01"/>
    <w:rsid w:val="004E3FE6"/>
    <w:rsid w:val="004E4489"/>
    <w:rsid w:val="004E502E"/>
    <w:rsid w:val="004E5DD5"/>
    <w:rsid w:val="004E5DEB"/>
    <w:rsid w:val="004E679F"/>
    <w:rsid w:val="004F2DA7"/>
    <w:rsid w:val="004F5D9A"/>
    <w:rsid w:val="004F60E9"/>
    <w:rsid w:val="004F7024"/>
    <w:rsid w:val="004F758E"/>
    <w:rsid w:val="004F797D"/>
    <w:rsid w:val="00500E52"/>
    <w:rsid w:val="0050147F"/>
    <w:rsid w:val="00502C67"/>
    <w:rsid w:val="00503193"/>
    <w:rsid w:val="005032BD"/>
    <w:rsid w:val="00503C96"/>
    <w:rsid w:val="00503D49"/>
    <w:rsid w:val="00507908"/>
    <w:rsid w:val="00507AE9"/>
    <w:rsid w:val="00507FB6"/>
    <w:rsid w:val="0051056B"/>
    <w:rsid w:val="00510CFA"/>
    <w:rsid w:val="0051103C"/>
    <w:rsid w:val="005120F7"/>
    <w:rsid w:val="00512192"/>
    <w:rsid w:val="005146E9"/>
    <w:rsid w:val="00514F93"/>
    <w:rsid w:val="00516376"/>
    <w:rsid w:val="00516987"/>
    <w:rsid w:val="00516E86"/>
    <w:rsid w:val="00517C3C"/>
    <w:rsid w:val="00521462"/>
    <w:rsid w:val="00521F34"/>
    <w:rsid w:val="00522F1E"/>
    <w:rsid w:val="00523369"/>
    <w:rsid w:val="0052356E"/>
    <w:rsid w:val="005235A9"/>
    <w:rsid w:val="005235C5"/>
    <w:rsid w:val="005239F3"/>
    <w:rsid w:val="00524138"/>
    <w:rsid w:val="00524952"/>
    <w:rsid w:val="00526EF0"/>
    <w:rsid w:val="005279CA"/>
    <w:rsid w:val="005300D3"/>
    <w:rsid w:val="00531F16"/>
    <w:rsid w:val="005324E7"/>
    <w:rsid w:val="00532D18"/>
    <w:rsid w:val="00532E70"/>
    <w:rsid w:val="00532F0F"/>
    <w:rsid w:val="00533FD3"/>
    <w:rsid w:val="00534870"/>
    <w:rsid w:val="00535C4F"/>
    <w:rsid w:val="00536C5E"/>
    <w:rsid w:val="0053712E"/>
    <w:rsid w:val="0053791F"/>
    <w:rsid w:val="00540742"/>
    <w:rsid w:val="005407BF"/>
    <w:rsid w:val="005408EE"/>
    <w:rsid w:val="005415B9"/>
    <w:rsid w:val="005420AE"/>
    <w:rsid w:val="00542965"/>
    <w:rsid w:val="005431C6"/>
    <w:rsid w:val="005447A4"/>
    <w:rsid w:val="005447FE"/>
    <w:rsid w:val="00544FFE"/>
    <w:rsid w:val="005456BB"/>
    <w:rsid w:val="00545BE6"/>
    <w:rsid w:val="00545D1F"/>
    <w:rsid w:val="0054648C"/>
    <w:rsid w:val="00546D05"/>
    <w:rsid w:val="00547300"/>
    <w:rsid w:val="005477EB"/>
    <w:rsid w:val="00550120"/>
    <w:rsid w:val="00551B16"/>
    <w:rsid w:val="00551DA9"/>
    <w:rsid w:val="005521FF"/>
    <w:rsid w:val="0055249D"/>
    <w:rsid w:val="00552E5E"/>
    <w:rsid w:val="00553628"/>
    <w:rsid w:val="00554B4E"/>
    <w:rsid w:val="00557239"/>
    <w:rsid w:val="00557CD1"/>
    <w:rsid w:val="0056022A"/>
    <w:rsid w:val="005602A0"/>
    <w:rsid w:val="00560DB3"/>
    <w:rsid w:val="00561DC6"/>
    <w:rsid w:val="005623FD"/>
    <w:rsid w:val="005628ED"/>
    <w:rsid w:val="00564D87"/>
    <w:rsid w:val="00565A9A"/>
    <w:rsid w:val="00565C35"/>
    <w:rsid w:val="0056606A"/>
    <w:rsid w:val="00566B0F"/>
    <w:rsid w:val="005673A2"/>
    <w:rsid w:val="00567480"/>
    <w:rsid w:val="00567E82"/>
    <w:rsid w:val="00572E36"/>
    <w:rsid w:val="00574D9A"/>
    <w:rsid w:val="00575135"/>
    <w:rsid w:val="00575239"/>
    <w:rsid w:val="00575696"/>
    <w:rsid w:val="00575A4A"/>
    <w:rsid w:val="0057610E"/>
    <w:rsid w:val="00576407"/>
    <w:rsid w:val="005767D1"/>
    <w:rsid w:val="00577256"/>
    <w:rsid w:val="00580528"/>
    <w:rsid w:val="00581F3E"/>
    <w:rsid w:val="0058386D"/>
    <w:rsid w:val="005852D3"/>
    <w:rsid w:val="00585420"/>
    <w:rsid w:val="00585A4C"/>
    <w:rsid w:val="00585BF4"/>
    <w:rsid w:val="00585CE7"/>
    <w:rsid w:val="0058678A"/>
    <w:rsid w:val="00586B1C"/>
    <w:rsid w:val="00586F3C"/>
    <w:rsid w:val="00591337"/>
    <w:rsid w:val="005919A1"/>
    <w:rsid w:val="00591B89"/>
    <w:rsid w:val="00591CC8"/>
    <w:rsid w:val="00593D02"/>
    <w:rsid w:val="00595A91"/>
    <w:rsid w:val="00595C8E"/>
    <w:rsid w:val="00595E14"/>
    <w:rsid w:val="00595E7A"/>
    <w:rsid w:val="00596855"/>
    <w:rsid w:val="00596939"/>
    <w:rsid w:val="00597C1D"/>
    <w:rsid w:val="00597F16"/>
    <w:rsid w:val="005A007C"/>
    <w:rsid w:val="005A0121"/>
    <w:rsid w:val="005A0480"/>
    <w:rsid w:val="005A2E3B"/>
    <w:rsid w:val="005A31AF"/>
    <w:rsid w:val="005A4583"/>
    <w:rsid w:val="005A4D23"/>
    <w:rsid w:val="005A5241"/>
    <w:rsid w:val="005A5BA9"/>
    <w:rsid w:val="005A60B1"/>
    <w:rsid w:val="005A6568"/>
    <w:rsid w:val="005A65AC"/>
    <w:rsid w:val="005A7C66"/>
    <w:rsid w:val="005A7F34"/>
    <w:rsid w:val="005B5149"/>
    <w:rsid w:val="005B51F5"/>
    <w:rsid w:val="005B5BE5"/>
    <w:rsid w:val="005B5FDE"/>
    <w:rsid w:val="005C3077"/>
    <w:rsid w:val="005C461D"/>
    <w:rsid w:val="005C462B"/>
    <w:rsid w:val="005C52E3"/>
    <w:rsid w:val="005C53F8"/>
    <w:rsid w:val="005C5886"/>
    <w:rsid w:val="005C599C"/>
    <w:rsid w:val="005C5A98"/>
    <w:rsid w:val="005C5D7D"/>
    <w:rsid w:val="005C6130"/>
    <w:rsid w:val="005C66C6"/>
    <w:rsid w:val="005C691E"/>
    <w:rsid w:val="005C6A8A"/>
    <w:rsid w:val="005C7729"/>
    <w:rsid w:val="005C7F68"/>
    <w:rsid w:val="005D06D9"/>
    <w:rsid w:val="005D1100"/>
    <w:rsid w:val="005D1320"/>
    <w:rsid w:val="005D2135"/>
    <w:rsid w:val="005D225E"/>
    <w:rsid w:val="005D22B0"/>
    <w:rsid w:val="005D3DAD"/>
    <w:rsid w:val="005D4394"/>
    <w:rsid w:val="005D48BC"/>
    <w:rsid w:val="005D4DED"/>
    <w:rsid w:val="005D54E0"/>
    <w:rsid w:val="005D5725"/>
    <w:rsid w:val="005D57C8"/>
    <w:rsid w:val="005D5BF1"/>
    <w:rsid w:val="005D6D0B"/>
    <w:rsid w:val="005D7228"/>
    <w:rsid w:val="005D76AD"/>
    <w:rsid w:val="005D78E6"/>
    <w:rsid w:val="005E0550"/>
    <w:rsid w:val="005E1009"/>
    <w:rsid w:val="005E115F"/>
    <w:rsid w:val="005E2614"/>
    <w:rsid w:val="005E2C3B"/>
    <w:rsid w:val="005E2DFD"/>
    <w:rsid w:val="005E2EEA"/>
    <w:rsid w:val="005E3071"/>
    <w:rsid w:val="005E3B5A"/>
    <w:rsid w:val="005E3BDF"/>
    <w:rsid w:val="005E450C"/>
    <w:rsid w:val="005E5A0C"/>
    <w:rsid w:val="005E6985"/>
    <w:rsid w:val="005E718C"/>
    <w:rsid w:val="005F00AB"/>
    <w:rsid w:val="005F0667"/>
    <w:rsid w:val="005F0B00"/>
    <w:rsid w:val="005F1184"/>
    <w:rsid w:val="005F2E8B"/>
    <w:rsid w:val="005F3734"/>
    <w:rsid w:val="005F3861"/>
    <w:rsid w:val="005F4523"/>
    <w:rsid w:val="005F4E90"/>
    <w:rsid w:val="005F503D"/>
    <w:rsid w:val="005F58BD"/>
    <w:rsid w:val="005F59A8"/>
    <w:rsid w:val="005F6C8B"/>
    <w:rsid w:val="005F715D"/>
    <w:rsid w:val="005F72AA"/>
    <w:rsid w:val="005F7D22"/>
    <w:rsid w:val="005F7FCB"/>
    <w:rsid w:val="00601EDD"/>
    <w:rsid w:val="006024D9"/>
    <w:rsid w:val="00602742"/>
    <w:rsid w:val="0060376D"/>
    <w:rsid w:val="00603FD6"/>
    <w:rsid w:val="006044B8"/>
    <w:rsid w:val="00604FD4"/>
    <w:rsid w:val="0060501F"/>
    <w:rsid w:val="006052DB"/>
    <w:rsid w:val="00605B9D"/>
    <w:rsid w:val="00605CE5"/>
    <w:rsid w:val="00606CB4"/>
    <w:rsid w:val="00606E64"/>
    <w:rsid w:val="00607CB6"/>
    <w:rsid w:val="00607D09"/>
    <w:rsid w:val="006108D0"/>
    <w:rsid w:val="00610B3C"/>
    <w:rsid w:val="00611D24"/>
    <w:rsid w:val="00612AF9"/>
    <w:rsid w:val="00613B28"/>
    <w:rsid w:val="006141A7"/>
    <w:rsid w:val="00614B6E"/>
    <w:rsid w:val="00614D43"/>
    <w:rsid w:val="00614F1C"/>
    <w:rsid w:val="0061517B"/>
    <w:rsid w:val="006153E0"/>
    <w:rsid w:val="006163F1"/>
    <w:rsid w:val="00616B29"/>
    <w:rsid w:val="00616CB6"/>
    <w:rsid w:val="006172FD"/>
    <w:rsid w:val="0061769D"/>
    <w:rsid w:val="00617714"/>
    <w:rsid w:val="0061778E"/>
    <w:rsid w:val="00617B26"/>
    <w:rsid w:val="006206F3"/>
    <w:rsid w:val="00620ED1"/>
    <w:rsid w:val="0062184C"/>
    <w:rsid w:val="00621E79"/>
    <w:rsid w:val="006222D8"/>
    <w:rsid w:val="006251FD"/>
    <w:rsid w:val="00625FF6"/>
    <w:rsid w:val="00626278"/>
    <w:rsid w:val="0062690A"/>
    <w:rsid w:val="00627B8A"/>
    <w:rsid w:val="00627E98"/>
    <w:rsid w:val="00627F0D"/>
    <w:rsid w:val="00630C94"/>
    <w:rsid w:val="0063152D"/>
    <w:rsid w:val="00631F11"/>
    <w:rsid w:val="00632DDA"/>
    <w:rsid w:val="00632EA0"/>
    <w:rsid w:val="00632F69"/>
    <w:rsid w:val="00633BF6"/>
    <w:rsid w:val="006350B3"/>
    <w:rsid w:val="00635895"/>
    <w:rsid w:val="00635986"/>
    <w:rsid w:val="00636C4B"/>
    <w:rsid w:val="00636F3F"/>
    <w:rsid w:val="006379F0"/>
    <w:rsid w:val="00637E0D"/>
    <w:rsid w:val="00637FF1"/>
    <w:rsid w:val="00640929"/>
    <w:rsid w:val="0064247F"/>
    <w:rsid w:val="00643E78"/>
    <w:rsid w:val="0064498A"/>
    <w:rsid w:val="00644AB1"/>
    <w:rsid w:val="00645084"/>
    <w:rsid w:val="006459D9"/>
    <w:rsid w:val="006461DD"/>
    <w:rsid w:val="0064626D"/>
    <w:rsid w:val="00647805"/>
    <w:rsid w:val="00651369"/>
    <w:rsid w:val="00652614"/>
    <w:rsid w:val="006528C9"/>
    <w:rsid w:val="0065563B"/>
    <w:rsid w:val="00655B90"/>
    <w:rsid w:val="00656B43"/>
    <w:rsid w:val="00660E6A"/>
    <w:rsid w:val="00661AB0"/>
    <w:rsid w:val="00662C85"/>
    <w:rsid w:val="00663406"/>
    <w:rsid w:val="00664903"/>
    <w:rsid w:val="00665819"/>
    <w:rsid w:val="00665CD2"/>
    <w:rsid w:val="00667682"/>
    <w:rsid w:val="006677D6"/>
    <w:rsid w:val="00667C45"/>
    <w:rsid w:val="00667D42"/>
    <w:rsid w:val="006711ED"/>
    <w:rsid w:val="00671705"/>
    <w:rsid w:val="00671B13"/>
    <w:rsid w:val="0067573A"/>
    <w:rsid w:val="00675DD2"/>
    <w:rsid w:val="00676644"/>
    <w:rsid w:val="00676906"/>
    <w:rsid w:val="006769A9"/>
    <w:rsid w:val="00676D3C"/>
    <w:rsid w:val="006775A4"/>
    <w:rsid w:val="00677E69"/>
    <w:rsid w:val="006816AB"/>
    <w:rsid w:val="00681B91"/>
    <w:rsid w:val="00681E7F"/>
    <w:rsid w:val="00682976"/>
    <w:rsid w:val="006829D4"/>
    <w:rsid w:val="006831F1"/>
    <w:rsid w:val="00683F23"/>
    <w:rsid w:val="006841FB"/>
    <w:rsid w:val="00684B6D"/>
    <w:rsid w:val="00685CA0"/>
    <w:rsid w:val="00686974"/>
    <w:rsid w:val="006874AE"/>
    <w:rsid w:val="0069105C"/>
    <w:rsid w:val="00691B9B"/>
    <w:rsid w:val="00692436"/>
    <w:rsid w:val="006926C7"/>
    <w:rsid w:val="00692BAE"/>
    <w:rsid w:val="00692D0C"/>
    <w:rsid w:val="00692FC3"/>
    <w:rsid w:val="0069455C"/>
    <w:rsid w:val="006948FC"/>
    <w:rsid w:val="00696724"/>
    <w:rsid w:val="006968E5"/>
    <w:rsid w:val="00696F7D"/>
    <w:rsid w:val="00697FF9"/>
    <w:rsid w:val="006A1F0B"/>
    <w:rsid w:val="006A2077"/>
    <w:rsid w:val="006A3261"/>
    <w:rsid w:val="006A3FD4"/>
    <w:rsid w:val="006A4DE8"/>
    <w:rsid w:val="006A52D4"/>
    <w:rsid w:val="006A53B3"/>
    <w:rsid w:val="006A5B75"/>
    <w:rsid w:val="006A60E6"/>
    <w:rsid w:val="006A6267"/>
    <w:rsid w:val="006A697C"/>
    <w:rsid w:val="006B075A"/>
    <w:rsid w:val="006B2C26"/>
    <w:rsid w:val="006B43D8"/>
    <w:rsid w:val="006B4883"/>
    <w:rsid w:val="006B5613"/>
    <w:rsid w:val="006B59C8"/>
    <w:rsid w:val="006B6C41"/>
    <w:rsid w:val="006B6D51"/>
    <w:rsid w:val="006B6D6E"/>
    <w:rsid w:val="006B6E48"/>
    <w:rsid w:val="006B78A3"/>
    <w:rsid w:val="006B78B5"/>
    <w:rsid w:val="006B7E06"/>
    <w:rsid w:val="006C12AA"/>
    <w:rsid w:val="006C2EC7"/>
    <w:rsid w:val="006C4342"/>
    <w:rsid w:val="006C4A65"/>
    <w:rsid w:val="006C5ABD"/>
    <w:rsid w:val="006C6CEC"/>
    <w:rsid w:val="006C6E6F"/>
    <w:rsid w:val="006C77EF"/>
    <w:rsid w:val="006D1128"/>
    <w:rsid w:val="006D1AE3"/>
    <w:rsid w:val="006D21D4"/>
    <w:rsid w:val="006D2A2D"/>
    <w:rsid w:val="006D2AFC"/>
    <w:rsid w:val="006D3027"/>
    <w:rsid w:val="006D31CB"/>
    <w:rsid w:val="006D32AB"/>
    <w:rsid w:val="006D3C53"/>
    <w:rsid w:val="006D4A6A"/>
    <w:rsid w:val="006D676A"/>
    <w:rsid w:val="006D697B"/>
    <w:rsid w:val="006E0B33"/>
    <w:rsid w:val="006E120D"/>
    <w:rsid w:val="006E2CA8"/>
    <w:rsid w:val="006E2D76"/>
    <w:rsid w:val="006E2DC3"/>
    <w:rsid w:val="006E4AD0"/>
    <w:rsid w:val="006E4F9A"/>
    <w:rsid w:val="006E50A1"/>
    <w:rsid w:val="006E5B22"/>
    <w:rsid w:val="006E5CC5"/>
    <w:rsid w:val="006E5D65"/>
    <w:rsid w:val="006F0878"/>
    <w:rsid w:val="006F3ED0"/>
    <w:rsid w:val="006F4EBE"/>
    <w:rsid w:val="006F5BDD"/>
    <w:rsid w:val="006F619D"/>
    <w:rsid w:val="006F6B05"/>
    <w:rsid w:val="006F786C"/>
    <w:rsid w:val="007007C5"/>
    <w:rsid w:val="00700D06"/>
    <w:rsid w:val="00700E93"/>
    <w:rsid w:val="0070148E"/>
    <w:rsid w:val="007021D8"/>
    <w:rsid w:val="00703471"/>
    <w:rsid w:val="0070366A"/>
    <w:rsid w:val="00704A9C"/>
    <w:rsid w:val="0070684D"/>
    <w:rsid w:val="00706CC7"/>
    <w:rsid w:val="00707078"/>
    <w:rsid w:val="007072C6"/>
    <w:rsid w:val="007074F0"/>
    <w:rsid w:val="007078E2"/>
    <w:rsid w:val="007079CC"/>
    <w:rsid w:val="00707F12"/>
    <w:rsid w:val="0071129B"/>
    <w:rsid w:val="007119AA"/>
    <w:rsid w:val="007120E7"/>
    <w:rsid w:val="007124F1"/>
    <w:rsid w:val="00712959"/>
    <w:rsid w:val="00713C5C"/>
    <w:rsid w:val="00714C66"/>
    <w:rsid w:val="00716E80"/>
    <w:rsid w:val="007171C2"/>
    <w:rsid w:val="0071724A"/>
    <w:rsid w:val="007200AC"/>
    <w:rsid w:val="00720458"/>
    <w:rsid w:val="0072046F"/>
    <w:rsid w:val="00720958"/>
    <w:rsid w:val="00720C75"/>
    <w:rsid w:val="0072143C"/>
    <w:rsid w:val="00721876"/>
    <w:rsid w:val="00721F24"/>
    <w:rsid w:val="00722D12"/>
    <w:rsid w:val="00722DB9"/>
    <w:rsid w:val="0072413E"/>
    <w:rsid w:val="007249FE"/>
    <w:rsid w:val="007257B3"/>
    <w:rsid w:val="00726390"/>
    <w:rsid w:val="00726678"/>
    <w:rsid w:val="00726F13"/>
    <w:rsid w:val="00727684"/>
    <w:rsid w:val="00730033"/>
    <w:rsid w:val="007301F6"/>
    <w:rsid w:val="00731D66"/>
    <w:rsid w:val="007326D5"/>
    <w:rsid w:val="00734790"/>
    <w:rsid w:val="00734B55"/>
    <w:rsid w:val="0073531E"/>
    <w:rsid w:val="00735EF8"/>
    <w:rsid w:val="0073660A"/>
    <w:rsid w:val="00736A14"/>
    <w:rsid w:val="00737F4E"/>
    <w:rsid w:val="0074004E"/>
    <w:rsid w:val="007401C0"/>
    <w:rsid w:val="007406FC"/>
    <w:rsid w:val="00740B38"/>
    <w:rsid w:val="00741914"/>
    <w:rsid w:val="00742662"/>
    <w:rsid w:val="00745406"/>
    <w:rsid w:val="0074564D"/>
    <w:rsid w:val="00745F31"/>
    <w:rsid w:val="007466D2"/>
    <w:rsid w:val="007475F3"/>
    <w:rsid w:val="0074768A"/>
    <w:rsid w:val="007478EA"/>
    <w:rsid w:val="00750EA2"/>
    <w:rsid w:val="00750EE5"/>
    <w:rsid w:val="00752CD4"/>
    <w:rsid w:val="007531D1"/>
    <w:rsid w:val="0075433D"/>
    <w:rsid w:val="00754F65"/>
    <w:rsid w:val="00754FC5"/>
    <w:rsid w:val="00755A0E"/>
    <w:rsid w:val="00755C82"/>
    <w:rsid w:val="00756405"/>
    <w:rsid w:val="0075771E"/>
    <w:rsid w:val="00757F4F"/>
    <w:rsid w:val="007605FD"/>
    <w:rsid w:val="0076099A"/>
    <w:rsid w:val="0076135A"/>
    <w:rsid w:val="0076178F"/>
    <w:rsid w:val="00761965"/>
    <w:rsid w:val="00761DDD"/>
    <w:rsid w:val="00762D24"/>
    <w:rsid w:val="00762D65"/>
    <w:rsid w:val="00763732"/>
    <w:rsid w:val="007637B4"/>
    <w:rsid w:val="00764059"/>
    <w:rsid w:val="0076499C"/>
    <w:rsid w:val="00764A8D"/>
    <w:rsid w:val="0076636D"/>
    <w:rsid w:val="00766383"/>
    <w:rsid w:val="00767778"/>
    <w:rsid w:val="00772DD8"/>
    <w:rsid w:val="00773713"/>
    <w:rsid w:val="00773828"/>
    <w:rsid w:val="0077416D"/>
    <w:rsid w:val="007743B2"/>
    <w:rsid w:val="00774ADB"/>
    <w:rsid w:val="00774C6E"/>
    <w:rsid w:val="00774CB5"/>
    <w:rsid w:val="00775189"/>
    <w:rsid w:val="007754D4"/>
    <w:rsid w:val="00776715"/>
    <w:rsid w:val="007771ED"/>
    <w:rsid w:val="0077724A"/>
    <w:rsid w:val="0078000B"/>
    <w:rsid w:val="0078052B"/>
    <w:rsid w:val="007805E6"/>
    <w:rsid w:val="00781D9E"/>
    <w:rsid w:val="007840FA"/>
    <w:rsid w:val="00784CBC"/>
    <w:rsid w:val="00785697"/>
    <w:rsid w:val="00786367"/>
    <w:rsid w:val="007865E4"/>
    <w:rsid w:val="007866CB"/>
    <w:rsid w:val="00786ACA"/>
    <w:rsid w:val="00786B72"/>
    <w:rsid w:val="007870DA"/>
    <w:rsid w:val="00787B4E"/>
    <w:rsid w:val="007916B7"/>
    <w:rsid w:val="007928D2"/>
    <w:rsid w:val="00792A59"/>
    <w:rsid w:val="00792F94"/>
    <w:rsid w:val="0079300A"/>
    <w:rsid w:val="00793BD7"/>
    <w:rsid w:val="00794256"/>
    <w:rsid w:val="0079501D"/>
    <w:rsid w:val="0079663E"/>
    <w:rsid w:val="007967C5"/>
    <w:rsid w:val="00796AB5"/>
    <w:rsid w:val="007970D2"/>
    <w:rsid w:val="00797455"/>
    <w:rsid w:val="007975A7"/>
    <w:rsid w:val="00797C70"/>
    <w:rsid w:val="007A5AF5"/>
    <w:rsid w:val="007A6320"/>
    <w:rsid w:val="007A67C0"/>
    <w:rsid w:val="007A728C"/>
    <w:rsid w:val="007A7653"/>
    <w:rsid w:val="007B007D"/>
    <w:rsid w:val="007B0807"/>
    <w:rsid w:val="007B0BE8"/>
    <w:rsid w:val="007B0E7A"/>
    <w:rsid w:val="007B1027"/>
    <w:rsid w:val="007B11CC"/>
    <w:rsid w:val="007B2B0E"/>
    <w:rsid w:val="007B2BF1"/>
    <w:rsid w:val="007B2D23"/>
    <w:rsid w:val="007B418D"/>
    <w:rsid w:val="007B5165"/>
    <w:rsid w:val="007B5EF9"/>
    <w:rsid w:val="007B6888"/>
    <w:rsid w:val="007B7787"/>
    <w:rsid w:val="007B7FCF"/>
    <w:rsid w:val="007C06F0"/>
    <w:rsid w:val="007C09D4"/>
    <w:rsid w:val="007C151D"/>
    <w:rsid w:val="007C2278"/>
    <w:rsid w:val="007C2842"/>
    <w:rsid w:val="007C294C"/>
    <w:rsid w:val="007C2D71"/>
    <w:rsid w:val="007C3AC1"/>
    <w:rsid w:val="007C58DB"/>
    <w:rsid w:val="007C6179"/>
    <w:rsid w:val="007C61D8"/>
    <w:rsid w:val="007C6B27"/>
    <w:rsid w:val="007C79C6"/>
    <w:rsid w:val="007D009E"/>
    <w:rsid w:val="007D016D"/>
    <w:rsid w:val="007D06E0"/>
    <w:rsid w:val="007D1363"/>
    <w:rsid w:val="007D13C5"/>
    <w:rsid w:val="007D1E53"/>
    <w:rsid w:val="007D223B"/>
    <w:rsid w:val="007D2752"/>
    <w:rsid w:val="007D3A6C"/>
    <w:rsid w:val="007D431D"/>
    <w:rsid w:val="007D4C1C"/>
    <w:rsid w:val="007D56D9"/>
    <w:rsid w:val="007D5E0F"/>
    <w:rsid w:val="007D6A2F"/>
    <w:rsid w:val="007D6CBE"/>
    <w:rsid w:val="007D7631"/>
    <w:rsid w:val="007E2673"/>
    <w:rsid w:val="007E2F62"/>
    <w:rsid w:val="007E304D"/>
    <w:rsid w:val="007E3082"/>
    <w:rsid w:val="007E3D2D"/>
    <w:rsid w:val="007E583C"/>
    <w:rsid w:val="007E5CA4"/>
    <w:rsid w:val="007E6676"/>
    <w:rsid w:val="007E6C92"/>
    <w:rsid w:val="007E6FAB"/>
    <w:rsid w:val="007F093C"/>
    <w:rsid w:val="007F0AAE"/>
    <w:rsid w:val="007F12D3"/>
    <w:rsid w:val="007F1904"/>
    <w:rsid w:val="007F1FA2"/>
    <w:rsid w:val="007F218F"/>
    <w:rsid w:val="007F2756"/>
    <w:rsid w:val="007F2B37"/>
    <w:rsid w:val="007F317D"/>
    <w:rsid w:val="007F3AEC"/>
    <w:rsid w:val="007F3E56"/>
    <w:rsid w:val="007F4C73"/>
    <w:rsid w:val="007F4EAD"/>
    <w:rsid w:val="007F5416"/>
    <w:rsid w:val="007F60D2"/>
    <w:rsid w:val="007F6C11"/>
    <w:rsid w:val="007F7BF6"/>
    <w:rsid w:val="008016B7"/>
    <w:rsid w:val="0080208B"/>
    <w:rsid w:val="00802EB8"/>
    <w:rsid w:val="00803F2E"/>
    <w:rsid w:val="008040F3"/>
    <w:rsid w:val="00805AAC"/>
    <w:rsid w:val="00805C29"/>
    <w:rsid w:val="00805CAD"/>
    <w:rsid w:val="00805D7F"/>
    <w:rsid w:val="00806B4F"/>
    <w:rsid w:val="0080754F"/>
    <w:rsid w:val="008075B2"/>
    <w:rsid w:val="00807F50"/>
    <w:rsid w:val="008103B6"/>
    <w:rsid w:val="0081075F"/>
    <w:rsid w:val="00810C3C"/>
    <w:rsid w:val="00810F1C"/>
    <w:rsid w:val="00811C14"/>
    <w:rsid w:val="00812EE9"/>
    <w:rsid w:val="00813083"/>
    <w:rsid w:val="00813161"/>
    <w:rsid w:val="0081442D"/>
    <w:rsid w:val="00814718"/>
    <w:rsid w:val="008161E8"/>
    <w:rsid w:val="00817A81"/>
    <w:rsid w:val="00820D4A"/>
    <w:rsid w:val="00822228"/>
    <w:rsid w:val="0082556D"/>
    <w:rsid w:val="00826245"/>
    <w:rsid w:val="00826B26"/>
    <w:rsid w:val="00826DBC"/>
    <w:rsid w:val="00827010"/>
    <w:rsid w:val="008273F7"/>
    <w:rsid w:val="00827548"/>
    <w:rsid w:val="00827BE9"/>
    <w:rsid w:val="00830667"/>
    <w:rsid w:val="00831643"/>
    <w:rsid w:val="008329BA"/>
    <w:rsid w:val="00833439"/>
    <w:rsid w:val="00833B2B"/>
    <w:rsid w:val="008342F5"/>
    <w:rsid w:val="00836A65"/>
    <w:rsid w:val="00837770"/>
    <w:rsid w:val="0084036C"/>
    <w:rsid w:val="0084141D"/>
    <w:rsid w:val="00841DDC"/>
    <w:rsid w:val="008420C8"/>
    <w:rsid w:val="00842124"/>
    <w:rsid w:val="008422BE"/>
    <w:rsid w:val="008434FA"/>
    <w:rsid w:val="00843DBD"/>
    <w:rsid w:val="00843FE3"/>
    <w:rsid w:val="00844225"/>
    <w:rsid w:val="00844363"/>
    <w:rsid w:val="00844B1D"/>
    <w:rsid w:val="00844D37"/>
    <w:rsid w:val="00844EDC"/>
    <w:rsid w:val="00845215"/>
    <w:rsid w:val="008455AA"/>
    <w:rsid w:val="0084597F"/>
    <w:rsid w:val="00845C56"/>
    <w:rsid w:val="0084616A"/>
    <w:rsid w:val="00846798"/>
    <w:rsid w:val="008470D0"/>
    <w:rsid w:val="008516CA"/>
    <w:rsid w:val="00852D2F"/>
    <w:rsid w:val="0085355A"/>
    <w:rsid w:val="00853643"/>
    <w:rsid w:val="00853BC2"/>
    <w:rsid w:val="008559E3"/>
    <w:rsid w:val="00855EF1"/>
    <w:rsid w:val="008561BE"/>
    <w:rsid w:val="00856CB2"/>
    <w:rsid w:val="008570BD"/>
    <w:rsid w:val="008576F0"/>
    <w:rsid w:val="0086168B"/>
    <w:rsid w:val="00862593"/>
    <w:rsid w:val="00862A77"/>
    <w:rsid w:val="0086374D"/>
    <w:rsid w:val="008655C3"/>
    <w:rsid w:val="008656A5"/>
    <w:rsid w:val="00865FFA"/>
    <w:rsid w:val="00866569"/>
    <w:rsid w:val="00867239"/>
    <w:rsid w:val="00867825"/>
    <w:rsid w:val="00870B5C"/>
    <w:rsid w:val="00871323"/>
    <w:rsid w:val="00871355"/>
    <w:rsid w:val="008727A1"/>
    <w:rsid w:val="0087284A"/>
    <w:rsid w:val="00873132"/>
    <w:rsid w:val="00873F2E"/>
    <w:rsid w:val="008750F8"/>
    <w:rsid w:val="00875320"/>
    <w:rsid w:val="00875FE7"/>
    <w:rsid w:val="0087609D"/>
    <w:rsid w:val="00876833"/>
    <w:rsid w:val="008768BC"/>
    <w:rsid w:val="008771E0"/>
    <w:rsid w:val="00877D0F"/>
    <w:rsid w:val="008802F0"/>
    <w:rsid w:val="00880693"/>
    <w:rsid w:val="008812AF"/>
    <w:rsid w:val="00882354"/>
    <w:rsid w:val="00882A1B"/>
    <w:rsid w:val="00882ACE"/>
    <w:rsid w:val="00883780"/>
    <w:rsid w:val="008843F0"/>
    <w:rsid w:val="00884A74"/>
    <w:rsid w:val="00884EE8"/>
    <w:rsid w:val="008871CF"/>
    <w:rsid w:val="00887DC1"/>
    <w:rsid w:val="0089028A"/>
    <w:rsid w:val="00890F6C"/>
    <w:rsid w:val="00891B03"/>
    <w:rsid w:val="00892662"/>
    <w:rsid w:val="00894ED6"/>
    <w:rsid w:val="00895116"/>
    <w:rsid w:val="00895507"/>
    <w:rsid w:val="00897AB9"/>
    <w:rsid w:val="008A0D07"/>
    <w:rsid w:val="008A14D9"/>
    <w:rsid w:val="008A32DA"/>
    <w:rsid w:val="008A3989"/>
    <w:rsid w:val="008A3A82"/>
    <w:rsid w:val="008A4005"/>
    <w:rsid w:val="008A41F0"/>
    <w:rsid w:val="008A4889"/>
    <w:rsid w:val="008A495C"/>
    <w:rsid w:val="008A4F52"/>
    <w:rsid w:val="008A502F"/>
    <w:rsid w:val="008A5F8A"/>
    <w:rsid w:val="008A68AD"/>
    <w:rsid w:val="008A6CA7"/>
    <w:rsid w:val="008A71B7"/>
    <w:rsid w:val="008B0033"/>
    <w:rsid w:val="008B26FC"/>
    <w:rsid w:val="008B2A57"/>
    <w:rsid w:val="008B2C36"/>
    <w:rsid w:val="008B3105"/>
    <w:rsid w:val="008B3562"/>
    <w:rsid w:val="008B418C"/>
    <w:rsid w:val="008B46B9"/>
    <w:rsid w:val="008B498A"/>
    <w:rsid w:val="008B5259"/>
    <w:rsid w:val="008B59B6"/>
    <w:rsid w:val="008B6A26"/>
    <w:rsid w:val="008B6F74"/>
    <w:rsid w:val="008B7277"/>
    <w:rsid w:val="008B7D63"/>
    <w:rsid w:val="008C1E6B"/>
    <w:rsid w:val="008C200F"/>
    <w:rsid w:val="008C2FD6"/>
    <w:rsid w:val="008C3094"/>
    <w:rsid w:val="008C3790"/>
    <w:rsid w:val="008C3A73"/>
    <w:rsid w:val="008C3CED"/>
    <w:rsid w:val="008C42BC"/>
    <w:rsid w:val="008C6160"/>
    <w:rsid w:val="008C67B1"/>
    <w:rsid w:val="008C67FD"/>
    <w:rsid w:val="008C6E0E"/>
    <w:rsid w:val="008C7AA4"/>
    <w:rsid w:val="008D0A96"/>
    <w:rsid w:val="008D158B"/>
    <w:rsid w:val="008D1625"/>
    <w:rsid w:val="008D1F36"/>
    <w:rsid w:val="008D3296"/>
    <w:rsid w:val="008D34F6"/>
    <w:rsid w:val="008D3DDC"/>
    <w:rsid w:val="008D3FFE"/>
    <w:rsid w:val="008D4B98"/>
    <w:rsid w:val="008D5EFD"/>
    <w:rsid w:val="008D6532"/>
    <w:rsid w:val="008D721B"/>
    <w:rsid w:val="008D743F"/>
    <w:rsid w:val="008D77D5"/>
    <w:rsid w:val="008D7A15"/>
    <w:rsid w:val="008D7DD6"/>
    <w:rsid w:val="008E0E84"/>
    <w:rsid w:val="008E160A"/>
    <w:rsid w:val="008E19D7"/>
    <w:rsid w:val="008E4E98"/>
    <w:rsid w:val="008E51BB"/>
    <w:rsid w:val="008E56CC"/>
    <w:rsid w:val="008E5940"/>
    <w:rsid w:val="008E5D6E"/>
    <w:rsid w:val="008E5E3F"/>
    <w:rsid w:val="008E6534"/>
    <w:rsid w:val="008E7F86"/>
    <w:rsid w:val="008F00F4"/>
    <w:rsid w:val="008F0619"/>
    <w:rsid w:val="008F2695"/>
    <w:rsid w:val="008F2CB1"/>
    <w:rsid w:val="008F38F2"/>
    <w:rsid w:val="008F5D68"/>
    <w:rsid w:val="008F5EB6"/>
    <w:rsid w:val="008F649F"/>
    <w:rsid w:val="009001A8"/>
    <w:rsid w:val="009015FD"/>
    <w:rsid w:val="00902272"/>
    <w:rsid w:val="00902F92"/>
    <w:rsid w:val="009032A0"/>
    <w:rsid w:val="009049CB"/>
    <w:rsid w:val="0090614C"/>
    <w:rsid w:val="00907412"/>
    <w:rsid w:val="00907D36"/>
    <w:rsid w:val="00910E52"/>
    <w:rsid w:val="00911D5D"/>
    <w:rsid w:val="0091290B"/>
    <w:rsid w:val="00912E28"/>
    <w:rsid w:val="009133A9"/>
    <w:rsid w:val="009140B0"/>
    <w:rsid w:val="00914532"/>
    <w:rsid w:val="00916F2E"/>
    <w:rsid w:val="00917837"/>
    <w:rsid w:val="00920866"/>
    <w:rsid w:val="00920BDE"/>
    <w:rsid w:val="0092130A"/>
    <w:rsid w:val="00921315"/>
    <w:rsid w:val="00921D80"/>
    <w:rsid w:val="00921FD1"/>
    <w:rsid w:val="0092200C"/>
    <w:rsid w:val="009220C5"/>
    <w:rsid w:val="009223F8"/>
    <w:rsid w:val="00922E1D"/>
    <w:rsid w:val="00923465"/>
    <w:rsid w:val="00923F26"/>
    <w:rsid w:val="00924E2A"/>
    <w:rsid w:val="00925117"/>
    <w:rsid w:val="009253B1"/>
    <w:rsid w:val="00925B34"/>
    <w:rsid w:val="00925E42"/>
    <w:rsid w:val="0092640C"/>
    <w:rsid w:val="00927653"/>
    <w:rsid w:val="00927BA7"/>
    <w:rsid w:val="00930481"/>
    <w:rsid w:val="009314B3"/>
    <w:rsid w:val="00931655"/>
    <w:rsid w:val="00931AE2"/>
    <w:rsid w:val="009321DD"/>
    <w:rsid w:val="00933C0E"/>
    <w:rsid w:val="00934912"/>
    <w:rsid w:val="009357CF"/>
    <w:rsid w:val="009359AB"/>
    <w:rsid w:val="0093788C"/>
    <w:rsid w:val="009407F5"/>
    <w:rsid w:val="00941B21"/>
    <w:rsid w:val="0094227E"/>
    <w:rsid w:val="00942415"/>
    <w:rsid w:val="00942AA6"/>
    <w:rsid w:val="00945DF6"/>
    <w:rsid w:val="00946102"/>
    <w:rsid w:val="009468E0"/>
    <w:rsid w:val="0094691C"/>
    <w:rsid w:val="00947A72"/>
    <w:rsid w:val="009514FC"/>
    <w:rsid w:val="00951821"/>
    <w:rsid w:val="00951A07"/>
    <w:rsid w:val="009523B9"/>
    <w:rsid w:val="00952E38"/>
    <w:rsid w:val="00953EFA"/>
    <w:rsid w:val="0095454E"/>
    <w:rsid w:val="009547C5"/>
    <w:rsid w:val="00955DA7"/>
    <w:rsid w:val="00956737"/>
    <w:rsid w:val="00962124"/>
    <w:rsid w:val="00964297"/>
    <w:rsid w:val="00965682"/>
    <w:rsid w:val="0096571E"/>
    <w:rsid w:val="00965C25"/>
    <w:rsid w:val="009669BA"/>
    <w:rsid w:val="00967077"/>
    <w:rsid w:val="00967BAD"/>
    <w:rsid w:val="00970149"/>
    <w:rsid w:val="009710EC"/>
    <w:rsid w:val="0097169F"/>
    <w:rsid w:val="00972567"/>
    <w:rsid w:val="00973675"/>
    <w:rsid w:val="00975617"/>
    <w:rsid w:val="00975E38"/>
    <w:rsid w:val="00975E43"/>
    <w:rsid w:val="0097653F"/>
    <w:rsid w:val="009769FE"/>
    <w:rsid w:val="00976F4B"/>
    <w:rsid w:val="009778C7"/>
    <w:rsid w:val="00977CD9"/>
    <w:rsid w:val="00980205"/>
    <w:rsid w:val="00980426"/>
    <w:rsid w:val="00980A21"/>
    <w:rsid w:val="009816BA"/>
    <w:rsid w:val="009822AF"/>
    <w:rsid w:val="00982E24"/>
    <w:rsid w:val="00982E9C"/>
    <w:rsid w:val="00984B34"/>
    <w:rsid w:val="00984D46"/>
    <w:rsid w:val="0098559E"/>
    <w:rsid w:val="00985633"/>
    <w:rsid w:val="00985975"/>
    <w:rsid w:val="00985CE5"/>
    <w:rsid w:val="00985E93"/>
    <w:rsid w:val="009866EE"/>
    <w:rsid w:val="009876A3"/>
    <w:rsid w:val="009877F4"/>
    <w:rsid w:val="00987BBB"/>
    <w:rsid w:val="00987EC2"/>
    <w:rsid w:val="00991C9C"/>
    <w:rsid w:val="00993622"/>
    <w:rsid w:val="00993A2B"/>
    <w:rsid w:val="00993BF1"/>
    <w:rsid w:val="00994C97"/>
    <w:rsid w:val="0099521C"/>
    <w:rsid w:val="009955EC"/>
    <w:rsid w:val="00995BAD"/>
    <w:rsid w:val="00995E75"/>
    <w:rsid w:val="009966B0"/>
    <w:rsid w:val="00996DBF"/>
    <w:rsid w:val="009A0696"/>
    <w:rsid w:val="009A06C6"/>
    <w:rsid w:val="009A15FD"/>
    <w:rsid w:val="009A162F"/>
    <w:rsid w:val="009A1670"/>
    <w:rsid w:val="009A1918"/>
    <w:rsid w:val="009A357F"/>
    <w:rsid w:val="009A4513"/>
    <w:rsid w:val="009A47B1"/>
    <w:rsid w:val="009A5A66"/>
    <w:rsid w:val="009A5ACA"/>
    <w:rsid w:val="009A5AD6"/>
    <w:rsid w:val="009A6240"/>
    <w:rsid w:val="009A6471"/>
    <w:rsid w:val="009A7CFF"/>
    <w:rsid w:val="009B0960"/>
    <w:rsid w:val="009B11B7"/>
    <w:rsid w:val="009B13A7"/>
    <w:rsid w:val="009B17C8"/>
    <w:rsid w:val="009B17DC"/>
    <w:rsid w:val="009B2316"/>
    <w:rsid w:val="009B2E83"/>
    <w:rsid w:val="009B33F6"/>
    <w:rsid w:val="009B3591"/>
    <w:rsid w:val="009B3ABC"/>
    <w:rsid w:val="009B48AA"/>
    <w:rsid w:val="009B502B"/>
    <w:rsid w:val="009B5458"/>
    <w:rsid w:val="009B5D2F"/>
    <w:rsid w:val="009B5DEA"/>
    <w:rsid w:val="009B6B76"/>
    <w:rsid w:val="009B6BA6"/>
    <w:rsid w:val="009B6F30"/>
    <w:rsid w:val="009B7FD6"/>
    <w:rsid w:val="009C0AA7"/>
    <w:rsid w:val="009C1C5E"/>
    <w:rsid w:val="009C255C"/>
    <w:rsid w:val="009C268F"/>
    <w:rsid w:val="009C27E2"/>
    <w:rsid w:val="009C2C41"/>
    <w:rsid w:val="009C418C"/>
    <w:rsid w:val="009C5373"/>
    <w:rsid w:val="009C5A6A"/>
    <w:rsid w:val="009C6C33"/>
    <w:rsid w:val="009C6E14"/>
    <w:rsid w:val="009D0243"/>
    <w:rsid w:val="009D0834"/>
    <w:rsid w:val="009D0DA8"/>
    <w:rsid w:val="009D1737"/>
    <w:rsid w:val="009D2655"/>
    <w:rsid w:val="009D38E2"/>
    <w:rsid w:val="009D3EEB"/>
    <w:rsid w:val="009D6ED5"/>
    <w:rsid w:val="009D7F1B"/>
    <w:rsid w:val="009E1AC3"/>
    <w:rsid w:val="009E1C05"/>
    <w:rsid w:val="009E28E1"/>
    <w:rsid w:val="009E320C"/>
    <w:rsid w:val="009E3A99"/>
    <w:rsid w:val="009E5FCF"/>
    <w:rsid w:val="009E7999"/>
    <w:rsid w:val="009E7BB2"/>
    <w:rsid w:val="009F2227"/>
    <w:rsid w:val="009F2428"/>
    <w:rsid w:val="009F2459"/>
    <w:rsid w:val="009F2C32"/>
    <w:rsid w:val="009F3CB4"/>
    <w:rsid w:val="009F4097"/>
    <w:rsid w:val="009F44E0"/>
    <w:rsid w:val="009F5142"/>
    <w:rsid w:val="009F54C5"/>
    <w:rsid w:val="009F5813"/>
    <w:rsid w:val="009F5FC6"/>
    <w:rsid w:val="009F6215"/>
    <w:rsid w:val="009F65A9"/>
    <w:rsid w:val="009F6745"/>
    <w:rsid w:val="009F6F33"/>
    <w:rsid w:val="009F71ED"/>
    <w:rsid w:val="009F7C94"/>
    <w:rsid w:val="00A01E85"/>
    <w:rsid w:val="00A01E92"/>
    <w:rsid w:val="00A02514"/>
    <w:rsid w:val="00A02771"/>
    <w:rsid w:val="00A02D74"/>
    <w:rsid w:val="00A02E32"/>
    <w:rsid w:val="00A032A5"/>
    <w:rsid w:val="00A033AB"/>
    <w:rsid w:val="00A10D79"/>
    <w:rsid w:val="00A125E3"/>
    <w:rsid w:val="00A142BF"/>
    <w:rsid w:val="00A15586"/>
    <w:rsid w:val="00A156EC"/>
    <w:rsid w:val="00A15A89"/>
    <w:rsid w:val="00A165AB"/>
    <w:rsid w:val="00A16DC5"/>
    <w:rsid w:val="00A16F1D"/>
    <w:rsid w:val="00A200AA"/>
    <w:rsid w:val="00A20A42"/>
    <w:rsid w:val="00A2110E"/>
    <w:rsid w:val="00A21316"/>
    <w:rsid w:val="00A213A6"/>
    <w:rsid w:val="00A233D6"/>
    <w:rsid w:val="00A23C8F"/>
    <w:rsid w:val="00A24472"/>
    <w:rsid w:val="00A248E1"/>
    <w:rsid w:val="00A2595F"/>
    <w:rsid w:val="00A25ACA"/>
    <w:rsid w:val="00A25C44"/>
    <w:rsid w:val="00A26D1E"/>
    <w:rsid w:val="00A30527"/>
    <w:rsid w:val="00A32366"/>
    <w:rsid w:val="00A32400"/>
    <w:rsid w:val="00A3265C"/>
    <w:rsid w:val="00A32EDA"/>
    <w:rsid w:val="00A33789"/>
    <w:rsid w:val="00A337A4"/>
    <w:rsid w:val="00A339BA"/>
    <w:rsid w:val="00A352DF"/>
    <w:rsid w:val="00A36BBC"/>
    <w:rsid w:val="00A36C98"/>
    <w:rsid w:val="00A377FC"/>
    <w:rsid w:val="00A4006E"/>
    <w:rsid w:val="00A402D8"/>
    <w:rsid w:val="00A41428"/>
    <w:rsid w:val="00A4211C"/>
    <w:rsid w:val="00A43381"/>
    <w:rsid w:val="00A43407"/>
    <w:rsid w:val="00A43497"/>
    <w:rsid w:val="00A43839"/>
    <w:rsid w:val="00A44D7A"/>
    <w:rsid w:val="00A456A1"/>
    <w:rsid w:val="00A460AA"/>
    <w:rsid w:val="00A463FA"/>
    <w:rsid w:val="00A469D6"/>
    <w:rsid w:val="00A46CE6"/>
    <w:rsid w:val="00A47667"/>
    <w:rsid w:val="00A50671"/>
    <w:rsid w:val="00A5084A"/>
    <w:rsid w:val="00A5171E"/>
    <w:rsid w:val="00A51D67"/>
    <w:rsid w:val="00A52BA0"/>
    <w:rsid w:val="00A53112"/>
    <w:rsid w:val="00A53639"/>
    <w:rsid w:val="00A5383E"/>
    <w:rsid w:val="00A53DCE"/>
    <w:rsid w:val="00A565F8"/>
    <w:rsid w:val="00A57BCC"/>
    <w:rsid w:val="00A6024C"/>
    <w:rsid w:val="00A60D7C"/>
    <w:rsid w:val="00A62536"/>
    <w:rsid w:val="00A62BD5"/>
    <w:rsid w:val="00A6465D"/>
    <w:rsid w:val="00A647CB"/>
    <w:rsid w:val="00A6497A"/>
    <w:rsid w:val="00A64F33"/>
    <w:rsid w:val="00A660FC"/>
    <w:rsid w:val="00A66D1C"/>
    <w:rsid w:val="00A66DEB"/>
    <w:rsid w:val="00A6711F"/>
    <w:rsid w:val="00A673C6"/>
    <w:rsid w:val="00A67B35"/>
    <w:rsid w:val="00A71A2F"/>
    <w:rsid w:val="00A7228D"/>
    <w:rsid w:val="00A72342"/>
    <w:rsid w:val="00A72EBF"/>
    <w:rsid w:val="00A730E5"/>
    <w:rsid w:val="00A73975"/>
    <w:rsid w:val="00A740D8"/>
    <w:rsid w:val="00A7441A"/>
    <w:rsid w:val="00A74565"/>
    <w:rsid w:val="00A7488A"/>
    <w:rsid w:val="00A74AF7"/>
    <w:rsid w:val="00A7557E"/>
    <w:rsid w:val="00A77646"/>
    <w:rsid w:val="00A77965"/>
    <w:rsid w:val="00A77DD5"/>
    <w:rsid w:val="00A80E17"/>
    <w:rsid w:val="00A819B7"/>
    <w:rsid w:val="00A81A12"/>
    <w:rsid w:val="00A82B7C"/>
    <w:rsid w:val="00A836FF"/>
    <w:rsid w:val="00A83C72"/>
    <w:rsid w:val="00A8419B"/>
    <w:rsid w:val="00A849BF"/>
    <w:rsid w:val="00A855E8"/>
    <w:rsid w:val="00A86E65"/>
    <w:rsid w:val="00A87190"/>
    <w:rsid w:val="00A87631"/>
    <w:rsid w:val="00A87C4C"/>
    <w:rsid w:val="00A908E0"/>
    <w:rsid w:val="00A923AC"/>
    <w:rsid w:val="00A92CB4"/>
    <w:rsid w:val="00A9381F"/>
    <w:rsid w:val="00A94014"/>
    <w:rsid w:val="00A9408C"/>
    <w:rsid w:val="00A9425E"/>
    <w:rsid w:val="00A9582D"/>
    <w:rsid w:val="00A9631E"/>
    <w:rsid w:val="00A96DA9"/>
    <w:rsid w:val="00A9793C"/>
    <w:rsid w:val="00A97C82"/>
    <w:rsid w:val="00AA081F"/>
    <w:rsid w:val="00AA16FC"/>
    <w:rsid w:val="00AA16FD"/>
    <w:rsid w:val="00AA27AA"/>
    <w:rsid w:val="00AA373C"/>
    <w:rsid w:val="00AA4DD8"/>
    <w:rsid w:val="00AA5336"/>
    <w:rsid w:val="00AA6934"/>
    <w:rsid w:val="00AA6C3D"/>
    <w:rsid w:val="00AA7391"/>
    <w:rsid w:val="00AA7C06"/>
    <w:rsid w:val="00AA7E90"/>
    <w:rsid w:val="00AB1E6B"/>
    <w:rsid w:val="00AB2101"/>
    <w:rsid w:val="00AB250A"/>
    <w:rsid w:val="00AB30DF"/>
    <w:rsid w:val="00AB3259"/>
    <w:rsid w:val="00AB32BF"/>
    <w:rsid w:val="00AB3923"/>
    <w:rsid w:val="00AB53F7"/>
    <w:rsid w:val="00AB568A"/>
    <w:rsid w:val="00AB6CB7"/>
    <w:rsid w:val="00AB74EC"/>
    <w:rsid w:val="00AB7B73"/>
    <w:rsid w:val="00AB7EA8"/>
    <w:rsid w:val="00AC0F10"/>
    <w:rsid w:val="00AC1D91"/>
    <w:rsid w:val="00AC3430"/>
    <w:rsid w:val="00AC3456"/>
    <w:rsid w:val="00AC3AF7"/>
    <w:rsid w:val="00AC5BAF"/>
    <w:rsid w:val="00AC635D"/>
    <w:rsid w:val="00AC6FFB"/>
    <w:rsid w:val="00AC7244"/>
    <w:rsid w:val="00AC7A07"/>
    <w:rsid w:val="00AD03B8"/>
    <w:rsid w:val="00AD0E6C"/>
    <w:rsid w:val="00AD1276"/>
    <w:rsid w:val="00AD189B"/>
    <w:rsid w:val="00AD1A0A"/>
    <w:rsid w:val="00AD1D9C"/>
    <w:rsid w:val="00AD2CF2"/>
    <w:rsid w:val="00AD3F2C"/>
    <w:rsid w:val="00AD42D2"/>
    <w:rsid w:val="00AD5AC7"/>
    <w:rsid w:val="00AD6471"/>
    <w:rsid w:val="00AD655D"/>
    <w:rsid w:val="00AD7398"/>
    <w:rsid w:val="00AD7D11"/>
    <w:rsid w:val="00AD7F00"/>
    <w:rsid w:val="00AE1D45"/>
    <w:rsid w:val="00AE2B51"/>
    <w:rsid w:val="00AE42C5"/>
    <w:rsid w:val="00AE49F4"/>
    <w:rsid w:val="00AE4B42"/>
    <w:rsid w:val="00AE4D4E"/>
    <w:rsid w:val="00AE51E0"/>
    <w:rsid w:val="00AE549D"/>
    <w:rsid w:val="00AE5E87"/>
    <w:rsid w:val="00AE63CB"/>
    <w:rsid w:val="00AF0908"/>
    <w:rsid w:val="00AF0DAD"/>
    <w:rsid w:val="00AF11FC"/>
    <w:rsid w:val="00AF1919"/>
    <w:rsid w:val="00AF1F13"/>
    <w:rsid w:val="00AF21D6"/>
    <w:rsid w:val="00AF2765"/>
    <w:rsid w:val="00AF3040"/>
    <w:rsid w:val="00AF4212"/>
    <w:rsid w:val="00AF46EF"/>
    <w:rsid w:val="00AF5194"/>
    <w:rsid w:val="00AF5499"/>
    <w:rsid w:val="00AF5E97"/>
    <w:rsid w:val="00AF60A1"/>
    <w:rsid w:val="00AF7715"/>
    <w:rsid w:val="00B02402"/>
    <w:rsid w:val="00B02C03"/>
    <w:rsid w:val="00B02E0F"/>
    <w:rsid w:val="00B0344A"/>
    <w:rsid w:val="00B03E35"/>
    <w:rsid w:val="00B049AA"/>
    <w:rsid w:val="00B04CD6"/>
    <w:rsid w:val="00B058C5"/>
    <w:rsid w:val="00B05F41"/>
    <w:rsid w:val="00B06149"/>
    <w:rsid w:val="00B0672A"/>
    <w:rsid w:val="00B07462"/>
    <w:rsid w:val="00B10235"/>
    <w:rsid w:val="00B10320"/>
    <w:rsid w:val="00B104EE"/>
    <w:rsid w:val="00B10DEB"/>
    <w:rsid w:val="00B11822"/>
    <w:rsid w:val="00B13AE9"/>
    <w:rsid w:val="00B14015"/>
    <w:rsid w:val="00B14098"/>
    <w:rsid w:val="00B1474A"/>
    <w:rsid w:val="00B1477E"/>
    <w:rsid w:val="00B148A1"/>
    <w:rsid w:val="00B14CED"/>
    <w:rsid w:val="00B155C5"/>
    <w:rsid w:val="00B1688C"/>
    <w:rsid w:val="00B1689C"/>
    <w:rsid w:val="00B17347"/>
    <w:rsid w:val="00B17733"/>
    <w:rsid w:val="00B17C08"/>
    <w:rsid w:val="00B21FB4"/>
    <w:rsid w:val="00B222A0"/>
    <w:rsid w:val="00B2241E"/>
    <w:rsid w:val="00B227D3"/>
    <w:rsid w:val="00B22E8C"/>
    <w:rsid w:val="00B235DA"/>
    <w:rsid w:val="00B24584"/>
    <w:rsid w:val="00B24A08"/>
    <w:rsid w:val="00B24A28"/>
    <w:rsid w:val="00B25169"/>
    <w:rsid w:val="00B27828"/>
    <w:rsid w:val="00B2794E"/>
    <w:rsid w:val="00B3135F"/>
    <w:rsid w:val="00B32CB6"/>
    <w:rsid w:val="00B32EDF"/>
    <w:rsid w:val="00B334CC"/>
    <w:rsid w:val="00B33747"/>
    <w:rsid w:val="00B3381A"/>
    <w:rsid w:val="00B33CB7"/>
    <w:rsid w:val="00B34848"/>
    <w:rsid w:val="00B34A13"/>
    <w:rsid w:val="00B34B37"/>
    <w:rsid w:val="00B36AE5"/>
    <w:rsid w:val="00B37D22"/>
    <w:rsid w:val="00B4021A"/>
    <w:rsid w:val="00B40B56"/>
    <w:rsid w:val="00B40D67"/>
    <w:rsid w:val="00B42634"/>
    <w:rsid w:val="00B4274E"/>
    <w:rsid w:val="00B436B3"/>
    <w:rsid w:val="00B445D3"/>
    <w:rsid w:val="00B4525B"/>
    <w:rsid w:val="00B460A4"/>
    <w:rsid w:val="00B46453"/>
    <w:rsid w:val="00B51093"/>
    <w:rsid w:val="00B51C8D"/>
    <w:rsid w:val="00B5394D"/>
    <w:rsid w:val="00B53B7A"/>
    <w:rsid w:val="00B53FBD"/>
    <w:rsid w:val="00B54BD2"/>
    <w:rsid w:val="00B54D1E"/>
    <w:rsid w:val="00B56262"/>
    <w:rsid w:val="00B56AE4"/>
    <w:rsid w:val="00B57082"/>
    <w:rsid w:val="00B60875"/>
    <w:rsid w:val="00B61751"/>
    <w:rsid w:val="00B61F22"/>
    <w:rsid w:val="00B62C32"/>
    <w:rsid w:val="00B630B5"/>
    <w:rsid w:val="00B638C8"/>
    <w:rsid w:val="00B63D04"/>
    <w:rsid w:val="00B63DE4"/>
    <w:rsid w:val="00B6432B"/>
    <w:rsid w:val="00B644FD"/>
    <w:rsid w:val="00B64B7A"/>
    <w:rsid w:val="00B66C50"/>
    <w:rsid w:val="00B7216F"/>
    <w:rsid w:val="00B74295"/>
    <w:rsid w:val="00B746F5"/>
    <w:rsid w:val="00B75618"/>
    <w:rsid w:val="00B76284"/>
    <w:rsid w:val="00B767EF"/>
    <w:rsid w:val="00B776E5"/>
    <w:rsid w:val="00B77C6C"/>
    <w:rsid w:val="00B801C5"/>
    <w:rsid w:val="00B801C8"/>
    <w:rsid w:val="00B80888"/>
    <w:rsid w:val="00B80E03"/>
    <w:rsid w:val="00B80ECA"/>
    <w:rsid w:val="00B8107D"/>
    <w:rsid w:val="00B810CA"/>
    <w:rsid w:val="00B819A7"/>
    <w:rsid w:val="00B829B4"/>
    <w:rsid w:val="00B82CD0"/>
    <w:rsid w:val="00B82E98"/>
    <w:rsid w:val="00B83654"/>
    <w:rsid w:val="00B84844"/>
    <w:rsid w:val="00B854D1"/>
    <w:rsid w:val="00B857DB"/>
    <w:rsid w:val="00B865F7"/>
    <w:rsid w:val="00B8684E"/>
    <w:rsid w:val="00B87640"/>
    <w:rsid w:val="00B87749"/>
    <w:rsid w:val="00B87D1D"/>
    <w:rsid w:val="00B90ADE"/>
    <w:rsid w:val="00B91020"/>
    <w:rsid w:val="00B920AB"/>
    <w:rsid w:val="00B93785"/>
    <w:rsid w:val="00B94003"/>
    <w:rsid w:val="00B94885"/>
    <w:rsid w:val="00B94CFC"/>
    <w:rsid w:val="00B958B1"/>
    <w:rsid w:val="00B96A7A"/>
    <w:rsid w:val="00B96F2A"/>
    <w:rsid w:val="00BA0102"/>
    <w:rsid w:val="00BA010B"/>
    <w:rsid w:val="00BA03C1"/>
    <w:rsid w:val="00BA0638"/>
    <w:rsid w:val="00BA0E5F"/>
    <w:rsid w:val="00BA2354"/>
    <w:rsid w:val="00BA39E0"/>
    <w:rsid w:val="00BA4315"/>
    <w:rsid w:val="00BA489D"/>
    <w:rsid w:val="00BA4CAC"/>
    <w:rsid w:val="00BA4DFE"/>
    <w:rsid w:val="00BA5996"/>
    <w:rsid w:val="00BA5D72"/>
    <w:rsid w:val="00BA64BB"/>
    <w:rsid w:val="00BA674A"/>
    <w:rsid w:val="00BA6A7A"/>
    <w:rsid w:val="00BA6BFF"/>
    <w:rsid w:val="00BA6C98"/>
    <w:rsid w:val="00BB016F"/>
    <w:rsid w:val="00BB12B3"/>
    <w:rsid w:val="00BB1741"/>
    <w:rsid w:val="00BB1C99"/>
    <w:rsid w:val="00BB2091"/>
    <w:rsid w:val="00BB639D"/>
    <w:rsid w:val="00BC04D9"/>
    <w:rsid w:val="00BC0690"/>
    <w:rsid w:val="00BC0E5F"/>
    <w:rsid w:val="00BC1F5E"/>
    <w:rsid w:val="00BC583F"/>
    <w:rsid w:val="00BC5DFB"/>
    <w:rsid w:val="00BC5E1C"/>
    <w:rsid w:val="00BC6465"/>
    <w:rsid w:val="00BC7004"/>
    <w:rsid w:val="00BC770E"/>
    <w:rsid w:val="00BD01E0"/>
    <w:rsid w:val="00BD086B"/>
    <w:rsid w:val="00BD0BC0"/>
    <w:rsid w:val="00BD2AD3"/>
    <w:rsid w:val="00BD34B0"/>
    <w:rsid w:val="00BD35E8"/>
    <w:rsid w:val="00BD39D0"/>
    <w:rsid w:val="00BD438A"/>
    <w:rsid w:val="00BD5949"/>
    <w:rsid w:val="00BD60F4"/>
    <w:rsid w:val="00BD61A7"/>
    <w:rsid w:val="00BD670E"/>
    <w:rsid w:val="00BE23DA"/>
    <w:rsid w:val="00BE25F1"/>
    <w:rsid w:val="00BE40A8"/>
    <w:rsid w:val="00BE4D24"/>
    <w:rsid w:val="00BE636B"/>
    <w:rsid w:val="00BE6F63"/>
    <w:rsid w:val="00BE7003"/>
    <w:rsid w:val="00BE767F"/>
    <w:rsid w:val="00BF1188"/>
    <w:rsid w:val="00BF1A87"/>
    <w:rsid w:val="00BF1D3C"/>
    <w:rsid w:val="00BF2474"/>
    <w:rsid w:val="00BF2D2D"/>
    <w:rsid w:val="00BF3A1D"/>
    <w:rsid w:val="00BF3A24"/>
    <w:rsid w:val="00BF470F"/>
    <w:rsid w:val="00BF4C5E"/>
    <w:rsid w:val="00BF4CE5"/>
    <w:rsid w:val="00BF567C"/>
    <w:rsid w:val="00BF58A8"/>
    <w:rsid w:val="00BF60CF"/>
    <w:rsid w:val="00BF6888"/>
    <w:rsid w:val="00BF6D4B"/>
    <w:rsid w:val="00BF74B9"/>
    <w:rsid w:val="00BF75A9"/>
    <w:rsid w:val="00BF78D4"/>
    <w:rsid w:val="00BF7AA0"/>
    <w:rsid w:val="00BF7CEB"/>
    <w:rsid w:val="00BF7D83"/>
    <w:rsid w:val="00BF7ECD"/>
    <w:rsid w:val="00C00261"/>
    <w:rsid w:val="00C02344"/>
    <w:rsid w:val="00C041D4"/>
    <w:rsid w:val="00C053B6"/>
    <w:rsid w:val="00C056A1"/>
    <w:rsid w:val="00C05ADE"/>
    <w:rsid w:val="00C05CAA"/>
    <w:rsid w:val="00C07DC5"/>
    <w:rsid w:val="00C10FFC"/>
    <w:rsid w:val="00C11898"/>
    <w:rsid w:val="00C119E3"/>
    <w:rsid w:val="00C11B63"/>
    <w:rsid w:val="00C122D6"/>
    <w:rsid w:val="00C12FDA"/>
    <w:rsid w:val="00C137FA"/>
    <w:rsid w:val="00C14F7D"/>
    <w:rsid w:val="00C15BF1"/>
    <w:rsid w:val="00C17270"/>
    <w:rsid w:val="00C17896"/>
    <w:rsid w:val="00C17A9F"/>
    <w:rsid w:val="00C17B45"/>
    <w:rsid w:val="00C17D4A"/>
    <w:rsid w:val="00C17DCF"/>
    <w:rsid w:val="00C20065"/>
    <w:rsid w:val="00C20AF1"/>
    <w:rsid w:val="00C21D26"/>
    <w:rsid w:val="00C21F40"/>
    <w:rsid w:val="00C2203E"/>
    <w:rsid w:val="00C23EF4"/>
    <w:rsid w:val="00C30540"/>
    <w:rsid w:val="00C30BF5"/>
    <w:rsid w:val="00C329B0"/>
    <w:rsid w:val="00C32D4E"/>
    <w:rsid w:val="00C32D7A"/>
    <w:rsid w:val="00C33BB0"/>
    <w:rsid w:val="00C33BE6"/>
    <w:rsid w:val="00C372DE"/>
    <w:rsid w:val="00C40233"/>
    <w:rsid w:val="00C40455"/>
    <w:rsid w:val="00C411BD"/>
    <w:rsid w:val="00C41D47"/>
    <w:rsid w:val="00C41F85"/>
    <w:rsid w:val="00C42594"/>
    <w:rsid w:val="00C42C76"/>
    <w:rsid w:val="00C435E1"/>
    <w:rsid w:val="00C43BF1"/>
    <w:rsid w:val="00C441EF"/>
    <w:rsid w:val="00C459AA"/>
    <w:rsid w:val="00C46078"/>
    <w:rsid w:val="00C5065B"/>
    <w:rsid w:val="00C5103B"/>
    <w:rsid w:val="00C52ADF"/>
    <w:rsid w:val="00C52D7D"/>
    <w:rsid w:val="00C52D95"/>
    <w:rsid w:val="00C53A9B"/>
    <w:rsid w:val="00C53ED7"/>
    <w:rsid w:val="00C54C8C"/>
    <w:rsid w:val="00C55162"/>
    <w:rsid w:val="00C555AF"/>
    <w:rsid w:val="00C55E12"/>
    <w:rsid w:val="00C56B0B"/>
    <w:rsid w:val="00C601EA"/>
    <w:rsid w:val="00C60A98"/>
    <w:rsid w:val="00C6187E"/>
    <w:rsid w:val="00C61CFF"/>
    <w:rsid w:val="00C62203"/>
    <w:rsid w:val="00C62C65"/>
    <w:rsid w:val="00C62CE7"/>
    <w:rsid w:val="00C62D01"/>
    <w:rsid w:val="00C63209"/>
    <w:rsid w:val="00C6321D"/>
    <w:rsid w:val="00C63578"/>
    <w:rsid w:val="00C6403C"/>
    <w:rsid w:val="00C66104"/>
    <w:rsid w:val="00C66109"/>
    <w:rsid w:val="00C66724"/>
    <w:rsid w:val="00C66BBE"/>
    <w:rsid w:val="00C70DD5"/>
    <w:rsid w:val="00C7166F"/>
    <w:rsid w:val="00C7351C"/>
    <w:rsid w:val="00C735A1"/>
    <w:rsid w:val="00C7390A"/>
    <w:rsid w:val="00C7414B"/>
    <w:rsid w:val="00C745D3"/>
    <w:rsid w:val="00C74C52"/>
    <w:rsid w:val="00C75021"/>
    <w:rsid w:val="00C7502A"/>
    <w:rsid w:val="00C75DF8"/>
    <w:rsid w:val="00C774FA"/>
    <w:rsid w:val="00C77538"/>
    <w:rsid w:val="00C7761F"/>
    <w:rsid w:val="00C805F7"/>
    <w:rsid w:val="00C81042"/>
    <w:rsid w:val="00C81280"/>
    <w:rsid w:val="00C815D2"/>
    <w:rsid w:val="00C81CFF"/>
    <w:rsid w:val="00C822AE"/>
    <w:rsid w:val="00C82F0E"/>
    <w:rsid w:val="00C83603"/>
    <w:rsid w:val="00C83A30"/>
    <w:rsid w:val="00C8484C"/>
    <w:rsid w:val="00C84B20"/>
    <w:rsid w:val="00C8510C"/>
    <w:rsid w:val="00C85442"/>
    <w:rsid w:val="00C86D47"/>
    <w:rsid w:val="00C87604"/>
    <w:rsid w:val="00C9170C"/>
    <w:rsid w:val="00C9270A"/>
    <w:rsid w:val="00C9372B"/>
    <w:rsid w:val="00C93B5A"/>
    <w:rsid w:val="00C9400D"/>
    <w:rsid w:val="00C9540B"/>
    <w:rsid w:val="00C963D5"/>
    <w:rsid w:val="00CA0130"/>
    <w:rsid w:val="00CA06AC"/>
    <w:rsid w:val="00CA0825"/>
    <w:rsid w:val="00CA0BB3"/>
    <w:rsid w:val="00CA1312"/>
    <w:rsid w:val="00CA1C17"/>
    <w:rsid w:val="00CA3862"/>
    <w:rsid w:val="00CA3BDA"/>
    <w:rsid w:val="00CA4E89"/>
    <w:rsid w:val="00CA5E51"/>
    <w:rsid w:val="00CA5EA1"/>
    <w:rsid w:val="00CA6C2E"/>
    <w:rsid w:val="00CA70E3"/>
    <w:rsid w:val="00CB01FA"/>
    <w:rsid w:val="00CB17F5"/>
    <w:rsid w:val="00CB1A35"/>
    <w:rsid w:val="00CB1D65"/>
    <w:rsid w:val="00CB3695"/>
    <w:rsid w:val="00CB564D"/>
    <w:rsid w:val="00CB6F83"/>
    <w:rsid w:val="00CC0AE8"/>
    <w:rsid w:val="00CC3642"/>
    <w:rsid w:val="00CC42A4"/>
    <w:rsid w:val="00CC4477"/>
    <w:rsid w:val="00CC500F"/>
    <w:rsid w:val="00CC5AF4"/>
    <w:rsid w:val="00CC5DC2"/>
    <w:rsid w:val="00CC6125"/>
    <w:rsid w:val="00CC75BA"/>
    <w:rsid w:val="00CC77CF"/>
    <w:rsid w:val="00CC7DB4"/>
    <w:rsid w:val="00CD013B"/>
    <w:rsid w:val="00CD0594"/>
    <w:rsid w:val="00CD23BD"/>
    <w:rsid w:val="00CD2F68"/>
    <w:rsid w:val="00CD2F6D"/>
    <w:rsid w:val="00CD3872"/>
    <w:rsid w:val="00CD45B5"/>
    <w:rsid w:val="00CD49F3"/>
    <w:rsid w:val="00CD5550"/>
    <w:rsid w:val="00CD58D4"/>
    <w:rsid w:val="00CD5ACE"/>
    <w:rsid w:val="00CD5C4D"/>
    <w:rsid w:val="00CD5E07"/>
    <w:rsid w:val="00CD6507"/>
    <w:rsid w:val="00CE106B"/>
    <w:rsid w:val="00CE10A3"/>
    <w:rsid w:val="00CE203A"/>
    <w:rsid w:val="00CE2937"/>
    <w:rsid w:val="00CE2B48"/>
    <w:rsid w:val="00CE2F06"/>
    <w:rsid w:val="00CE302A"/>
    <w:rsid w:val="00CE46A5"/>
    <w:rsid w:val="00CE48AE"/>
    <w:rsid w:val="00CE5BC1"/>
    <w:rsid w:val="00CE62C3"/>
    <w:rsid w:val="00CE7FD9"/>
    <w:rsid w:val="00CF0603"/>
    <w:rsid w:val="00CF0F05"/>
    <w:rsid w:val="00CF1A9A"/>
    <w:rsid w:val="00CF2660"/>
    <w:rsid w:val="00CF3C02"/>
    <w:rsid w:val="00CF430B"/>
    <w:rsid w:val="00CF52B5"/>
    <w:rsid w:val="00CF56A3"/>
    <w:rsid w:val="00CF571C"/>
    <w:rsid w:val="00CF68A1"/>
    <w:rsid w:val="00D01DAB"/>
    <w:rsid w:val="00D01E64"/>
    <w:rsid w:val="00D02FAC"/>
    <w:rsid w:val="00D03613"/>
    <w:rsid w:val="00D047B1"/>
    <w:rsid w:val="00D053FF"/>
    <w:rsid w:val="00D054E7"/>
    <w:rsid w:val="00D05A22"/>
    <w:rsid w:val="00D0616E"/>
    <w:rsid w:val="00D0704B"/>
    <w:rsid w:val="00D1036E"/>
    <w:rsid w:val="00D10FF1"/>
    <w:rsid w:val="00D11BD1"/>
    <w:rsid w:val="00D12321"/>
    <w:rsid w:val="00D123B1"/>
    <w:rsid w:val="00D12E43"/>
    <w:rsid w:val="00D136CB"/>
    <w:rsid w:val="00D13AB2"/>
    <w:rsid w:val="00D1415E"/>
    <w:rsid w:val="00D15225"/>
    <w:rsid w:val="00D1554F"/>
    <w:rsid w:val="00D16881"/>
    <w:rsid w:val="00D17292"/>
    <w:rsid w:val="00D1735C"/>
    <w:rsid w:val="00D17C03"/>
    <w:rsid w:val="00D208AF"/>
    <w:rsid w:val="00D20D25"/>
    <w:rsid w:val="00D211CF"/>
    <w:rsid w:val="00D213B6"/>
    <w:rsid w:val="00D21469"/>
    <w:rsid w:val="00D222F7"/>
    <w:rsid w:val="00D227BF"/>
    <w:rsid w:val="00D22981"/>
    <w:rsid w:val="00D23113"/>
    <w:rsid w:val="00D2317D"/>
    <w:rsid w:val="00D232A7"/>
    <w:rsid w:val="00D23667"/>
    <w:rsid w:val="00D23EE0"/>
    <w:rsid w:val="00D242FA"/>
    <w:rsid w:val="00D24CDE"/>
    <w:rsid w:val="00D258BD"/>
    <w:rsid w:val="00D258D3"/>
    <w:rsid w:val="00D2610C"/>
    <w:rsid w:val="00D2651B"/>
    <w:rsid w:val="00D265AD"/>
    <w:rsid w:val="00D2774F"/>
    <w:rsid w:val="00D3110E"/>
    <w:rsid w:val="00D3124B"/>
    <w:rsid w:val="00D31681"/>
    <w:rsid w:val="00D33747"/>
    <w:rsid w:val="00D3384A"/>
    <w:rsid w:val="00D34281"/>
    <w:rsid w:val="00D37CB9"/>
    <w:rsid w:val="00D37F7F"/>
    <w:rsid w:val="00D42108"/>
    <w:rsid w:val="00D427B0"/>
    <w:rsid w:val="00D42CF3"/>
    <w:rsid w:val="00D43765"/>
    <w:rsid w:val="00D44265"/>
    <w:rsid w:val="00D44DD2"/>
    <w:rsid w:val="00D44DE7"/>
    <w:rsid w:val="00D45322"/>
    <w:rsid w:val="00D45DAC"/>
    <w:rsid w:val="00D46099"/>
    <w:rsid w:val="00D47307"/>
    <w:rsid w:val="00D47D0D"/>
    <w:rsid w:val="00D512FC"/>
    <w:rsid w:val="00D5134A"/>
    <w:rsid w:val="00D51E46"/>
    <w:rsid w:val="00D54700"/>
    <w:rsid w:val="00D54F05"/>
    <w:rsid w:val="00D54F9A"/>
    <w:rsid w:val="00D55560"/>
    <w:rsid w:val="00D56B9C"/>
    <w:rsid w:val="00D5706B"/>
    <w:rsid w:val="00D570F3"/>
    <w:rsid w:val="00D57767"/>
    <w:rsid w:val="00D57CBC"/>
    <w:rsid w:val="00D57D8A"/>
    <w:rsid w:val="00D61C55"/>
    <w:rsid w:val="00D61D0A"/>
    <w:rsid w:val="00D62DA6"/>
    <w:rsid w:val="00D63374"/>
    <w:rsid w:val="00D639DB"/>
    <w:rsid w:val="00D648FA"/>
    <w:rsid w:val="00D655DF"/>
    <w:rsid w:val="00D66275"/>
    <w:rsid w:val="00D709B6"/>
    <w:rsid w:val="00D71260"/>
    <w:rsid w:val="00D713E9"/>
    <w:rsid w:val="00D71A3B"/>
    <w:rsid w:val="00D71EE4"/>
    <w:rsid w:val="00D71FAA"/>
    <w:rsid w:val="00D733E3"/>
    <w:rsid w:val="00D75390"/>
    <w:rsid w:val="00D75838"/>
    <w:rsid w:val="00D75DEA"/>
    <w:rsid w:val="00D76A0F"/>
    <w:rsid w:val="00D76C9A"/>
    <w:rsid w:val="00D76DC0"/>
    <w:rsid w:val="00D77103"/>
    <w:rsid w:val="00D779C0"/>
    <w:rsid w:val="00D77A42"/>
    <w:rsid w:val="00D80404"/>
    <w:rsid w:val="00D8042F"/>
    <w:rsid w:val="00D80EE4"/>
    <w:rsid w:val="00D81286"/>
    <w:rsid w:val="00D8245A"/>
    <w:rsid w:val="00D82C9A"/>
    <w:rsid w:val="00D8470B"/>
    <w:rsid w:val="00D84859"/>
    <w:rsid w:val="00D85533"/>
    <w:rsid w:val="00D85820"/>
    <w:rsid w:val="00D85BEE"/>
    <w:rsid w:val="00D86828"/>
    <w:rsid w:val="00D86944"/>
    <w:rsid w:val="00D87A20"/>
    <w:rsid w:val="00D9052E"/>
    <w:rsid w:val="00D909A7"/>
    <w:rsid w:val="00D90AFF"/>
    <w:rsid w:val="00D915C0"/>
    <w:rsid w:val="00D92534"/>
    <w:rsid w:val="00D93041"/>
    <w:rsid w:val="00D94E7C"/>
    <w:rsid w:val="00D956DB"/>
    <w:rsid w:val="00D97693"/>
    <w:rsid w:val="00D978EC"/>
    <w:rsid w:val="00DA00ED"/>
    <w:rsid w:val="00DA04EE"/>
    <w:rsid w:val="00DA0CA9"/>
    <w:rsid w:val="00DA0E0F"/>
    <w:rsid w:val="00DA130D"/>
    <w:rsid w:val="00DA1486"/>
    <w:rsid w:val="00DA2098"/>
    <w:rsid w:val="00DA32F4"/>
    <w:rsid w:val="00DA490B"/>
    <w:rsid w:val="00DA5856"/>
    <w:rsid w:val="00DA5C40"/>
    <w:rsid w:val="00DA612A"/>
    <w:rsid w:val="00DA61D1"/>
    <w:rsid w:val="00DA6A1F"/>
    <w:rsid w:val="00DA6FF1"/>
    <w:rsid w:val="00DB0F57"/>
    <w:rsid w:val="00DB125A"/>
    <w:rsid w:val="00DB1398"/>
    <w:rsid w:val="00DB2141"/>
    <w:rsid w:val="00DB3194"/>
    <w:rsid w:val="00DB40D0"/>
    <w:rsid w:val="00DB52FE"/>
    <w:rsid w:val="00DB5A92"/>
    <w:rsid w:val="00DB5FA1"/>
    <w:rsid w:val="00DB69ED"/>
    <w:rsid w:val="00DC0416"/>
    <w:rsid w:val="00DC05B2"/>
    <w:rsid w:val="00DC101C"/>
    <w:rsid w:val="00DC24A1"/>
    <w:rsid w:val="00DC6629"/>
    <w:rsid w:val="00DC746B"/>
    <w:rsid w:val="00DC77FE"/>
    <w:rsid w:val="00DD2061"/>
    <w:rsid w:val="00DD2239"/>
    <w:rsid w:val="00DD2CC9"/>
    <w:rsid w:val="00DD3BE2"/>
    <w:rsid w:val="00DD3DDE"/>
    <w:rsid w:val="00DD43BE"/>
    <w:rsid w:val="00DD4B4B"/>
    <w:rsid w:val="00DD544F"/>
    <w:rsid w:val="00DD668B"/>
    <w:rsid w:val="00DD7190"/>
    <w:rsid w:val="00DD780D"/>
    <w:rsid w:val="00DD7E1E"/>
    <w:rsid w:val="00DE19BC"/>
    <w:rsid w:val="00DE2ABF"/>
    <w:rsid w:val="00DE4694"/>
    <w:rsid w:val="00DE5507"/>
    <w:rsid w:val="00DE56DE"/>
    <w:rsid w:val="00DE57F5"/>
    <w:rsid w:val="00DE5E78"/>
    <w:rsid w:val="00DE6516"/>
    <w:rsid w:val="00DE6F33"/>
    <w:rsid w:val="00DE76A8"/>
    <w:rsid w:val="00DE79D1"/>
    <w:rsid w:val="00DF1F8E"/>
    <w:rsid w:val="00DF201E"/>
    <w:rsid w:val="00DF2235"/>
    <w:rsid w:val="00DF28A8"/>
    <w:rsid w:val="00DF30E8"/>
    <w:rsid w:val="00DF3840"/>
    <w:rsid w:val="00DF3EB3"/>
    <w:rsid w:val="00DF5275"/>
    <w:rsid w:val="00DF5AFF"/>
    <w:rsid w:val="00DF5BE7"/>
    <w:rsid w:val="00DF7097"/>
    <w:rsid w:val="00DF7ADA"/>
    <w:rsid w:val="00E0028B"/>
    <w:rsid w:val="00E00BFB"/>
    <w:rsid w:val="00E01157"/>
    <w:rsid w:val="00E02BD5"/>
    <w:rsid w:val="00E02D86"/>
    <w:rsid w:val="00E045A4"/>
    <w:rsid w:val="00E04BFC"/>
    <w:rsid w:val="00E04F76"/>
    <w:rsid w:val="00E056AF"/>
    <w:rsid w:val="00E05A25"/>
    <w:rsid w:val="00E05AEB"/>
    <w:rsid w:val="00E0633C"/>
    <w:rsid w:val="00E101F0"/>
    <w:rsid w:val="00E1062F"/>
    <w:rsid w:val="00E108DD"/>
    <w:rsid w:val="00E116FB"/>
    <w:rsid w:val="00E11831"/>
    <w:rsid w:val="00E11AC5"/>
    <w:rsid w:val="00E13E88"/>
    <w:rsid w:val="00E145DC"/>
    <w:rsid w:val="00E147DD"/>
    <w:rsid w:val="00E15395"/>
    <w:rsid w:val="00E15F2E"/>
    <w:rsid w:val="00E160E2"/>
    <w:rsid w:val="00E16358"/>
    <w:rsid w:val="00E16C5B"/>
    <w:rsid w:val="00E16E00"/>
    <w:rsid w:val="00E17979"/>
    <w:rsid w:val="00E1799B"/>
    <w:rsid w:val="00E17BE3"/>
    <w:rsid w:val="00E20954"/>
    <w:rsid w:val="00E20AEF"/>
    <w:rsid w:val="00E212DF"/>
    <w:rsid w:val="00E22110"/>
    <w:rsid w:val="00E22278"/>
    <w:rsid w:val="00E2282C"/>
    <w:rsid w:val="00E22A08"/>
    <w:rsid w:val="00E22E84"/>
    <w:rsid w:val="00E23589"/>
    <w:rsid w:val="00E24B19"/>
    <w:rsid w:val="00E2597D"/>
    <w:rsid w:val="00E2609D"/>
    <w:rsid w:val="00E26A61"/>
    <w:rsid w:val="00E27B1C"/>
    <w:rsid w:val="00E30ECB"/>
    <w:rsid w:val="00E33380"/>
    <w:rsid w:val="00E347CC"/>
    <w:rsid w:val="00E36AE8"/>
    <w:rsid w:val="00E36FBD"/>
    <w:rsid w:val="00E3739C"/>
    <w:rsid w:val="00E373F0"/>
    <w:rsid w:val="00E412DE"/>
    <w:rsid w:val="00E42F01"/>
    <w:rsid w:val="00E43034"/>
    <w:rsid w:val="00E43DAD"/>
    <w:rsid w:val="00E45AE9"/>
    <w:rsid w:val="00E45FCA"/>
    <w:rsid w:val="00E50280"/>
    <w:rsid w:val="00E50522"/>
    <w:rsid w:val="00E50A8F"/>
    <w:rsid w:val="00E52DB3"/>
    <w:rsid w:val="00E530AE"/>
    <w:rsid w:val="00E53D1F"/>
    <w:rsid w:val="00E5529E"/>
    <w:rsid w:val="00E5772A"/>
    <w:rsid w:val="00E579F9"/>
    <w:rsid w:val="00E603A8"/>
    <w:rsid w:val="00E6044D"/>
    <w:rsid w:val="00E614BE"/>
    <w:rsid w:val="00E61B18"/>
    <w:rsid w:val="00E61DFB"/>
    <w:rsid w:val="00E625D2"/>
    <w:rsid w:val="00E62C6B"/>
    <w:rsid w:val="00E62ED6"/>
    <w:rsid w:val="00E63885"/>
    <w:rsid w:val="00E63C9F"/>
    <w:rsid w:val="00E644A4"/>
    <w:rsid w:val="00E64590"/>
    <w:rsid w:val="00E64703"/>
    <w:rsid w:val="00E66F2F"/>
    <w:rsid w:val="00E67FBC"/>
    <w:rsid w:val="00E74011"/>
    <w:rsid w:val="00E74791"/>
    <w:rsid w:val="00E756F2"/>
    <w:rsid w:val="00E757C5"/>
    <w:rsid w:val="00E75D50"/>
    <w:rsid w:val="00E765D3"/>
    <w:rsid w:val="00E76EAB"/>
    <w:rsid w:val="00E81179"/>
    <w:rsid w:val="00E81646"/>
    <w:rsid w:val="00E82F1B"/>
    <w:rsid w:val="00E83246"/>
    <w:rsid w:val="00E83659"/>
    <w:rsid w:val="00E83D91"/>
    <w:rsid w:val="00E84048"/>
    <w:rsid w:val="00E84126"/>
    <w:rsid w:val="00E846DC"/>
    <w:rsid w:val="00E847A8"/>
    <w:rsid w:val="00E84810"/>
    <w:rsid w:val="00E84B08"/>
    <w:rsid w:val="00E85408"/>
    <w:rsid w:val="00E8553F"/>
    <w:rsid w:val="00E86623"/>
    <w:rsid w:val="00E87031"/>
    <w:rsid w:val="00E91A33"/>
    <w:rsid w:val="00E94AA2"/>
    <w:rsid w:val="00E95339"/>
    <w:rsid w:val="00E9596A"/>
    <w:rsid w:val="00E95B80"/>
    <w:rsid w:val="00E95FC3"/>
    <w:rsid w:val="00E96057"/>
    <w:rsid w:val="00E97B5E"/>
    <w:rsid w:val="00EA0050"/>
    <w:rsid w:val="00EA0EE5"/>
    <w:rsid w:val="00EA1BDB"/>
    <w:rsid w:val="00EA1CAE"/>
    <w:rsid w:val="00EA2DF6"/>
    <w:rsid w:val="00EA319D"/>
    <w:rsid w:val="00EA3469"/>
    <w:rsid w:val="00EA37B7"/>
    <w:rsid w:val="00EA3F8D"/>
    <w:rsid w:val="00EA46EF"/>
    <w:rsid w:val="00EA4750"/>
    <w:rsid w:val="00EA47FE"/>
    <w:rsid w:val="00EA4930"/>
    <w:rsid w:val="00EA6150"/>
    <w:rsid w:val="00EA656F"/>
    <w:rsid w:val="00EA724A"/>
    <w:rsid w:val="00EA79E4"/>
    <w:rsid w:val="00EA7FBD"/>
    <w:rsid w:val="00EB155A"/>
    <w:rsid w:val="00EB1798"/>
    <w:rsid w:val="00EB250D"/>
    <w:rsid w:val="00EB25D9"/>
    <w:rsid w:val="00EB2B0A"/>
    <w:rsid w:val="00EB2CD2"/>
    <w:rsid w:val="00EB3142"/>
    <w:rsid w:val="00EB32AB"/>
    <w:rsid w:val="00EB4DC9"/>
    <w:rsid w:val="00EB5EE4"/>
    <w:rsid w:val="00EB700F"/>
    <w:rsid w:val="00EB7024"/>
    <w:rsid w:val="00EB7877"/>
    <w:rsid w:val="00EB7BF3"/>
    <w:rsid w:val="00EC0A3D"/>
    <w:rsid w:val="00EC0ABB"/>
    <w:rsid w:val="00EC0E0D"/>
    <w:rsid w:val="00EC15B6"/>
    <w:rsid w:val="00EC1A72"/>
    <w:rsid w:val="00EC32AD"/>
    <w:rsid w:val="00EC3D94"/>
    <w:rsid w:val="00EC3DD6"/>
    <w:rsid w:val="00EC502C"/>
    <w:rsid w:val="00EC57DF"/>
    <w:rsid w:val="00EC625A"/>
    <w:rsid w:val="00EC6FF6"/>
    <w:rsid w:val="00EC72E9"/>
    <w:rsid w:val="00EC734B"/>
    <w:rsid w:val="00EC7780"/>
    <w:rsid w:val="00EC7817"/>
    <w:rsid w:val="00EC7A30"/>
    <w:rsid w:val="00ED0197"/>
    <w:rsid w:val="00ED041A"/>
    <w:rsid w:val="00ED045E"/>
    <w:rsid w:val="00ED0C60"/>
    <w:rsid w:val="00ED141A"/>
    <w:rsid w:val="00ED1E2C"/>
    <w:rsid w:val="00ED1E2F"/>
    <w:rsid w:val="00ED2607"/>
    <w:rsid w:val="00ED2DEB"/>
    <w:rsid w:val="00ED3206"/>
    <w:rsid w:val="00ED347A"/>
    <w:rsid w:val="00ED4086"/>
    <w:rsid w:val="00ED64C4"/>
    <w:rsid w:val="00ED66DE"/>
    <w:rsid w:val="00ED7387"/>
    <w:rsid w:val="00ED73BA"/>
    <w:rsid w:val="00ED7C88"/>
    <w:rsid w:val="00EE0BAA"/>
    <w:rsid w:val="00EE112F"/>
    <w:rsid w:val="00EE19C8"/>
    <w:rsid w:val="00EE3D68"/>
    <w:rsid w:val="00EE4115"/>
    <w:rsid w:val="00EE4BFF"/>
    <w:rsid w:val="00EE62B4"/>
    <w:rsid w:val="00EF00C6"/>
    <w:rsid w:val="00EF1F54"/>
    <w:rsid w:val="00EF5760"/>
    <w:rsid w:val="00EF763E"/>
    <w:rsid w:val="00EF76DB"/>
    <w:rsid w:val="00EF773E"/>
    <w:rsid w:val="00F00B05"/>
    <w:rsid w:val="00F00D85"/>
    <w:rsid w:val="00F01073"/>
    <w:rsid w:val="00F021EB"/>
    <w:rsid w:val="00F0285D"/>
    <w:rsid w:val="00F029A0"/>
    <w:rsid w:val="00F02F4C"/>
    <w:rsid w:val="00F0321B"/>
    <w:rsid w:val="00F04214"/>
    <w:rsid w:val="00F049DA"/>
    <w:rsid w:val="00F051A3"/>
    <w:rsid w:val="00F054F6"/>
    <w:rsid w:val="00F05706"/>
    <w:rsid w:val="00F05D89"/>
    <w:rsid w:val="00F05DEF"/>
    <w:rsid w:val="00F06430"/>
    <w:rsid w:val="00F06592"/>
    <w:rsid w:val="00F074DC"/>
    <w:rsid w:val="00F12262"/>
    <w:rsid w:val="00F1246A"/>
    <w:rsid w:val="00F12C2A"/>
    <w:rsid w:val="00F138DF"/>
    <w:rsid w:val="00F14B0D"/>
    <w:rsid w:val="00F15324"/>
    <w:rsid w:val="00F15725"/>
    <w:rsid w:val="00F1586C"/>
    <w:rsid w:val="00F158E1"/>
    <w:rsid w:val="00F16555"/>
    <w:rsid w:val="00F17231"/>
    <w:rsid w:val="00F20795"/>
    <w:rsid w:val="00F20D99"/>
    <w:rsid w:val="00F20E10"/>
    <w:rsid w:val="00F213E3"/>
    <w:rsid w:val="00F2194A"/>
    <w:rsid w:val="00F21B7A"/>
    <w:rsid w:val="00F2294F"/>
    <w:rsid w:val="00F22EAE"/>
    <w:rsid w:val="00F2318E"/>
    <w:rsid w:val="00F231D7"/>
    <w:rsid w:val="00F232BE"/>
    <w:rsid w:val="00F2376E"/>
    <w:rsid w:val="00F23B90"/>
    <w:rsid w:val="00F23C41"/>
    <w:rsid w:val="00F23C6A"/>
    <w:rsid w:val="00F2414B"/>
    <w:rsid w:val="00F24C71"/>
    <w:rsid w:val="00F25AE7"/>
    <w:rsid w:val="00F26189"/>
    <w:rsid w:val="00F26A70"/>
    <w:rsid w:val="00F26AEE"/>
    <w:rsid w:val="00F26DB4"/>
    <w:rsid w:val="00F30728"/>
    <w:rsid w:val="00F30A52"/>
    <w:rsid w:val="00F30C99"/>
    <w:rsid w:val="00F3145F"/>
    <w:rsid w:val="00F31C2B"/>
    <w:rsid w:val="00F31CED"/>
    <w:rsid w:val="00F3213C"/>
    <w:rsid w:val="00F322EF"/>
    <w:rsid w:val="00F3341D"/>
    <w:rsid w:val="00F339A3"/>
    <w:rsid w:val="00F33E7C"/>
    <w:rsid w:val="00F341EF"/>
    <w:rsid w:val="00F3458D"/>
    <w:rsid w:val="00F35552"/>
    <w:rsid w:val="00F36289"/>
    <w:rsid w:val="00F370B0"/>
    <w:rsid w:val="00F37591"/>
    <w:rsid w:val="00F377C9"/>
    <w:rsid w:val="00F37914"/>
    <w:rsid w:val="00F4120D"/>
    <w:rsid w:val="00F41261"/>
    <w:rsid w:val="00F41348"/>
    <w:rsid w:val="00F414E8"/>
    <w:rsid w:val="00F41BF0"/>
    <w:rsid w:val="00F427F9"/>
    <w:rsid w:val="00F42C72"/>
    <w:rsid w:val="00F443ED"/>
    <w:rsid w:val="00F44615"/>
    <w:rsid w:val="00F44756"/>
    <w:rsid w:val="00F44DDB"/>
    <w:rsid w:val="00F44FA6"/>
    <w:rsid w:val="00F4586D"/>
    <w:rsid w:val="00F45E02"/>
    <w:rsid w:val="00F477ED"/>
    <w:rsid w:val="00F5017A"/>
    <w:rsid w:val="00F51191"/>
    <w:rsid w:val="00F51290"/>
    <w:rsid w:val="00F51688"/>
    <w:rsid w:val="00F51955"/>
    <w:rsid w:val="00F51C74"/>
    <w:rsid w:val="00F5370F"/>
    <w:rsid w:val="00F55459"/>
    <w:rsid w:val="00F55701"/>
    <w:rsid w:val="00F564DC"/>
    <w:rsid w:val="00F56ED9"/>
    <w:rsid w:val="00F60138"/>
    <w:rsid w:val="00F607AB"/>
    <w:rsid w:val="00F60B5C"/>
    <w:rsid w:val="00F60F98"/>
    <w:rsid w:val="00F65314"/>
    <w:rsid w:val="00F66523"/>
    <w:rsid w:val="00F67773"/>
    <w:rsid w:val="00F6783F"/>
    <w:rsid w:val="00F707EE"/>
    <w:rsid w:val="00F715F1"/>
    <w:rsid w:val="00F72BF5"/>
    <w:rsid w:val="00F72D39"/>
    <w:rsid w:val="00F7470A"/>
    <w:rsid w:val="00F7552B"/>
    <w:rsid w:val="00F757FF"/>
    <w:rsid w:val="00F75875"/>
    <w:rsid w:val="00F76A4F"/>
    <w:rsid w:val="00F773A5"/>
    <w:rsid w:val="00F77BB1"/>
    <w:rsid w:val="00F80601"/>
    <w:rsid w:val="00F81057"/>
    <w:rsid w:val="00F81320"/>
    <w:rsid w:val="00F8133B"/>
    <w:rsid w:val="00F81A95"/>
    <w:rsid w:val="00F8202F"/>
    <w:rsid w:val="00F84065"/>
    <w:rsid w:val="00F84CC8"/>
    <w:rsid w:val="00F85AFB"/>
    <w:rsid w:val="00F85C4E"/>
    <w:rsid w:val="00F86762"/>
    <w:rsid w:val="00F90884"/>
    <w:rsid w:val="00F91FDB"/>
    <w:rsid w:val="00F923C2"/>
    <w:rsid w:val="00F92D35"/>
    <w:rsid w:val="00F93B6E"/>
    <w:rsid w:val="00F94118"/>
    <w:rsid w:val="00F9477B"/>
    <w:rsid w:val="00F94B1B"/>
    <w:rsid w:val="00F95403"/>
    <w:rsid w:val="00F954CA"/>
    <w:rsid w:val="00F96558"/>
    <w:rsid w:val="00F978B7"/>
    <w:rsid w:val="00F97B17"/>
    <w:rsid w:val="00FA093E"/>
    <w:rsid w:val="00FA15BA"/>
    <w:rsid w:val="00FA1F2D"/>
    <w:rsid w:val="00FA2862"/>
    <w:rsid w:val="00FA30DE"/>
    <w:rsid w:val="00FA3C2D"/>
    <w:rsid w:val="00FA3F5A"/>
    <w:rsid w:val="00FA5372"/>
    <w:rsid w:val="00FA559C"/>
    <w:rsid w:val="00FA66AF"/>
    <w:rsid w:val="00FB167A"/>
    <w:rsid w:val="00FB1F3D"/>
    <w:rsid w:val="00FB4BB3"/>
    <w:rsid w:val="00FB5AAB"/>
    <w:rsid w:val="00FB624A"/>
    <w:rsid w:val="00FB62AD"/>
    <w:rsid w:val="00FB6FDD"/>
    <w:rsid w:val="00FB79EB"/>
    <w:rsid w:val="00FC0134"/>
    <w:rsid w:val="00FC0218"/>
    <w:rsid w:val="00FC0FE1"/>
    <w:rsid w:val="00FC1125"/>
    <w:rsid w:val="00FC1A55"/>
    <w:rsid w:val="00FC1E12"/>
    <w:rsid w:val="00FC3025"/>
    <w:rsid w:val="00FC4288"/>
    <w:rsid w:val="00FC517B"/>
    <w:rsid w:val="00FC532B"/>
    <w:rsid w:val="00FC53C5"/>
    <w:rsid w:val="00FC57ED"/>
    <w:rsid w:val="00FC59E3"/>
    <w:rsid w:val="00FC5FEE"/>
    <w:rsid w:val="00FD1093"/>
    <w:rsid w:val="00FD3583"/>
    <w:rsid w:val="00FD40A3"/>
    <w:rsid w:val="00FD424D"/>
    <w:rsid w:val="00FD512A"/>
    <w:rsid w:val="00FD5822"/>
    <w:rsid w:val="00FD5E8D"/>
    <w:rsid w:val="00FD6F4F"/>
    <w:rsid w:val="00FD7598"/>
    <w:rsid w:val="00FD7653"/>
    <w:rsid w:val="00FE0AD0"/>
    <w:rsid w:val="00FE1C4E"/>
    <w:rsid w:val="00FE2405"/>
    <w:rsid w:val="00FE2912"/>
    <w:rsid w:val="00FE3273"/>
    <w:rsid w:val="00FE3C70"/>
    <w:rsid w:val="00FE41AB"/>
    <w:rsid w:val="00FE4EE5"/>
    <w:rsid w:val="00FE5754"/>
    <w:rsid w:val="00FE5C15"/>
    <w:rsid w:val="00FE735F"/>
    <w:rsid w:val="00FF126F"/>
    <w:rsid w:val="00FF257B"/>
    <w:rsid w:val="00FF2882"/>
    <w:rsid w:val="00FF48DB"/>
    <w:rsid w:val="00FF5BEA"/>
    <w:rsid w:val="00FF623C"/>
    <w:rsid w:val="00FF73A6"/>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37491D"/>
  <w15:chartTrackingRefBased/>
  <w15:docId w15:val="{34EEF2EE-382B-450B-A6C2-478C4513C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6D1E"/>
    <w:pPr>
      <w:keepNext/>
      <w:keepLines/>
      <w:spacing w:before="360" w:after="80"/>
      <w:outlineLvl w:val="0"/>
    </w:pPr>
    <w:rPr>
      <w:rFonts w:asciiTheme="majorHAnsi" w:eastAsiaTheme="majorEastAsia" w:hAnsiTheme="majorHAnsi" w:cstheme="majorBidi"/>
      <w:color w:val="124F1A" w:themeColor="accent3" w:themeShade="BF"/>
      <w:sz w:val="40"/>
      <w:szCs w:val="40"/>
    </w:rPr>
  </w:style>
  <w:style w:type="paragraph" w:styleId="Heading20">
    <w:name w:val="heading 2"/>
    <w:basedOn w:val="Normal"/>
    <w:next w:val="Normal"/>
    <w:link w:val="Heading2Char"/>
    <w:uiPriority w:val="9"/>
    <w:unhideWhenUsed/>
    <w:qFormat/>
    <w:rsid w:val="00130369"/>
    <w:pPr>
      <w:keepNext/>
      <w:keepLines/>
      <w:spacing w:before="160" w:after="80"/>
      <w:outlineLvl w:val="1"/>
    </w:pPr>
    <w:rPr>
      <w:rFonts w:asciiTheme="majorHAnsi" w:eastAsiaTheme="majorEastAsia" w:hAnsiTheme="majorHAnsi" w:cstheme="majorBidi"/>
      <w:color w:val="124F1A" w:themeColor="accent3" w:themeShade="BF"/>
      <w:sz w:val="32"/>
      <w:szCs w:val="32"/>
    </w:rPr>
  </w:style>
  <w:style w:type="paragraph" w:styleId="Heading3">
    <w:name w:val="heading 3"/>
    <w:basedOn w:val="Normal"/>
    <w:next w:val="Normal"/>
    <w:link w:val="Heading3Char"/>
    <w:uiPriority w:val="9"/>
    <w:unhideWhenUsed/>
    <w:qFormat/>
    <w:rsid w:val="00130369"/>
    <w:pPr>
      <w:keepNext/>
      <w:keepLines/>
      <w:spacing w:before="160" w:after="80"/>
      <w:outlineLvl w:val="2"/>
    </w:pPr>
    <w:rPr>
      <w:rFonts w:eastAsiaTheme="majorEastAsia" w:cstheme="majorBidi"/>
      <w:color w:val="124F1A" w:themeColor="accent3" w:themeShade="BF"/>
      <w:sz w:val="28"/>
      <w:szCs w:val="28"/>
    </w:rPr>
  </w:style>
  <w:style w:type="paragraph" w:styleId="Heading4">
    <w:name w:val="heading 4"/>
    <w:basedOn w:val="Normal"/>
    <w:next w:val="Normal"/>
    <w:link w:val="Heading4Char"/>
    <w:uiPriority w:val="9"/>
    <w:unhideWhenUsed/>
    <w:qFormat/>
    <w:rsid w:val="00130369"/>
    <w:pPr>
      <w:keepNext/>
      <w:keepLines/>
      <w:spacing w:before="80" w:after="40"/>
      <w:outlineLvl w:val="3"/>
    </w:pPr>
    <w:rPr>
      <w:rFonts w:eastAsiaTheme="majorEastAsia" w:cstheme="majorBidi"/>
      <w:i/>
      <w:iCs/>
      <w:color w:val="124F1A" w:themeColor="accent3" w:themeShade="BF"/>
    </w:rPr>
  </w:style>
  <w:style w:type="paragraph" w:styleId="Heading5">
    <w:name w:val="heading 5"/>
    <w:basedOn w:val="Normal"/>
    <w:next w:val="Normal"/>
    <w:link w:val="Heading5Char"/>
    <w:uiPriority w:val="9"/>
    <w:unhideWhenUsed/>
    <w:qFormat/>
    <w:rsid w:val="00130369"/>
    <w:pPr>
      <w:keepNext/>
      <w:keepLines/>
      <w:spacing w:before="80" w:after="40"/>
      <w:outlineLvl w:val="4"/>
    </w:pPr>
    <w:rPr>
      <w:rFonts w:eastAsiaTheme="majorEastAsia" w:cstheme="majorBidi"/>
      <w:color w:val="124F1A" w:themeColor="accent3" w:themeShade="BF"/>
    </w:rPr>
  </w:style>
  <w:style w:type="paragraph" w:styleId="Heading6">
    <w:name w:val="heading 6"/>
    <w:basedOn w:val="Normal"/>
    <w:next w:val="Normal"/>
    <w:link w:val="Heading6Char"/>
    <w:uiPriority w:val="9"/>
    <w:semiHidden/>
    <w:unhideWhenUsed/>
    <w:qFormat/>
    <w:rsid w:val="00500E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0E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0E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0E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6D1E"/>
    <w:rPr>
      <w:rFonts w:asciiTheme="majorHAnsi" w:eastAsiaTheme="majorEastAsia" w:hAnsiTheme="majorHAnsi" w:cstheme="majorBidi"/>
      <w:color w:val="124F1A" w:themeColor="accent3" w:themeShade="BF"/>
      <w:sz w:val="40"/>
      <w:szCs w:val="40"/>
    </w:rPr>
  </w:style>
  <w:style w:type="character" w:customStyle="1" w:styleId="Heading2Char">
    <w:name w:val="Heading 2 Char"/>
    <w:basedOn w:val="DefaultParagraphFont"/>
    <w:link w:val="Heading20"/>
    <w:uiPriority w:val="9"/>
    <w:rsid w:val="00130369"/>
    <w:rPr>
      <w:rFonts w:asciiTheme="majorHAnsi" w:eastAsiaTheme="majorEastAsia" w:hAnsiTheme="majorHAnsi" w:cstheme="majorBidi"/>
      <w:color w:val="124F1A" w:themeColor="accent3" w:themeShade="BF"/>
      <w:sz w:val="32"/>
      <w:szCs w:val="32"/>
    </w:rPr>
  </w:style>
  <w:style w:type="character" w:customStyle="1" w:styleId="Heading3Char">
    <w:name w:val="Heading 3 Char"/>
    <w:basedOn w:val="DefaultParagraphFont"/>
    <w:link w:val="Heading3"/>
    <w:uiPriority w:val="9"/>
    <w:rsid w:val="00130369"/>
    <w:rPr>
      <w:rFonts w:eastAsiaTheme="majorEastAsia" w:cstheme="majorBidi"/>
      <w:color w:val="124F1A" w:themeColor="accent3" w:themeShade="BF"/>
      <w:sz w:val="28"/>
      <w:szCs w:val="28"/>
    </w:rPr>
  </w:style>
  <w:style w:type="character" w:customStyle="1" w:styleId="Heading4Char">
    <w:name w:val="Heading 4 Char"/>
    <w:basedOn w:val="DefaultParagraphFont"/>
    <w:link w:val="Heading4"/>
    <w:uiPriority w:val="9"/>
    <w:rsid w:val="00130369"/>
    <w:rPr>
      <w:rFonts w:eastAsiaTheme="majorEastAsia" w:cstheme="majorBidi"/>
      <w:i/>
      <w:iCs/>
      <w:color w:val="124F1A" w:themeColor="accent3" w:themeShade="BF"/>
    </w:rPr>
  </w:style>
  <w:style w:type="character" w:customStyle="1" w:styleId="Heading5Char">
    <w:name w:val="Heading 5 Char"/>
    <w:basedOn w:val="DefaultParagraphFont"/>
    <w:link w:val="Heading5"/>
    <w:uiPriority w:val="9"/>
    <w:rsid w:val="00130369"/>
    <w:rPr>
      <w:rFonts w:eastAsiaTheme="majorEastAsia" w:cstheme="majorBidi"/>
      <w:color w:val="124F1A" w:themeColor="accent3" w:themeShade="BF"/>
    </w:rPr>
  </w:style>
  <w:style w:type="character" w:customStyle="1" w:styleId="Heading6Char">
    <w:name w:val="Heading 6 Char"/>
    <w:basedOn w:val="DefaultParagraphFont"/>
    <w:link w:val="Heading6"/>
    <w:uiPriority w:val="9"/>
    <w:semiHidden/>
    <w:rsid w:val="00500E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0E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0E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0E52"/>
    <w:rPr>
      <w:rFonts w:eastAsiaTheme="majorEastAsia" w:cstheme="majorBidi"/>
      <w:color w:val="272727" w:themeColor="text1" w:themeTint="D8"/>
    </w:rPr>
  </w:style>
  <w:style w:type="paragraph" w:styleId="Title">
    <w:name w:val="Title"/>
    <w:basedOn w:val="NoSpacing"/>
    <w:next w:val="Normal"/>
    <w:link w:val="TitleChar"/>
    <w:uiPriority w:val="10"/>
    <w:qFormat/>
    <w:rsid w:val="00ED1E2C"/>
    <w:pPr>
      <w:spacing w:before="480" w:after="120" w:line="259" w:lineRule="auto"/>
    </w:pPr>
    <w:rPr>
      <w:color w:val="124F1A" w:themeColor="accent3" w:themeShade="BF"/>
      <w:sz w:val="72"/>
      <w:szCs w:val="72"/>
    </w:rPr>
  </w:style>
  <w:style w:type="character" w:customStyle="1" w:styleId="TitleChar">
    <w:name w:val="Title Char"/>
    <w:basedOn w:val="DefaultParagraphFont"/>
    <w:link w:val="Title"/>
    <w:uiPriority w:val="10"/>
    <w:rsid w:val="00ED1E2C"/>
    <w:rPr>
      <w:rFonts w:eastAsiaTheme="minorEastAsia"/>
      <w:color w:val="124F1A" w:themeColor="accent3" w:themeShade="BF"/>
      <w:kern w:val="0"/>
      <w:sz w:val="72"/>
      <w:szCs w:val="72"/>
      <w:lang w:val="en-US"/>
      <w14:ligatures w14:val="none"/>
    </w:rPr>
  </w:style>
  <w:style w:type="paragraph" w:styleId="Subtitle">
    <w:name w:val="Subtitle"/>
    <w:basedOn w:val="Normal"/>
    <w:next w:val="Normal"/>
    <w:link w:val="SubtitleChar"/>
    <w:uiPriority w:val="11"/>
    <w:qFormat/>
    <w:rsid w:val="00500E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0E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0E52"/>
    <w:pPr>
      <w:spacing w:before="160"/>
      <w:jc w:val="center"/>
    </w:pPr>
    <w:rPr>
      <w:i/>
      <w:iCs/>
      <w:color w:val="404040" w:themeColor="text1" w:themeTint="BF"/>
    </w:rPr>
  </w:style>
  <w:style w:type="character" w:customStyle="1" w:styleId="QuoteChar">
    <w:name w:val="Quote Char"/>
    <w:basedOn w:val="DefaultParagraphFont"/>
    <w:link w:val="Quote"/>
    <w:uiPriority w:val="29"/>
    <w:rsid w:val="00500E52"/>
    <w:rPr>
      <w:i/>
      <w:iCs/>
      <w:color w:val="404040" w:themeColor="text1" w:themeTint="BF"/>
    </w:rPr>
  </w:style>
  <w:style w:type="paragraph" w:styleId="ListParagraph">
    <w:name w:val="List Paragraph"/>
    <w:aliases w:val="Rec para,Dot pt,F5 List Paragraph,List Paragraph1,No Spacing1,List Paragraph Char Char Char,Indicator Text,Numbered Para 1,Colorful List - Accent 11,Bullet 1,MAIN CONTENT,List Paragraph12,List Paragraph2,Normal numbered,OBC Bullet,L,Liste"/>
    <w:basedOn w:val="Normal"/>
    <w:link w:val="ListParagraphChar"/>
    <w:uiPriority w:val="34"/>
    <w:qFormat/>
    <w:rsid w:val="00500E52"/>
    <w:pPr>
      <w:ind w:left="720"/>
      <w:contextualSpacing/>
    </w:pPr>
  </w:style>
  <w:style w:type="character" w:styleId="IntenseEmphasis">
    <w:name w:val="Intense Emphasis"/>
    <w:basedOn w:val="DefaultParagraphFont"/>
    <w:uiPriority w:val="21"/>
    <w:qFormat/>
    <w:rsid w:val="00500E52"/>
    <w:rPr>
      <w:i/>
      <w:iCs/>
      <w:color w:val="0F4761" w:themeColor="accent1" w:themeShade="BF"/>
    </w:rPr>
  </w:style>
  <w:style w:type="paragraph" w:styleId="IntenseQuote">
    <w:name w:val="Intense Quote"/>
    <w:basedOn w:val="Normal"/>
    <w:next w:val="Normal"/>
    <w:link w:val="IntenseQuoteChar"/>
    <w:uiPriority w:val="30"/>
    <w:qFormat/>
    <w:rsid w:val="00500E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0E52"/>
    <w:rPr>
      <w:i/>
      <w:iCs/>
      <w:color w:val="0F4761" w:themeColor="accent1" w:themeShade="BF"/>
    </w:rPr>
  </w:style>
  <w:style w:type="character" w:styleId="IntenseReference">
    <w:name w:val="Intense Reference"/>
    <w:basedOn w:val="DefaultParagraphFont"/>
    <w:uiPriority w:val="32"/>
    <w:qFormat/>
    <w:rsid w:val="00500E52"/>
    <w:rPr>
      <w:b/>
      <w:bCs/>
      <w:smallCaps/>
      <w:color w:val="0F4761" w:themeColor="accent1" w:themeShade="BF"/>
      <w:spacing w:val="5"/>
    </w:rPr>
  </w:style>
  <w:style w:type="paragraph" w:styleId="FootnoteText">
    <w:name w:val="footnote text"/>
    <w:aliases w:val="Char Char,Char,ft,single space,footnote text,fn,Footnote Text Char Char Char Char,FOOTNOTES,Footnote Text Char Char Char,Footnote Text Char Char,ft Char Char Char,ADB,(NECG) Footnote Text,Char Char Char Char,Footnote Text Char2,f,Geneva"/>
    <w:basedOn w:val="Normal"/>
    <w:link w:val="FootnoteTextChar"/>
    <w:uiPriority w:val="99"/>
    <w:unhideWhenUsed/>
    <w:qFormat/>
    <w:rsid w:val="00500E52"/>
    <w:pPr>
      <w:spacing w:after="0" w:line="240" w:lineRule="auto"/>
    </w:pPr>
    <w:rPr>
      <w:rFonts w:cs="Times New Roman"/>
      <w:color w:val="000000" w:themeColor="text1"/>
      <w:sz w:val="20"/>
      <w:szCs w:val="20"/>
    </w:rPr>
  </w:style>
  <w:style w:type="character" w:customStyle="1" w:styleId="FootnoteTextChar">
    <w:name w:val="Footnote Text Char"/>
    <w:aliases w:val="Char Char Char,Char Char1,ft Char,single space Char,footnote text Char,fn Char,Footnote Text Char Char Char Char Char,FOOTNOTES Char,Footnote Text Char Char Char Char1,Footnote Text Char Char Char1,ft Char Char Char Char,ADB Char"/>
    <w:basedOn w:val="DefaultParagraphFont"/>
    <w:link w:val="FootnoteText"/>
    <w:uiPriority w:val="99"/>
    <w:rsid w:val="00500E52"/>
    <w:rPr>
      <w:rFonts w:cs="Times New Roman"/>
      <w:color w:val="000000" w:themeColor="text1"/>
      <w:sz w:val="20"/>
      <w:szCs w:val="20"/>
    </w:rPr>
  </w:style>
  <w:style w:type="character" w:styleId="FootnoteReference">
    <w:name w:val="footnote reference"/>
    <w:aliases w:val="Normal + Font:9 Point,Superscript 3 Point Times,ftref,(NECG) Footnote Reference,Ref,de nota al pie,FnR-ANZDEC,Fußnotenzeichen DISS,fr,16 Point,Superscript 6 Point,Footnote Ref in FtNote,SUPERS,BVI fnr,Footnote Reference1,BVI fnr Car C"/>
    <w:basedOn w:val="DefaultParagraphFont"/>
    <w:link w:val="BVIfnr1"/>
    <w:uiPriority w:val="99"/>
    <w:unhideWhenUsed/>
    <w:qFormat/>
    <w:rsid w:val="00500E52"/>
    <w:rPr>
      <w:vertAlign w:val="superscript"/>
    </w:rPr>
  </w:style>
  <w:style w:type="character" w:styleId="Hyperlink">
    <w:name w:val="Hyperlink"/>
    <w:basedOn w:val="DefaultParagraphFont"/>
    <w:uiPriority w:val="99"/>
    <w:unhideWhenUsed/>
    <w:rsid w:val="00500E52"/>
    <w:rPr>
      <w:color w:val="467886" w:themeColor="hyperlink"/>
      <w:u w:val="single"/>
    </w:rPr>
  </w:style>
  <w:style w:type="paragraph" w:customStyle="1" w:styleId="BVIfnr1">
    <w:name w:val="BVI fnr1"/>
    <w:aliases w:val="BVI fnr Car Car1,BVI fnr Car1,BVI fnr Car Car Car Car1,BVI fnr Car Car Car Car Char Char Char1,BVI fnr Car Car Car Car Char Char,footnote number Char Char,BVI fnr Char,BVI fnr Car Car Char,BVI fnr Car Char,BVI fnr Car Car Car Car Char Char Char"/>
    <w:basedOn w:val="Normal"/>
    <w:link w:val="FootnoteReference"/>
    <w:uiPriority w:val="99"/>
    <w:rsid w:val="00500E52"/>
    <w:pPr>
      <w:spacing w:line="240" w:lineRule="exact"/>
    </w:pPr>
    <w:rPr>
      <w:vertAlign w:val="superscript"/>
    </w:rPr>
  </w:style>
  <w:style w:type="character" w:customStyle="1" w:styleId="ListParagraphChar">
    <w:name w:val="List Paragraph Char"/>
    <w:aliases w:val="Rec para Char,Dot pt Char,F5 List Paragraph Char,List Paragraph1 Char,No Spacing1 Char,List Paragraph Char Char Char Char,Indicator Text Char,Numbered Para 1 Char,Colorful List - Accent 11 Char,Bullet 1 Char,MAIN CONTENT Char,L Char"/>
    <w:basedOn w:val="DefaultParagraphFont"/>
    <w:link w:val="ListParagraph"/>
    <w:uiPriority w:val="34"/>
    <w:qFormat/>
    <w:locked/>
    <w:rsid w:val="00500E52"/>
  </w:style>
  <w:style w:type="table" w:styleId="TableGrid">
    <w:name w:val="Table Grid"/>
    <w:basedOn w:val="TableNormal"/>
    <w:uiPriority w:val="39"/>
    <w:rsid w:val="00100E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8843F0"/>
    <w:pPr>
      <w:spacing w:after="0" w:line="240" w:lineRule="auto"/>
    </w:pPr>
    <w:rPr>
      <w:rFonts w:ascii="Calibri" w:eastAsia="Times New Roman" w:hAnsi="Calibri"/>
      <w:kern w:val="0"/>
      <w:szCs w:val="21"/>
      <w14:ligatures w14:val="none"/>
    </w:rPr>
  </w:style>
  <w:style w:type="character" w:customStyle="1" w:styleId="PlainTextChar">
    <w:name w:val="Plain Text Char"/>
    <w:basedOn w:val="DefaultParagraphFont"/>
    <w:link w:val="PlainText"/>
    <w:uiPriority w:val="99"/>
    <w:rsid w:val="008843F0"/>
    <w:rPr>
      <w:rFonts w:ascii="Calibri" w:eastAsia="Times New Roman" w:hAnsi="Calibri"/>
      <w:kern w:val="0"/>
      <w:szCs w:val="21"/>
      <w14:ligatures w14:val="none"/>
    </w:rPr>
  </w:style>
  <w:style w:type="paragraph" w:customStyle="1" w:styleId="BlockQuotation">
    <w:name w:val="Block Quotation"/>
    <w:basedOn w:val="Normal"/>
    <w:autoRedefine/>
    <w:rsid w:val="009032A0"/>
    <w:pPr>
      <w:pBdr>
        <w:top w:val="single" w:sz="12" w:space="12" w:color="FFFFFF"/>
        <w:left w:val="single" w:sz="6" w:space="0" w:color="FFFFFF"/>
        <w:bottom w:val="single" w:sz="6" w:space="12" w:color="FFFFFF"/>
        <w:right w:val="single" w:sz="6" w:space="12" w:color="FFFFFF"/>
      </w:pBdr>
      <w:shd w:val="clear" w:color="548DD4" w:fill="C6D9F1"/>
      <w:tabs>
        <w:tab w:val="left" w:pos="142"/>
      </w:tabs>
      <w:spacing w:after="0" w:line="240" w:lineRule="auto"/>
      <w:ind w:left="57" w:right="238"/>
      <w:jc w:val="both"/>
    </w:pPr>
    <w:rPr>
      <w:rFonts w:ascii="Calibri Bold" w:eastAsia="Times New Roman" w:hAnsi="Calibri Bold" w:cs="Times New Roman"/>
      <w:spacing w:val="-5"/>
      <w:kern w:val="0"/>
      <w:sz w:val="20"/>
      <w:szCs w:val="20"/>
      <w:lang w:val="en-GB"/>
      <w14:ligatures w14:val="none"/>
    </w:rPr>
  </w:style>
  <w:style w:type="paragraph" w:customStyle="1" w:styleId="Recommendation">
    <w:name w:val="Recommendation"/>
    <w:basedOn w:val="BlockQuotation"/>
    <w:autoRedefine/>
    <w:rsid w:val="009032A0"/>
    <w:pPr>
      <w:spacing w:before="120"/>
      <w:ind w:left="0"/>
    </w:pPr>
    <w:rPr>
      <w:rFonts w:ascii="Calibri" w:hAnsi="Calibri"/>
    </w:rPr>
  </w:style>
  <w:style w:type="paragraph" w:customStyle="1" w:styleId="Heading2">
    <w:name w:val="Heading2"/>
    <w:basedOn w:val="Normal"/>
    <w:rsid w:val="006E120D"/>
    <w:pPr>
      <w:numPr>
        <w:numId w:val="4"/>
      </w:numPr>
      <w:pBdr>
        <w:bottom w:val="single" w:sz="8" w:space="1" w:color="17365D"/>
      </w:pBdr>
      <w:spacing w:after="120" w:line="240" w:lineRule="auto"/>
    </w:pPr>
    <w:rPr>
      <w:rFonts w:ascii="Cambria" w:eastAsia="Times New Roman" w:hAnsi="Cambria" w:cs="Times New Roman"/>
      <w:b/>
      <w:caps/>
      <w:color w:val="17365D"/>
      <w:kern w:val="0"/>
      <w:sz w:val="32"/>
      <w:szCs w:val="24"/>
      <w14:ligatures w14:val="none"/>
    </w:rPr>
  </w:style>
  <w:style w:type="paragraph" w:styleId="TOC1">
    <w:name w:val="toc 1"/>
    <w:basedOn w:val="Normal"/>
    <w:next w:val="Normal"/>
    <w:autoRedefine/>
    <w:uiPriority w:val="39"/>
    <w:rsid w:val="006E120D"/>
    <w:pPr>
      <w:spacing w:after="0" w:line="240" w:lineRule="auto"/>
    </w:pPr>
    <w:rPr>
      <w:rFonts w:ascii="Arial" w:eastAsia="Times New Roman" w:hAnsi="Arial" w:cs="Times New Roman"/>
      <w:kern w:val="0"/>
      <w:sz w:val="24"/>
      <w:szCs w:val="24"/>
      <w14:ligatures w14:val="none"/>
    </w:rPr>
  </w:style>
  <w:style w:type="paragraph" w:styleId="NoSpacing">
    <w:name w:val="No Spacing"/>
    <w:link w:val="NoSpacingChar"/>
    <w:uiPriority w:val="1"/>
    <w:qFormat/>
    <w:rsid w:val="00B049AA"/>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B049AA"/>
    <w:rPr>
      <w:rFonts w:eastAsiaTheme="minorEastAsia"/>
      <w:kern w:val="0"/>
      <w:lang w:val="en-US"/>
      <w14:ligatures w14:val="none"/>
    </w:rPr>
  </w:style>
  <w:style w:type="paragraph" w:customStyle="1" w:styleId="Bodytxt">
    <w:name w:val="Bodytxt"/>
    <w:basedOn w:val="Normal"/>
    <w:link w:val="BodytxtChar"/>
    <w:rsid w:val="003E1E06"/>
    <w:pPr>
      <w:spacing w:after="120" w:line="240" w:lineRule="auto"/>
      <w:ind w:left="720"/>
      <w:jc w:val="both"/>
    </w:pPr>
    <w:rPr>
      <w:rFonts w:ascii="Calibri" w:eastAsia="Times New Roman" w:hAnsi="Calibri" w:cs="Times New Roman"/>
      <w:kern w:val="0"/>
      <w:szCs w:val="24"/>
      <w14:ligatures w14:val="none"/>
    </w:rPr>
  </w:style>
  <w:style w:type="character" w:customStyle="1" w:styleId="BodytxtChar">
    <w:name w:val="Bodytxt Char"/>
    <w:link w:val="Bodytxt"/>
    <w:rsid w:val="003E1E06"/>
    <w:rPr>
      <w:rFonts w:ascii="Calibri" w:eastAsia="Times New Roman" w:hAnsi="Calibri" w:cs="Times New Roman"/>
      <w:kern w:val="0"/>
      <w:szCs w:val="24"/>
      <w14:ligatures w14:val="none"/>
    </w:rPr>
  </w:style>
  <w:style w:type="paragraph" w:customStyle="1" w:styleId="ProjectName">
    <w:name w:val="Project Name"/>
    <w:basedOn w:val="Normal"/>
    <w:rsid w:val="003E1E06"/>
    <w:pPr>
      <w:spacing w:before="120" w:after="120" w:line="240" w:lineRule="auto"/>
      <w:jc w:val="center"/>
    </w:pPr>
    <w:rPr>
      <w:rFonts w:ascii="Arial" w:eastAsia="Times New Roman" w:hAnsi="Arial" w:cs="Arial"/>
      <w:kern w:val="0"/>
      <w:sz w:val="24"/>
      <w:szCs w:val="24"/>
      <w14:ligatures w14:val="none"/>
    </w:rPr>
  </w:style>
  <w:style w:type="paragraph" w:customStyle="1" w:styleId="Version">
    <w:name w:val="Version#"/>
    <w:basedOn w:val="Normal"/>
    <w:link w:val="VersionChar"/>
    <w:rsid w:val="003E1E06"/>
    <w:pPr>
      <w:spacing w:before="120" w:after="120" w:line="240" w:lineRule="auto"/>
      <w:jc w:val="center"/>
    </w:pPr>
    <w:rPr>
      <w:rFonts w:ascii="Arial" w:eastAsia="Times New Roman" w:hAnsi="Arial" w:cs="Arial"/>
      <w:kern w:val="0"/>
      <w:sz w:val="24"/>
      <w:szCs w:val="24"/>
      <w14:ligatures w14:val="none"/>
    </w:rPr>
  </w:style>
  <w:style w:type="character" w:customStyle="1" w:styleId="VersionChar">
    <w:name w:val="Version# Char"/>
    <w:link w:val="Version"/>
    <w:rsid w:val="003E1E06"/>
    <w:rPr>
      <w:rFonts w:ascii="Arial" w:eastAsia="Times New Roman" w:hAnsi="Arial" w:cs="Arial"/>
      <w:kern w:val="0"/>
      <w:sz w:val="24"/>
      <w:szCs w:val="24"/>
      <w14:ligatures w14:val="none"/>
    </w:rPr>
  </w:style>
  <w:style w:type="paragraph" w:customStyle="1" w:styleId="Clientname">
    <w:name w:val="Client name"/>
    <w:basedOn w:val="Normal"/>
    <w:rsid w:val="003E1E06"/>
    <w:pPr>
      <w:spacing w:before="120" w:after="120" w:line="240" w:lineRule="auto"/>
      <w:jc w:val="center"/>
    </w:pPr>
    <w:rPr>
      <w:rFonts w:ascii="Arial" w:eastAsia="Times New Roman" w:hAnsi="Arial" w:cs="Arial"/>
      <w:kern w:val="0"/>
      <w:sz w:val="24"/>
      <w:szCs w:val="24"/>
      <w14:ligatures w14:val="none"/>
    </w:rPr>
  </w:style>
  <w:style w:type="paragraph" w:styleId="TOCHeading">
    <w:name w:val="TOC Heading"/>
    <w:basedOn w:val="Heading1"/>
    <w:next w:val="Normal"/>
    <w:uiPriority w:val="39"/>
    <w:unhideWhenUsed/>
    <w:qFormat/>
    <w:rsid w:val="0043573C"/>
    <w:pPr>
      <w:spacing w:before="240" w:after="0"/>
      <w:outlineLvl w:val="9"/>
    </w:pPr>
    <w:rPr>
      <w:kern w:val="0"/>
      <w:sz w:val="32"/>
      <w:szCs w:val="32"/>
      <w:lang w:val="en-US"/>
      <w14:ligatures w14:val="none"/>
    </w:rPr>
  </w:style>
  <w:style w:type="paragraph" w:styleId="TOC2">
    <w:name w:val="toc 2"/>
    <w:basedOn w:val="Normal"/>
    <w:next w:val="Normal"/>
    <w:autoRedefine/>
    <w:uiPriority w:val="39"/>
    <w:unhideWhenUsed/>
    <w:rsid w:val="0043573C"/>
    <w:pPr>
      <w:spacing w:after="100"/>
      <w:ind w:left="220"/>
    </w:pPr>
  </w:style>
  <w:style w:type="paragraph" w:styleId="TOC3">
    <w:name w:val="toc 3"/>
    <w:basedOn w:val="Normal"/>
    <w:next w:val="Normal"/>
    <w:autoRedefine/>
    <w:uiPriority w:val="39"/>
    <w:unhideWhenUsed/>
    <w:rsid w:val="0043573C"/>
    <w:pPr>
      <w:spacing w:after="100"/>
      <w:ind w:left="440"/>
    </w:pPr>
  </w:style>
  <w:style w:type="character" w:styleId="CommentReference">
    <w:name w:val="annotation reference"/>
    <w:basedOn w:val="DefaultParagraphFont"/>
    <w:uiPriority w:val="99"/>
    <w:semiHidden/>
    <w:unhideWhenUsed/>
    <w:rsid w:val="00875320"/>
    <w:rPr>
      <w:sz w:val="16"/>
      <w:szCs w:val="16"/>
    </w:rPr>
  </w:style>
  <w:style w:type="paragraph" w:styleId="Header">
    <w:name w:val="header"/>
    <w:basedOn w:val="Normal"/>
    <w:link w:val="HeaderChar"/>
    <w:uiPriority w:val="99"/>
    <w:unhideWhenUsed/>
    <w:rsid w:val="00164C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4CF7"/>
  </w:style>
  <w:style w:type="paragraph" w:styleId="Footer">
    <w:name w:val="footer"/>
    <w:basedOn w:val="Normal"/>
    <w:link w:val="FooterChar"/>
    <w:uiPriority w:val="99"/>
    <w:unhideWhenUsed/>
    <w:rsid w:val="00164C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4CF7"/>
  </w:style>
  <w:style w:type="character" w:styleId="UnresolvedMention">
    <w:name w:val="Unresolved Mention"/>
    <w:basedOn w:val="DefaultParagraphFont"/>
    <w:uiPriority w:val="99"/>
    <w:semiHidden/>
    <w:unhideWhenUsed/>
    <w:rsid w:val="00CD5E07"/>
    <w:rPr>
      <w:color w:val="605E5C"/>
      <w:shd w:val="clear" w:color="auto" w:fill="E1DFDD"/>
    </w:rPr>
  </w:style>
  <w:style w:type="paragraph" w:styleId="Caption">
    <w:name w:val="caption"/>
    <w:basedOn w:val="Normal"/>
    <w:next w:val="Normal"/>
    <w:uiPriority w:val="35"/>
    <w:unhideWhenUsed/>
    <w:qFormat/>
    <w:rsid w:val="00610B3C"/>
    <w:pPr>
      <w:spacing w:after="200" w:line="240" w:lineRule="auto"/>
    </w:pPr>
    <w:rPr>
      <w:i/>
      <w:iCs/>
      <w:color w:val="0E2841" w:themeColor="text2"/>
      <w:sz w:val="18"/>
      <w:szCs w:val="18"/>
    </w:rPr>
  </w:style>
  <w:style w:type="paragraph" w:styleId="TableofFigures">
    <w:name w:val="table of figures"/>
    <w:basedOn w:val="Normal"/>
    <w:next w:val="Normal"/>
    <w:uiPriority w:val="99"/>
    <w:unhideWhenUsed/>
    <w:rsid w:val="00BC04D9"/>
    <w:pPr>
      <w:spacing w:after="0"/>
    </w:pPr>
  </w:style>
  <w:style w:type="paragraph" w:styleId="CommentText">
    <w:name w:val="annotation text"/>
    <w:basedOn w:val="Normal"/>
    <w:link w:val="CommentTextChar"/>
    <w:uiPriority w:val="99"/>
    <w:unhideWhenUsed/>
    <w:rsid w:val="00676D3C"/>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676D3C"/>
    <w:rPr>
      <w:kern w:val="0"/>
      <w:sz w:val="20"/>
      <w:szCs w:val="20"/>
      <w14:ligatures w14:val="none"/>
    </w:rPr>
  </w:style>
  <w:style w:type="paragraph" w:customStyle="1" w:styleId="BodyText">
    <w:name w:val="BodyText"/>
    <w:basedOn w:val="Normal"/>
    <w:qFormat/>
    <w:rsid w:val="00447398"/>
    <w:pPr>
      <w:spacing w:after="120" w:line="240" w:lineRule="auto"/>
    </w:pPr>
    <w:rPr>
      <w:kern w:val="0"/>
      <w:sz w:val="24"/>
      <w14:ligatures w14:val="none"/>
    </w:rPr>
  </w:style>
  <w:style w:type="paragraph" w:styleId="CommentSubject">
    <w:name w:val="annotation subject"/>
    <w:basedOn w:val="CommentText"/>
    <w:next w:val="CommentText"/>
    <w:link w:val="CommentSubjectChar"/>
    <w:uiPriority w:val="99"/>
    <w:semiHidden/>
    <w:unhideWhenUsed/>
    <w:rsid w:val="00200B4F"/>
    <w:rPr>
      <w:b/>
      <w:bCs/>
      <w:kern w:val="2"/>
      <w14:ligatures w14:val="standardContextual"/>
    </w:rPr>
  </w:style>
  <w:style w:type="character" w:customStyle="1" w:styleId="CommentSubjectChar">
    <w:name w:val="Comment Subject Char"/>
    <w:basedOn w:val="CommentTextChar"/>
    <w:link w:val="CommentSubject"/>
    <w:uiPriority w:val="99"/>
    <w:semiHidden/>
    <w:rsid w:val="00200B4F"/>
    <w:rPr>
      <w:b/>
      <w:bCs/>
      <w:kern w:val="0"/>
      <w:sz w:val="20"/>
      <w:szCs w:val="20"/>
      <w14:ligatures w14:val="none"/>
    </w:rPr>
  </w:style>
  <w:style w:type="paragraph" w:styleId="Revision">
    <w:name w:val="Revision"/>
    <w:hidden/>
    <w:uiPriority w:val="99"/>
    <w:semiHidden/>
    <w:rsid w:val="00AF0DAD"/>
    <w:pPr>
      <w:spacing w:after="0" w:line="240" w:lineRule="auto"/>
    </w:pPr>
  </w:style>
  <w:style w:type="paragraph" w:styleId="NormalWeb">
    <w:name w:val="Normal (Web)"/>
    <w:basedOn w:val="Normal"/>
    <w:uiPriority w:val="99"/>
    <w:semiHidden/>
    <w:unhideWhenUsed/>
    <w:rsid w:val="003533A3"/>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45647A"/>
    <w:rPr>
      <w:color w:val="96607D" w:themeColor="followedHyperlink"/>
      <w:u w:val="single"/>
    </w:rPr>
  </w:style>
  <w:style w:type="paragraph" w:customStyle="1" w:styleId="bodytext0">
    <w:name w:val="bodytext"/>
    <w:basedOn w:val="Normal"/>
    <w:rsid w:val="007F4C73"/>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cf01">
    <w:name w:val="cf01"/>
    <w:basedOn w:val="DefaultParagraphFont"/>
    <w:rsid w:val="007F4C73"/>
    <w:rPr>
      <w:rFonts w:ascii="Segoe UI" w:hAnsi="Segoe UI" w:cs="Segoe UI" w:hint="default"/>
      <w:sz w:val="18"/>
      <w:szCs w:val="18"/>
    </w:rPr>
  </w:style>
  <w:style w:type="paragraph" w:customStyle="1" w:styleId="pf0">
    <w:name w:val="pf0"/>
    <w:basedOn w:val="Normal"/>
    <w:rsid w:val="00BE40A8"/>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paragraph" w:customStyle="1" w:styleId="InvestmentSummaryBox">
    <w:name w:val="Investment Summary Box"/>
    <w:basedOn w:val="Normal"/>
    <w:qFormat/>
    <w:rsid w:val="00144878"/>
    <w:pPr>
      <w:framePr w:hSpace="180" w:wrap="around" w:vAnchor="text" w:hAnchor="margin" w:y="312"/>
      <w:spacing w:before="120" w:after="120"/>
      <w:jc w:val="center"/>
    </w:pPr>
    <w:rPr>
      <w:rFonts w:ascii="Calibri" w:hAnsi="Calibri" w:cs="Calibri"/>
      <w:color w:val="124F1A" w:themeColor="accent3"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42046">
      <w:bodyDiv w:val="1"/>
      <w:marLeft w:val="0"/>
      <w:marRight w:val="0"/>
      <w:marTop w:val="0"/>
      <w:marBottom w:val="0"/>
      <w:divBdr>
        <w:top w:val="none" w:sz="0" w:space="0" w:color="auto"/>
        <w:left w:val="none" w:sz="0" w:space="0" w:color="auto"/>
        <w:bottom w:val="none" w:sz="0" w:space="0" w:color="auto"/>
        <w:right w:val="none" w:sz="0" w:space="0" w:color="auto"/>
      </w:divBdr>
    </w:div>
    <w:div w:id="397821960">
      <w:bodyDiv w:val="1"/>
      <w:marLeft w:val="0"/>
      <w:marRight w:val="0"/>
      <w:marTop w:val="0"/>
      <w:marBottom w:val="0"/>
      <w:divBdr>
        <w:top w:val="none" w:sz="0" w:space="0" w:color="auto"/>
        <w:left w:val="none" w:sz="0" w:space="0" w:color="auto"/>
        <w:bottom w:val="none" w:sz="0" w:space="0" w:color="auto"/>
        <w:right w:val="none" w:sz="0" w:space="0" w:color="auto"/>
      </w:divBdr>
    </w:div>
    <w:div w:id="687026043">
      <w:bodyDiv w:val="1"/>
      <w:marLeft w:val="0"/>
      <w:marRight w:val="0"/>
      <w:marTop w:val="0"/>
      <w:marBottom w:val="0"/>
      <w:divBdr>
        <w:top w:val="none" w:sz="0" w:space="0" w:color="auto"/>
        <w:left w:val="none" w:sz="0" w:space="0" w:color="auto"/>
        <w:bottom w:val="none" w:sz="0" w:space="0" w:color="auto"/>
        <w:right w:val="none" w:sz="0" w:space="0" w:color="auto"/>
      </w:divBdr>
    </w:div>
    <w:div w:id="739981464">
      <w:bodyDiv w:val="1"/>
      <w:marLeft w:val="0"/>
      <w:marRight w:val="0"/>
      <w:marTop w:val="0"/>
      <w:marBottom w:val="0"/>
      <w:divBdr>
        <w:top w:val="none" w:sz="0" w:space="0" w:color="auto"/>
        <w:left w:val="none" w:sz="0" w:space="0" w:color="auto"/>
        <w:bottom w:val="none" w:sz="0" w:space="0" w:color="auto"/>
        <w:right w:val="none" w:sz="0" w:space="0" w:color="auto"/>
      </w:divBdr>
    </w:div>
    <w:div w:id="973633205">
      <w:bodyDiv w:val="1"/>
      <w:marLeft w:val="0"/>
      <w:marRight w:val="0"/>
      <w:marTop w:val="0"/>
      <w:marBottom w:val="0"/>
      <w:divBdr>
        <w:top w:val="none" w:sz="0" w:space="0" w:color="auto"/>
        <w:left w:val="none" w:sz="0" w:space="0" w:color="auto"/>
        <w:bottom w:val="none" w:sz="0" w:space="0" w:color="auto"/>
        <w:right w:val="none" w:sz="0" w:space="0" w:color="auto"/>
      </w:divBdr>
      <w:divsChild>
        <w:div w:id="1661301523">
          <w:marLeft w:val="0"/>
          <w:marRight w:val="0"/>
          <w:marTop w:val="0"/>
          <w:marBottom w:val="0"/>
          <w:divBdr>
            <w:top w:val="none" w:sz="0" w:space="0" w:color="auto"/>
            <w:left w:val="none" w:sz="0" w:space="0" w:color="auto"/>
            <w:bottom w:val="none" w:sz="0" w:space="0" w:color="auto"/>
            <w:right w:val="none" w:sz="0" w:space="0" w:color="auto"/>
          </w:divBdr>
          <w:divsChild>
            <w:div w:id="1270623645">
              <w:marLeft w:val="0"/>
              <w:marRight w:val="0"/>
              <w:marTop w:val="0"/>
              <w:marBottom w:val="0"/>
              <w:divBdr>
                <w:top w:val="none" w:sz="0" w:space="0" w:color="auto"/>
                <w:left w:val="none" w:sz="0" w:space="0" w:color="auto"/>
                <w:bottom w:val="none" w:sz="0" w:space="0" w:color="auto"/>
                <w:right w:val="none" w:sz="0" w:space="0" w:color="auto"/>
              </w:divBdr>
              <w:divsChild>
                <w:div w:id="1521046819">
                  <w:marLeft w:val="0"/>
                  <w:marRight w:val="0"/>
                  <w:marTop w:val="0"/>
                  <w:marBottom w:val="0"/>
                  <w:divBdr>
                    <w:top w:val="none" w:sz="0" w:space="0" w:color="auto"/>
                    <w:left w:val="none" w:sz="0" w:space="0" w:color="auto"/>
                    <w:bottom w:val="none" w:sz="0" w:space="0" w:color="auto"/>
                    <w:right w:val="none" w:sz="0" w:space="0" w:color="auto"/>
                  </w:divBdr>
                  <w:divsChild>
                    <w:div w:id="210202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53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6.xml"/><Relationship Id="rId3" Type="http://schemas.openxmlformats.org/officeDocument/2006/relationships/numbering" Target="numbering.xml"/><Relationship Id="rId21"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yperlink" Target="https://watersensitivecities.org.au/wp-content/uploads/2021/10/name@monash.edu" TargetMode="External"/><Relationship Id="rId19" Type="http://schemas.openxmlformats.org/officeDocument/2006/relationships/footer" Target="footer7.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footer" Target="footer10.xml"/></Relationships>
</file>

<file path=word/_rels/footnotes.xml.rels><?xml version="1.0" encoding="UTF-8" standalone="yes"?>
<Relationships xmlns="http://schemas.openxmlformats.org/package/2006/relationships"><Relationship Id="rId8" Type="http://schemas.openxmlformats.org/officeDocument/2006/relationships/hyperlink" Target="https://one.oecd.org/document/DCD/DAC(2019)58/FINAL/en/pdf" TargetMode="External"/><Relationship Id="rId3" Type="http://schemas.openxmlformats.org/officeDocument/2006/relationships/hyperlink" Target="https://www.adb.org/sites/default/files/publication/185008/urban-development" TargetMode="External"/><Relationship Id="rId7" Type="http://schemas.openxmlformats.org/officeDocument/2006/relationships/hyperlink" Target="https://waterforwomen.uts.edu.au/inclusive-workplaces/" TargetMode="External"/><Relationship Id="rId2" Type="http://schemas.openxmlformats.org/officeDocument/2006/relationships/hyperlink" Target="https://www.dfat.gov.au/sites/default/files/ethical-research-evaluation-guidance-note.pdf" TargetMode="External"/><Relationship Id="rId1" Type="http://schemas.openxmlformats.org/officeDocument/2006/relationships/hyperlink" Target="https://www.dfat.gov.au/sites/default/files/dfat-design-monitoring-evaluation-learning-standards.pdf" TargetMode="External"/><Relationship Id="rId6" Type="http://schemas.openxmlformats.org/officeDocument/2006/relationships/hyperlink" Target="https://www.ideou.com/blogs/inspiration/what-is-design-thinking" TargetMode="External"/><Relationship Id="rId5" Type="http://schemas.openxmlformats.org/officeDocument/2006/relationships/hyperlink" Target="https://www.dfat.gov.au/sites/default/files/dfat-design-monitoring-evaluation-learning-standards.pdf" TargetMode="External"/><Relationship Id="rId4" Type="http://schemas.openxmlformats.org/officeDocument/2006/relationships/hyperlink" Target="https://www.unep.org/topics/nature-action/nature-based-solutions/overview-nature-based-solutions" TargetMode="External"/><Relationship Id="rId9" Type="http://schemas.openxmlformats.org/officeDocument/2006/relationships/hyperlink" Target="https://gh.bmj.com/content/10/2/e0163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Dr Paul Crawford</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4C3D0B3-33A1-4E8F-9917-B3BDA0AA8B41}">
  <ds:schemaRefs>
    <ds:schemaRef ds:uri="http://schemas.openxmlformats.org/officeDocument/2006/bibliography"/>
  </ds:schemaRefs>
</ds:datastoreItem>
</file>

<file path=docMetadata/LabelInfo.xml><?xml version="1.0" encoding="utf-8"?>
<clbl:labelList xmlns:clbl="http://schemas.microsoft.com/office/2020/mipLabelMetadata">
  <clbl:label id="{610a6645-df8a-461f-957a-aeb16698bd53}" enabled="1" method="Privileged" siteId="{9b7f23b3-0e83-47a5-8a40-ffa8a6fea536}" removed="0"/>
  <clbl:label id="{ddaa77bc-0157-46a4-82a6-8fc765694bc9}" enabled="1" method="Standard" siteId="{d1323671-cdbe-4417-b4d4-bdb24b51316b}" removed="0"/>
</clbl:labelList>
</file>

<file path=docProps/app.xml><?xml version="1.0" encoding="utf-8"?>
<Properties xmlns="http://schemas.openxmlformats.org/officeDocument/2006/extended-properties" xmlns:vt="http://schemas.openxmlformats.org/officeDocument/2006/docPropsVTypes">
  <Template>Normal.dotm</Template>
  <TotalTime>33</TotalTime>
  <Pages>63</Pages>
  <Words>23990</Words>
  <Characters>134586</Characters>
  <Application>Microsoft Office Word</Application>
  <DocSecurity>0</DocSecurity>
  <Lines>3058</Lines>
  <Paragraphs>1332</Paragraphs>
  <ScaleCrop>false</ScaleCrop>
  <HeadingPairs>
    <vt:vector size="2" baseType="variant">
      <vt:variant>
        <vt:lpstr>Title</vt:lpstr>
      </vt:variant>
      <vt:variant>
        <vt:i4>1</vt:i4>
      </vt:variant>
    </vt:vector>
  </HeadingPairs>
  <TitlesOfParts>
    <vt:vector size="1" baseType="lpstr">
      <vt:lpstr>Mid-term Review</vt:lpstr>
    </vt:vector>
  </TitlesOfParts>
  <Company/>
  <LinksUpToDate>false</LinksUpToDate>
  <CharactersWithSpaces>157244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Resilient Urban Centres and Surrounds (RUCaS) Independent End of Program Evaluation</dc:title>
  <dc:subject>June 2024</dc:subject>
  <dc:creator>FH Designs Pty Ltd</dc:creator>
  <cp:keywords/>
  <dc:description/>
  <cp:revision>4</cp:revision>
  <cp:lastPrinted>2026-08-25T09:02:00Z</cp:lastPrinted>
  <dcterms:created xsi:type="dcterms:W3CDTF">2026-08-31T03:35:00Z</dcterms:created>
  <dcterms:modified xsi:type="dcterms:W3CDTF">2026-08-31T03:48:00Z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2a8c07ce,eee2660,17007100</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329724bf,988379b,3a49253f,5af2d7ca</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ies>
</file>