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06" w:rsidRPr="00031E7B" w:rsidRDefault="00B751DC" w:rsidP="004D2003">
      <w:pPr>
        <w:pStyle w:val="Title"/>
        <w:ind w:left="2694" w:right="-624"/>
      </w:pPr>
      <w:bookmarkStart w:id="0" w:name="_GoBack"/>
      <w:bookmarkEnd w:id="0"/>
      <w:r>
        <w:t>Indonesia Infrastructure Program</w:t>
      </w:r>
      <w:r w:rsidR="00117270" w:rsidRPr="00031E7B">
        <w:t xml:space="preserve"> </w:t>
      </w:r>
      <w:r w:rsidR="00117270" w:rsidRPr="00031E7B">
        <w:rPr>
          <w:lang w:val="en-AU" w:eastAsia="en-AU"/>
        </w:rPr>
        <w:drawing>
          <wp:anchor distT="0" distB="0" distL="114300" distR="114300" simplePos="0" relativeHeight="251660288" behindDoc="1" locked="1" layoutInCell="1" allowOverlap="1" wp14:anchorId="048DEDAE" wp14:editId="53E3D173">
            <wp:simplePos x="0" y="0"/>
            <wp:positionH relativeFrom="page">
              <wp:align>left</wp:align>
            </wp:positionH>
            <wp:positionV relativeFrom="page">
              <wp:align>top</wp:align>
            </wp:positionV>
            <wp:extent cx="7558405" cy="10691495"/>
            <wp:effectExtent l="0" t="0" r="4445" b="0"/>
            <wp:wrapNone/>
            <wp:docPr id="2"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EC5">
        <w:t>(2016-26)</w:t>
      </w:r>
    </w:p>
    <w:p w:rsidR="00B90206" w:rsidRPr="00031E7B" w:rsidRDefault="00B751DC" w:rsidP="004D2003">
      <w:pPr>
        <w:pStyle w:val="Subtitle"/>
        <w:ind w:left="2694" w:right="-624"/>
      </w:pPr>
      <w:r>
        <w:t>Investment Concept (Revised)</w:t>
      </w:r>
    </w:p>
    <w:p w:rsidR="001E7A82" w:rsidRPr="001E7A82" w:rsidRDefault="00AA14FD" w:rsidP="004D2003">
      <w:pPr>
        <w:pStyle w:val="Date"/>
        <w:ind w:left="2694" w:right="-624"/>
        <w:sectPr w:rsidR="001E7A82" w:rsidRPr="001E7A82" w:rsidSect="00F04F5D">
          <w:headerReference w:type="even" r:id="rId10"/>
          <w:headerReference w:type="default" r:id="rId11"/>
          <w:footerReference w:type="even" r:id="rId12"/>
          <w:footerReference w:type="default" r:id="rId13"/>
          <w:headerReference w:type="first" r:id="rId14"/>
          <w:footerReference w:type="first" r:id="rId15"/>
          <w:pgSz w:w="11907" w:h="16840" w:code="9"/>
          <w:pgMar w:top="2381" w:right="1871" w:bottom="907" w:left="1871" w:header="851" w:footer="340" w:gutter="0"/>
          <w:cols w:space="720"/>
          <w:titlePg/>
          <w:docGrid w:linePitch="326"/>
        </w:sectPr>
      </w:pPr>
      <w:r>
        <w:t>November</w:t>
      </w:r>
      <w:r w:rsidR="00B751DC">
        <w:t xml:space="preserve"> 2015</w:t>
      </w:r>
    </w:p>
    <w:bookmarkStart w:id="1" w:name="_Toc373853205" w:displacedByCustomXml="next"/>
    <w:sdt>
      <w:sdtPr>
        <w:rPr>
          <w:rFonts w:ascii="Times New Roman" w:eastAsia="Times New Roman" w:hAnsi="Times New Roman" w:cs="Times New Roman"/>
          <w:b w:val="0"/>
          <w:bCs w:val="0"/>
          <w:color w:val="auto"/>
          <w:sz w:val="24"/>
          <w:szCs w:val="24"/>
          <w:lang w:val="en-AU" w:eastAsia="en-AU"/>
        </w:rPr>
        <w:id w:val="-1031035944"/>
        <w:docPartObj>
          <w:docPartGallery w:val="Table of Contents"/>
          <w:docPartUnique/>
        </w:docPartObj>
      </w:sdtPr>
      <w:sdtEndPr>
        <w:rPr>
          <w:noProof/>
        </w:rPr>
      </w:sdtEndPr>
      <w:sdtContent>
        <w:p w:rsidR="00DA6753" w:rsidRDefault="00DA6753">
          <w:pPr>
            <w:pStyle w:val="TOCHeading"/>
          </w:pPr>
          <w:r>
            <w:t>Contents</w:t>
          </w:r>
        </w:p>
        <w:p w:rsidR="00BB6CAE" w:rsidRDefault="00DA6753">
          <w:pPr>
            <w:pStyle w:val="TOC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3188032" w:history="1">
            <w:r w:rsidR="00BB6CAE" w:rsidRPr="008C27F4">
              <w:rPr>
                <w:rStyle w:val="Hyperlink"/>
                <w:noProof/>
              </w:rPr>
              <w:t>Cover note</w:t>
            </w:r>
            <w:r w:rsidR="00BB6CAE">
              <w:rPr>
                <w:noProof/>
                <w:webHidden/>
              </w:rPr>
              <w:tab/>
            </w:r>
            <w:r w:rsidR="00BB6CAE">
              <w:rPr>
                <w:noProof/>
                <w:webHidden/>
              </w:rPr>
              <w:fldChar w:fldCharType="begin"/>
            </w:r>
            <w:r w:rsidR="00BB6CAE">
              <w:rPr>
                <w:noProof/>
                <w:webHidden/>
              </w:rPr>
              <w:instrText xml:space="preserve"> PAGEREF _Toc433188032 \h </w:instrText>
            </w:r>
            <w:r w:rsidR="00BB6CAE">
              <w:rPr>
                <w:noProof/>
                <w:webHidden/>
              </w:rPr>
            </w:r>
            <w:r w:rsidR="00BB6CAE">
              <w:rPr>
                <w:noProof/>
                <w:webHidden/>
              </w:rPr>
              <w:fldChar w:fldCharType="separate"/>
            </w:r>
            <w:r w:rsidR="00F97C11">
              <w:rPr>
                <w:noProof/>
                <w:webHidden/>
              </w:rPr>
              <w:t>3</w:t>
            </w:r>
            <w:r w:rsidR="00BB6CAE">
              <w:rPr>
                <w:noProof/>
                <w:webHidden/>
              </w:rPr>
              <w:fldChar w:fldCharType="end"/>
            </w:r>
          </w:hyperlink>
        </w:p>
        <w:p w:rsidR="00BB6CAE" w:rsidRDefault="001658CA">
          <w:pPr>
            <w:pStyle w:val="TOC2"/>
            <w:rPr>
              <w:rFonts w:asciiTheme="minorHAnsi" w:eastAsiaTheme="minorEastAsia" w:hAnsiTheme="minorHAnsi" w:cstheme="minorBidi"/>
              <w:noProof/>
              <w:sz w:val="22"/>
              <w:szCs w:val="22"/>
            </w:rPr>
          </w:pPr>
          <w:hyperlink w:anchor="_Toc433188033" w:history="1">
            <w:r w:rsidR="00BB6CAE" w:rsidRPr="008C27F4">
              <w:rPr>
                <w:rStyle w:val="Hyperlink"/>
                <w:rFonts w:ascii="Arial" w:hAnsi="Arial"/>
                <w:noProof/>
              </w:rPr>
              <w:t>Acronyms</w:t>
            </w:r>
            <w:r w:rsidR="00BB6CAE">
              <w:rPr>
                <w:noProof/>
                <w:webHidden/>
              </w:rPr>
              <w:tab/>
            </w:r>
            <w:r w:rsidR="00BB6CAE">
              <w:rPr>
                <w:noProof/>
                <w:webHidden/>
              </w:rPr>
              <w:fldChar w:fldCharType="begin"/>
            </w:r>
            <w:r w:rsidR="00BB6CAE">
              <w:rPr>
                <w:noProof/>
                <w:webHidden/>
              </w:rPr>
              <w:instrText xml:space="preserve"> PAGEREF _Toc433188033 \h </w:instrText>
            </w:r>
            <w:r w:rsidR="00BB6CAE">
              <w:rPr>
                <w:noProof/>
                <w:webHidden/>
              </w:rPr>
            </w:r>
            <w:r w:rsidR="00BB6CAE">
              <w:rPr>
                <w:noProof/>
                <w:webHidden/>
              </w:rPr>
              <w:fldChar w:fldCharType="separate"/>
            </w:r>
            <w:r w:rsidR="00F97C11">
              <w:rPr>
                <w:noProof/>
                <w:webHidden/>
              </w:rPr>
              <w:t>4</w:t>
            </w:r>
            <w:r w:rsidR="00BB6CAE">
              <w:rPr>
                <w:noProof/>
                <w:webHidden/>
              </w:rPr>
              <w:fldChar w:fldCharType="end"/>
            </w:r>
          </w:hyperlink>
        </w:p>
        <w:p w:rsidR="00BB6CAE" w:rsidRDefault="001658CA">
          <w:pPr>
            <w:pStyle w:val="TOC1"/>
            <w:rPr>
              <w:rFonts w:asciiTheme="minorHAnsi" w:eastAsiaTheme="minorEastAsia" w:hAnsiTheme="minorHAnsi" w:cstheme="minorBidi"/>
              <w:noProof/>
              <w:color w:val="auto"/>
              <w:sz w:val="22"/>
              <w:szCs w:val="22"/>
            </w:rPr>
          </w:pPr>
          <w:hyperlink w:anchor="_Toc433188034" w:history="1">
            <w:r w:rsidR="00BB6CAE" w:rsidRPr="008C27F4">
              <w:rPr>
                <w:rStyle w:val="Hyperlink"/>
                <w:noProof/>
              </w:rPr>
              <w:t>Investment Concept</w:t>
            </w:r>
            <w:r w:rsidR="00BB6CAE">
              <w:rPr>
                <w:noProof/>
                <w:webHidden/>
              </w:rPr>
              <w:tab/>
            </w:r>
            <w:r w:rsidR="00BB6CAE">
              <w:rPr>
                <w:noProof/>
                <w:webHidden/>
              </w:rPr>
              <w:fldChar w:fldCharType="begin"/>
            </w:r>
            <w:r w:rsidR="00BB6CAE">
              <w:rPr>
                <w:noProof/>
                <w:webHidden/>
              </w:rPr>
              <w:instrText xml:space="preserve"> PAGEREF _Toc433188034 \h </w:instrText>
            </w:r>
            <w:r w:rsidR="00BB6CAE">
              <w:rPr>
                <w:noProof/>
                <w:webHidden/>
              </w:rPr>
            </w:r>
            <w:r w:rsidR="00BB6CAE">
              <w:rPr>
                <w:noProof/>
                <w:webHidden/>
              </w:rPr>
              <w:fldChar w:fldCharType="separate"/>
            </w:r>
            <w:r w:rsidR="00F97C11">
              <w:rPr>
                <w:noProof/>
                <w:webHidden/>
              </w:rPr>
              <w:t>5</w:t>
            </w:r>
            <w:r w:rsidR="00BB6CAE">
              <w:rPr>
                <w:noProof/>
                <w:webHidden/>
              </w:rPr>
              <w:fldChar w:fldCharType="end"/>
            </w:r>
          </w:hyperlink>
        </w:p>
        <w:p w:rsidR="00BB6CAE" w:rsidRDefault="001658CA">
          <w:pPr>
            <w:pStyle w:val="TOC2"/>
            <w:rPr>
              <w:rFonts w:asciiTheme="minorHAnsi" w:eastAsiaTheme="minorEastAsia" w:hAnsiTheme="minorHAnsi" w:cstheme="minorBidi"/>
              <w:noProof/>
              <w:sz w:val="22"/>
              <w:szCs w:val="22"/>
            </w:rPr>
          </w:pPr>
          <w:hyperlink w:anchor="_Toc433188035" w:history="1">
            <w:r w:rsidR="00BB6CAE" w:rsidRPr="008C27F4">
              <w:rPr>
                <w:rStyle w:val="Hyperlink"/>
                <w:noProof/>
              </w:rPr>
              <w:t>Situation analysis</w:t>
            </w:r>
            <w:r w:rsidR="00BB6CAE">
              <w:rPr>
                <w:noProof/>
                <w:webHidden/>
              </w:rPr>
              <w:tab/>
            </w:r>
            <w:r w:rsidR="00BB6CAE">
              <w:rPr>
                <w:noProof/>
                <w:webHidden/>
              </w:rPr>
              <w:fldChar w:fldCharType="begin"/>
            </w:r>
            <w:r w:rsidR="00BB6CAE">
              <w:rPr>
                <w:noProof/>
                <w:webHidden/>
              </w:rPr>
              <w:instrText xml:space="preserve"> PAGEREF _Toc433188035 \h </w:instrText>
            </w:r>
            <w:r w:rsidR="00BB6CAE">
              <w:rPr>
                <w:noProof/>
                <w:webHidden/>
              </w:rPr>
            </w:r>
            <w:r w:rsidR="00BB6CAE">
              <w:rPr>
                <w:noProof/>
                <w:webHidden/>
              </w:rPr>
              <w:fldChar w:fldCharType="separate"/>
            </w:r>
            <w:r w:rsidR="00F97C11">
              <w:rPr>
                <w:noProof/>
                <w:webHidden/>
              </w:rPr>
              <w:t>5</w:t>
            </w:r>
            <w:r w:rsidR="00BB6CAE">
              <w:rPr>
                <w:noProof/>
                <w:webHidden/>
              </w:rPr>
              <w:fldChar w:fldCharType="end"/>
            </w:r>
          </w:hyperlink>
        </w:p>
        <w:p w:rsidR="00BB6CAE" w:rsidRDefault="001658CA">
          <w:pPr>
            <w:pStyle w:val="TOC2"/>
            <w:rPr>
              <w:rFonts w:asciiTheme="minorHAnsi" w:eastAsiaTheme="minorEastAsia" w:hAnsiTheme="minorHAnsi" w:cstheme="minorBidi"/>
              <w:noProof/>
              <w:sz w:val="22"/>
              <w:szCs w:val="22"/>
            </w:rPr>
          </w:pPr>
          <w:hyperlink w:anchor="_Toc433188036" w:history="1">
            <w:r w:rsidR="00BB6CAE" w:rsidRPr="008C27F4">
              <w:rPr>
                <w:rStyle w:val="Hyperlink"/>
                <w:noProof/>
              </w:rPr>
              <w:t>Proposed outcomes and investment options</w:t>
            </w:r>
            <w:r w:rsidR="00BB6CAE">
              <w:rPr>
                <w:noProof/>
                <w:webHidden/>
              </w:rPr>
              <w:tab/>
            </w:r>
            <w:r w:rsidR="00BB6CAE">
              <w:rPr>
                <w:noProof/>
                <w:webHidden/>
              </w:rPr>
              <w:fldChar w:fldCharType="begin"/>
            </w:r>
            <w:r w:rsidR="00BB6CAE">
              <w:rPr>
                <w:noProof/>
                <w:webHidden/>
              </w:rPr>
              <w:instrText xml:space="preserve"> PAGEREF _Toc433188036 \h </w:instrText>
            </w:r>
            <w:r w:rsidR="00BB6CAE">
              <w:rPr>
                <w:noProof/>
                <w:webHidden/>
              </w:rPr>
            </w:r>
            <w:r w:rsidR="00BB6CAE">
              <w:rPr>
                <w:noProof/>
                <w:webHidden/>
              </w:rPr>
              <w:fldChar w:fldCharType="separate"/>
            </w:r>
            <w:r w:rsidR="00F97C11">
              <w:rPr>
                <w:noProof/>
                <w:webHidden/>
              </w:rPr>
              <w:t>7</w:t>
            </w:r>
            <w:r w:rsidR="00BB6CAE">
              <w:rPr>
                <w:noProof/>
                <w:webHidden/>
              </w:rPr>
              <w:fldChar w:fldCharType="end"/>
            </w:r>
          </w:hyperlink>
        </w:p>
        <w:p w:rsidR="00BB6CAE" w:rsidRDefault="001658CA">
          <w:pPr>
            <w:pStyle w:val="TOC2"/>
            <w:rPr>
              <w:rFonts w:asciiTheme="minorHAnsi" w:eastAsiaTheme="minorEastAsia" w:hAnsiTheme="minorHAnsi" w:cstheme="minorBidi"/>
              <w:noProof/>
              <w:sz w:val="22"/>
              <w:szCs w:val="22"/>
            </w:rPr>
          </w:pPr>
          <w:hyperlink w:anchor="_Toc433188037" w:history="1">
            <w:r w:rsidR="00BB6CAE" w:rsidRPr="008C27F4">
              <w:rPr>
                <w:rStyle w:val="Hyperlink"/>
                <w:noProof/>
              </w:rPr>
              <w:t>Implementation and delivery approach</w:t>
            </w:r>
            <w:r w:rsidR="00BB6CAE">
              <w:rPr>
                <w:noProof/>
                <w:webHidden/>
              </w:rPr>
              <w:tab/>
            </w:r>
            <w:r w:rsidR="00BB6CAE">
              <w:rPr>
                <w:noProof/>
                <w:webHidden/>
              </w:rPr>
              <w:fldChar w:fldCharType="begin"/>
            </w:r>
            <w:r w:rsidR="00BB6CAE">
              <w:rPr>
                <w:noProof/>
                <w:webHidden/>
              </w:rPr>
              <w:instrText xml:space="preserve"> PAGEREF _Toc433188037 \h </w:instrText>
            </w:r>
            <w:r w:rsidR="00BB6CAE">
              <w:rPr>
                <w:noProof/>
                <w:webHidden/>
              </w:rPr>
            </w:r>
            <w:r w:rsidR="00BB6CAE">
              <w:rPr>
                <w:noProof/>
                <w:webHidden/>
              </w:rPr>
              <w:fldChar w:fldCharType="separate"/>
            </w:r>
            <w:r w:rsidR="00F97C11">
              <w:rPr>
                <w:noProof/>
                <w:webHidden/>
              </w:rPr>
              <w:t>9</w:t>
            </w:r>
            <w:r w:rsidR="00BB6CAE">
              <w:rPr>
                <w:noProof/>
                <w:webHidden/>
              </w:rPr>
              <w:fldChar w:fldCharType="end"/>
            </w:r>
          </w:hyperlink>
        </w:p>
        <w:p w:rsidR="00BB6CAE" w:rsidRDefault="001658CA">
          <w:pPr>
            <w:pStyle w:val="TOC2"/>
            <w:rPr>
              <w:rFonts w:asciiTheme="minorHAnsi" w:eastAsiaTheme="minorEastAsia" w:hAnsiTheme="minorHAnsi" w:cstheme="minorBidi"/>
              <w:noProof/>
              <w:sz w:val="22"/>
              <w:szCs w:val="22"/>
            </w:rPr>
          </w:pPr>
          <w:hyperlink w:anchor="_Toc433188038" w:history="1">
            <w:r w:rsidR="00BB6CAE" w:rsidRPr="008C27F4">
              <w:rPr>
                <w:rStyle w:val="Hyperlink"/>
                <w:noProof/>
              </w:rPr>
              <w:t>Program details</w:t>
            </w:r>
            <w:r w:rsidR="00BB6CAE">
              <w:rPr>
                <w:noProof/>
                <w:webHidden/>
              </w:rPr>
              <w:tab/>
            </w:r>
            <w:r w:rsidR="00BB6CAE">
              <w:rPr>
                <w:noProof/>
                <w:webHidden/>
              </w:rPr>
              <w:fldChar w:fldCharType="begin"/>
            </w:r>
            <w:r w:rsidR="00BB6CAE">
              <w:rPr>
                <w:noProof/>
                <w:webHidden/>
              </w:rPr>
              <w:instrText xml:space="preserve"> PAGEREF _Toc433188038 \h </w:instrText>
            </w:r>
            <w:r w:rsidR="00BB6CAE">
              <w:rPr>
                <w:noProof/>
                <w:webHidden/>
              </w:rPr>
            </w:r>
            <w:r w:rsidR="00BB6CAE">
              <w:rPr>
                <w:noProof/>
                <w:webHidden/>
              </w:rPr>
              <w:fldChar w:fldCharType="separate"/>
            </w:r>
            <w:r w:rsidR="00F97C11">
              <w:rPr>
                <w:noProof/>
                <w:webHidden/>
              </w:rPr>
              <w:t>11</w:t>
            </w:r>
            <w:r w:rsidR="00BB6CAE">
              <w:rPr>
                <w:noProof/>
                <w:webHidden/>
              </w:rPr>
              <w:fldChar w:fldCharType="end"/>
            </w:r>
          </w:hyperlink>
        </w:p>
        <w:p w:rsidR="00BB6CAE" w:rsidRDefault="001658CA">
          <w:pPr>
            <w:pStyle w:val="TOC2"/>
            <w:rPr>
              <w:rFonts w:asciiTheme="minorHAnsi" w:eastAsiaTheme="minorEastAsia" w:hAnsiTheme="minorHAnsi" w:cstheme="minorBidi"/>
              <w:noProof/>
              <w:sz w:val="22"/>
              <w:szCs w:val="22"/>
            </w:rPr>
          </w:pPr>
          <w:hyperlink w:anchor="_Toc433188039" w:history="1">
            <w:r w:rsidR="00BB6CAE" w:rsidRPr="008C27F4">
              <w:rPr>
                <w:rStyle w:val="Hyperlink"/>
                <w:noProof/>
              </w:rPr>
              <w:t>Risk and risk management</w:t>
            </w:r>
            <w:r w:rsidR="00BB6CAE">
              <w:rPr>
                <w:noProof/>
                <w:webHidden/>
              </w:rPr>
              <w:tab/>
            </w:r>
            <w:r w:rsidR="00BB6CAE">
              <w:rPr>
                <w:noProof/>
                <w:webHidden/>
              </w:rPr>
              <w:fldChar w:fldCharType="begin"/>
            </w:r>
            <w:r w:rsidR="00BB6CAE">
              <w:rPr>
                <w:noProof/>
                <w:webHidden/>
              </w:rPr>
              <w:instrText xml:space="preserve"> PAGEREF _Toc433188039 \h </w:instrText>
            </w:r>
            <w:r w:rsidR="00BB6CAE">
              <w:rPr>
                <w:noProof/>
                <w:webHidden/>
              </w:rPr>
            </w:r>
            <w:r w:rsidR="00BB6CAE">
              <w:rPr>
                <w:noProof/>
                <w:webHidden/>
              </w:rPr>
              <w:fldChar w:fldCharType="separate"/>
            </w:r>
            <w:r w:rsidR="00F97C11">
              <w:rPr>
                <w:noProof/>
                <w:webHidden/>
              </w:rPr>
              <w:t>12</w:t>
            </w:r>
            <w:r w:rsidR="00BB6CAE">
              <w:rPr>
                <w:noProof/>
                <w:webHidden/>
              </w:rPr>
              <w:fldChar w:fldCharType="end"/>
            </w:r>
          </w:hyperlink>
        </w:p>
        <w:p w:rsidR="00BB6CAE" w:rsidRDefault="001658CA">
          <w:pPr>
            <w:pStyle w:val="TOC1"/>
            <w:rPr>
              <w:rFonts w:asciiTheme="minorHAnsi" w:eastAsiaTheme="minorEastAsia" w:hAnsiTheme="minorHAnsi" w:cstheme="minorBidi"/>
              <w:noProof/>
              <w:color w:val="auto"/>
              <w:sz w:val="22"/>
              <w:szCs w:val="22"/>
            </w:rPr>
          </w:pPr>
          <w:hyperlink w:anchor="_Toc433188040" w:history="1">
            <w:r w:rsidR="00BB6CAE" w:rsidRPr="008C27F4">
              <w:rPr>
                <w:rStyle w:val="Hyperlink"/>
                <w:noProof/>
              </w:rPr>
              <w:t>Appendices</w:t>
            </w:r>
            <w:r w:rsidR="00BB6CAE">
              <w:rPr>
                <w:noProof/>
                <w:webHidden/>
              </w:rPr>
              <w:tab/>
            </w:r>
            <w:r w:rsidR="00BB6CAE">
              <w:rPr>
                <w:noProof/>
                <w:webHidden/>
              </w:rPr>
              <w:fldChar w:fldCharType="begin"/>
            </w:r>
            <w:r w:rsidR="00BB6CAE">
              <w:rPr>
                <w:noProof/>
                <w:webHidden/>
              </w:rPr>
              <w:instrText xml:space="preserve"> PAGEREF _Toc433188040 \h </w:instrText>
            </w:r>
            <w:r w:rsidR="00BB6CAE">
              <w:rPr>
                <w:noProof/>
                <w:webHidden/>
              </w:rPr>
            </w:r>
            <w:r w:rsidR="00BB6CAE">
              <w:rPr>
                <w:noProof/>
                <w:webHidden/>
              </w:rPr>
              <w:fldChar w:fldCharType="separate"/>
            </w:r>
            <w:r w:rsidR="00F97C11">
              <w:rPr>
                <w:noProof/>
                <w:webHidden/>
              </w:rPr>
              <w:t>14</w:t>
            </w:r>
            <w:r w:rsidR="00BB6CAE">
              <w:rPr>
                <w:noProof/>
                <w:webHidden/>
              </w:rPr>
              <w:fldChar w:fldCharType="end"/>
            </w:r>
          </w:hyperlink>
        </w:p>
        <w:p w:rsidR="00BB6CAE" w:rsidRDefault="001658CA">
          <w:pPr>
            <w:pStyle w:val="TOC2"/>
            <w:tabs>
              <w:tab w:val="left" w:pos="1540"/>
            </w:tabs>
            <w:rPr>
              <w:rFonts w:asciiTheme="minorHAnsi" w:eastAsiaTheme="minorEastAsia" w:hAnsiTheme="minorHAnsi" w:cstheme="minorBidi"/>
              <w:noProof/>
              <w:sz w:val="22"/>
              <w:szCs w:val="22"/>
            </w:rPr>
          </w:pPr>
          <w:hyperlink w:anchor="_Toc433188041" w:history="1">
            <w:r w:rsidR="00BB6CAE" w:rsidRPr="008C27F4">
              <w:rPr>
                <w:rStyle w:val="Hyperlink"/>
                <w:noProof/>
              </w:rPr>
              <w:t>Appendix A:</w:t>
            </w:r>
            <w:r w:rsidR="00BB6CAE">
              <w:rPr>
                <w:rFonts w:asciiTheme="minorHAnsi" w:eastAsiaTheme="minorEastAsia" w:hAnsiTheme="minorHAnsi" w:cstheme="minorBidi"/>
                <w:noProof/>
                <w:sz w:val="22"/>
                <w:szCs w:val="22"/>
              </w:rPr>
              <w:tab/>
            </w:r>
            <w:r w:rsidR="00BB6CAE" w:rsidRPr="008C27F4">
              <w:rPr>
                <w:rStyle w:val="Hyperlink"/>
                <w:noProof/>
              </w:rPr>
              <w:t>Summary of existing major initiatives</w:t>
            </w:r>
            <w:r w:rsidR="00BB6CAE">
              <w:rPr>
                <w:noProof/>
                <w:webHidden/>
              </w:rPr>
              <w:tab/>
            </w:r>
            <w:r w:rsidR="00BB6CAE">
              <w:rPr>
                <w:noProof/>
                <w:webHidden/>
              </w:rPr>
              <w:fldChar w:fldCharType="begin"/>
            </w:r>
            <w:r w:rsidR="00BB6CAE">
              <w:rPr>
                <w:noProof/>
                <w:webHidden/>
              </w:rPr>
              <w:instrText xml:space="preserve"> PAGEREF _Toc433188041 \h </w:instrText>
            </w:r>
            <w:r w:rsidR="00BB6CAE">
              <w:rPr>
                <w:noProof/>
                <w:webHidden/>
              </w:rPr>
            </w:r>
            <w:r w:rsidR="00BB6CAE">
              <w:rPr>
                <w:noProof/>
                <w:webHidden/>
              </w:rPr>
              <w:fldChar w:fldCharType="separate"/>
            </w:r>
            <w:r w:rsidR="00F97C11">
              <w:rPr>
                <w:noProof/>
                <w:webHidden/>
              </w:rPr>
              <w:t>14</w:t>
            </w:r>
            <w:r w:rsidR="00BB6CAE">
              <w:rPr>
                <w:noProof/>
                <w:webHidden/>
              </w:rPr>
              <w:fldChar w:fldCharType="end"/>
            </w:r>
          </w:hyperlink>
        </w:p>
        <w:p w:rsidR="00DA6753" w:rsidRDefault="00DA6753">
          <w:r>
            <w:rPr>
              <w:b/>
              <w:bCs/>
              <w:noProof/>
            </w:rPr>
            <w:fldChar w:fldCharType="end"/>
          </w:r>
        </w:p>
      </w:sdtContent>
    </w:sdt>
    <w:p w:rsidR="00DA6753" w:rsidRDefault="00DA6753" w:rsidP="00DA6753">
      <w:pPr>
        <w:pStyle w:val="Heading2"/>
      </w:pPr>
    </w:p>
    <w:p w:rsidR="00DA6753" w:rsidRDefault="00DA6753">
      <w:pPr>
        <w:rPr>
          <w:rFonts w:ascii="Arial" w:hAnsi="Arial" w:cs="Arial"/>
          <w:color w:val="FFFFFF" w:themeColor="background1"/>
          <w:spacing w:val="-10"/>
          <w:kern w:val="28"/>
          <w:sz w:val="50"/>
          <w:szCs w:val="50"/>
        </w:rPr>
      </w:pPr>
      <w:r>
        <w:br w:type="page"/>
      </w:r>
    </w:p>
    <w:p w:rsidR="00616EB1" w:rsidRDefault="00E70976" w:rsidP="00616EB1">
      <w:pPr>
        <w:pStyle w:val="Heading2"/>
      </w:pPr>
      <w:bookmarkStart w:id="2" w:name="_Toc433188032"/>
      <w:r>
        <w:lastRenderedPageBreak/>
        <w:t>C</w:t>
      </w:r>
      <w:r w:rsidR="00616EB1">
        <w:t>over note</w:t>
      </w:r>
      <w:bookmarkEnd w:id="2"/>
    </w:p>
    <w:p w:rsidR="0065777F" w:rsidRDefault="0065777F" w:rsidP="0065777F">
      <w:pPr>
        <w:pStyle w:val="BodyText"/>
      </w:pPr>
      <w:r w:rsidRPr="0065777F">
        <w:t xml:space="preserve">The Indonesia </w:t>
      </w:r>
      <w:r w:rsidR="00B01C06">
        <w:t>I</w:t>
      </w:r>
      <w:r w:rsidRPr="0065777F">
        <w:t xml:space="preserve">nfrastructure </w:t>
      </w:r>
      <w:r w:rsidR="00B01C06">
        <w:t>P</w:t>
      </w:r>
      <w:r w:rsidRPr="0065777F">
        <w:t>rogram</w:t>
      </w:r>
      <w:r w:rsidR="00444CE5">
        <w:t xml:space="preserve"> (“the Program”)</w:t>
      </w:r>
      <w:r w:rsidRPr="0065777F">
        <w:t xml:space="preserve"> investment concept has been revised to reflect</w:t>
      </w:r>
      <w:r>
        <w:t xml:space="preserve"> changes </w:t>
      </w:r>
      <w:r w:rsidR="00B01C06">
        <w:t>since the last version was published in July 2014 (</w:t>
      </w:r>
      <w:hyperlink r:id="rId16" w:history="1">
        <w:r w:rsidR="00B01C06" w:rsidRPr="00F90898">
          <w:rPr>
            <w:rStyle w:val="Hyperlink"/>
          </w:rPr>
          <w:t>https://dfat.gov.au/about-us/grants-tenders-funding/tenders/business-notifications/Documents/iip-concept-note-140814.pdf</w:t>
        </w:r>
      </w:hyperlink>
      <w:r w:rsidR="00B01C06">
        <w:t>).</w:t>
      </w:r>
      <w:r>
        <w:t xml:space="preserve"> It also reflects the emerging priorities of the </w:t>
      </w:r>
      <w:r w:rsidR="00616EB1">
        <w:t xml:space="preserve">current </w:t>
      </w:r>
      <w:r w:rsidR="00B01C06">
        <w:t>Indonesian G</w:t>
      </w:r>
      <w:r w:rsidR="00616EB1">
        <w:t>overnment</w:t>
      </w:r>
      <w:r>
        <w:t xml:space="preserve"> which were clarified </w:t>
      </w:r>
      <w:r w:rsidR="0040729F">
        <w:t xml:space="preserve">earlier this year with </w:t>
      </w:r>
      <w:r>
        <w:t xml:space="preserve">the release of Indonesia’s five-year national development plan. </w:t>
      </w:r>
    </w:p>
    <w:p w:rsidR="0065777F" w:rsidRDefault="0065777F" w:rsidP="0065777F">
      <w:pPr>
        <w:pStyle w:val="BodyText"/>
        <w:rPr>
          <w:i/>
        </w:rPr>
      </w:pPr>
      <w:r>
        <w:t xml:space="preserve">The </w:t>
      </w:r>
      <w:r w:rsidR="008F1EC5">
        <w:t xml:space="preserve">revised investment </w:t>
      </w:r>
      <w:r>
        <w:t>concept outlines a new program of support</w:t>
      </w:r>
      <w:r w:rsidR="008F1EC5">
        <w:t xml:space="preserve"> (initially $30 million per year over a ten year period)</w:t>
      </w:r>
      <w:r>
        <w:t xml:space="preserve"> for the infrastructure sector. The overall goal of Australian</w:t>
      </w:r>
      <w:r w:rsidR="008F1EC5">
        <w:t xml:space="preserve"> infrastructure</w:t>
      </w:r>
      <w:r>
        <w:t xml:space="preserve"> investments </w:t>
      </w:r>
      <w:r w:rsidR="008F1EC5">
        <w:t xml:space="preserve">in Indonesia will be </w:t>
      </w:r>
      <w:r>
        <w:t>to support ‘</w:t>
      </w:r>
      <w:r>
        <w:rPr>
          <w:i/>
        </w:rPr>
        <w:t xml:space="preserve">rapid, sustainable and inclusive economic growth and improved access to basic infrastructure services to help reduce poverty and promote women’s economic participation and empowerment’. </w:t>
      </w:r>
    </w:p>
    <w:p w:rsidR="00A366F4" w:rsidRDefault="005A715A" w:rsidP="00EB41D0">
      <w:pPr>
        <w:pStyle w:val="BodyText"/>
      </w:pPr>
      <w:r>
        <w:t xml:space="preserve">Key revisions from the previous </w:t>
      </w:r>
      <w:r w:rsidR="008F1EC5">
        <w:t xml:space="preserve">investment </w:t>
      </w:r>
      <w:r>
        <w:t>concept</w:t>
      </w:r>
      <w:r w:rsidR="00005510">
        <w:t xml:space="preserve"> published in July 2014</w:t>
      </w:r>
      <w:r>
        <w:t xml:space="preserve"> include:</w:t>
      </w:r>
    </w:p>
    <w:p w:rsidR="005A715A" w:rsidRPr="00616EB1" w:rsidRDefault="008F1EC5" w:rsidP="00616EB1">
      <w:pPr>
        <w:pStyle w:val="ListBullet"/>
        <w:ind w:left="284" w:hanging="284"/>
      </w:pPr>
      <w:r>
        <w:t>a</w:t>
      </w:r>
      <w:r w:rsidR="005A715A" w:rsidRPr="00616EB1">
        <w:t xml:space="preserve"> reduced funding envelop;</w:t>
      </w:r>
    </w:p>
    <w:p w:rsidR="005A715A" w:rsidRPr="00616EB1" w:rsidRDefault="008F1EC5" w:rsidP="00616EB1">
      <w:pPr>
        <w:pStyle w:val="ListBullet"/>
        <w:ind w:left="284" w:hanging="284"/>
      </w:pPr>
      <w:r>
        <w:t>a</w:t>
      </w:r>
      <w:r w:rsidR="005A715A" w:rsidRPr="00616EB1">
        <w:t xml:space="preserve"> shift away from directly demonstrating and building infrastructure using grant funding</w:t>
      </w:r>
      <w:r>
        <w:t xml:space="preserve"> towards support that leverages Indonesia’s own infrastructure spending</w:t>
      </w:r>
      <w:r w:rsidR="005A715A" w:rsidRPr="00616EB1">
        <w:t xml:space="preserve">; </w:t>
      </w:r>
    </w:p>
    <w:p w:rsidR="005A715A" w:rsidRPr="00616EB1" w:rsidRDefault="008F1EC5" w:rsidP="00616EB1">
      <w:pPr>
        <w:pStyle w:val="ListBullet"/>
        <w:ind w:left="284" w:hanging="284"/>
      </w:pPr>
      <w:r>
        <w:t>c</w:t>
      </w:r>
      <w:r w:rsidR="005A715A" w:rsidRPr="00616EB1">
        <w:t xml:space="preserve">loser alignment with proposed Multilateral Development Bank lending pipelines to support a core program of physical investments and infrastructure policy reforms; and </w:t>
      </w:r>
    </w:p>
    <w:p w:rsidR="006015C1" w:rsidRPr="00616EB1" w:rsidRDefault="008F1EC5" w:rsidP="006015C1">
      <w:pPr>
        <w:pStyle w:val="ListBullet"/>
        <w:ind w:left="284" w:hanging="284"/>
      </w:pPr>
      <w:proofErr w:type="gramStart"/>
      <w:r>
        <w:t>a</w:t>
      </w:r>
      <w:proofErr w:type="gramEnd"/>
      <w:r w:rsidR="005A715A" w:rsidRPr="00616EB1">
        <w:t xml:space="preserve"> ‘design-implement’ approach to procurement.</w:t>
      </w:r>
    </w:p>
    <w:p w:rsidR="0040729F" w:rsidRDefault="00616EB1" w:rsidP="006015C1">
      <w:pPr>
        <w:pStyle w:val="ListBullet"/>
        <w:numPr>
          <w:ilvl w:val="0"/>
          <w:numId w:val="0"/>
        </w:numPr>
      </w:pPr>
      <w:r w:rsidRPr="006015C1">
        <w:t>This concept</w:t>
      </w:r>
      <w:r>
        <w:t xml:space="preserve"> note is provided to inform the market</w:t>
      </w:r>
      <w:r w:rsidR="00DC623F">
        <w:t xml:space="preserve"> and prospective tenderers</w:t>
      </w:r>
      <w:r>
        <w:t xml:space="preserve"> of the </w:t>
      </w:r>
      <w:r w:rsidR="008F1EC5">
        <w:t>forthcoming</w:t>
      </w:r>
      <w:r>
        <w:t xml:space="preserve"> Request for Tender (RFT) and the intended design-implement procurement model being employed. </w:t>
      </w:r>
      <w:r w:rsidR="008F1EC5">
        <w:t>It</w:t>
      </w:r>
      <w:r w:rsidR="00DC623F">
        <w:t xml:space="preserve"> </w:t>
      </w:r>
      <w:r w:rsidR="0040729F">
        <w:t>has previously been</w:t>
      </w:r>
      <w:r w:rsidR="00DC623F">
        <w:t xml:space="preserve"> </w:t>
      </w:r>
      <w:r w:rsidR="0040729F">
        <w:t xml:space="preserve">listed </w:t>
      </w:r>
      <w:r w:rsidR="00DC623F">
        <w:t xml:space="preserve">in the DFAT Annual Procurement Plan (APP) on the </w:t>
      </w:r>
      <w:proofErr w:type="spellStart"/>
      <w:r w:rsidR="00DC623F">
        <w:t>AusTender</w:t>
      </w:r>
      <w:proofErr w:type="spellEnd"/>
      <w:r w:rsidR="00DC623F">
        <w:t xml:space="preserve"> website (www.tenders.gov.au).</w:t>
      </w:r>
    </w:p>
    <w:p w:rsidR="00444CE5" w:rsidRPr="001C58E8" w:rsidRDefault="0040729F" w:rsidP="00914A59">
      <w:pPr>
        <w:pStyle w:val="ListBullet"/>
        <w:numPr>
          <w:ilvl w:val="0"/>
          <w:numId w:val="0"/>
        </w:numPr>
      </w:pPr>
      <w:r>
        <w:t xml:space="preserve">The RFT is expected to detail the need for design and implementation of a facility to support the </w:t>
      </w:r>
      <w:r w:rsidR="00444CE5">
        <w:t xml:space="preserve">Program. DFAT expects to hold an </w:t>
      </w:r>
      <w:r w:rsidR="00616EB1" w:rsidRPr="00C16081">
        <w:t xml:space="preserve">industry briefing </w:t>
      </w:r>
      <w:r w:rsidR="00444CE5">
        <w:t>on the Program in Jakarta shortly</w:t>
      </w:r>
      <w:r w:rsidR="00616EB1" w:rsidRPr="00C16081">
        <w:t xml:space="preserve"> after the RFT is released (</w:t>
      </w:r>
      <w:r w:rsidR="00DC623F" w:rsidRPr="00C16081">
        <w:t xml:space="preserve">Quarter </w:t>
      </w:r>
      <w:r w:rsidR="00181915">
        <w:t>3</w:t>
      </w:r>
      <w:r w:rsidR="00616EB1" w:rsidRPr="00C16081">
        <w:t xml:space="preserve"> </w:t>
      </w:r>
      <w:r w:rsidR="00DC623F" w:rsidRPr="00C16081">
        <w:t xml:space="preserve">of </w:t>
      </w:r>
      <w:r w:rsidR="00616EB1" w:rsidRPr="00C16081">
        <w:t>20</w:t>
      </w:r>
      <w:r w:rsidR="00181915">
        <w:t>15/</w:t>
      </w:r>
      <w:r w:rsidR="00616EB1" w:rsidRPr="00C16081">
        <w:t>16).</w:t>
      </w:r>
      <w:r w:rsidR="00616EB1">
        <w:t xml:space="preserve"> </w:t>
      </w:r>
      <w:r w:rsidR="00444CE5">
        <w:t xml:space="preserve"> Details of the industry briefing will be made available on </w:t>
      </w:r>
      <w:proofErr w:type="spellStart"/>
      <w:r w:rsidR="00444CE5">
        <w:t>AusTender</w:t>
      </w:r>
      <w:proofErr w:type="spellEnd"/>
      <w:r w:rsidR="00444CE5">
        <w:t xml:space="preserve"> on release of the RFT. </w:t>
      </w:r>
      <w:r w:rsidR="00444CE5" w:rsidRPr="001C58E8">
        <w:t xml:space="preserve">Please note that </w:t>
      </w:r>
      <w:r w:rsidR="00444CE5">
        <w:t>DFAT</w:t>
      </w:r>
      <w:r w:rsidR="00444CE5" w:rsidRPr="001C58E8">
        <w:t xml:space="preserve"> will not be liable for any travel, accommodation or other costs incurred by participants</w:t>
      </w:r>
      <w:r w:rsidR="00184214">
        <w:t xml:space="preserve"> </w:t>
      </w:r>
      <w:r w:rsidR="008F1EC5">
        <w:t>who attend</w:t>
      </w:r>
      <w:r w:rsidR="00184214">
        <w:t xml:space="preserve"> the briefing</w:t>
      </w:r>
      <w:r w:rsidR="00444CE5" w:rsidRPr="001C58E8">
        <w:t>.</w:t>
      </w:r>
    </w:p>
    <w:p w:rsidR="00923D0F" w:rsidRPr="006015C1" w:rsidRDefault="00923D0F" w:rsidP="006015C1">
      <w:pPr>
        <w:pStyle w:val="ListBullet"/>
        <w:numPr>
          <w:ilvl w:val="0"/>
          <w:numId w:val="0"/>
        </w:numPr>
        <w:rPr>
          <w:rStyle w:val="ContentsTitle"/>
          <w:rFonts w:ascii="Franklin Gothic Book" w:hAnsi="Franklin Gothic Book"/>
          <w:color w:val="auto"/>
          <w:sz w:val="21"/>
          <w:szCs w:val="24"/>
        </w:rPr>
      </w:pPr>
      <w:r w:rsidRPr="006015C1">
        <w:rPr>
          <w:rStyle w:val="ContentsTitle"/>
          <w:rFonts w:cs="Arial"/>
          <w:color w:val="17365D" w:themeColor="text2" w:themeShade="BF"/>
          <w:spacing w:val="-10"/>
          <w:kern w:val="28"/>
          <w:sz w:val="32"/>
          <w:szCs w:val="32"/>
        </w:rPr>
        <w:br w:type="page"/>
      </w:r>
    </w:p>
    <w:p w:rsidR="00923D0F" w:rsidRPr="00C947FF" w:rsidRDefault="00923D0F" w:rsidP="00923D0F">
      <w:pPr>
        <w:pStyle w:val="Heading2"/>
        <w:rPr>
          <w:rStyle w:val="ContentsTitle"/>
          <w:color w:val="17365D" w:themeColor="text2" w:themeShade="BF"/>
          <w:sz w:val="32"/>
          <w:szCs w:val="32"/>
        </w:rPr>
      </w:pPr>
      <w:bookmarkStart w:id="3" w:name="_Toc339897723"/>
      <w:bookmarkStart w:id="4" w:name="_Toc394312540"/>
      <w:bookmarkStart w:id="5" w:name="_Toc394312565"/>
      <w:bookmarkStart w:id="6" w:name="_Toc433188033"/>
      <w:r w:rsidRPr="00C947FF">
        <w:rPr>
          <w:rStyle w:val="ContentsTitle"/>
          <w:color w:val="17365D" w:themeColor="text2" w:themeShade="BF"/>
          <w:sz w:val="32"/>
          <w:szCs w:val="32"/>
        </w:rPr>
        <w:lastRenderedPageBreak/>
        <w:t>Acronyms</w:t>
      </w:r>
      <w:bookmarkEnd w:id="3"/>
      <w:bookmarkEnd w:id="4"/>
      <w:bookmarkEnd w:id="5"/>
      <w:bookmarkEnd w:id="6"/>
    </w:p>
    <w:p w:rsidR="00923D0F" w:rsidRPr="00BE1C90" w:rsidRDefault="00923D0F" w:rsidP="00923D0F">
      <w:pPr>
        <w:rPr>
          <w:rFonts w:ascii="Franklin Gothic Book" w:hAnsi="Franklin Gothic Book"/>
          <w:sz w:val="21"/>
        </w:rPr>
      </w:pPr>
    </w:p>
    <w:p w:rsidR="00923D0F" w:rsidRPr="00BE1C90" w:rsidRDefault="00923D0F" w:rsidP="00923D0F">
      <w:pPr>
        <w:rPr>
          <w:rFonts w:ascii="Franklin Gothic Book" w:hAnsi="Franklin Gothic Book"/>
          <w:sz w:val="21"/>
        </w:rPr>
      </w:pPr>
      <w:r w:rsidRPr="00BE1C90">
        <w:rPr>
          <w:rFonts w:ascii="Franklin Gothic Book" w:hAnsi="Franklin Gothic Book"/>
          <w:sz w:val="21"/>
        </w:rPr>
        <w:t>ADB</w:t>
      </w:r>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Asian Development Bank</w:t>
      </w:r>
    </w:p>
    <w:p w:rsidR="0060563F" w:rsidRDefault="0060563F" w:rsidP="00923D0F">
      <w:pPr>
        <w:rPr>
          <w:rFonts w:ascii="Franklin Gothic Book" w:hAnsi="Franklin Gothic Book"/>
          <w:sz w:val="21"/>
        </w:rPr>
      </w:pPr>
      <w:r>
        <w:rPr>
          <w:rFonts w:ascii="Franklin Gothic Book" w:hAnsi="Franklin Gothic Book"/>
          <w:sz w:val="21"/>
        </w:rPr>
        <w:t>AIC</w:t>
      </w:r>
      <w:r>
        <w:rPr>
          <w:rFonts w:ascii="Franklin Gothic Book" w:hAnsi="Franklin Gothic Book"/>
          <w:sz w:val="21"/>
        </w:rPr>
        <w:tab/>
      </w:r>
      <w:r>
        <w:rPr>
          <w:rFonts w:ascii="Franklin Gothic Book" w:hAnsi="Franklin Gothic Book"/>
          <w:sz w:val="21"/>
        </w:rPr>
        <w:tab/>
      </w:r>
      <w:r>
        <w:rPr>
          <w:rFonts w:ascii="Franklin Gothic Book" w:hAnsi="Franklin Gothic Book"/>
          <w:sz w:val="21"/>
        </w:rPr>
        <w:tab/>
      </w:r>
      <w:r>
        <w:rPr>
          <w:rFonts w:ascii="Franklin Gothic Book" w:hAnsi="Franklin Gothic Book"/>
          <w:sz w:val="21"/>
        </w:rPr>
        <w:tab/>
        <w:t>Aid Advisory Committee</w:t>
      </w:r>
    </w:p>
    <w:p w:rsidR="00616EB1" w:rsidRDefault="00616EB1" w:rsidP="00923D0F">
      <w:pPr>
        <w:rPr>
          <w:rFonts w:ascii="Franklin Gothic Book" w:hAnsi="Franklin Gothic Book"/>
          <w:sz w:val="21"/>
        </w:rPr>
      </w:pPr>
      <w:r>
        <w:rPr>
          <w:rFonts w:ascii="Franklin Gothic Book" w:hAnsi="Franklin Gothic Book"/>
          <w:sz w:val="21"/>
        </w:rPr>
        <w:t>AIIB</w:t>
      </w:r>
      <w:r>
        <w:rPr>
          <w:rFonts w:ascii="Franklin Gothic Book" w:hAnsi="Franklin Gothic Book"/>
          <w:sz w:val="21"/>
        </w:rPr>
        <w:tab/>
      </w:r>
      <w:r>
        <w:rPr>
          <w:rFonts w:ascii="Franklin Gothic Book" w:hAnsi="Franklin Gothic Book"/>
          <w:sz w:val="21"/>
        </w:rPr>
        <w:tab/>
      </w:r>
      <w:r>
        <w:rPr>
          <w:rFonts w:ascii="Franklin Gothic Book" w:hAnsi="Franklin Gothic Book"/>
          <w:sz w:val="21"/>
        </w:rPr>
        <w:tab/>
      </w:r>
      <w:r>
        <w:rPr>
          <w:rFonts w:ascii="Franklin Gothic Book" w:hAnsi="Franklin Gothic Book"/>
          <w:sz w:val="21"/>
        </w:rPr>
        <w:tab/>
        <w:t>Asian Infrastructure Investment Bank</w:t>
      </w:r>
    </w:p>
    <w:p w:rsidR="00923D0F" w:rsidRPr="00BE1C90" w:rsidRDefault="00923D0F" w:rsidP="00923D0F">
      <w:pPr>
        <w:rPr>
          <w:rFonts w:ascii="Franklin Gothic Book" w:hAnsi="Franklin Gothic Book"/>
          <w:sz w:val="21"/>
        </w:rPr>
      </w:pPr>
      <w:r w:rsidRPr="00BE1C90">
        <w:rPr>
          <w:rFonts w:ascii="Franklin Gothic Book" w:hAnsi="Franklin Gothic Book"/>
          <w:sz w:val="21"/>
        </w:rPr>
        <w:t>AIPEG</w:t>
      </w:r>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Australia Indonesia Partnership for Economic Governance</w:t>
      </w:r>
    </w:p>
    <w:p w:rsidR="00923D0F" w:rsidRPr="00BE1C90" w:rsidRDefault="00923D0F" w:rsidP="00923D0F">
      <w:pPr>
        <w:rPr>
          <w:rFonts w:ascii="Franklin Gothic Book" w:hAnsi="Franklin Gothic Book"/>
          <w:sz w:val="21"/>
        </w:rPr>
      </w:pPr>
      <w:r w:rsidRPr="00BE1C90">
        <w:rPr>
          <w:rFonts w:ascii="Franklin Gothic Book" w:hAnsi="Franklin Gothic Book"/>
          <w:sz w:val="21"/>
        </w:rPr>
        <w:t>ANAO</w:t>
      </w:r>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Australian National Audit Office</w:t>
      </w:r>
    </w:p>
    <w:p w:rsidR="00923D0F" w:rsidRPr="00BE1C90" w:rsidRDefault="00923D0F" w:rsidP="00923D0F">
      <w:pPr>
        <w:rPr>
          <w:rFonts w:ascii="Franklin Gothic Book" w:hAnsi="Franklin Gothic Book"/>
          <w:sz w:val="21"/>
        </w:rPr>
      </w:pPr>
      <w:r w:rsidRPr="00BE1C90">
        <w:rPr>
          <w:rFonts w:ascii="Franklin Gothic Book" w:hAnsi="Franklin Gothic Book"/>
          <w:sz w:val="21"/>
        </w:rPr>
        <w:t>APEC</w:t>
      </w:r>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Asia Pacific Economic Cooperation</w:t>
      </w:r>
    </w:p>
    <w:p w:rsidR="00923D0F" w:rsidRPr="00BE1C90" w:rsidRDefault="00923D0F" w:rsidP="00923D0F">
      <w:pPr>
        <w:rPr>
          <w:rFonts w:ascii="Franklin Gothic Book" w:hAnsi="Franklin Gothic Book"/>
          <w:sz w:val="21"/>
        </w:rPr>
      </w:pPr>
      <w:r w:rsidRPr="00BE1C90">
        <w:rPr>
          <w:rFonts w:ascii="Franklin Gothic Book" w:hAnsi="Franklin Gothic Book"/>
          <w:sz w:val="21"/>
        </w:rPr>
        <w:t>ARF</w:t>
      </w:r>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Adviser Remuneration Framework</w:t>
      </w:r>
    </w:p>
    <w:p w:rsidR="00923D0F" w:rsidRPr="00BE1C90" w:rsidRDefault="00BE1C90" w:rsidP="00923D0F">
      <w:pPr>
        <w:rPr>
          <w:rFonts w:ascii="Franklin Gothic Book" w:hAnsi="Franklin Gothic Book"/>
          <w:sz w:val="21"/>
        </w:rPr>
      </w:pPr>
      <w:proofErr w:type="spellStart"/>
      <w:r>
        <w:rPr>
          <w:rFonts w:ascii="Franklin Gothic Book" w:hAnsi="Franklin Gothic Book"/>
          <w:sz w:val="21"/>
        </w:rPr>
        <w:t>Bappenas</w:t>
      </w:r>
      <w:proofErr w:type="spellEnd"/>
      <w:r>
        <w:rPr>
          <w:rFonts w:ascii="Franklin Gothic Book" w:hAnsi="Franklin Gothic Book"/>
          <w:sz w:val="21"/>
        </w:rPr>
        <w:tab/>
      </w:r>
      <w:r>
        <w:rPr>
          <w:rFonts w:ascii="Franklin Gothic Book" w:hAnsi="Franklin Gothic Book"/>
          <w:sz w:val="21"/>
        </w:rPr>
        <w:tab/>
      </w:r>
      <w:r w:rsidR="00923D0F" w:rsidRPr="00BE1C90">
        <w:rPr>
          <w:rFonts w:ascii="Franklin Gothic Book" w:hAnsi="Franklin Gothic Book"/>
          <w:sz w:val="21"/>
        </w:rPr>
        <w:t>Indonesian National Development Planning Agency</w:t>
      </w:r>
    </w:p>
    <w:p w:rsidR="00923D0F" w:rsidRPr="00BE1C90" w:rsidRDefault="00923D0F" w:rsidP="00923D0F">
      <w:pPr>
        <w:rPr>
          <w:rFonts w:ascii="Franklin Gothic Book" w:hAnsi="Franklin Gothic Book"/>
          <w:sz w:val="21"/>
        </w:rPr>
      </w:pPr>
      <w:proofErr w:type="spellStart"/>
      <w:r w:rsidRPr="00BE1C90">
        <w:rPr>
          <w:rFonts w:ascii="Franklin Gothic Book" w:hAnsi="Franklin Gothic Book"/>
          <w:sz w:val="21"/>
        </w:rPr>
        <w:t>Bappeda</w:t>
      </w:r>
      <w:proofErr w:type="spellEnd"/>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ab/>
        <w:t>Development Planning Agencies at Province and District levels</w:t>
      </w:r>
    </w:p>
    <w:p w:rsidR="00923D0F" w:rsidRPr="00BE1C90" w:rsidRDefault="00923D0F" w:rsidP="00923D0F">
      <w:pPr>
        <w:rPr>
          <w:rFonts w:ascii="Franklin Gothic Book" w:hAnsi="Franklin Gothic Book"/>
          <w:sz w:val="21"/>
        </w:rPr>
      </w:pPr>
      <w:r w:rsidRPr="00BE1C90">
        <w:rPr>
          <w:rFonts w:ascii="Franklin Gothic Book" w:hAnsi="Franklin Gothic Book"/>
          <w:sz w:val="21"/>
        </w:rPr>
        <w:t>DFAT</w:t>
      </w:r>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Department of Foreign Affairs and Trade</w:t>
      </w:r>
    </w:p>
    <w:p w:rsidR="00923D0F" w:rsidRPr="00BE1C90" w:rsidRDefault="00923D0F" w:rsidP="00923D0F">
      <w:pPr>
        <w:rPr>
          <w:rFonts w:ascii="Franklin Gothic Book" w:hAnsi="Franklin Gothic Book"/>
          <w:sz w:val="21"/>
        </w:rPr>
      </w:pPr>
      <w:r w:rsidRPr="00BE1C90">
        <w:rPr>
          <w:rFonts w:ascii="Franklin Gothic Book" w:hAnsi="Franklin Gothic Book"/>
          <w:sz w:val="21"/>
        </w:rPr>
        <w:t>EINRIP</w:t>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ab/>
        <w:t>Eastern Indonesia National Roads Improvement Project</w:t>
      </w:r>
    </w:p>
    <w:p w:rsidR="00923D0F" w:rsidRPr="00BE1C90" w:rsidRDefault="00923D0F" w:rsidP="00923D0F">
      <w:pPr>
        <w:rPr>
          <w:rFonts w:ascii="Franklin Gothic Book" w:hAnsi="Franklin Gothic Book"/>
          <w:sz w:val="21"/>
        </w:rPr>
      </w:pPr>
      <w:r w:rsidRPr="00BE1C90">
        <w:rPr>
          <w:rFonts w:ascii="Franklin Gothic Book" w:hAnsi="Franklin Gothic Book"/>
          <w:sz w:val="21"/>
        </w:rPr>
        <w:t>GDP</w:t>
      </w:r>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Gross Domestic Profit</w:t>
      </w:r>
    </w:p>
    <w:p w:rsidR="00923D0F" w:rsidRPr="00BE1C90" w:rsidRDefault="00923D0F" w:rsidP="00923D0F">
      <w:pPr>
        <w:rPr>
          <w:rFonts w:ascii="Franklin Gothic Book" w:hAnsi="Franklin Gothic Book"/>
          <w:sz w:val="21"/>
        </w:rPr>
      </w:pPr>
      <w:proofErr w:type="spellStart"/>
      <w:r w:rsidRPr="00BE1C90">
        <w:rPr>
          <w:rFonts w:ascii="Franklin Gothic Book" w:hAnsi="Franklin Gothic Book"/>
          <w:sz w:val="21"/>
        </w:rPr>
        <w:t>GoI</w:t>
      </w:r>
      <w:proofErr w:type="spellEnd"/>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Government of Indonesia</w:t>
      </w:r>
    </w:p>
    <w:p w:rsidR="00923D0F" w:rsidRPr="00BE1C90" w:rsidRDefault="00923D0F" w:rsidP="00923D0F">
      <w:pPr>
        <w:rPr>
          <w:rFonts w:ascii="Franklin Gothic Book" w:hAnsi="Franklin Gothic Book"/>
          <w:sz w:val="21"/>
        </w:rPr>
      </w:pPr>
      <w:proofErr w:type="spellStart"/>
      <w:r w:rsidRPr="00BE1C90">
        <w:rPr>
          <w:rFonts w:ascii="Franklin Gothic Book" w:hAnsi="Franklin Gothic Book"/>
          <w:sz w:val="21"/>
        </w:rPr>
        <w:t>Hibah</w:t>
      </w:r>
      <w:proofErr w:type="spellEnd"/>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 xml:space="preserve">Water and Sanitation </w:t>
      </w:r>
      <w:proofErr w:type="spellStart"/>
      <w:r w:rsidRPr="00BE1C90">
        <w:rPr>
          <w:rFonts w:ascii="Franklin Gothic Book" w:hAnsi="Franklin Gothic Book"/>
          <w:sz w:val="21"/>
        </w:rPr>
        <w:t>Hibah</w:t>
      </w:r>
      <w:proofErr w:type="spellEnd"/>
    </w:p>
    <w:p w:rsidR="00923D0F" w:rsidRPr="00BE1C90" w:rsidRDefault="00923D0F" w:rsidP="00923D0F">
      <w:pPr>
        <w:rPr>
          <w:rFonts w:ascii="Franklin Gothic Book" w:hAnsi="Franklin Gothic Book"/>
          <w:sz w:val="21"/>
        </w:rPr>
      </w:pPr>
      <w:proofErr w:type="spellStart"/>
      <w:r w:rsidRPr="00BE1C90">
        <w:rPr>
          <w:rFonts w:ascii="Franklin Gothic Book" w:hAnsi="Franklin Gothic Book"/>
          <w:sz w:val="21"/>
        </w:rPr>
        <w:t>IndII</w:t>
      </w:r>
      <w:proofErr w:type="spellEnd"/>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Indonesia Infrastructure Initiative</w:t>
      </w:r>
    </w:p>
    <w:p w:rsidR="00923D0F" w:rsidRPr="00BE1C90" w:rsidRDefault="00923D0F" w:rsidP="00923D0F">
      <w:pPr>
        <w:rPr>
          <w:rFonts w:ascii="Franklin Gothic Book" w:hAnsi="Franklin Gothic Book"/>
          <w:sz w:val="21"/>
        </w:rPr>
      </w:pPr>
      <w:r w:rsidRPr="00BE1C90">
        <w:rPr>
          <w:rFonts w:ascii="Franklin Gothic Book" w:hAnsi="Franklin Gothic Book"/>
          <w:sz w:val="21"/>
        </w:rPr>
        <w:t>M&amp;E</w:t>
      </w:r>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Monitoring and evaluation</w:t>
      </w:r>
    </w:p>
    <w:p w:rsidR="00923D0F" w:rsidRPr="00BE1C90" w:rsidRDefault="00BE1C90" w:rsidP="00923D0F">
      <w:pPr>
        <w:rPr>
          <w:rFonts w:ascii="Franklin Gothic Book" w:hAnsi="Franklin Gothic Book"/>
          <w:sz w:val="21"/>
        </w:rPr>
      </w:pPr>
      <w:r>
        <w:rPr>
          <w:rFonts w:ascii="Franklin Gothic Book" w:hAnsi="Franklin Gothic Book"/>
          <w:sz w:val="21"/>
        </w:rPr>
        <w:t>MP3EI</w:t>
      </w:r>
      <w:r>
        <w:rPr>
          <w:rFonts w:ascii="Franklin Gothic Book" w:hAnsi="Franklin Gothic Book"/>
          <w:sz w:val="21"/>
        </w:rPr>
        <w:tab/>
      </w:r>
      <w:r>
        <w:rPr>
          <w:rFonts w:ascii="Franklin Gothic Book" w:hAnsi="Franklin Gothic Book"/>
          <w:sz w:val="21"/>
        </w:rPr>
        <w:tab/>
      </w:r>
      <w:r>
        <w:rPr>
          <w:rFonts w:ascii="Franklin Gothic Book" w:hAnsi="Franklin Gothic Book"/>
          <w:sz w:val="21"/>
        </w:rPr>
        <w:tab/>
      </w:r>
      <w:r w:rsidR="00923D0F" w:rsidRPr="00BE1C90">
        <w:rPr>
          <w:rFonts w:ascii="Franklin Gothic Book" w:hAnsi="Franklin Gothic Book"/>
          <w:sz w:val="21"/>
        </w:rPr>
        <w:t>Master Plan for Acceleration and Expansion of Economic Development</w:t>
      </w:r>
    </w:p>
    <w:p w:rsidR="00923D0F" w:rsidRPr="00BE1C90" w:rsidRDefault="00923D0F" w:rsidP="00923D0F">
      <w:pPr>
        <w:rPr>
          <w:rFonts w:ascii="Franklin Gothic Book" w:hAnsi="Franklin Gothic Book"/>
          <w:sz w:val="21"/>
        </w:rPr>
      </w:pPr>
      <w:proofErr w:type="spellStart"/>
      <w:r w:rsidRPr="00BE1C90">
        <w:rPr>
          <w:rFonts w:ascii="Franklin Gothic Book" w:hAnsi="Franklin Gothic Book"/>
          <w:sz w:val="21"/>
        </w:rPr>
        <w:t>MoF</w:t>
      </w:r>
      <w:proofErr w:type="spellEnd"/>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ab/>
        <w:t>Ministry of Finance</w:t>
      </w:r>
    </w:p>
    <w:p w:rsidR="00B01C06" w:rsidRDefault="00B01C06" w:rsidP="00923D0F">
      <w:pPr>
        <w:rPr>
          <w:rFonts w:ascii="Franklin Gothic Book" w:hAnsi="Franklin Gothic Book"/>
          <w:sz w:val="21"/>
        </w:rPr>
      </w:pPr>
      <w:r>
        <w:rPr>
          <w:rFonts w:ascii="Franklin Gothic Book" w:hAnsi="Franklin Gothic Book"/>
          <w:sz w:val="21"/>
        </w:rPr>
        <w:t>MDB</w:t>
      </w:r>
      <w:r>
        <w:rPr>
          <w:rFonts w:ascii="Franklin Gothic Book" w:hAnsi="Franklin Gothic Book"/>
          <w:sz w:val="21"/>
        </w:rPr>
        <w:tab/>
      </w:r>
      <w:r>
        <w:rPr>
          <w:rFonts w:ascii="Franklin Gothic Book" w:hAnsi="Franklin Gothic Book"/>
          <w:sz w:val="21"/>
        </w:rPr>
        <w:tab/>
      </w:r>
      <w:r>
        <w:rPr>
          <w:rFonts w:ascii="Franklin Gothic Book" w:hAnsi="Franklin Gothic Book"/>
          <w:sz w:val="21"/>
        </w:rPr>
        <w:tab/>
      </w:r>
      <w:r>
        <w:rPr>
          <w:rFonts w:ascii="Franklin Gothic Book" w:hAnsi="Franklin Gothic Book"/>
          <w:sz w:val="21"/>
        </w:rPr>
        <w:tab/>
        <w:t>Multilateral Development Bank</w:t>
      </w:r>
    </w:p>
    <w:p w:rsidR="00923D0F" w:rsidRPr="00BE1C90" w:rsidRDefault="00923D0F" w:rsidP="00923D0F">
      <w:pPr>
        <w:rPr>
          <w:rFonts w:ascii="Franklin Gothic Book" w:hAnsi="Franklin Gothic Book"/>
          <w:sz w:val="21"/>
        </w:rPr>
      </w:pPr>
      <w:r w:rsidRPr="00BE1C90">
        <w:rPr>
          <w:rFonts w:ascii="Franklin Gothic Book" w:hAnsi="Franklin Gothic Book"/>
          <w:sz w:val="21"/>
        </w:rPr>
        <w:t>NTB</w:t>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ab/>
        <w:t>Nusa Tenggara Barat</w:t>
      </w:r>
    </w:p>
    <w:p w:rsidR="00923D0F" w:rsidRPr="00BE1C90" w:rsidRDefault="00923D0F" w:rsidP="00923D0F">
      <w:pPr>
        <w:rPr>
          <w:rFonts w:ascii="Franklin Gothic Book" w:hAnsi="Franklin Gothic Book"/>
          <w:sz w:val="21"/>
        </w:rPr>
      </w:pPr>
      <w:r w:rsidRPr="00BE1C90">
        <w:rPr>
          <w:rFonts w:ascii="Franklin Gothic Book" w:hAnsi="Franklin Gothic Book"/>
          <w:sz w:val="21"/>
        </w:rPr>
        <w:t>PAMSIMAS</w:t>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Water and Sanitation for Low-Income Communities Project</w:t>
      </w:r>
    </w:p>
    <w:p w:rsidR="00923D0F" w:rsidRPr="00BE1C90" w:rsidRDefault="00923D0F" w:rsidP="00923D0F">
      <w:pPr>
        <w:rPr>
          <w:rFonts w:ascii="Franklin Gothic Book" w:hAnsi="Franklin Gothic Book"/>
          <w:sz w:val="21"/>
        </w:rPr>
      </w:pPr>
      <w:r w:rsidRPr="00BE1C90">
        <w:rPr>
          <w:rFonts w:ascii="Franklin Gothic Book" w:hAnsi="Franklin Gothic Book"/>
          <w:sz w:val="21"/>
        </w:rPr>
        <w:t>PBAS</w:t>
      </w:r>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Performance Based Annuity Scheme</w:t>
      </w:r>
    </w:p>
    <w:p w:rsidR="00923D0F" w:rsidRPr="00BE1C90" w:rsidRDefault="00923D0F" w:rsidP="00923D0F">
      <w:pPr>
        <w:rPr>
          <w:rFonts w:ascii="Franklin Gothic Book" w:hAnsi="Franklin Gothic Book"/>
          <w:sz w:val="21"/>
        </w:rPr>
      </w:pPr>
      <w:r w:rsidRPr="00BE1C90">
        <w:rPr>
          <w:rFonts w:ascii="Franklin Gothic Book" w:hAnsi="Franklin Gothic Book"/>
          <w:sz w:val="21"/>
        </w:rPr>
        <w:t>PPP</w:t>
      </w:r>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Public Private Partnership</w:t>
      </w:r>
    </w:p>
    <w:p w:rsidR="00923D0F" w:rsidRPr="00BE1C90" w:rsidRDefault="00923D0F" w:rsidP="00923D0F">
      <w:pPr>
        <w:rPr>
          <w:rFonts w:ascii="Franklin Gothic Book" w:hAnsi="Franklin Gothic Book"/>
          <w:sz w:val="21"/>
        </w:rPr>
      </w:pPr>
      <w:r w:rsidRPr="00BE1C90">
        <w:rPr>
          <w:rFonts w:ascii="Franklin Gothic Book" w:hAnsi="Franklin Gothic Book"/>
          <w:sz w:val="21"/>
        </w:rPr>
        <w:t>PRIM</w:t>
      </w:r>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Provincial Road Improvement and Maintenance</w:t>
      </w:r>
    </w:p>
    <w:p w:rsidR="00923D0F" w:rsidRPr="00BE1C90" w:rsidRDefault="00923D0F" w:rsidP="00923D0F">
      <w:pPr>
        <w:rPr>
          <w:rFonts w:ascii="Franklin Gothic Book" w:hAnsi="Franklin Gothic Book"/>
          <w:sz w:val="21"/>
        </w:rPr>
      </w:pPr>
      <w:proofErr w:type="spellStart"/>
      <w:proofErr w:type="gramStart"/>
      <w:r w:rsidRPr="00BE1C90">
        <w:rPr>
          <w:rFonts w:ascii="Franklin Gothic Book" w:hAnsi="Franklin Gothic Book"/>
          <w:sz w:val="21"/>
        </w:rPr>
        <w:t>sAIIG</w:t>
      </w:r>
      <w:proofErr w:type="spellEnd"/>
      <w:proofErr w:type="gramEnd"/>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Australia Indonesia Infrastructure Grants for Municipal Sanitation</w:t>
      </w:r>
    </w:p>
    <w:p w:rsidR="00923D0F" w:rsidRPr="00BE1C90" w:rsidRDefault="00923D0F" w:rsidP="00923D0F">
      <w:pPr>
        <w:rPr>
          <w:rFonts w:ascii="Franklin Gothic Book" w:hAnsi="Franklin Gothic Book"/>
          <w:sz w:val="21"/>
        </w:rPr>
      </w:pPr>
      <w:r w:rsidRPr="00BE1C90">
        <w:rPr>
          <w:rFonts w:ascii="Franklin Gothic Book" w:hAnsi="Franklin Gothic Book"/>
          <w:sz w:val="21"/>
        </w:rPr>
        <w:t>SOEs</w:t>
      </w:r>
      <w:r w:rsidRPr="00BE1C90">
        <w:rPr>
          <w:rFonts w:ascii="Franklin Gothic Book" w:hAnsi="Franklin Gothic Book"/>
          <w:sz w:val="21"/>
        </w:rPr>
        <w:tab/>
      </w:r>
      <w:r w:rsidRPr="00BE1C90">
        <w:rPr>
          <w:rFonts w:ascii="Franklin Gothic Book" w:hAnsi="Franklin Gothic Book"/>
          <w:sz w:val="21"/>
        </w:rPr>
        <w:tab/>
      </w:r>
      <w:r w:rsidRPr="00BE1C90">
        <w:rPr>
          <w:rFonts w:ascii="Franklin Gothic Book" w:hAnsi="Franklin Gothic Book"/>
          <w:sz w:val="21"/>
        </w:rPr>
        <w:tab/>
      </w:r>
      <w:r w:rsidR="00BE1C90">
        <w:rPr>
          <w:rFonts w:ascii="Franklin Gothic Book" w:hAnsi="Franklin Gothic Book"/>
          <w:sz w:val="21"/>
        </w:rPr>
        <w:tab/>
      </w:r>
      <w:r w:rsidRPr="00BE1C90">
        <w:rPr>
          <w:rFonts w:ascii="Franklin Gothic Book" w:hAnsi="Franklin Gothic Book"/>
          <w:sz w:val="21"/>
        </w:rPr>
        <w:t>State Owned Enterprises</w:t>
      </w:r>
    </w:p>
    <w:p w:rsidR="00CC259C" w:rsidRDefault="00CC259C" w:rsidP="00B751DC">
      <w:pPr>
        <w:pStyle w:val="Heading2"/>
      </w:pPr>
    </w:p>
    <w:p w:rsidR="00B751DC" w:rsidRDefault="00B751DC" w:rsidP="00B751DC">
      <w:pPr>
        <w:pStyle w:val="Heading2"/>
        <w:rPr>
          <w:rFonts w:ascii="Arial" w:hAnsi="Arial"/>
          <w:color w:val="FFFFFF" w:themeColor="background1"/>
          <w:sz w:val="50"/>
          <w:szCs w:val="50"/>
        </w:rPr>
      </w:pPr>
      <w:r>
        <w:br w:type="page"/>
      </w:r>
    </w:p>
    <w:p w:rsidR="005A1D6E" w:rsidRPr="00206162" w:rsidRDefault="00DA6753" w:rsidP="00206162">
      <w:pPr>
        <w:pStyle w:val="Heading1"/>
      </w:pPr>
      <w:bookmarkStart w:id="7" w:name="_Toc433188034"/>
      <w:r>
        <w:lastRenderedPageBreak/>
        <w:t>Investment Concept</w:t>
      </w:r>
      <w:bookmarkEnd w:id="7"/>
    </w:p>
    <w:p w:rsidR="003A374D" w:rsidRPr="00206162" w:rsidRDefault="00005510" w:rsidP="003A374D">
      <w:pPr>
        <w:pStyle w:val="Heading2"/>
        <w:rPr>
          <w:sz w:val="32"/>
          <w:szCs w:val="32"/>
        </w:rPr>
      </w:pPr>
      <w:bookmarkStart w:id="8" w:name="_Toc433188035"/>
      <w:bookmarkEnd w:id="1"/>
      <w:r>
        <w:rPr>
          <w:sz w:val="32"/>
          <w:szCs w:val="32"/>
        </w:rPr>
        <w:t xml:space="preserve">Situation </w:t>
      </w:r>
      <w:r w:rsidR="00C65D3E">
        <w:rPr>
          <w:sz w:val="32"/>
          <w:szCs w:val="32"/>
        </w:rPr>
        <w:t>a</w:t>
      </w:r>
      <w:r>
        <w:rPr>
          <w:sz w:val="32"/>
          <w:szCs w:val="32"/>
        </w:rPr>
        <w:t>nalysis</w:t>
      </w:r>
      <w:bookmarkEnd w:id="8"/>
    </w:p>
    <w:p w:rsidR="001B4968" w:rsidRPr="00DE3CFB" w:rsidRDefault="001B4968" w:rsidP="001B4968">
      <w:pPr>
        <w:pStyle w:val="Heading4"/>
      </w:pPr>
      <w:r w:rsidRPr="00DE3CFB">
        <w:t>K</w:t>
      </w:r>
      <w:r w:rsidR="00CC259C">
        <w:t xml:space="preserve">ey </w:t>
      </w:r>
      <w:r w:rsidR="00332F95">
        <w:t>c</w:t>
      </w:r>
      <w:r w:rsidR="00CC259C">
        <w:t xml:space="preserve">hallenges and </w:t>
      </w:r>
      <w:r w:rsidR="00332F95">
        <w:t>c</w:t>
      </w:r>
      <w:r w:rsidR="00CC259C">
        <w:t>auses</w:t>
      </w:r>
    </w:p>
    <w:p w:rsidR="001B4968" w:rsidRPr="00DB42F4" w:rsidRDefault="001B4968" w:rsidP="00DB42F4">
      <w:pPr>
        <w:pStyle w:val="BodyText"/>
      </w:pPr>
      <w:r w:rsidRPr="00DB42F4">
        <w:t xml:space="preserve">Indonesia’s rapid economic growth over the past decade has enabled impressive gains in human development and poverty reduction. But growth is now slowing in Indonesia due in part to the ending of the ‘commodity price super cycle’ and in part to </w:t>
      </w:r>
      <w:r w:rsidR="008F1EC5">
        <w:t>existing</w:t>
      </w:r>
      <w:r w:rsidRPr="00DB42F4">
        <w:t xml:space="preserve"> infrastructure</w:t>
      </w:r>
      <w:r w:rsidR="008F1EC5">
        <w:t xml:space="preserve"> constraints</w:t>
      </w:r>
      <w:r w:rsidRPr="00DB42F4">
        <w:t>. Infrastructure investment declined sharply following the 1997/98 financial crisis and remains well below levels needed to sustain economic growth at six to seven per cent and address the challenges posed by continuing rapid urbanisation. Over the past decade, infrastructure investment has averaged three to four per cent of GDP as compared with around seven per cent during the latter years of the Suharto era and levels of seven per cent and above realised by China and other East Asian neighbours more recently. The problem of underinvestment is further exacerbated in many areas by existing infrastructure assets not being used or managed optimally.</w:t>
      </w:r>
    </w:p>
    <w:p w:rsidR="001B4968" w:rsidRPr="00DB42F4" w:rsidRDefault="001B4968" w:rsidP="00DB42F4">
      <w:pPr>
        <w:pStyle w:val="BodyText"/>
      </w:pPr>
      <w:r w:rsidRPr="00DB42F4">
        <w:t>The consequences are clearly evident in the difficulties faced by ordinary Indonesians in their daily lives and by businesses striving to expand and improve their competitiveness:</w:t>
      </w:r>
    </w:p>
    <w:p w:rsidR="001B4968" w:rsidRPr="00DB42F4" w:rsidRDefault="001B4968" w:rsidP="00DB42F4">
      <w:pPr>
        <w:pStyle w:val="ListBullet"/>
        <w:ind w:left="284" w:hanging="284"/>
      </w:pPr>
      <w:r w:rsidRPr="00DB42F4">
        <w:rPr>
          <w:i/>
        </w:rPr>
        <w:t>Transport</w:t>
      </w:r>
      <w:r w:rsidRPr="00DB42F4">
        <w:t xml:space="preserve"> - travel speeds on arterial roads are among the worst in East Asia, with longer journey times contributing to high logistics costs of around 24 per cent of GDP;</w:t>
      </w:r>
    </w:p>
    <w:p w:rsidR="001B4968" w:rsidRPr="00DB42F4" w:rsidRDefault="001B4968" w:rsidP="00DB42F4">
      <w:pPr>
        <w:pStyle w:val="ListBullet"/>
        <w:ind w:left="284" w:hanging="284"/>
      </w:pPr>
      <w:r w:rsidRPr="00DB42F4">
        <w:rPr>
          <w:i/>
        </w:rPr>
        <w:t>Water</w:t>
      </w:r>
      <w:r w:rsidRPr="00DB42F4">
        <w:t xml:space="preserve"> – 18 per cent of the population lacks access to improved water, while 80 per cent lacks access to piped water;</w:t>
      </w:r>
    </w:p>
    <w:p w:rsidR="001B4968" w:rsidRPr="00DB42F4" w:rsidRDefault="001B4968" w:rsidP="00DB42F4">
      <w:pPr>
        <w:pStyle w:val="ListBullet"/>
        <w:ind w:left="284" w:hanging="284"/>
      </w:pPr>
      <w:r w:rsidRPr="00DB42F4">
        <w:rPr>
          <w:i/>
        </w:rPr>
        <w:t>Sanitation</w:t>
      </w:r>
      <w:r w:rsidRPr="00DB42F4">
        <w:t xml:space="preserve"> – 98 per cent of the population lacks access to sewerage systems (including in the capital, Jakarta) resulting in severe economic costs to families; </w:t>
      </w:r>
    </w:p>
    <w:p w:rsidR="001B4968" w:rsidRPr="00DB42F4" w:rsidRDefault="001B4968" w:rsidP="00DB42F4">
      <w:pPr>
        <w:pStyle w:val="ListBullet"/>
        <w:ind w:left="284" w:hanging="284"/>
      </w:pPr>
      <w:r w:rsidRPr="00DB42F4">
        <w:rPr>
          <w:i/>
        </w:rPr>
        <w:t>Electricity</w:t>
      </w:r>
      <w:r w:rsidRPr="00DB42F4">
        <w:t xml:space="preserve"> - many regions continue to suffer from load-shedding, while in Papua only 30 per cent of the population is connected; and</w:t>
      </w:r>
    </w:p>
    <w:p w:rsidR="001B4968" w:rsidRPr="00DB42F4" w:rsidRDefault="001B4968" w:rsidP="00DB42F4">
      <w:pPr>
        <w:pStyle w:val="ListBullet"/>
        <w:ind w:left="284" w:hanging="284"/>
      </w:pPr>
      <w:r w:rsidRPr="00DB42F4">
        <w:rPr>
          <w:i/>
        </w:rPr>
        <w:t>Internet access</w:t>
      </w:r>
      <w:r w:rsidRPr="00DB42F4">
        <w:t xml:space="preserve"> - Indonesia has only around 1.2 fixed broadband connections per 100 persons as compared with 8.4 in Malaysia and 5.0 in Vietnam. </w:t>
      </w:r>
    </w:p>
    <w:p w:rsidR="001B4968" w:rsidRPr="00DB42F4" w:rsidRDefault="001B4968" w:rsidP="00DB42F4">
      <w:pPr>
        <w:pStyle w:val="BodyText"/>
      </w:pPr>
      <w:r w:rsidRPr="00DB42F4">
        <w:t>The World Bank has estimated the macroeconomic cost of under-investment in infrastructure as around one percentage point of lost additional GDP growth per annum over the last ten years.</w:t>
      </w:r>
    </w:p>
    <w:p w:rsidR="001B4968" w:rsidRDefault="001B4968" w:rsidP="001B4968">
      <w:pPr>
        <w:pStyle w:val="Heading4"/>
      </w:pPr>
      <w:r>
        <w:t>G</w:t>
      </w:r>
      <w:r w:rsidR="00005510">
        <w:t>overnment of Indonesia p</w:t>
      </w:r>
      <w:r w:rsidR="00CC259C">
        <w:t xml:space="preserve">olicy and </w:t>
      </w:r>
      <w:r w:rsidR="00005510">
        <w:t>f</w:t>
      </w:r>
      <w:r w:rsidR="00CC259C">
        <w:t xml:space="preserve">inancing </w:t>
      </w:r>
      <w:r w:rsidR="00005510">
        <w:t>c</w:t>
      </w:r>
      <w:r w:rsidR="00CC259C">
        <w:t>ontext</w:t>
      </w:r>
    </w:p>
    <w:p w:rsidR="001B4968" w:rsidRPr="00DB42F4" w:rsidRDefault="001B4968" w:rsidP="00DB42F4">
      <w:pPr>
        <w:pStyle w:val="BodyText"/>
      </w:pPr>
      <w:r w:rsidRPr="00DB42F4">
        <w:t xml:space="preserve">After taking office in late 2014, the </w:t>
      </w:r>
      <w:r w:rsidR="00BB6CAE">
        <w:t>current G</w:t>
      </w:r>
      <w:r w:rsidR="00BB6CAE" w:rsidRPr="00DB42F4">
        <w:t>overnment</w:t>
      </w:r>
      <w:r w:rsidR="00BB6CAE">
        <w:t xml:space="preserve"> of Indonesia (</w:t>
      </w:r>
      <w:proofErr w:type="spellStart"/>
      <w:r w:rsidR="00BB6CAE">
        <w:t>GoI</w:t>
      </w:r>
      <w:proofErr w:type="spellEnd"/>
      <w:r w:rsidR="00BB6CAE">
        <w:t xml:space="preserve">) </w:t>
      </w:r>
      <w:r w:rsidRPr="00DB42F4">
        <w:t xml:space="preserve">has continued the emphasis on infrastructure development and positioned it as one of its highest priorities. The new Indonesian National Medium Term Development Plan (2015-19) devotes significant </w:t>
      </w:r>
      <w:r w:rsidRPr="00DB42F4">
        <w:lastRenderedPageBreak/>
        <w:t xml:space="preserve">attention to infrastructure, outlining priority areas for investment and ambitious targets to be met. Early steps taken under </w:t>
      </w:r>
      <w:proofErr w:type="spellStart"/>
      <w:r w:rsidR="000A3003">
        <w:t>GoI</w:t>
      </w:r>
      <w:proofErr w:type="spellEnd"/>
      <w:r w:rsidRPr="00DB42F4">
        <w:t xml:space="preserve"> to translate planning into action include reduction of long-standing energy subsidies to enable substantially increased public infrastructure investment; equity injections of around A$4.7 billion in 2015 into infrastructure related </w:t>
      </w:r>
      <w:r w:rsidR="00B01C06">
        <w:t>S</w:t>
      </w:r>
      <w:r w:rsidRPr="00DB42F4">
        <w:t xml:space="preserve">tate </w:t>
      </w:r>
      <w:r w:rsidR="00B01C06">
        <w:t>O</w:t>
      </w:r>
      <w:r w:rsidRPr="00DB42F4">
        <w:t>wned Enterprises (SOEs); issuance of a Presidential Regulation revising guidance on the use of Public Private Partnerships (PPP) by broadening PPP investments to include social infrastructure (schools, health facilities etc</w:t>
      </w:r>
      <w:r w:rsidR="0053570B">
        <w:t>.</w:t>
      </w:r>
      <w:r w:rsidRPr="00DB42F4">
        <w:t xml:space="preserve">) and providing for the use of long-term availability payment arrangements for infrastructure assets; and issuance of a Ministry of Finance regulation to establish a Directorate dedicated to infrastructure financing, including PPP. To supplement public funds, </w:t>
      </w:r>
      <w:proofErr w:type="spellStart"/>
      <w:r w:rsidR="000A3003">
        <w:t>GoI</w:t>
      </w:r>
      <w:proofErr w:type="spellEnd"/>
      <w:r w:rsidRPr="00DB42F4">
        <w:t xml:space="preserve"> has indicated a need to increase borrowing from the Multilateral Development Banks</w:t>
      </w:r>
      <w:r w:rsidR="00513253">
        <w:t xml:space="preserve"> (MDBs)</w:t>
      </w:r>
      <w:r w:rsidRPr="00DB42F4">
        <w:t>, in the order of US$12 billion from the World Bank and US$8.75 billion from the ADB. Indonesia is likely to initiate further borrowing from the new Asian Infrastructure Investment Bank (AIIB) once established.</w:t>
      </w:r>
    </w:p>
    <w:p w:rsidR="001B4968" w:rsidRPr="00DB42F4" w:rsidRDefault="001B4968" w:rsidP="00DB42F4">
      <w:pPr>
        <w:pStyle w:val="BodyText"/>
      </w:pPr>
      <w:r w:rsidRPr="00DB42F4">
        <w:t xml:space="preserve">A key objective of </w:t>
      </w:r>
      <w:proofErr w:type="spellStart"/>
      <w:r w:rsidR="000A3003">
        <w:t>GoI</w:t>
      </w:r>
      <w:proofErr w:type="spellEnd"/>
      <w:r w:rsidR="00353714" w:rsidRPr="00DB42F4">
        <w:t xml:space="preserve"> </w:t>
      </w:r>
      <w:r w:rsidRPr="00DB42F4">
        <w:t xml:space="preserve">is to enhance inter-island connectivity and upgrade port infrastructure. Connectivity issues are more prominent in the outer islands of Eastern Indonesia such as Maluku and North Maluku and as a result, such islands have been unable to contribute to or benefit from national economic production and distribution processes.  </w:t>
      </w:r>
    </w:p>
    <w:p w:rsidR="001B4968" w:rsidRPr="00DB42F4" w:rsidRDefault="001B4968" w:rsidP="00DB42F4">
      <w:pPr>
        <w:pStyle w:val="BodyText"/>
      </w:pPr>
      <w:r w:rsidRPr="00DB42F4">
        <w:t xml:space="preserve">Despite these early actions and the efforts of the </w:t>
      </w:r>
      <w:r w:rsidR="002F5DB6">
        <w:t xml:space="preserve">previous </w:t>
      </w:r>
      <w:r w:rsidRPr="00DB42F4">
        <w:t>administration, results to date have fallen well short of projections due to a combination of factors. The formation of a new minister-level committee with powers to accelerate priority infrastructure projects was established under Presidential Regulation</w:t>
      </w:r>
      <w:r w:rsidR="00513253">
        <w:t xml:space="preserve"> 75/2014</w:t>
      </w:r>
      <w:r w:rsidRPr="00DB42F4">
        <w:t xml:space="preserve"> </w:t>
      </w:r>
      <w:r w:rsidR="000722ED">
        <w:t>dated 17 July 2014,</w:t>
      </w:r>
      <w:r w:rsidR="000722ED" w:rsidRPr="00DB42F4">
        <w:t xml:space="preserve"> </w:t>
      </w:r>
      <w:r w:rsidRPr="00DB42F4">
        <w:t xml:space="preserve">but </w:t>
      </w:r>
      <w:r w:rsidR="002F5DB6">
        <w:t xml:space="preserve">as of </w:t>
      </w:r>
      <w:r w:rsidRPr="00DB42F4">
        <w:t xml:space="preserve">mid-2015 </w:t>
      </w:r>
      <w:r w:rsidR="002F5DB6">
        <w:t>it was</w:t>
      </w:r>
      <w:r w:rsidRPr="00DB42F4">
        <w:t xml:space="preserve"> yet to have its working arrangements established. Private investor interest has been constrained by issues of project preparation quality, regulatory clarity and legal certainty, as well as by the changed global financial market situati</w:t>
      </w:r>
      <w:r w:rsidRPr="00692AB4">
        <w:t xml:space="preserve">on. Major projects continue to suffer long delays due to land acquisition issues, while </w:t>
      </w:r>
      <w:r w:rsidR="00692AB4" w:rsidRPr="00692AB4">
        <w:t xml:space="preserve">improvements to </w:t>
      </w:r>
      <w:r w:rsidRPr="00692AB4">
        <w:t xml:space="preserve">institutional capacity, decision-making processes and </w:t>
      </w:r>
      <w:r w:rsidR="00692AB4" w:rsidRPr="00692AB4">
        <w:t>safeguards against</w:t>
      </w:r>
      <w:r w:rsidRPr="00692AB4">
        <w:t xml:space="preserve"> corruption are </w:t>
      </w:r>
      <w:r w:rsidR="00692AB4" w:rsidRPr="00692AB4">
        <w:t xml:space="preserve">required to facilitate </w:t>
      </w:r>
      <w:r w:rsidRPr="00692AB4">
        <w:t xml:space="preserve">project implementation and asset operation and maintenance at the sub-national level. SOEs, now strengthened with equity injections, continue to dominate the landscape in key sectors such as transport and power, </w:t>
      </w:r>
      <w:r w:rsidR="002F5DB6">
        <w:t>however</w:t>
      </w:r>
      <w:r w:rsidR="002F5DB6" w:rsidRPr="00692AB4">
        <w:t xml:space="preserve"> </w:t>
      </w:r>
      <w:r w:rsidRPr="00692AB4">
        <w:t xml:space="preserve">some continue to </w:t>
      </w:r>
      <w:r w:rsidR="00692AB4" w:rsidRPr="00692AB4">
        <w:t xml:space="preserve">require improved </w:t>
      </w:r>
      <w:r w:rsidRPr="00692AB4">
        <w:t>perform</w:t>
      </w:r>
      <w:r w:rsidR="00692AB4" w:rsidRPr="00692AB4">
        <w:t>ance</w:t>
      </w:r>
      <w:r w:rsidRPr="00692AB4">
        <w:t>.</w:t>
      </w:r>
    </w:p>
    <w:p w:rsidR="001B4968" w:rsidRPr="00DE3CFB" w:rsidRDefault="00353714" w:rsidP="001B4968">
      <w:pPr>
        <w:pStyle w:val="Heading4"/>
      </w:pPr>
      <w:r>
        <w:t>Rationale for Australian investment</w:t>
      </w:r>
    </w:p>
    <w:p w:rsidR="001B4968" w:rsidRPr="00DB42F4" w:rsidRDefault="001B4968" w:rsidP="00DB42F4">
      <w:pPr>
        <w:pStyle w:val="BodyText"/>
      </w:pPr>
      <w:r w:rsidRPr="00DB42F4">
        <w:t>Australia is well placed to assist Indonesia to address these challenges. Our existing program</w:t>
      </w:r>
      <w:r w:rsidRPr="00DB42F4">
        <w:rPr>
          <w:vertAlign w:val="superscript"/>
        </w:rPr>
        <w:footnoteReference w:id="2"/>
      </w:r>
      <w:r w:rsidRPr="00DB42F4">
        <w:t>, including both bilateral assistance and infrastructure trust funds with the multilateral development banks, has provided support for physical infrastructure and policy and regulatory assistance in key sectors including urban and interurban transport (roads, ports and rail), water/sanitation and energy. Results from the infrastructure program to date have included:</w:t>
      </w:r>
    </w:p>
    <w:p w:rsidR="001B4968" w:rsidRPr="00DB42F4" w:rsidRDefault="001B4968" w:rsidP="00DB42F4">
      <w:pPr>
        <w:pStyle w:val="ListBullet"/>
        <w:ind w:left="284" w:hanging="284"/>
      </w:pPr>
      <w:r w:rsidRPr="00DB42F4">
        <w:t>The halving of travel times, reduced vehicle maintenance costs, and reduced fares and freight rates in important economic road corridors of Eastern Indonesia, leading to reported increased business investment by private sector developers.</w:t>
      </w:r>
    </w:p>
    <w:p w:rsidR="001B4968" w:rsidRPr="00DB42F4" w:rsidRDefault="001B4968" w:rsidP="00DB42F4">
      <w:pPr>
        <w:pStyle w:val="ListBullet"/>
        <w:ind w:left="284" w:hanging="284"/>
      </w:pPr>
      <w:r w:rsidRPr="00DB42F4">
        <w:lastRenderedPageBreak/>
        <w:t>The connection of around 97,000 low-income households to piped water and about 5,000 low-income households to piped sewer systems, helping over 485,000 people access an improved water supply, and 25,000 people access improved sanitation;</w:t>
      </w:r>
    </w:p>
    <w:p w:rsidR="001B4968" w:rsidRPr="00DB42F4" w:rsidRDefault="001B4968" w:rsidP="00DB42F4">
      <w:pPr>
        <w:pStyle w:val="BodyText"/>
      </w:pPr>
      <w:r>
        <w:t xml:space="preserve">As a close neighbour, Indonesia is a key partner in terms of our bilateral, regional and global interests. A prosperous, stable and growing Indonesia is good for our stability, security, trade and cooperation in our shared region. Indonesia </w:t>
      </w:r>
      <w:r w:rsidRPr="00DF3A34">
        <w:t xml:space="preserve">has reached middle-income status and achieved substantial development progress in recent years. But challenges remain such as infrastructure bottlenecks, skills </w:t>
      </w:r>
      <w:r w:rsidR="00DF3A34" w:rsidRPr="00DF3A34">
        <w:t xml:space="preserve">gaps </w:t>
      </w:r>
      <w:r w:rsidRPr="00DF3A34">
        <w:t xml:space="preserve">and institutional weaknesses. Increasing equitable growth and the creation of productive jobs needs a foundation of increased competitiveness for a more attractive investment environment.  The major structural constraint for competitiveness is the quality and quantity of Indonesia’s infrastructure and institutional issues </w:t>
      </w:r>
      <w:r w:rsidR="002F5DB6">
        <w:t>(</w:t>
      </w:r>
      <w:r w:rsidRPr="00DF3A34">
        <w:t xml:space="preserve">such as </w:t>
      </w:r>
      <w:r w:rsidR="002F5DB6">
        <w:t xml:space="preserve">need for </w:t>
      </w:r>
      <w:r w:rsidR="00DF3A34" w:rsidRPr="00DF3A34">
        <w:t xml:space="preserve">greater </w:t>
      </w:r>
      <w:r w:rsidRPr="00DF3A34">
        <w:t>transparen</w:t>
      </w:r>
      <w:r w:rsidR="00DF3A34" w:rsidRPr="00DF3A34">
        <w:t>cy</w:t>
      </w:r>
      <w:r w:rsidRPr="00DF3A34">
        <w:t xml:space="preserve"> and effective economic oversight, and</w:t>
      </w:r>
      <w:r>
        <w:t xml:space="preserve"> regulatory certainty</w:t>
      </w:r>
      <w:r w:rsidR="002F5DB6">
        <w:t>)</w:t>
      </w:r>
      <w:r>
        <w:t>.</w:t>
      </w:r>
    </w:p>
    <w:p w:rsidR="001B4968" w:rsidRPr="00DB42F4" w:rsidRDefault="001B4968" w:rsidP="00DB42F4">
      <w:pPr>
        <w:pStyle w:val="BodyText"/>
      </w:pPr>
      <w:r w:rsidRPr="00DB42F4">
        <w:t xml:space="preserve">It is in Australia’s national interest to maintain </w:t>
      </w:r>
      <w:r w:rsidR="002F5DB6">
        <w:t xml:space="preserve">infrastructure </w:t>
      </w:r>
      <w:r w:rsidRPr="00DB42F4">
        <w:t xml:space="preserve">support. Helping Indonesia to address its infrastructure challenges will strengthen the prospects for economic growth, enabling greater private sector investment and building a business enabling environment. Our strengths lie in supporting roads, </w:t>
      </w:r>
      <w:r w:rsidR="002F5DB6">
        <w:t xml:space="preserve">and </w:t>
      </w:r>
      <w:r w:rsidRPr="00DB42F4">
        <w:t xml:space="preserve">water and sanitation investments that Indonesia’s rapidly urbanising population need to become more productive.  </w:t>
      </w:r>
    </w:p>
    <w:p w:rsidR="001B4968" w:rsidRPr="00DB42F4" w:rsidRDefault="001B4968" w:rsidP="00DB42F4">
      <w:pPr>
        <w:pStyle w:val="BodyText"/>
      </w:pPr>
      <w:r w:rsidRPr="00DB42F4">
        <w:t xml:space="preserve">Australia will remain engaged in the water and sanitation sector because of the demonstrated economic benefits of improved access to water and wastewater management, including healthy families (breadwinners can work/earn money and children can go to school) as well as more productive land for farming and other economic activities.  </w:t>
      </w:r>
    </w:p>
    <w:p w:rsidR="001B4968" w:rsidRPr="00DB42F4" w:rsidRDefault="001B4968" w:rsidP="00DB42F4">
      <w:pPr>
        <w:pStyle w:val="BodyText"/>
      </w:pPr>
      <w:r w:rsidRPr="00DB42F4">
        <w:t>The development cooperation program and infrastructure investment in particular are explicitly recognised as key enablers of the Australian Government’s economic diplomacy agenda. Infrastructure investment is seen as a central component of Australia’s Aid for Trade activities, providing important opportunities to grow two-way trade and elevate Indonesia’s ranking as Australia’s eleventh-largest trading partner.</w:t>
      </w:r>
    </w:p>
    <w:p w:rsidR="001B4968" w:rsidRPr="00DB42F4" w:rsidRDefault="001B4968" w:rsidP="001B4968">
      <w:pPr>
        <w:pStyle w:val="BodyText"/>
      </w:pPr>
      <w:r w:rsidRPr="00DB42F4">
        <w:t>Australian support for infrastructure development also makes a positive contribution to the Australia-Indonesia bilateral relationship. Infrastructure development is also a key area for cooperation between Australia and Indonesia in multilateral forums such as the G-20 and APEC.</w:t>
      </w:r>
    </w:p>
    <w:p w:rsidR="001B4968" w:rsidRDefault="00F717C0" w:rsidP="00F717C0">
      <w:pPr>
        <w:pStyle w:val="Heading2"/>
        <w:rPr>
          <w:bCs/>
          <w:iCs/>
          <w:color w:val="000000"/>
          <w:szCs w:val="20"/>
        </w:rPr>
      </w:pPr>
      <w:bookmarkStart w:id="9" w:name="_Toc433188036"/>
      <w:r w:rsidRPr="00806481">
        <w:t>Proposed o</w:t>
      </w:r>
      <w:r w:rsidR="00923D0F">
        <w:t>utcomes and investment options</w:t>
      </w:r>
      <w:bookmarkEnd w:id="9"/>
    </w:p>
    <w:p w:rsidR="00F717C0" w:rsidRPr="00F717C0" w:rsidRDefault="00F717C0" w:rsidP="00F717C0">
      <w:pPr>
        <w:pStyle w:val="BodyText"/>
      </w:pPr>
      <w:r w:rsidRPr="00F717C0">
        <w:t xml:space="preserve">The overall goal of Australian </w:t>
      </w:r>
      <w:r w:rsidR="002F5DB6">
        <w:t xml:space="preserve">infrastructure </w:t>
      </w:r>
      <w:r w:rsidRPr="00F717C0">
        <w:t>investments</w:t>
      </w:r>
      <w:r w:rsidR="002F5DB6">
        <w:t xml:space="preserve"> in Indonesia</w:t>
      </w:r>
      <w:r w:rsidRPr="00F717C0">
        <w:t xml:space="preserve"> is to support </w:t>
      </w:r>
      <w:r w:rsidRPr="00F717C0">
        <w:rPr>
          <w:i/>
        </w:rPr>
        <w:t xml:space="preserve">‘rapid, sustainable and inclusive economic growth and improved access to basic infrastructure services to help reduce poverty and promote women’s </w:t>
      </w:r>
      <w:r w:rsidR="00B04EFF">
        <w:rPr>
          <w:i/>
        </w:rPr>
        <w:t xml:space="preserve">economic </w:t>
      </w:r>
      <w:r w:rsidRPr="00F717C0">
        <w:rPr>
          <w:i/>
        </w:rPr>
        <w:t>participation and empowerment’.</w:t>
      </w:r>
    </w:p>
    <w:p w:rsidR="00F717C0" w:rsidRPr="00F717C0" w:rsidRDefault="00F717C0" w:rsidP="00F717C0">
      <w:pPr>
        <w:pStyle w:val="BodyText"/>
      </w:pPr>
      <w:r w:rsidRPr="00F717C0">
        <w:t xml:space="preserve">With Australia’s aid program representing less than 0.01 per cent of Indonesia’s Government revenue, support for infrastructure will continue to focus on leveraging Indonesia’s own infrastructure spending and improving the quality of Government and Multilateral Development Bank (MDB) infrastructure projects. Assistance will progressively shift away from directly demonstrating and building infrastructure using grant funding, to partnerships with </w:t>
      </w:r>
      <w:proofErr w:type="spellStart"/>
      <w:r w:rsidR="000A3003">
        <w:t>GoI</w:t>
      </w:r>
      <w:proofErr w:type="spellEnd"/>
      <w:r w:rsidRPr="00F717C0">
        <w:t xml:space="preserve"> that improve the preparation and delivery of infrastructure financed from public and private sources as well as the multilateral development banks.</w:t>
      </w:r>
    </w:p>
    <w:p w:rsidR="00F717C0" w:rsidRPr="00F717C0" w:rsidRDefault="00F717C0" w:rsidP="00F717C0">
      <w:pPr>
        <w:pStyle w:val="BodyText"/>
      </w:pPr>
      <w:r w:rsidRPr="00F717C0">
        <w:lastRenderedPageBreak/>
        <w:t xml:space="preserve">Assistance will focus on institutionally delivered infrastructure mainly in transport and water/sanitation where </w:t>
      </w:r>
      <w:r w:rsidR="000722ED">
        <w:t>DFAT’s</w:t>
      </w:r>
      <w:r w:rsidR="000722ED" w:rsidRPr="00F717C0">
        <w:t xml:space="preserve"> </w:t>
      </w:r>
      <w:r w:rsidRPr="00F717C0">
        <w:t>existing program</w:t>
      </w:r>
      <w:r w:rsidR="000722ED">
        <w:t>s</w:t>
      </w:r>
      <w:r w:rsidRPr="00F717C0">
        <w:t xml:space="preserve"> and relationships are strongest. </w:t>
      </w:r>
    </w:p>
    <w:p w:rsidR="00F717C0" w:rsidRPr="00F717C0" w:rsidRDefault="00F717C0" w:rsidP="00F717C0">
      <w:pPr>
        <w:pStyle w:val="BodyText"/>
      </w:pPr>
      <w:r w:rsidRPr="00F717C0">
        <w:t xml:space="preserve">The program design will also reflect the Government of Australia’s policy </w:t>
      </w:r>
      <w:r w:rsidRPr="00DF3A34">
        <w:t xml:space="preserve">priorities related to economic diplomacy and </w:t>
      </w:r>
      <w:r w:rsidR="000722ED" w:rsidRPr="00DF3A34">
        <w:t>A</w:t>
      </w:r>
      <w:r w:rsidRPr="00DF3A34">
        <w:t xml:space="preserve">id for </w:t>
      </w:r>
      <w:r w:rsidR="000722ED" w:rsidRPr="00DF3A34">
        <w:t>T</w:t>
      </w:r>
      <w:r w:rsidRPr="00DF3A34">
        <w:t xml:space="preserve">rade. Identifying opportunities to help tackle the disincentives to investment in infrastructure, particularly from the private sector, such as </w:t>
      </w:r>
      <w:r w:rsidR="00DF3A34" w:rsidRPr="00DF3A34">
        <w:t xml:space="preserve">uncertainty in the </w:t>
      </w:r>
      <w:r w:rsidRPr="00DF3A34">
        <w:t>regulat</w:t>
      </w:r>
      <w:r w:rsidR="00DF3A34" w:rsidRPr="00DF3A34">
        <w:t>ory environment</w:t>
      </w:r>
      <w:r w:rsidRPr="00DF3A34">
        <w:t xml:space="preserve"> and </w:t>
      </w:r>
      <w:r w:rsidR="00DF3A34" w:rsidRPr="00DF3A34">
        <w:t>inadequate</w:t>
      </w:r>
      <w:r w:rsidRPr="00DF3A34">
        <w:t xml:space="preserve"> project preparation will be a particular focus of the design and subsequent future program.</w:t>
      </w:r>
    </w:p>
    <w:p w:rsidR="00F717C0" w:rsidRPr="00D13B48" w:rsidRDefault="00F717C0" w:rsidP="00F717C0">
      <w:pPr>
        <w:pStyle w:val="BodyText"/>
      </w:pPr>
      <w:r w:rsidRPr="004F40DD">
        <w:t>Contributing to the empowerment of women and girls will be a key consideration in the program design. This includes among other things addressing infrastructure constraints that inhibit the full participation of women in economic activities. Implementation of this will be done through mainstreaming gender principles in relevant technical assistance activities as well as implementing activities with gender equality as a primary goal.</w:t>
      </w:r>
      <w:r>
        <w:t xml:space="preserve">  </w:t>
      </w:r>
    </w:p>
    <w:p w:rsidR="00F717C0" w:rsidRPr="00F717C0" w:rsidRDefault="00F717C0" w:rsidP="00F717C0">
      <w:pPr>
        <w:pStyle w:val="BodyText"/>
      </w:pPr>
      <w:r w:rsidRPr="00F717C0">
        <w:t xml:space="preserve">Three outcomes are listed below and are proposed to guide our investments. Within each outcome there is a stock of activities planned and under early implementation from our existing infrastructure program. We propose that these will form the basis for the new program and will be complemented by a set of new activities to be developed in consultation with </w:t>
      </w:r>
      <w:proofErr w:type="spellStart"/>
      <w:r w:rsidR="002F5DB6">
        <w:t>GoI</w:t>
      </w:r>
      <w:proofErr w:type="spellEnd"/>
      <w:r w:rsidRPr="00F717C0">
        <w:t>.</w:t>
      </w:r>
    </w:p>
    <w:p w:rsidR="00F717C0" w:rsidRPr="00F717C0" w:rsidRDefault="00F717C0" w:rsidP="00F717C0">
      <w:pPr>
        <w:pStyle w:val="ListBullet"/>
        <w:ind w:left="284" w:hanging="284"/>
        <w:rPr>
          <w:b/>
          <w:i/>
        </w:rPr>
      </w:pPr>
      <w:r w:rsidRPr="00F717C0">
        <w:rPr>
          <w:b/>
          <w:i/>
        </w:rPr>
        <w:t xml:space="preserve">High quality project delivery, management and maintenance by Government of Indonesia - </w:t>
      </w:r>
      <w:r w:rsidRPr="00F717C0">
        <w:t>this outcome will specifically focus on improving the delivery of infrastructure investments financed by Government or MDB loans. Assistance will aim to strengthening institutions and systems to plan, design, deliver and maintain infrastructure that enhances trade, economic and access opportunities for men and women. Priorities include:</w:t>
      </w:r>
    </w:p>
    <w:p w:rsidR="00F717C0" w:rsidRPr="00F717C0" w:rsidRDefault="00F717C0" w:rsidP="00F717C0">
      <w:pPr>
        <w:spacing w:after="120" w:line="276" w:lineRule="auto"/>
        <w:ind w:left="284"/>
        <w:contextualSpacing/>
        <w:rPr>
          <w:rFonts w:ascii="Franklin Gothic Book" w:hAnsi="Franklin Gothic Book"/>
          <w:sz w:val="21"/>
          <w:u w:val="single"/>
        </w:rPr>
      </w:pPr>
      <w:r w:rsidRPr="00F717C0">
        <w:rPr>
          <w:rFonts w:ascii="Franklin Gothic Book" w:hAnsi="Franklin Gothic Book"/>
          <w:sz w:val="21"/>
          <w:u w:val="single"/>
        </w:rPr>
        <w:t>Activities planned and under implementation:</w:t>
      </w:r>
    </w:p>
    <w:p w:rsidR="00F717C0" w:rsidRPr="00F717C0" w:rsidRDefault="00F717C0" w:rsidP="00F717C0">
      <w:pPr>
        <w:pStyle w:val="ListBullet2"/>
        <w:ind w:left="568" w:hanging="284"/>
      </w:pPr>
      <w:r w:rsidRPr="00F717C0">
        <w:t xml:space="preserve">Progressive phasing out of existing grant funded demonstration projects in water, sanitation, provincial road maintenance, and city sewerage, for either direct funding by </w:t>
      </w:r>
      <w:proofErr w:type="spellStart"/>
      <w:r w:rsidR="004A1EE0">
        <w:t>GoI</w:t>
      </w:r>
      <w:proofErr w:type="spellEnd"/>
      <w:r w:rsidR="004A1EE0">
        <w:t xml:space="preserve"> </w:t>
      </w:r>
      <w:r w:rsidRPr="00F717C0">
        <w:t>or co-financing arrangements with MDBs. Examples include:</w:t>
      </w:r>
    </w:p>
    <w:p w:rsidR="00F717C0" w:rsidRPr="00F717C0" w:rsidRDefault="00F717C0" w:rsidP="00F717C0">
      <w:pPr>
        <w:pStyle w:val="ListBullet3"/>
        <w:ind w:left="851" w:hanging="284"/>
      </w:pPr>
      <w:r w:rsidRPr="00F717C0">
        <w:t xml:space="preserve">The </w:t>
      </w:r>
      <w:r w:rsidR="00D161F0">
        <w:t>W</w:t>
      </w:r>
      <w:r w:rsidRPr="00F717C0">
        <w:t xml:space="preserve">ater </w:t>
      </w:r>
      <w:proofErr w:type="spellStart"/>
      <w:r w:rsidR="00D161F0" w:rsidRPr="00D161F0">
        <w:t>H</w:t>
      </w:r>
      <w:r w:rsidRPr="00D161F0">
        <w:t>ibah</w:t>
      </w:r>
      <w:proofErr w:type="spellEnd"/>
      <w:r w:rsidRPr="00F717C0">
        <w:t xml:space="preserve">: </w:t>
      </w:r>
      <w:proofErr w:type="spellStart"/>
      <w:r w:rsidR="004A1EE0">
        <w:t>GoI</w:t>
      </w:r>
      <w:proofErr w:type="spellEnd"/>
      <w:r w:rsidR="004A1EE0" w:rsidRPr="00F717C0">
        <w:t xml:space="preserve"> </w:t>
      </w:r>
      <w:r w:rsidRPr="00F717C0">
        <w:t>is making a significant initial allocation of Rp500 billion (A$50 million) in 2015-16 to take on and roll out the program;</w:t>
      </w:r>
    </w:p>
    <w:p w:rsidR="00F717C0" w:rsidRPr="00F717C0" w:rsidRDefault="00F717C0" w:rsidP="00F717C0">
      <w:pPr>
        <w:pStyle w:val="ListBullet3"/>
        <w:ind w:left="851" w:hanging="284"/>
      </w:pPr>
      <w:r w:rsidRPr="00F717C0">
        <w:t xml:space="preserve">The </w:t>
      </w:r>
      <w:r w:rsidR="00D161F0">
        <w:t>S</w:t>
      </w:r>
      <w:r w:rsidRPr="00F717C0">
        <w:t xml:space="preserve">anitation </w:t>
      </w:r>
      <w:proofErr w:type="spellStart"/>
      <w:r w:rsidR="00D161F0" w:rsidRPr="00D161F0">
        <w:t>H</w:t>
      </w:r>
      <w:r w:rsidRPr="00D161F0">
        <w:t>ibah</w:t>
      </w:r>
      <w:proofErr w:type="spellEnd"/>
      <w:r w:rsidRPr="00F717C0">
        <w:t xml:space="preserve">: </w:t>
      </w:r>
      <w:proofErr w:type="spellStart"/>
      <w:r w:rsidR="004A1EE0">
        <w:t>GoI</w:t>
      </w:r>
      <w:proofErr w:type="spellEnd"/>
      <w:r w:rsidR="004A1EE0" w:rsidRPr="00F717C0">
        <w:t xml:space="preserve"> </w:t>
      </w:r>
      <w:r w:rsidRPr="00F717C0">
        <w:t xml:space="preserve">is planning to mainstream this alongside the </w:t>
      </w:r>
      <w:r w:rsidR="00D161F0">
        <w:t>W</w:t>
      </w:r>
      <w:r w:rsidRPr="00F717C0">
        <w:t xml:space="preserve">ater </w:t>
      </w:r>
      <w:proofErr w:type="spellStart"/>
      <w:r w:rsidR="00D161F0" w:rsidRPr="00D161F0">
        <w:t>H</w:t>
      </w:r>
      <w:r w:rsidRPr="00D161F0">
        <w:t>ibah</w:t>
      </w:r>
      <w:proofErr w:type="spellEnd"/>
      <w:r w:rsidRPr="00F717C0">
        <w:t xml:space="preserve"> from 2016;</w:t>
      </w:r>
    </w:p>
    <w:p w:rsidR="00F717C0" w:rsidRPr="00F717C0" w:rsidRDefault="00F717C0" w:rsidP="00F717C0">
      <w:pPr>
        <w:pStyle w:val="ListBullet3"/>
        <w:ind w:left="851" w:hanging="284"/>
      </w:pPr>
      <w:r w:rsidRPr="00F717C0">
        <w:t xml:space="preserve">Provincial road maintenance: the demand from </w:t>
      </w:r>
      <w:proofErr w:type="spellStart"/>
      <w:r w:rsidR="004A1EE0">
        <w:t>GoI</w:t>
      </w:r>
      <w:proofErr w:type="spellEnd"/>
      <w:r w:rsidR="004A1EE0" w:rsidRPr="00F717C0">
        <w:t xml:space="preserve"> </w:t>
      </w:r>
      <w:r w:rsidRPr="00F717C0">
        <w:t>to expand this program beyond the Australian funded pilot in one Province will necessitate significant funding and possible loan financing from the World Bank;</w:t>
      </w:r>
    </w:p>
    <w:p w:rsidR="00F717C0" w:rsidRPr="00F717C0" w:rsidRDefault="00F717C0" w:rsidP="00F717C0">
      <w:pPr>
        <w:pStyle w:val="ListBullet3"/>
        <w:ind w:left="851" w:hanging="284"/>
      </w:pPr>
      <w:r w:rsidRPr="00F717C0">
        <w:t xml:space="preserve">Palembang waste water treatment: investment is under consideration and </w:t>
      </w:r>
      <w:r w:rsidR="002F5DB6">
        <w:t xml:space="preserve">funds are </w:t>
      </w:r>
      <w:r w:rsidRPr="00F717C0">
        <w:t>likely to be drawn on from 2017-18 along with potential loan co-financing from the ADB.</w:t>
      </w:r>
    </w:p>
    <w:p w:rsidR="00F717C0" w:rsidRPr="00F717C0" w:rsidRDefault="00F717C0" w:rsidP="00F717C0">
      <w:pPr>
        <w:spacing w:after="120" w:line="276" w:lineRule="auto"/>
        <w:ind w:left="284"/>
        <w:contextualSpacing/>
        <w:rPr>
          <w:rFonts w:ascii="Franklin Gothic Book" w:hAnsi="Franklin Gothic Book"/>
          <w:sz w:val="21"/>
          <w:u w:val="single"/>
        </w:rPr>
      </w:pPr>
      <w:r w:rsidRPr="00F717C0">
        <w:rPr>
          <w:rFonts w:ascii="Franklin Gothic Book" w:hAnsi="Franklin Gothic Book"/>
          <w:sz w:val="21"/>
          <w:u w:val="single"/>
        </w:rPr>
        <w:t>New investment activity options for consideration in the design:</w:t>
      </w:r>
    </w:p>
    <w:p w:rsidR="00F717C0" w:rsidRDefault="00F717C0" w:rsidP="00F717C0">
      <w:pPr>
        <w:pStyle w:val="ListBullet2"/>
        <w:ind w:left="568" w:hanging="284"/>
      </w:pPr>
      <w:r w:rsidRPr="00F717C0">
        <w:t>Trialling of an innovative Performance Based Availability Scheme (PBAS) in the national roads sector, where the private sector is required to build and maintain a road corridor over a specified timeframe (for example 20 years) to pre-agreed performance benchmarks.</w:t>
      </w:r>
    </w:p>
    <w:p w:rsidR="003373A6" w:rsidRPr="002153F9" w:rsidRDefault="003373A6" w:rsidP="006C7543">
      <w:pPr>
        <w:pStyle w:val="ListBullet2"/>
        <w:numPr>
          <w:ilvl w:val="0"/>
          <w:numId w:val="0"/>
        </w:numPr>
        <w:ind w:left="568"/>
      </w:pPr>
    </w:p>
    <w:p w:rsidR="00F717C0" w:rsidRPr="00F717C0" w:rsidRDefault="00F717C0" w:rsidP="00F717C0">
      <w:pPr>
        <w:pStyle w:val="ListBullet"/>
        <w:ind w:left="284" w:hanging="284"/>
        <w:rPr>
          <w:b/>
          <w:i/>
        </w:rPr>
      </w:pPr>
      <w:r w:rsidRPr="00F717C0">
        <w:rPr>
          <w:b/>
          <w:i/>
        </w:rPr>
        <w:lastRenderedPageBreak/>
        <w:t>An improved policy and regulatory framework conducive to infrastructure development -</w:t>
      </w:r>
      <w:r w:rsidRPr="00F717C0">
        <w:t xml:space="preserve"> this outcome will help address the uncertain and inconsistent regulatory environment that has held back public and private infrastructure investment. Priorities include:</w:t>
      </w:r>
    </w:p>
    <w:p w:rsidR="00F717C0" w:rsidRPr="00F717C0" w:rsidRDefault="00F717C0" w:rsidP="00F717C0">
      <w:pPr>
        <w:spacing w:after="120" w:line="276" w:lineRule="auto"/>
        <w:ind w:left="284"/>
        <w:contextualSpacing/>
        <w:rPr>
          <w:rFonts w:ascii="Franklin Gothic Book" w:hAnsi="Franklin Gothic Book"/>
          <w:sz w:val="21"/>
          <w:u w:val="single"/>
        </w:rPr>
      </w:pPr>
      <w:r w:rsidRPr="00F717C0">
        <w:rPr>
          <w:rFonts w:ascii="Franklin Gothic Book" w:hAnsi="Franklin Gothic Book"/>
          <w:sz w:val="21"/>
          <w:u w:val="single"/>
        </w:rPr>
        <w:t>Activities planned and under implementation:</w:t>
      </w:r>
    </w:p>
    <w:p w:rsidR="00AF4EFE" w:rsidRDefault="00F717C0" w:rsidP="00F717C0">
      <w:pPr>
        <w:pStyle w:val="ListBullet2"/>
        <w:ind w:left="568" w:hanging="284"/>
      </w:pPr>
      <w:r w:rsidRPr="00F717C0">
        <w:t>Building upon existing policy and regulatory assistance that has</w:t>
      </w:r>
      <w:r w:rsidR="004A1EE0">
        <w:t xml:space="preserve"> previously</w:t>
      </w:r>
      <w:r w:rsidRPr="00F717C0">
        <w:t xml:space="preserve"> helped deliver:</w:t>
      </w:r>
    </w:p>
    <w:p w:rsidR="00AF4EFE" w:rsidRDefault="00F717C0" w:rsidP="00AF4EFE">
      <w:pPr>
        <w:pStyle w:val="ListBullet3"/>
        <w:ind w:left="851" w:hanging="284"/>
      </w:pPr>
      <w:r w:rsidRPr="00F717C0">
        <w:t xml:space="preserve">national level master plans in the ports and energy sectors that have had high level buy-in and informed </w:t>
      </w:r>
      <w:proofErr w:type="spellStart"/>
      <w:r w:rsidR="00AF1A46">
        <w:t>GoI</w:t>
      </w:r>
      <w:proofErr w:type="spellEnd"/>
      <w:r w:rsidRPr="00F717C0">
        <w:t xml:space="preserve"> reform; </w:t>
      </w:r>
    </w:p>
    <w:p w:rsidR="00AF4EFE" w:rsidRDefault="00F717C0" w:rsidP="00AF4EFE">
      <w:pPr>
        <w:pStyle w:val="ListBullet3"/>
        <w:ind w:left="851" w:hanging="284"/>
      </w:pPr>
      <w:r w:rsidRPr="00F717C0">
        <w:t xml:space="preserve">advisory support for energy tariff setting; and </w:t>
      </w:r>
    </w:p>
    <w:p w:rsidR="00F717C0" w:rsidRPr="00F717C0" w:rsidRDefault="00F717C0" w:rsidP="00AF4EFE">
      <w:pPr>
        <w:pStyle w:val="ListBullet3"/>
        <w:ind w:left="851" w:hanging="284"/>
      </w:pPr>
      <w:proofErr w:type="gramStart"/>
      <w:r w:rsidRPr="00F717C0">
        <w:t>analytical</w:t>
      </w:r>
      <w:proofErr w:type="gramEnd"/>
      <w:r w:rsidRPr="00F717C0">
        <w:t xml:space="preserve"> and advisory support focussed on getting greater value for money out of public expenditure on the national road network.</w:t>
      </w:r>
    </w:p>
    <w:p w:rsidR="00F717C0" w:rsidRPr="00F717C0" w:rsidRDefault="00F717C0" w:rsidP="00F717C0">
      <w:pPr>
        <w:spacing w:after="120" w:line="276" w:lineRule="auto"/>
        <w:ind w:left="284"/>
        <w:contextualSpacing/>
        <w:rPr>
          <w:rFonts w:ascii="Franklin Gothic Book" w:hAnsi="Franklin Gothic Book"/>
          <w:sz w:val="21"/>
          <w:u w:val="single"/>
        </w:rPr>
      </w:pPr>
      <w:r w:rsidRPr="00F717C0">
        <w:rPr>
          <w:rFonts w:ascii="Franklin Gothic Book" w:hAnsi="Franklin Gothic Book"/>
          <w:sz w:val="21"/>
          <w:u w:val="single"/>
        </w:rPr>
        <w:t>New investment options for consideration in the design:</w:t>
      </w:r>
    </w:p>
    <w:p w:rsidR="00F717C0" w:rsidRPr="00F717C0" w:rsidRDefault="00F717C0" w:rsidP="00F717C0">
      <w:pPr>
        <w:pStyle w:val="ListBullet2"/>
        <w:ind w:left="568" w:hanging="284"/>
      </w:pPr>
      <w:r w:rsidRPr="00F717C0">
        <w:t>Improving the institutional environment for Public Private Partnership (PPP) infrastructure investments in Indonesia, including assistance through existing Trust Funds with the World Bank and/or ADB.</w:t>
      </w:r>
    </w:p>
    <w:p w:rsidR="00F717C0" w:rsidRPr="00F717C0" w:rsidRDefault="00F717C0" w:rsidP="00F717C0">
      <w:pPr>
        <w:pStyle w:val="ListBullet2"/>
        <w:ind w:left="568" w:hanging="284"/>
      </w:pPr>
      <w:r w:rsidRPr="00F717C0">
        <w:t>Assistance to get the policy and regulatory settings right for the targeted selection and preparation of high quality infrastructure projects, as well as increased private sector participation across infrastructure sectors.</w:t>
      </w:r>
    </w:p>
    <w:p w:rsidR="00F717C0" w:rsidRPr="00F717C0" w:rsidRDefault="00F717C0" w:rsidP="00F717C0">
      <w:pPr>
        <w:pStyle w:val="ListBullet"/>
        <w:ind w:left="284" w:hanging="284"/>
        <w:rPr>
          <w:b/>
          <w:i/>
        </w:rPr>
      </w:pPr>
      <w:r w:rsidRPr="00F717C0">
        <w:rPr>
          <w:b/>
          <w:i/>
        </w:rPr>
        <w:t>High quality project preparation -</w:t>
      </w:r>
      <w:r w:rsidRPr="00F717C0">
        <w:t xml:space="preserve"> this outcome will specifically focus on improving project preparation of infrastructure investments for financing by </w:t>
      </w:r>
      <w:proofErr w:type="spellStart"/>
      <w:r w:rsidR="00AF4EFE">
        <w:t>GoI</w:t>
      </w:r>
      <w:proofErr w:type="spellEnd"/>
      <w:r w:rsidRPr="00F717C0">
        <w:t>, MDB loans or the private sector. This will help address underinvestment in the infrastructure sector as well as improve the overall sustainability of investments by facilitating high-quality project designs. Priorities include:</w:t>
      </w:r>
    </w:p>
    <w:p w:rsidR="00F717C0" w:rsidRPr="00F717C0" w:rsidRDefault="00F717C0" w:rsidP="00F717C0">
      <w:pPr>
        <w:spacing w:after="120" w:line="276" w:lineRule="auto"/>
        <w:ind w:left="284"/>
        <w:contextualSpacing/>
        <w:rPr>
          <w:rFonts w:ascii="Franklin Gothic Book" w:hAnsi="Franklin Gothic Book"/>
          <w:sz w:val="21"/>
          <w:u w:val="single"/>
        </w:rPr>
      </w:pPr>
      <w:r w:rsidRPr="00F717C0">
        <w:rPr>
          <w:rFonts w:ascii="Franklin Gothic Book" w:hAnsi="Franklin Gothic Book"/>
          <w:sz w:val="21"/>
          <w:u w:val="single"/>
        </w:rPr>
        <w:t>Activities planned and under implementation:</w:t>
      </w:r>
    </w:p>
    <w:p w:rsidR="00F717C0" w:rsidRPr="00F717C0" w:rsidRDefault="00F717C0" w:rsidP="00F717C0">
      <w:pPr>
        <w:pStyle w:val="ListBullet2"/>
        <w:ind w:left="568" w:hanging="284"/>
      </w:pPr>
      <w:r w:rsidRPr="00F717C0">
        <w:t>High quality project preparation of investments for financing by the MDBs or the private sector that has included wastewater investment plans in eight cities of Indonesia, water supply investments for Indonesia’s two largest cities (Jakarta and Surabaya), modelling / feasibility work for light rail Mass Rapid Transit options in Surabaya, and  the Makassar port master plan along with its pre-feasibility study.</w:t>
      </w:r>
    </w:p>
    <w:p w:rsidR="00F717C0" w:rsidRPr="00F717C0" w:rsidRDefault="00F717C0" w:rsidP="00F717C0">
      <w:pPr>
        <w:spacing w:after="120" w:line="276" w:lineRule="auto"/>
        <w:ind w:left="284"/>
        <w:contextualSpacing/>
        <w:rPr>
          <w:rFonts w:ascii="Franklin Gothic Book" w:hAnsi="Franklin Gothic Book"/>
          <w:sz w:val="21"/>
          <w:u w:val="single"/>
        </w:rPr>
      </w:pPr>
      <w:r w:rsidRPr="00F717C0">
        <w:rPr>
          <w:rFonts w:ascii="Franklin Gothic Book" w:hAnsi="Franklin Gothic Book"/>
          <w:sz w:val="21"/>
          <w:u w:val="single"/>
        </w:rPr>
        <w:t>New investment options for consideration in the design:</w:t>
      </w:r>
    </w:p>
    <w:p w:rsidR="00F717C0" w:rsidRPr="00F717C0" w:rsidRDefault="00F717C0" w:rsidP="00F717C0">
      <w:pPr>
        <w:pStyle w:val="ListBullet2"/>
        <w:ind w:left="568" w:hanging="284"/>
      </w:pPr>
      <w:r w:rsidRPr="00F717C0">
        <w:t>Feasibility studies and project preparation to explore opportunities for small and relatively simple PPPs as guided by newly established decision-making bodies in government.</w:t>
      </w:r>
    </w:p>
    <w:p w:rsidR="001B4968" w:rsidRPr="00F717C0" w:rsidRDefault="00F717C0" w:rsidP="00AF4EFE">
      <w:pPr>
        <w:pStyle w:val="ListBullet2"/>
        <w:ind w:left="568" w:hanging="284"/>
      </w:pPr>
      <w:r w:rsidRPr="00F717C0">
        <w:t>Support to the Government machinery associated with PPP decision-making and project preparation as it is established.</w:t>
      </w:r>
    </w:p>
    <w:p w:rsidR="001B4968" w:rsidRDefault="00F717C0" w:rsidP="00F717C0">
      <w:pPr>
        <w:pStyle w:val="Heading2"/>
        <w:rPr>
          <w:bCs/>
          <w:iCs/>
          <w:color w:val="000000"/>
          <w:szCs w:val="20"/>
        </w:rPr>
      </w:pPr>
      <w:bookmarkStart w:id="10" w:name="_Toc433188037"/>
      <w:r w:rsidRPr="00806481">
        <w:t>Implementation</w:t>
      </w:r>
      <w:r w:rsidR="00923D0F">
        <w:t xml:space="preserve"> and </w:t>
      </w:r>
      <w:r w:rsidRPr="00806481">
        <w:t>delivery approach</w:t>
      </w:r>
      <w:bookmarkEnd w:id="10"/>
      <w:r w:rsidRPr="00806481">
        <w:t xml:space="preserve"> </w:t>
      </w:r>
    </w:p>
    <w:p w:rsidR="00F717C0" w:rsidRPr="00B14ADB" w:rsidRDefault="00CC259C" w:rsidP="00F717C0">
      <w:pPr>
        <w:pStyle w:val="Heading4"/>
      </w:pPr>
      <w:r>
        <w:t xml:space="preserve">Implementation </w:t>
      </w:r>
      <w:r w:rsidR="00005510">
        <w:t>a</w:t>
      </w:r>
      <w:r>
        <w:t>pproach</w:t>
      </w:r>
    </w:p>
    <w:p w:rsidR="00F717C0" w:rsidRPr="00F717C0" w:rsidRDefault="00F717C0" w:rsidP="00F717C0">
      <w:pPr>
        <w:pStyle w:val="BodyText"/>
      </w:pPr>
      <w:r w:rsidRPr="00F717C0">
        <w:t xml:space="preserve">The guiding principle for the delivery of the future infrastructure program is that Australian resources leverage, not replace, Indonesian domestic resources (from both the </w:t>
      </w:r>
      <w:proofErr w:type="spellStart"/>
      <w:r w:rsidR="00AF4EFE">
        <w:t>GoI</w:t>
      </w:r>
      <w:proofErr w:type="spellEnd"/>
      <w:r w:rsidR="00AF4EFE">
        <w:t xml:space="preserve"> </w:t>
      </w:r>
      <w:r w:rsidRPr="00F717C0">
        <w:t xml:space="preserve">budget and the private sector) for improved infrastructure delivery. This is consistent with the new development cooperation paradigm outlined by the </w:t>
      </w:r>
      <w:r w:rsidR="00AF4EFE">
        <w:t xml:space="preserve">Australian </w:t>
      </w:r>
      <w:r w:rsidRPr="00F717C0">
        <w:t xml:space="preserve">Minister for Foreign Affairs and also recognises that donor financing constitutes a small fraction of total infrastructure financing </w:t>
      </w:r>
      <w:r w:rsidRPr="00F717C0">
        <w:lastRenderedPageBreak/>
        <w:t xml:space="preserve">in Indonesia. With the reduction in aid budget </w:t>
      </w:r>
      <w:r w:rsidR="00AF4EFE">
        <w:t>Australia</w:t>
      </w:r>
      <w:r w:rsidR="00AF4EFE" w:rsidRPr="00F717C0">
        <w:t xml:space="preserve"> </w:t>
      </w:r>
      <w:r w:rsidRPr="00F717C0">
        <w:t xml:space="preserve">will </w:t>
      </w:r>
      <w:r w:rsidR="00AF4EFE">
        <w:t xml:space="preserve">be </w:t>
      </w:r>
      <w:r w:rsidRPr="00F717C0">
        <w:t>shift</w:t>
      </w:r>
      <w:r w:rsidR="00AF4EFE">
        <w:t>ing</w:t>
      </w:r>
      <w:r w:rsidRPr="00F717C0">
        <w:t xml:space="preserve"> away from directly demonstrating and building infrastructure using grant funding, and will work closely with </w:t>
      </w:r>
      <w:proofErr w:type="spellStart"/>
      <w:r w:rsidR="00AF4EFE">
        <w:t>GoI</w:t>
      </w:r>
      <w:proofErr w:type="spellEnd"/>
      <w:r w:rsidR="00AF4EFE" w:rsidRPr="00F717C0">
        <w:t xml:space="preserve"> </w:t>
      </w:r>
      <w:r w:rsidRPr="00F717C0">
        <w:t>and the MDBs to align with a core of physical infrastructure investment pipelines.</w:t>
      </w:r>
    </w:p>
    <w:p w:rsidR="00F717C0" w:rsidRPr="00F717C0" w:rsidRDefault="00F717C0" w:rsidP="00F717C0">
      <w:pPr>
        <w:pStyle w:val="BodyText"/>
      </w:pPr>
      <w:r w:rsidRPr="00F717C0">
        <w:t xml:space="preserve">The design of the new infrastructure program will strengthen linkages with other Australian aid program activities. Activities delivered through the Australia Indonesia Partnership for Economic Governance (AIPEG) will help unblock institutional and regulatory constraints to private financing that are critical for PPP infrastructure investments and the trialling of innovations in national road delivery such as Performance Based Availability Schemes. The infrastructure program will link with the Knowledge Sector Initiative (KSI) and Governance for Growth Program (KOMPAK) through a thematic focus on sub-national governance to improve public financial management and accountability and sub-national infrastructure delivery. </w:t>
      </w:r>
    </w:p>
    <w:p w:rsidR="00F717C0" w:rsidRPr="00F717C0" w:rsidRDefault="00F717C0" w:rsidP="00F717C0">
      <w:pPr>
        <w:pStyle w:val="BodyText"/>
      </w:pPr>
      <w:r w:rsidRPr="00F717C0">
        <w:t>The design and implementation of the new infrastructure program will also be informed by lessons learned from the existing infrastructure program and the experiences of implementation by other development partners (including significant assistance for PPPs that is yet to result in any major investments). These have emphasised the effectiveness of activities that:</w:t>
      </w:r>
    </w:p>
    <w:p w:rsidR="00F717C0" w:rsidRPr="00F717C0" w:rsidRDefault="00F717C0" w:rsidP="00F717C0">
      <w:pPr>
        <w:pStyle w:val="ListBullet"/>
        <w:ind w:left="284" w:hanging="284"/>
      </w:pPr>
      <w:r w:rsidRPr="00F717C0">
        <w:rPr>
          <w:b/>
        </w:rPr>
        <w:t>Work around a core program of physical investments:</w:t>
      </w:r>
      <w:r w:rsidRPr="00F717C0">
        <w:t xml:space="preserve"> large scale, physical infrastructure creates a powerful demonstration effect of innovative and improved approaches to infrastructure design, delivery and maintenance.</w:t>
      </w:r>
    </w:p>
    <w:p w:rsidR="00F717C0" w:rsidRPr="00F717C0" w:rsidRDefault="00F717C0" w:rsidP="00F717C0">
      <w:pPr>
        <w:pStyle w:val="ListBullet"/>
        <w:ind w:left="284" w:hanging="284"/>
      </w:pPr>
      <w:r w:rsidRPr="00F717C0">
        <w:rPr>
          <w:b/>
        </w:rPr>
        <w:t xml:space="preserve">Work through Government systems: </w:t>
      </w:r>
      <w:r w:rsidRPr="00F717C0">
        <w:t xml:space="preserve">working in partnership with </w:t>
      </w:r>
      <w:proofErr w:type="spellStart"/>
      <w:r w:rsidR="0040729F">
        <w:t>GoI</w:t>
      </w:r>
      <w:proofErr w:type="spellEnd"/>
      <w:r w:rsidRPr="00F717C0">
        <w:t xml:space="preserve"> creates both financial and technical incentives for the adoption of reform and an improved focus on value for money.</w:t>
      </w:r>
    </w:p>
    <w:p w:rsidR="00F717C0" w:rsidRPr="00F717C0" w:rsidRDefault="000F0E15" w:rsidP="00F717C0">
      <w:pPr>
        <w:pStyle w:val="ListBullet"/>
        <w:ind w:left="284" w:hanging="284"/>
      </w:pPr>
      <w:r>
        <w:rPr>
          <w:b/>
        </w:rPr>
        <w:t>Are</w:t>
      </w:r>
      <w:r w:rsidRPr="00F717C0">
        <w:rPr>
          <w:b/>
        </w:rPr>
        <w:t xml:space="preserve"> </w:t>
      </w:r>
      <w:r w:rsidR="00F717C0" w:rsidRPr="00F717C0">
        <w:rPr>
          <w:b/>
        </w:rPr>
        <w:t>flexible and responsive to opportunities for policy engagement:</w:t>
      </w:r>
      <w:r w:rsidR="00F717C0" w:rsidRPr="00F717C0">
        <w:t xml:space="preserve"> the capacity to provide timely and world class technical expertise can offer cost effective support for key reforms to the institutional environment for infrastructure investment.</w:t>
      </w:r>
    </w:p>
    <w:p w:rsidR="00F717C0" w:rsidRPr="00F717C0" w:rsidRDefault="000F0E15" w:rsidP="00F717C0">
      <w:pPr>
        <w:pStyle w:val="ListBullet"/>
        <w:ind w:left="284" w:hanging="284"/>
      </w:pPr>
      <w:r>
        <w:rPr>
          <w:b/>
        </w:rPr>
        <w:t>Provide</w:t>
      </w:r>
      <w:r w:rsidR="00F717C0" w:rsidRPr="00F717C0">
        <w:rPr>
          <w:b/>
        </w:rPr>
        <w:t xml:space="preserve"> opportunities to unlock private sector financing for public infrastructure:</w:t>
      </w:r>
      <w:r w:rsidR="00F717C0" w:rsidRPr="00F717C0">
        <w:t xml:space="preserve"> establishing a functioning institutional framework and credible pipeline of investment for private sector financing</w:t>
      </w:r>
      <w:r>
        <w:t xml:space="preserve"> will address critical needs</w:t>
      </w:r>
      <w:proofErr w:type="gramStart"/>
      <w:r>
        <w:t>.</w:t>
      </w:r>
      <w:r w:rsidR="00F717C0" w:rsidRPr="00F717C0">
        <w:t>.</w:t>
      </w:r>
      <w:proofErr w:type="gramEnd"/>
    </w:p>
    <w:p w:rsidR="00F717C0" w:rsidRPr="004B4550" w:rsidRDefault="00F717C0" w:rsidP="00F717C0">
      <w:pPr>
        <w:pStyle w:val="Heading4"/>
      </w:pPr>
      <w:r w:rsidRPr="004B4550">
        <w:t>D</w:t>
      </w:r>
      <w:r w:rsidR="00005510">
        <w:t>elivery a</w:t>
      </w:r>
      <w:r w:rsidR="00CC259C">
        <w:t>pproach</w:t>
      </w:r>
    </w:p>
    <w:p w:rsidR="00F717C0" w:rsidRPr="00F717C0" w:rsidRDefault="00F717C0" w:rsidP="00F717C0">
      <w:pPr>
        <w:pStyle w:val="BodyText"/>
      </w:pPr>
      <w:r w:rsidRPr="00F717C0">
        <w:t xml:space="preserve">Activities funded under the new infrastructure program will be delivered both bilaterally and through existing Trust Funds with the World Bank and Asian Development Bank (noted at attachment </w:t>
      </w:r>
      <w:r w:rsidR="00AF4EFE">
        <w:t>A</w:t>
      </w:r>
      <w:r w:rsidRPr="00F717C0">
        <w:t>). AIIB will likely gain prominence over the proposed 10-year implementation period and a further Trust Fund arrangement could be incorporated within the program.</w:t>
      </w:r>
    </w:p>
    <w:p w:rsidR="00F717C0" w:rsidRPr="00F717C0" w:rsidRDefault="00F717C0" w:rsidP="00F717C0">
      <w:pPr>
        <w:pStyle w:val="BodyText"/>
      </w:pPr>
      <w:r w:rsidRPr="00F717C0">
        <w:t xml:space="preserve">As pipelines of project, policy and direct lending from the MDBs firm up with </w:t>
      </w:r>
      <w:proofErr w:type="spellStart"/>
      <w:r w:rsidR="000F0E15">
        <w:t>GoI</w:t>
      </w:r>
      <w:proofErr w:type="spellEnd"/>
      <w:r w:rsidRPr="00F717C0">
        <w:t xml:space="preserve">, there are clear opportunities for Australian bilateral assistance to support project preparation, leverage policy reforms and support implementation of a core of high priority investments for Government. Bilateral delivery will allow maximum flexibility to ensure assistance is responsive and relevant to the Indonesian </w:t>
      </w:r>
      <w:r w:rsidR="00AF4EFE">
        <w:t>G</w:t>
      </w:r>
      <w:r w:rsidRPr="00F717C0">
        <w:t>overnment. This delivery approach will also enable rigorous management to ensure the timely delivery and cost effectiveness of public resources, as well as adherence to aid program policies on gender equality and social and environmental safeguards.</w:t>
      </w:r>
    </w:p>
    <w:p w:rsidR="00F717C0" w:rsidRPr="00F717C0" w:rsidRDefault="00F717C0" w:rsidP="00F717C0">
      <w:pPr>
        <w:pStyle w:val="BodyText"/>
      </w:pPr>
      <w:r w:rsidRPr="00F717C0">
        <w:t xml:space="preserve">To complement existing Trust Funds with the World Bank and ADB, DFAT will </w:t>
      </w:r>
      <w:r w:rsidR="00AF4EFE">
        <w:t xml:space="preserve">likely </w:t>
      </w:r>
      <w:r w:rsidRPr="00F717C0">
        <w:t>appoint a managing contractor (to be sourced following a competitive international tender</w:t>
      </w:r>
      <w:r w:rsidR="00AF4EFE">
        <w:t xml:space="preserve"> process</w:t>
      </w:r>
      <w:r w:rsidRPr="00F717C0">
        <w:t xml:space="preserve">) to design and implement the new infrastructure program. The individual activities funded by the new program will be progressively identified for design and approval by DFAT, and then </w:t>
      </w:r>
      <w:r w:rsidRPr="00F717C0">
        <w:lastRenderedPageBreak/>
        <w:t>delivered across the ten year duration of the program rather than being wholly pre</w:t>
      </w:r>
      <w:r w:rsidRPr="00F717C0">
        <w:noBreakHyphen/>
        <w:t xml:space="preserve">determined during the design. This approach will enable the new infrastructure program to remain responsive to evolving </w:t>
      </w:r>
      <w:proofErr w:type="spellStart"/>
      <w:r w:rsidR="0040729F">
        <w:t>GoI</w:t>
      </w:r>
      <w:proofErr w:type="spellEnd"/>
      <w:r w:rsidRPr="00F717C0">
        <w:t xml:space="preserve"> infrastructure priorities and strategically direct resources in support of reform opportunities as they emerge. The existing stock of activities in the transport sector and water and sanitation sector will help anchor the facility around a core set of initial investments.</w:t>
      </w:r>
    </w:p>
    <w:p w:rsidR="00F717C0" w:rsidRPr="00B14ADB" w:rsidRDefault="00CC259C" w:rsidP="00F717C0">
      <w:pPr>
        <w:pStyle w:val="Heading4"/>
      </w:pPr>
      <w:r>
        <w:t>Value for Money</w:t>
      </w:r>
    </w:p>
    <w:p w:rsidR="00F717C0" w:rsidRDefault="00F717C0" w:rsidP="00F717C0">
      <w:pPr>
        <w:pStyle w:val="BodyText"/>
      </w:pPr>
      <w:r w:rsidRPr="00F717C0">
        <w:t>DFAT’s Value for Money principles, including a focus on cost consciousness, encouraging competition, and a focus on results, accountability and transparency, will be applied to infrastructure assistance.</w:t>
      </w:r>
    </w:p>
    <w:p w:rsidR="003F33E0" w:rsidRDefault="003F33E0" w:rsidP="003F33E0">
      <w:pPr>
        <w:pStyle w:val="Heading2"/>
      </w:pPr>
      <w:bookmarkStart w:id="11" w:name="_Toc433188038"/>
      <w:r>
        <w:t>Program</w:t>
      </w:r>
      <w:r w:rsidR="00BA28C7">
        <w:t xml:space="preserve"> d</w:t>
      </w:r>
      <w:r>
        <w:t>etails</w:t>
      </w:r>
      <w:bookmarkEnd w:id="11"/>
    </w:p>
    <w:p w:rsidR="003F33E0" w:rsidRDefault="003F33E0" w:rsidP="003F33E0">
      <w:pPr>
        <w:pStyle w:val="Heading4"/>
      </w:pPr>
      <w:r>
        <w:t>Timeframe</w:t>
      </w:r>
    </w:p>
    <w:p w:rsidR="00AF5310" w:rsidRDefault="00BB6CAE" w:rsidP="00CC6D96">
      <w:pPr>
        <w:pStyle w:val="BodyText"/>
      </w:pPr>
      <w:r w:rsidRPr="00CC6D96">
        <w:t xml:space="preserve">The design is expected to be </w:t>
      </w:r>
      <w:r>
        <w:t>completed</w:t>
      </w:r>
      <w:r w:rsidRPr="00CC6D96">
        <w:t xml:space="preserve"> in 201</w:t>
      </w:r>
      <w:r>
        <w:t>6 to allow implementation to commence prior to completion of the existing Indonesia Infrastructure Initiative (</w:t>
      </w:r>
      <w:proofErr w:type="spellStart"/>
      <w:r>
        <w:t>IndII</w:t>
      </w:r>
      <w:proofErr w:type="spellEnd"/>
      <w:r>
        <w:t xml:space="preserve">) and novation of residual activities. </w:t>
      </w:r>
      <w:r w:rsidRPr="00CC6D96">
        <w:t>The</w:t>
      </w:r>
      <w:r>
        <w:t xml:space="preserve"> new program</w:t>
      </w:r>
      <w:r w:rsidRPr="00CC6D96">
        <w:t xml:space="preserve"> timeframe is</w:t>
      </w:r>
      <w:r>
        <w:t xml:space="preserve"> expected to be</w:t>
      </w:r>
      <w:r w:rsidRPr="00CC6D96">
        <w:t xml:space="preserve"> ten years</w:t>
      </w:r>
      <w:r>
        <w:t xml:space="preserve"> (including design) over two phases</w:t>
      </w:r>
      <w:r w:rsidRPr="00CC6D96">
        <w:t xml:space="preserve">. The duration reflects the long-term commitment required to make a meaningful difference to the infrastructure sector in Indonesia, given the time needed to effect changes in factors that influence the supply of and demand for </w:t>
      </w:r>
      <w:r w:rsidRPr="00EB41D0">
        <w:t>better infrastructure services.</w:t>
      </w:r>
      <w:r w:rsidR="00AA1E11" w:rsidRPr="00EB41D0">
        <w:t xml:space="preserve"> </w:t>
      </w:r>
    </w:p>
    <w:p w:rsidR="00AA1E11" w:rsidRPr="00D27618" w:rsidRDefault="00AF5310" w:rsidP="00CC6D96">
      <w:pPr>
        <w:pStyle w:val="BodyText"/>
      </w:pPr>
      <w:r w:rsidRPr="00353714">
        <w:t>The program will be subject to a full independent review after the first phase, which will provide an opportunity to adjust the design to reflect changes in the policy and operating environment and implementation progress and challenges.</w:t>
      </w:r>
      <w:r w:rsidR="00AA1E11" w:rsidRPr="00EB41D0">
        <w:t xml:space="preserve"> </w:t>
      </w:r>
    </w:p>
    <w:p w:rsidR="003F33E0" w:rsidRPr="00F717C0" w:rsidRDefault="003F33E0" w:rsidP="003F33E0">
      <w:pPr>
        <w:pStyle w:val="Heading4"/>
      </w:pPr>
      <w:r>
        <w:t>Budget</w:t>
      </w:r>
    </w:p>
    <w:p w:rsidR="00F717C0" w:rsidRDefault="00F717C0" w:rsidP="00F717C0">
      <w:pPr>
        <w:pStyle w:val="BodyText"/>
      </w:pPr>
      <w:r w:rsidRPr="003F33E0">
        <w:t>A</w:t>
      </w:r>
      <w:r w:rsidR="00A443D2">
        <w:t>n</w:t>
      </w:r>
      <w:r w:rsidR="000F0E15">
        <w:t xml:space="preserve"> initial</w:t>
      </w:r>
      <w:r w:rsidR="00A443D2">
        <w:t xml:space="preserve"> a</w:t>
      </w:r>
      <w:r w:rsidRPr="003F33E0">
        <w:t>nnual financial expenditure of $</w:t>
      </w:r>
      <w:r w:rsidR="000F0E15">
        <w:t>3</w:t>
      </w:r>
      <w:r w:rsidRPr="003F33E0">
        <w:t>0</w:t>
      </w:r>
      <w:r w:rsidR="000F0E15">
        <w:t xml:space="preserve"> </w:t>
      </w:r>
      <w:r w:rsidRPr="003F33E0">
        <w:t>m</w:t>
      </w:r>
      <w:r w:rsidR="000F0E15">
        <w:t>illion</w:t>
      </w:r>
      <w:r w:rsidRPr="003F33E0">
        <w:t xml:space="preserve"> is </w:t>
      </w:r>
      <w:r w:rsidR="00DA3319">
        <w:t>anticipated</w:t>
      </w:r>
      <w:r w:rsidR="00DA3319" w:rsidRPr="003F33E0">
        <w:t xml:space="preserve"> </w:t>
      </w:r>
      <w:r w:rsidRPr="003F33E0">
        <w:t>to support the achievement of the</w:t>
      </w:r>
      <w:r w:rsidR="00DA3319">
        <w:t xml:space="preserve"> </w:t>
      </w:r>
      <w:r w:rsidR="00215400">
        <w:t>p</w:t>
      </w:r>
      <w:r w:rsidR="00DA3319">
        <w:t xml:space="preserve">rogram </w:t>
      </w:r>
      <w:r w:rsidRPr="00F717C0">
        <w:t>outcomes</w:t>
      </w:r>
      <w:r w:rsidR="004839F8">
        <w:t>. A p</w:t>
      </w:r>
      <w:r w:rsidR="00FD15CD">
        <w:t xml:space="preserve">roportion of </w:t>
      </w:r>
      <w:r w:rsidR="004839F8">
        <w:t>these funds</w:t>
      </w:r>
      <w:r w:rsidR="00FD15CD">
        <w:t xml:space="preserve"> </w:t>
      </w:r>
      <w:r w:rsidR="000F0E15">
        <w:t xml:space="preserve">will be required for overheads such as </w:t>
      </w:r>
      <w:r w:rsidR="00114914">
        <w:t xml:space="preserve">operational costs </w:t>
      </w:r>
      <w:r w:rsidR="00DB49FB">
        <w:t>of</w:t>
      </w:r>
      <w:r w:rsidR="00114914">
        <w:t xml:space="preserve"> the facility and </w:t>
      </w:r>
      <w:r w:rsidR="000F0E15">
        <w:t>management fees for a managing contractor.</w:t>
      </w:r>
    </w:p>
    <w:p w:rsidR="00AA1E11" w:rsidRPr="00AA1E11" w:rsidRDefault="00AA1E11" w:rsidP="00AA1E11">
      <w:pPr>
        <w:pStyle w:val="Heading4"/>
      </w:pPr>
      <w:bookmarkStart w:id="12" w:name="_Toc394312554"/>
      <w:bookmarkStart w:id="13" w:name="_Toc394312579"/>
      <w:r w:rsidRPr="00AA1E11">
        <w:t>Governance and implementing partners</w:t>
      </w:r>
      <w:bookmarkEnd w:id="12"/>
      <w:bookmarkEnd w:id="13"/>
    </w:p>
    <w:p w:rsidR="00AA1E11" w:rsidRPr="00353714" w:rsidRDefault="00AA1E11" w:rsidP="00AA1E11">
      <w:pPr>
        <w:pStyle w:val="BodyText"/>
      </w:pPr>
      <w:r w:rsidRPr="00AA1E11">
        <w:t xml:space="preserve">Governance arrangements will be developed during the design phase following further consultation with </w:t>
      </w:r>
      <w:proofErr w:type="spellStart"/>
      <w:r w:rsidRPr="00AA1E11">
        <w:t>GoI</w:t>
      </w:r>
      <w:proofErr w:type="spellEnd"/>
      <w:r w:rsidRPr="00AA1E11">
        <w:t xml:space="preserve">. At national level, it is anticipated that a Steering Committee comprising key DFAT, </w:t>
      </w:r>
      <w:proofErr w:type="spellStart"/>
      <w:r w:rsidRPr="00AA1E11">
        <w:t>GoI</w:t>
      </w:r>
      <w:proofErr w:type="spellEnd"/>
      <w:r w:rsidRPr="00AA1E11">
        <w:t xml:space="preserve"> and other stakeholders will be established to provide overall strategic direction to the program and to complement sub-national partnerships. Government agencies at national, provincial and district levels will be key implementing partners. The key technical partners for the program at the national level will be the </w:t>
      </w:r>
      <w:r w:rsidRPr="00CC6D96">
        <w:t>Ministry of Public Works and the Ministry of Transportation. The Ministry of Finance (</w:t>
      </w:r>
      <w:proofErr w:type="spellStart"/>
      <w:r w:rsidRPr="00CC6D96">
        <w:t>MoF</w:t>
      </w:r>
      <w:proofErr w:type="spellEnd"/>
      <w:r w:rsidRPr="00CC6D96">
        <w:t xml:space="preserve">) and </w:t>
      </w:r>
      <w:proofErr w:type="spellStart"/>
      <w:r w:rsidRPr="00CC6D96">
        <w:t>Bappenas</w:t>
      </w:r>
      <w:proofErr w:type="spellEnd"/>
      <w:r w:rsidRPr="00CC6D96">
        <w:t xml:space="preserve"> will be involved in setting the broad strategic direction of the program, as well as issues re</w:t>
      </w:r>
      <w:r w:rsidRPr="00EB41D0">
        <w:t>lated to management and disbursement of funds through government channels and coordination of planning and budgeting at sub-national level. Other implementing partners will include the private sector, multilateral development banks and o</w:t>
      </w:r>
      <w:r w:rsidRPr="00D27618">
        <w:t>ther donors. A strategy for coordinating partners will be developed during the design phase.</w:t>
      </w:r>
    </w:p>
    <w:p w:rsidR="00F717C0" w:rsidRPr="00F717C0" w:rsidRDefault="00923D0F" w:rsidP="00F717C0">
      <w:pPr>
        <w:pStyle w:val="Heading2"/>
      </w:pPr>
      <w:bookmarkStart w:id="14" w:name="_Toc433188039"/>
      <w:r w:rsidRPr="00C16081">
        <w:lastRenderedPageBreak/>
        <w:t>Risk</w:t>
      </w:r>
      <w:r w:rsidR="003F33E0" w:rsidRPr="00C16081">
        <w:t xml:space="preserve"> and risk management</w:t>
      </w:r>
      <w:bookmarkEnd w:id="14"/>
    </w:p>
    <w:p w:rsidR="00344BA2" w:rsidRPr="003F33E0" w:rsidRDefault="00344BA2" w:rsidP="00344BA2">
      <w:pPr>
        <w:pStyle w:val="BodyText"/>
      </w:pPr>
      <w:r w:rsidRPr="00344BA2">
        <w:t xml:space="preserve">This section provides </w:t>
      </w:r>
      <w:r w:rsidR="001C68F7">
        <w:t>extracts from an</w:t>
      </w:r>
      <w:r w:rsidR="00A443D2">
        <w:t xml:space="preserve"> initial</w:t>
      </w:r>
      <w:r w:rsidRPr="00344BA2">
        <w:t xml:space="preserve"> overview of key risks and risk management strategies</w:t>
      </w:r>
      <w:r w:rsidR="00A443D2">
        <w:t xml:space="preserve"> identified by DFAT for internal approval purposes. </w:t>
      </w:r>
      <w:r w:rsidRPr="00495CE6">
        <w:t>A more detailed assessment of ri</w:t>
      </w:r>
      <w:r w:rsidRPr="0060563F">
        <w:t>sks and management of risks will be</w:t>
      </w:r>
      <w:r w:rsidR="00FD15CD">
        <w:t xml:space="preserve"> considered in the design phase</w:t>
      </w:r>
      <w:r w:rsidRPr="003F33E0">
        <w:t>. Key risks include:</w:t>
      </w:r>
    </w:p>
    <w:p w:rsidR="00495CE6" w:rsidRPr="00495CE6" w:rsidRDefault="00495CE6" w:rsidP="00495CE6">
      <w:pPr>
        <w:pStyle w:val="BodyText"/>
      </w:pPr>
      <w:r w:rsidRPr="00495CE6">
        <w:rPr>
          <w:b/>
        </w:rPr>
        <w:t>Operating Environment:</w:t>
      </w:r>
      <w:r w:rsidRPr="00495CE6">
        <w:t xml:space="preserve"> </w:t>
      </w:r>
      <w:r w:rsidRPr="00C947FF">
        <w:rPr>
          <w:rFonts w:cs="Arial"/>
        </w:rPr>
        <w:t xml:space="preserve">The risk rating for the impact of the operating environment on the achievement of intended results is </w:t>
      </w:r>
      <w:r w:rsidRPr="00C947FF">
        <w:rPr>
          <w:rFonts w:cs="Arial"/>
          <w:i/>
        </w:rPr>
        <w:t>moderate</w:t>
      </w:r>
      <w:r w:rsidRPr="00C947FF">
        <w:rPr>
          <w:rFonts w:cs="Arial"/>
        </w:rPr>
        <w:t xml:space="preserve">. </w:t>
      </w:r>
      <w:r>
        <w:rPr>
          <w:rFonts w:cs="Arial"/>
        </w:rPr>
        <w:t xml:space="preserve"> </w:t>
      </w:r>
      <w:r w:rsidRPr="00495CE6">
        <w:t xml:space="preserve">Infrastructure will likely remain a priority for </w:t>
      </w:r>
      <w:proofErr w:type="spellStart"/>
      <w:r w:rsidR="0040729F">
        <w:t>GoI</w:t>
      </w:r>
      <w:proofErr w:type="spellEnd"/>
      <w:r w:rsidRPr="00495CE6">
        <w:t xml:space="preserve"> given its strong ties to economic growth and stability. A major reduction in the importance of infrastructure for the </w:t>
      </w:r>
      <w:proofErr w:type="spellStart"/>
      <w:r w:rsidR="0040729F">
        <w:t>GoI</w:t>
      </w:r>
      <w:proofErr w:type="spellEnd"/>
      <w:r w:rsidRPr="00495CE6">
        <w:t xml:space="preserve"> is considered unlikely. </w:t>
      </w:r>
      <w:r w:rsidR="00FD15CD">
        <w:t xml:space="preserve">It is expected that Indonesia will continue to seek </w:t>
      </w:r>
      <w:r w:rsidRPr="00495CE6">
        <w:t>infrastructure assistance from Australia.</w:t>
      </w:r>
    </w:p>
    <w:p w:rsidR="00495CE6" w:rsidRPr="00495CE6" w:rsidRDefault="00495CE6" w:rsidP="00495CE6">
      <w:pPr>
        <w:pStyle w:val="BodyText"/>
      </w:pPr>
      <w:r w:rsidRPr="00495CE6">
        <w:rPr>
          <w:b/>
        </w:rPr>
        <w:t>Results:</w:t>
      </w:r>
      <w:r w:rsidRPr="00495CE6">
        <w:t xml:space="preserve"> </w:t>
      </w:r>
      <w:r w:rsidR="0060563F" w:rsidRPr="00C947FF">
        <w:rPr>
          <w:rFonts w:cs="Arial"/>
        </w:rPr>
        <w:t xml:space="preserve">The risk rating for results is </w:t>
      </w:r>
      <w:r w:rsidR="0060563F">
        <w:rPr>
          <w:rFonts w:cs="Arial"/>
          <w:i/>
        </w:rPr>
        <w:t>low</w:t>
      </w:r>
      <w:r w:rsidR="0060563F" w:rsidRPr="00C947FF">
        <w:rPr>
          <w:rFonts w:cs="Arial"/>
        </w:rPr>
        <w:t xml:space="preserve">. </w:t>
      </w:r>
      <w:r w:rsidRPr="00495CE6">
        <w:t xml:space="preserve">It is considered unlikely that the investment will have negative or unintended consequences. Issues with safeguards under capital works assistance represent the most significant risk that could lead to unintended consequences, and can be managed. With the staged exit from bilaterally delivered capital works the focus of this risk will shift to monitoring the implementation of safeguards measures in World Bank and ADB investments that are receiving additional Australian support. Success or failure in achieving intended results with respect to assistance on infrastructure policy reforms is highly dependent on </w:t>
      </w:r>
      <w:proofErr w:type="spellStart"/>
      <w:r w:rsidR="0040729F">
        <w:t>GoI</w:t>
      </w:r>
      <w:proofErr w:type="spellEnd"/>
      <w:r w:rsidRPr="00495CE6">
        <w:t xml:space="preserve"> stakeholders. A pre-condition for all assistance will be evidence of sufficient </w:t>
      </w:r>
      <w:proofErr w:type="spellStart"/>
      <w:r w:rsidR="0040729F">
        <w:t>GoI</w:t>
      </w:r>
      <w:proofErr w:type="spellEnd"/>
      <w:r w:rsidRPr="00495CE6">
        <w:t xml:space="preserve"> buy-in and commitment. </w:t>
      </w:r>
    </w:p>
    <w:p w:rsidR="00495CE6" w:rsidRPr="00495CE6" w:rsidRDefault="00495CE6" w:rsidP="00495CE6">
      <w:pPr>
        <w:pStyle w:val="BodyText"/>
      </w:pPr>
      <w:r w:rsidRPr="00495CE6">
        <w:rPr>
          <w:b/>
        </w:rPr>
        <w:t>Safeguards:</w:t>
      </w:r>
      <w:r w:rsidRPr="00495CE6">
        <w:t xml:space="preserve"> </w:t>
      </w:r>
      <w:r w:rsidR="0060563F" w:rsidRPr="00C947FF">
        <w:rPr>
          <w:rFonts w:cs="Arial"/>
        </w:rPr>
        <w:t xml:space="preserve">The risk rating for the impact of </w:t>
      </w:r>
      <w:r w:rsidR="0060563F">
        <w:rPr>
          <w:rFonts w:cs="Arial"/>
        </w:rPr>
        <w:t>safeguards</w:t>
      </w:r>
      <w:r w:rsidR="0060563F" w:rsidRPr="00C947FF">
        <w:rPr>
          <w:rFonts w:cs="Arial"/>
        </w:rPr>
        <w:t xml:space="preserve"> on the achievement of intended results is </w:t>
      </w:r>
      <w:r w:rsidR="0060563F">
        <w:rPr>
          <w:rFonts w:cs="Arial"/>
          <w:i/>
        </w:rPr>
        <w:t>high</w:t>
      </w:r>
      <w:r w:rsidR="0060563F" w:rsidRPr="00C947FF">
        <w:rPr>
          <w:rFonts w:cs="Arial"/>
        </w:rPr>
        <w:t xml:space="preserve">. </w:t>
      </w:r>
      <w:r w:rsidRPr="00495CE6">
        <w:t>Infrastructure capital works programs involving land acquisition have a likelihood of triggering safeguards issues with respect to displacement and resettlement. Capital works also have a likelihood of triggering environmental safeguards. Existing investments have been designed to avoid or minimise any exposure to these safeguard risks, and with a staged exist from bilaterally delivered capital works the focus of this risk will shift to monitoring implementation of safeguards on World Bank and ADB investments that are receiving additional Australian support. Where safeguards are triggered, the appropriate measures will be put in place. The Post has demonstrated experience in effectively managing investments involving social and environmental safeguards. Disability safeguards will be taken into account where appropriate.</w:t>
      </w:r>
    </w:p>
    <w:p w:rsidR="00495CE6" w:rsidRPr="00495CE6" w:rsidRDefault="009D7149" w:rsidP="00495CE6">
      <w:pPr>
        <w:pStyle w:val="BodyText"/>
      </w:pPr>
      <w:r>
        <w:rPr>
          <w:b/>
        </w:rPr>
        <w:t>Fiduciary</w:t>
      </w:r>
      <w:r w:rsidR="00495CE6" w:rsidRPr="00495CE6">
        <w:rPr>
          <w:b/>
        </w:rPr>
        <w:t>:</w:t>
      </w:r>
      <w:r w:rsidR="00495CE6" w:rsidRPr="00495CE6">
        <w:t xml:space="preserve"> </w:t>
      </w:r>
      <w:r w:rsidR="0060563F" w:rsidRPr="00C947FF">
        <w:rPr>
          <w:rFonts w:cs="Arial"/>
        </w:rPr>
        <w:t xml:space="preserve">The risk rating for the impact of </w:t>
      </w:r>
      <w:r w:rsidR="0060563F">
        <w:rPr>
          <w:rFonts w:cs="Arial"/>
        </w:rPr>
        <w:t>fraud</w:t>
      </w:r>
      <w:r w:rsidR="0060563F" w:rsidRPr="00C947FF">
        <w:rPr>
          <w:rFonts w:cs="Arial"/>
        </w:rPr>
        <w:t xml:space="preserve"> on the achievement of intended results is </w:t>
      </w:r>
      <w:r w:rsidR="0060563F">
        <w:rPr>
          <w:rFonts w:cs="Arial"/>
          <w:i/>
        </w:rPr>
        <w:t>high</w:t>
      </w:r>
      <w:r w:rsidR="0060563F" w:rsidRPr="00C947FF">
        <w:rPr>
          <w:rFonts w:cs="Arial"/>
        </w:rPr>
        <w:t xml:space="preserve">. </w:t>
      </w:r>
      <w:r w:rsidR="00495CE6" w:rsidRPr="001C68F7">
        <w:t>Corruption is a serious issue and has implications for the Infrastructure program.</w:t>
      </w:r>
      <w:r w:rsidR="00495CE6" w:rsidRPr="00495CE6">
        <w:t xml:space="preserve"> Fraud (funds either not being used for their intended purpose or not being properly managed by a recipient individual, organisation or institution) is an ongoing risk to be managed by the Indonesia infrastructure program. Assessments of the likelihood of fraud and corruption occurring under major investment areas has been carried out through ‘Working in Partner Systems’ assessments. As required and where appropriate, robust Anti-Corruption Action Plans have been put in place on a number of Australian aid infrastructure investments.</w:t>
      </w:r>
    </w:p>
    <w:p w:rsidR="00495CE6" w:rsidRPr="00495CE6" w:rsidRDefault="00495CE6" w:rsidP="00495CE6">
      <w:pPr>
        <w:pStyle w:val="BodyText"/>
      </w:pPr>
      <w:r w:rsidRPr="00495CE6">
        <w:rPr>
          <w:b/>
        </w:rPr>
        <w:t xml:space="preserve">Other: </w:t>
      </w:r>
      <w:r w:rsidRPr="00495CE6">
        <w:t xml:space="preserve">The risk of other factors affecting the achievement of objectives is moderate. </w:t>
      </w:r>
    </w:p>
    <w:p w:rsidR="00495CE6" w:rsidRPr="00495CE6" w:rsidRDefault="00495CE6" w:rsidP="00495CE6">
      <w:pPr>
        <w:pStyle w:val="BodyText"/>
      </w:pPr>
      <w:r w:rsidRPr="00EB41D0">
        <w:rPr>
          <w:u w:val="single"/>
        </w:rPr>
        <w:t xml:space="preserve">Transition Arrangements: </w:t>
      </w:r>
      <w:r w:rsidRPr="00495CE6">
        <w:t xml:space="preserve">Technical assistance required to manage grant funded capital works may in some instances need to be transitioned from existing contractual arrangements under </w:t>
      </w:r>
      <w:proofErr w:type="spellStart"/>
      <w:r w:rsidRPr="00495CE6">
        <w:t>IndII</w:t>
      </w:r>
      <w:proofErr w:type="spellEnd"/>
      <w:r w:rsidRPr="00495CE6">
        <w:t xml:space="preserve"> to the newly designed and tendered contractual arrangements. As all grant programs work through </w:t>
      </w:r>
      <w:proofErr w:type="spellStart"/>
      <w:r w:rsidR="0040729F">
        <w:t>GoI</w:t>
      </w:r>
      <w:proofErr w:type="spellEnd"/>
      <w:r w:rsidRPr="00495CE6">
        <w:t xml:space="preserve"> systems, it will be essential that this transition is seamless and ensures that the necessary management oversight of activities is maintained. In the event that technical assistance contracts are not smoothly novated through to new contractor(s), this could present </w:t>
      </w:r>
      <w:r w:rsidRPr="00495CE6">
        <w:lastRenderedPageBreak/>
        <w:t xml:space="preserve">a minor reputational risk to Australia while activities are put on hold. This risk can be mitigated through advance planning for the novation of contracts and a specific provision for articulating transition arrangements within the design. </w:t>
      </w:r>
    </w:p>
    <w:p w:rsidR="00495CE6" w:rsidRPr="00495CE6" w:rsidRDefault="00495CE6" w:rsidP="00495CE6">
      <w:pPr>
        <w:pStyle w:val="BodyText"/>
      </w:pPr>
      <w:r w:rsidRPr="00EB41D0">
        <w:rPr>
          <w:u w:val="single"/>
        </w:rPr>
        <w:t>Attracting and maintaining high calibre infrastructure technical assistance:</w:t>
      </w:r>
      <w:r w:rsidRPr="00495CE6">
        <w:t xml:space="preserve"> High quality technical assistance in the infrastructure sector does</w:t>
      </w:r>
      <w:r w:rsidR="00FD15CD">
        <w:t xml:space="preserve"> </w:t>
      </w:r>
      <w:r w:rsidRPr="00495CE6">
        <w:t>n</w:t>
      </w:r>
      <w:r w:rsidR="00FD15CD">
        <w:t>o</w:t>
      </w:r>
      <w:r w:rsidRPr="00495CE6">
        <w:t xml:space="preserve">t come cheap. Infrastructure expertise is in high demand and can attract commercial rates well above the rates established through the Australian aid program’s Adviser Remuneration Framework (ARF). This is particularly the case with specialist legal and transaction advice relating to Public Private Partnerships (PPP) which under the current program has either been avoided, or handled directly by other development partners. For continued and expanded Australian involvement in the provision of infrastructure technical assistance with a particular focus on private sector investment, exemptions from current ARF rules may </w:t>
      </w:r>
      <w:r w:rsidR="00FD15CD">
        <w:t xml:space="preserve">sometimes </w:t>
      </w:r>
      <w:r w:rsidRPr="00495CE6">
        <w:t>be required.</w:t>
      </w:r>
    </w:p>
    <w:p w:rsidR="00923D0F" w:rsidRPr="00495CE6" w:rsidRDefault="00495CE6" w:rsidP="00495CE6">
      <w:pPr>
        <w:pStyle w:val="BodyText"/>
      </w:pPr>
      <w:r w:rsidRPr="00EB41D0">
        <w:rPr>
          <w:u w:val="single"/>
        </w:rPr>
        <w:t>Multilateral Development Bank lending pipelines:</w:t>
      </w:r>
      <w:r w:rsidRPr="00495CE6">
        <w:t xml:space="preserve"> </w:t>
      </w:r>
      <w:r w:rsidR="00CA276D">
        <w:t xml:space="preserve">Closer alignment of Australia’s infrastructure program with the proposed lending pipelines of the MDBs is contingent on these pipelines materialising. </w:t>
      </w:r>
      <w:r w:rsidR="00CA276D" w:rsidRPr="00CA276D">
        <w:t>While lending from the World Bank and the ADB is proposed at higher levels than over the last 5 years, with infrastructure making up the dominant share,</w:t>
      </w:r>
      <w:r w:rsidR="00CA276D">
        <w:t xml:space="preserve"> there is considerable work to be done before loan agreements are ready for signing. </w:t>
      </w:r>
      <w:r w:rsidR="00CA276D" w:rsidRPr="00CA276D">
        <w:t>Australian assistance would be linked to individual MDB projects</w:t>
      </w:r>
      <w:r w:rsidR="00CA276D">
        <w:t xml:space="preserve"> which have the </w:t>
      </w:r>
      <w:r w:rsidR="00CA276D" w:rsidRPr="00CA276D">
        <w:t>potential to slip or drop.</w:t>
      </w:r>
      <w:r w:rsidR="00CA276D">
        <w:t xml:space="preserve"> Risks include failure to agree on disbursement triggers for policy loans that are commensurate with proposed borrowing, and potential for bureaucratic complexities on approvals for direct lending to state-owned enterprises. </w:t>
      </w:r>
      <w:r w:rsidR="00CA276D" w:rsidRPr="00CA276D">
        <w:t xml:space="preserve">Risks </w:t>
      </w:r>
      <w:r w:rsidR="00CA276D">
        <w:t>can be managed through continued close engagement with the MDBs and Government through the initial planning phases of the MDB’s lending programs and reorientation of bilateral assistance as required. Ongoing bilateral engagement through both planning and implementation of loan-funded works will help identify where bilateral assistance may be able to support Government in meeting policy triggers, or support elements of loans where Government may be reluctant to borrow, particularly those with needs for international technical assistance.</w:t>
      </w:r>
    </w:p>
    <w:p w:rsidR="00DA6753" w:rsidRDefault="00DA6753" w:rsidP="00DA6753">
      <w:pPr>
        <w:pStyle w:val="Heading1"/>
      </w:pPr>
      <w:bookmarkStart w:id="15" w:name="_Toc433188040"/>
      <w:r>
        <w:lastRenderedPageBreak/>
        <w:t>Appendices</w:t>
      </w:r>
      <w:bookmarkEnd w:id="15"/>
    </w:p>
    <w:p w:rsidR="009F23D2" w:rsidRPr="009F23D2" w:rsidRDefault="00DA6753" w:rsidP="00914A59">
      <w:pPr>
        <w:pStyle w:val="Heading2"/>
      </w:pPr>
      <w:bookmarkStart w:id="16" w:name="_Toc433188041"/>
      <w:r>
        <w:t>Appendix A</w:t>
      </w:r>
      <w:r w:rsidR="00336CB1" w:rsidRPr="000F1C29">
        <w:t>:</w:t>
      </w:r>
      <w:r w:rsidR="00336CB1" w:rsidRPr="000F1C29">
        <w:tab/>
        <w:t xml:space="preserve">Summary of </w:t>
      </w:r>
      <w:r w:rsidR="00616EB1">
        <w:t>e</w:t>
      </w:r>
      <w:r w:rsidR="00336CB1">
        <w:t xml:space="preserve">xisting </w:t>
      </w:r>
      <w:r w:rsidR="00616EB1">
        <w:t>m</w:t>
      </w:r>
      <w:r w:rsidR="00336CB1">
        <w:t xml:space="preserve">ajor </w:t>
      </w:r>
      <w:r w:rsidR="00616EB1">
        <w:t>i</w:t>
      </w:r>
      <w:r w:rsidR="00336CB1" w:rsidRPr="000F1C29">
        <w:t>nitiatives</w:t>
      </w:r>
      <w:bookmarkEnd w:id="16"/>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77"/>
        <w:gridCol w:w="2977"/>
      </w:tblGrid>
      <w:tr w:rsidR="00336CB1" w:rsidRPr="002559FC" w:rsidTr="002559FC">
        <w:trPr>
          <w:trHeight w:val="416"/>
        </w:trPr>
        <w:tc>
          <w:tcPr>
            <w:tcW w:w="8931" w:type="dxa"/>
            <w:gridSpan w:val="3"/>
            <w:shd w:val="clear" w:color="auto" w:fill="C6D9F1" w:themeFill="text2" w:themeFillTint="33"/>
            <w:vAlign w:val="center"/>
          </w:tcPr>
          <w:p w:rsidR="00336CB1" w:rsidRPr="002559FC" w:rsidRDefault="00336CB1" w:rsidP="00336CB1">
            <w:pPr>
              <w:spacing w:before="120" w:after="120"/>
              <w:jc w:val="both"/>
              <w:rPr>
                <w:rFonts w:ascii="Franklin Gothic Book" w:hAnsi="Franklin Gothic Book" w:cs="Arial"/>
                <w:b/>
                <w:i/>
                <w:color w:val="000000" w:themeColor="text1"/>
                <w:sz w:val="21"/>
                <w:szCs w:val="21"/>
              </w:rPr>
            </w:pPr>
            <w:r w:rsidRPr="002559FC">
              <w:rPr>
                <w:rFonts w:ascii="Franklin Gothic Book" w:eastAsia="Calibri" w:hAnsi="Franklin Gothic Book"/>
                <w:b/>
                <w:i/>
                <w:iCs/>
                <w:sz w:val="21"/>
                <w:szCs w:val="21"/>
              </w:rPr>
              <w:t xml:space="preserve">Water and Sanitation </w:t>
            </w:r>
            <w:proofErr w:type="spellStart"/>
            <w:r w:rsidRPr="002559FC">
              <w:rPr>
                <w:rFonts w:ascii="Franklin Gothic Book" w:eastAsia="Calibri" w:hAnsi="Franklin Gothic Book"/>
                <w:b/>
                <w:i/>
                <w:iCs/>
                <w:sz w:val="21"/>
                <w:szCs w:val="21"/>
              </w:rPr>
              <w:t>Hibah</w:t>
            </w:r>
            <w:proofErr w:type="spellEnd"/>
            <w:r w:rsidRPr="002559FC">
              <w:rPr>
                <w:rFonts w:ascii="Franklin Gothic Book" w:eastAsia="Calibri" w:hAnsi="Franklin Gothic Book"/>
                <w:b/>
                <w:i/>
                <w:iCs/>
                <w:sz w:val="21"/>
                <w:szCs w:val="21"/>
              </w:rPr>
              <w:t xml:space="preserve"> (Implemented through the </w:t>
            </w:r>
            <w:proofErr w:type="spellStart"/>
            <w:r w:rsidRPr="002559FC">
              <w:rPr>
                <w:rFonts w:ascii="Franklin Gothic Book" w:eastAsia="Calibri" w:hAnsi="Franklin Gothic Book"/>
                <w:b/>
                <w:i/>
                <w:iCs/>
                <w:sz w:val="21"/>
                <w:szCs w:val="21"/>
              </w:rPr>
              <w:t>IndII</w:t>
            </w:r>
            <w:proofErr w:type="spellEnd"/>
            <w:r w:rsidRPr="002559FC">
              <w:rPr>
                <w:rFonts w:ascii="Franklin Gothic Book" w:eastAsia="Calibri" w:hAnsi="Franklin Gothic Book"/>
                <w:b/>
                <w:i/>
                <w:iCs/>
                <w:sz w:val="21"/>
                <w:szCs w:val="21"/>
              </w:rPr>
              <w:t xml:space="preserve"> Facility)</w:t>
            </w:r>
          </w:p>
        </w:tc>
      </w:tr>
      <w:tr w:rsidR="00CD712E" w:rsidRPr="002559FC" w:rsidTr="002559FC">
        <w:trPr>
          <w:trHeight w:val="280"/>
        </w:trPr>
        <w:tc>
          <w:tcPr>
            <w:tcW w:w="2977" w:type="dxa"/>
            <w:tcBorders>
              <w:bottom w:val="nil"/>
            </w:tcBorders>
          </w:tcPr>
          <w:p w:rsidR="00CD712E" w:rsidRPr="002559FC" w:rsidRDefault="00CD712E" w:rsidP="002559FC">
            <w:pPr>
              <w:spacing w:before="120"/>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Timeframe / Years:</w:t>
            </w:r>
          </w:p>
        </w:tc>
        <w:tc>
          <w:tcPr>
            <w:tcW w:w="2977" w:type="dxa"/>
            <w:tcBorders>
              <w:bottom w:val="nil"/>
            </w:tcBorders>
          </w:tcPr>
          <w:p w:rsidR="00CD712E" w:rsidRPr="002559FC" w:rsidRDefault="00CD712E" w:rsidP="002559FC">
            <w:pPr>
              <w:spacing w:before="120"/>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Australian contribution:</w:t>
            </w:r>
          </w:p>
        </w:tc>
        <w:tc>
          <w:tcPr>
            <w:tcW w:w="2977" w:type="dxa"/>
            <w:tcBorders>
              <w:bottom w:val="nil"/>
            </w:tcBorders>
          </w:tcPr>
          <w:p w:rsidR="00CD712E" w:rsidRPr="002559FC" w:rsidRDefault="00CD712E" w:rsidP="002559FC">
            <w:pPr>
              <w:spacing w:before="120"/>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Location:</w:t>
            </w:r>
          </w:p>
        </w:tc>
      </w:tr>
      <w:tr w:rsidR="00336CB1" w:rsidRPr="002559FC" w:rsidTr="002559FC">
        <w:trPr>
          <w:trHeight w:val="405"/>
        </w:trPr>
        <w:tc>
          <w:tcPr>
            <w:tcW w:w="2977" w:type="dxa"/>
            <w:tcBorders>
              <w:top w:val="nil"/>
            </w:tcBorders>
          </w:tcPr>
          <w:p w:rsidR="00336CB1" w:rsidRPr="002559FC" w:rsidRDefault="00336CB1" w:rsidP="002559FC">
            <w:pPr>
              <w:rPr>
                <w:rFonts w:ascii="Franklin Gothic Book" w:eastAsia="Calibri" w:hAnsi="Franklin Gothic Book"/>
                <w:i/>
                <w:iCs/>
                <w:sz w:val="21"/>
                <w:szCs w:val="21"/>
              </w:rPr>
            </w:pPr>
            <w:r w:rsidRPr="002559FC">
              <w:rPr>
                <w:rFonts w:ascii="Franklin Gothic Book" w:eastAsia="Calibri" w:hAnsi="Franklin Gothic Book"/>
                <w:i/>
                <w:iCs/>
                <w:sz w:val="21"/>
                <w:szCs w:val="21"/>
              </w:rPr>
              <w:t>Phase 2: 2012-2017</w:t>
            </w:r>
          </w:p>
          <w:p w:rsidR="00336CB1" w:rsidRPr="002559FC" w:rsidRDefault="00336CB1" w:rsidP="002559FC">
            <w:pPr>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Phase 1: 2009-2011</w:t>
            </w:r>
          </w:p>
        </w:tc>
        <w:tc>
          <w:tcPr>
            <w:tcW w:w="2977" w:type="dxa"/>
            <w:tcBorders>
              <w:top w:val="nil"/>
            </w:tcBorders>
          </w:tcPr>
          <w:p w:rsidR="00336CB1" w:rsidRPr="002559FC" w:rsidRDefault="00336CB1" w:rsidP="002559FC">
            <w:pPr>
              <w:rPr>
                <w:rFonts w:ascii="Franklin Gothic Book" w:eastAsia="Calibri" w:hAnsi="Franklin Gothic Book"/>
                <w:i/>
                <w:iCs/>
                <w:sz w:val="21"/>
                <w:szCs w:val="21"/>
              </w:rPr>
            </w:pPr>
            <w:r w:rsidRPr="002559FC">
              <w:rPr>
                <w:rFonts w:ascii="Franklin Gothic Book" w:eastAsia="Calibri" w:hAnsi="Franklin Gothic Book"/>
                <w:i/>
                <w:iCs/>
                <w:sz w:val="21"/>
                <w:szCs w:val="21"/>
              </w:rPr>
              <w:t>Phase 2: $95million</w:t>
            </w:r>
          </w:p>
          <w:p w:rsidR="00336CB1" w:rsidRPr="002559FC" w:rsidRDefault="00336CB1" w:rsidP="002559FC">
            <w:pPr>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Phase 1: $25 million</w:t>
            </w:r>
          </w:p>
        </w:tc>
        <w:tc>
          <w:tcPr>
            <w:tcW w:w="2977" w:type="dxa"/>
            <w:tcBorders>
              <w:top w:val="nil"/>
            </w:tcBorders>
          </w:tcPr>
          <w:p w:rsidR="00336CB1" w:rsidRPr="002559FC" w:rsidRDefault="00336CB1" w:rsidP="002559FC">
            <w:pPr>
              <w:rPr>
                <w:rFonts w:ascii="Franklin Gothic Book" w:eastAsia="Calibri" w:hAnsi="Franklin Gothic Book"/>
                <w:i/>
                <w:iCs/>
                <w:sz w:val="21"/>
                <w:szCs w:val="21"/>
              </w:rPr>
            </w:pPr>
            <w:r w:rsidRPr="002559FC">
              <w:rPr>
                <w:rFonts w:ascii="Franklin Gothic Book" w:eastAsia="Calibri" w:hAnsi="Franklin Gothic Book"/>
                <w:i/>
                <w:iCs/>
                <w:sz w:val="21"/>
                <w:szCs w:val="21"/>
              </w:rPr>
              <w:t>Phase 2:</w:t>
            </w:r>
            <w:r w:rsidR="002559FC">
              <w:rPr>
                <w:rFonts w:ascii="Franklin Gothic Book" w:eastAsia="Calibri" w:hAnsi="Franklin Gothic Book"/>
                <w:i/>
                <w:iCs/>
                <w:sz w:val="21"/>
                <w:szCs w:val="21"/>
              </w:rPr>
              <w:t xml:space="preserve"> </w:t>
            </w:r>
            <w:r w:rsidRPr="002559FC">
              <w:rPr>
                <w:rFonts w:ascii="Franklin Gothic Book" w:eastAsia="Calibri" w:hAnsi="Franklin Gothic Book"/>
                <w:i/>
                <w:iCs/>
                <w:sz w:val="21"/>
                <w:szCs w:val="21"/>
              </w:rPr>
              <w:t>121 districts/cities in 22 provinces</w:t>
            </w:r>
          </w:p>
          <w:p w:rsidR="00336CB1" w:rsidRPr="002559FC" w:rsidRDefault="00336CB1" w:rsidP="002559FC">
            <w:pPr>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Phase 1: 39 districts/cities in 13 provinces</w:t>
            </w:r>
          </w:p>
        </w:tc>
      </w:tr>
      <w:tr w:rsidR="00336CB1" w:rsidRPr="002559FC" w:rsidTr="002559FC">
        <w:trPr>
          <w:trHeight w:val="773"/>
        </w:trPr>
        <w:tc>
          <w:tcPr>
            <w:tcW w:w="8931" w:type="dxa"/>
            <w:gridSpan w:val="3"/>
          </w:tcPr>
          <w:p w:rsidR="00336CB1" w:rsidRPr="002559FC" w:rsidRDefault="00336CB1" w:rsidP="00336CB1">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Key Implementing Partners:</w:t>
            </w:r>
          </w:p>
          <w:p w:rsidR="00336CB1" w:rsidRPr="002559FC" w:rsidRDefault="00336CB1" w:rsidP="002559FC">
            <w:pPr>
              <w:pStyle w:val="ListBullet"/>
              <w:ind w:left="284" w:hanging="284"/>
              <w:rPr>
                <w:rFonts w:cs="Arial"/>
                <w:i/>
                <w:color w:val="000000" w:themeColor="text1"/>
                <w:szCs w:val="21"/>
              </w:rPr>
            </w:pPr>
            <w:proofErr w:type="spellStart"/>
            <w:r w:rsidRPr="002559FC">
              <w:rPr>
                <w:i/>
                <w:szCs w:val="21"/>
              </w:rPr>
              <w:t>GoI</w:t>
            </w:r>
            <w:proofErr w:type="spellEnd"/>
            <w:r w:rsidRPr="002559FC">
              <w:rPr>
                <w:i/>
                <w:szCs w:val="21"/>
              </w:rPr>
              <w:t xml:space="preserve"> (Ministry of Public Works, Ministry of Finance, </w:t>
            </w:r>
            <w:proofErr w:type="spellStart"/>
            <w:r w:rsidRPr="002559FC">
              <w:rPr>
                <w:i/>
                <w:szCs w:val="21"/>
              </w:rPr>
              <w:t>Bappenas</w:t>
            </w:r>
            <w:proofErr w:type="spellEnd"/>
            <w:r w:rsidRPr="002559FC">
              <w:rPr>
                <w:i/>
                <w:szCs w:val="21"/>
              </w:rPr>
              <w:t>, Local Governments)</w:t>
            </w:r>
          </w:p>
        </w:tc>
      </w:tr>
      <w:tr w:rsidR="00336CB1" w:rsidRPr="002559FC" w:rsidTr="002559FC">
        <w:trPr>
          <w:trHeight w:val="975"/>
        </w:trPr>
        <w:tc>
          <w:tcPr>
            <w:tcW w:w="8931" w:type="dxa"/>
            <w:gridSpan w:val="3"/>
          </w:tcPr>
          <w:p w:rsidR="00336CB1" w:rsidRPr="002559FC" w:rsidRDefault="00336CB1" w:rsidP="00336CB1">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Program Objective:</w:t>
            </w:r>
          </w:p>
          <w:p w:rsidR="00336CB1" w:rsidRPr="002559FC" w:rsidRDefault="00336CB1" w:rsidP="00336CB1">
            <w:pPr>
              <w:jc w:val="both"/>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 xml:space="preserve">The objectives of the </w:t>
            </w:r>
            <w:proofErr w:type="spellStart"/>
            <w:r w:rsidRPr="002559FC">
              <w:rPr>
                <w:rFonts w:ascii="Franklin Gothic Book" w:eastAsia="Calibri" w:hAnsi="Franklin Gothic Book"/>
                <w:i/>
                <w:iCs/>
                <w:sz w:val="21"/>
                <w:szCs w:val="21"/>
              </w:rPr>
              <w:t>Hibah</w:t>
            </w:r>
            <w:proofErr w:type="spellEnd"/>
            <w:r w:rsidRPr="002559FC">
              <w:rPr>
                <w:rFonts w:ascii="Franklin Gothic Book" w:eastAsia="Calibri" w:hAnsi="Franklin Gothic Book"/>
                <w:i/>
                <w:iCs/>
                <w:sz w:val="21"/>
                <w:szCs w:val="21"/>
              </w:rPr>
              <w:t xml:space="preserve"> is to demonstrate a new method for central government financial transfers to local governments and to increase local government investment in water and/or sanitation utilities to increase the number of poor households with access to piped water and sewerage. 121 local governments are implementing the </w:t>
            </w:r>
            <w:proofErr w:type="spellStart"/>
            <w:r w:rsidRPr="002559FC">
              <w:rPr>
                <w:rFonts w:ascii="Franklin Gothic Book" w:eastAsia="Calibri" w:hAnsi="Franklin Gothic Book"/>
                <w:i/>
                <w:iCs/>
                <w:sz w:val="21"/>
                <w:szCs w:val="21"/>
              </w:rPr>
              <w:t>Hibah</w:t>
            </w:r>
            <w:proofErr w:type="spellEnd"/>
            <w:r w:rsidRPr="002559FC">
              <w:rPr>
                <w:rFonts w:ascii="Franklin Gothic Book" w:eastAsia="Calibri" w:hAnsi="Franklin Gothic Book"/>
                <w:i/>
                <w:iCs/>
                <w:sz w:val="21"/>
                <w:szCs w:val="21"/>
              </w:rPr>
              <w:t xml:space="preserve"> program which will deliver approximately 330,000 water and 9,000 sanitation connections. The program uses an output-based approach where a grant (between 35-45% of the real connection cost) is provided to local governments after independent verification that each new piped water and wastewater connection has functioned for at least three months.</w:t>
            </w:r>
            <w:r w:rsidR="00CD712E" w:rsidRPr="002559FC">
              <w:rPr>
                <w:rFonts w:ascii="Franklin Gothic Book" w:eastAsia="Calibri" w:hAnsi="Franklin Gothic Book"/>
                <w:i/>
                <w:iCs/>
                <w:sz w:val="21"/>
                <w:szCs w:val="21"/>
              </w:rPr>
              <w:t xml:space="preserve"> </w:t>
            </w:r>
            <w:r w:rsidRPr="002559FC">
              <w:rPr>
                <w:rFonts w:ascii="Franklin Gothic Book" w:eastAsia="Calibri" w:hAnsi="Franklin Gothic Book"/>
                <w:i/>
                <w:iCs/>
                <w:sz w:val="21"/>
                <w:szCs w:val="21"/>
              </w:rPr>
              <w:t>The first phase of the program resulted in 77,000 water connections and 5,000 wastewater connections in 39 districts/cities. The second phase aim to deliver 330,000 water connections and 9,000 wastewater connections in approximately 121 cities/districts.</w:t>
            </w:r>
          </w:p>
        </w:tc>
      </w:tr>
    </w:tbl>
    <w:p w:rsidR="00DA6753" w:rsidRPr="002559FC" w:rsidRDefault="00DA6753" w:rsidP="00336CB1">
      <w:pPr>
        <w:jc w:val="both"/>
        <w:rPr>
          <w:rFonts w:ascii="Franklin Gothic Book" w:hAnsi="Franklin Gothic Book" w:cs="Arial"/>
          <w:color w:val="000000" w:themeColor="text1"/>
          <w:sz w:val="21"/>
          <w:szCs w:val="21"/>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77"/>
        <w:gridCol w:w="2977"/>
      </w:tblGrid>
      <w:tr w:rsidR="00336CB1" w:rsidRPr="002559FC" w:rsidTr="002559FC">
        <w:trPr>
          <w:trHeight w:val="416"/>
        </w:trPr>
        <w:tc>
          <w:tcPr>
            <w:tcW w:w="8931" w:type="dxa"/>
            <w:gridSpan w:val="3"/>
            <w:shd w:val="clear" w:color="auto" w:fill="C6D9F1" w:themeFill="text2" w:themeFillTint="33"/>
            <w:vAlign w:val="center"/>
          </w:tcPr>
          <w:p w:rsidR="00336CB1" w:rsidRPr="002559FC" w:rsidRDefault="00336CB1" w:rsidP="002559FC">
            <w:pPr>
              <w:spacing w:before="120" w:after="120"/>
              <w:jc w:val="both"/>
              <w:rPr>
                <w:rFonts w:ascii="Franklin Gothic Book" w:hAnsi="Franklin Gothic Book" w:cs="Arial"/>
                <w:b/>
                <w:i/>
                <w:color w:val="000000" w:themeColor="text1"/>
                <w:sz w:val="21"/>
                <w:szCs w:val="21"/>
              </w:rPr>
            </w:pPr>
            <w:r w:rsidRPr="002559FC">
              <w:rPr>
                <w:rFonts w:ascii="Franklin Gothic Book" w:eastAsia="Calibri" w:hAnsi="Franklin Gothic Book"/>
                <w:b/>
                <w:i/>
                <w:iCs/>
                <w:sz w:val="21"/>
                <w:szCs w:val="21"/>
              </w:rPr>
              <w:t>Australia Indonesia Infrastructure Grants for Municipal Sanitation (SAIIG)</w:t>
            </w:r>
            <w:r w:rsidR="002559FC">
              <w:rPr>
                <w:rFonts w:ascii="Franklin Gothic Book" w:eastAsia="Calibri" w:hAnsi="Franklin Gothic Book"/>
                <w:b/>
                <w:i/>
                <w:iCs/>
                <w:sz w:val="21"/>
                <w:szCs w:val="21"/>
              </w:rPr>
              <w:t>*</w:t>
            </w:r>
            <w:r w:rsidRPr="002559FC">
              <w:rPr>
                <w:rFonts w:ascii="Franklin Gothic Book" w:eastAsia="Calibri" w:hAnsi="Franklin Gothic Book"/>
                <w:b/>
                <w:i/>
                <w:iCs/>
                <w:sz w:val="21"/>
                <w:szCs w:val="21"/>
              </w:rPr>
              <w:t xml:space="preserve"> </w:t>
            </w:r>
          </w:p>
        </w:tc>
      </w:tr>
      <w:tr w:rsidR="00336CB1" w:rsidRPr="002559FC" w:rsidTr="002559FC">
        <w:trPr>
          <w:trHeight w:val="280"/>
        </w:trPr>
        <w:tc>
          <w:tcPr>
            <w:tcW w:w="2977" w:type="dxa"/>
            <w:tcBorders>
              <w:bottom w:val="nil"/>
            </w:tcBorders>
            <w:vAlign w:val="center"/>
          </w:tcPr>
          <w:p w:rsidR="00336CB1" w:rsidRPr="002559FC" w:rsidRDefault="00336CB1" w:rsidP="00DA6753">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Timeframe / Years:</w:t>
            </w:r>
          </w:p>
        </w:tc>
        <w:tc>
          <w:tcPr>
            <w:tcW w:w="2977" w:type="dxa"/>
            <w:tcBorders>
              <w:bottom w:val="nil"/>
            </w:tcBorders>
            <w:vAlign w:val="center"/>
          </w:tcPr>
          <w:p w:rsidR="00336CB1" w:rsidRPr="002559FC" w:rsidRDefault="00336CB1" w:rsidP="00DA6753">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Australian contribution:</w:t>
            </w:r>
          </w:p>
        </w:tc>
        <w:tc>
          <w:tcPr>
            <w:tcW w:w="2977" w:type="dxa"/>
            <w:tcBorders>
              <w:bottom w:val="nil"/>
            </w:tcBorders>
            <w:vAlign w:val="center"/>
          </w:tcPr>
          <w:p w:rsidR="00336CB1" w:rsidRPr="002559FC" w:rsidRDefault="00336CB1" w:rsidP="00DA6753">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Location:</w:t>
            </w:r>
          </w:p>
        </w:tc>
      </w:tr>
      <w:tr w:rsidR="00336CB1" w:rsidRPr="002559FC" w:rsidTr="002559FC">
        <w:trPr>
          <w:trHeight w:val="405"/>
        </w:trPr>
        <w:tc>
          <w:tcPr>
            <w:tcW w:w="2977" w:type="dxa"/>
            <w:tcBorders>
              <w:top w:val="nil"/>
            </w:tcBorders>
            <w:vAlign w:val="center"/>
          </w:tcPr>
          <w:p w:rsidR="00336CB1" w:rsidRPr="002559FC" w:rsidRDefault="00336CB1" w:rsidP="00CD712E">
            <w:pPr>
              <w:jc w:val="both"/>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2012-2017</w:t>
            </w:r>
          </w:p>
        </w:tc>
        <w:tc>
          <w:tcPr>
            <w:tcW w:w="2977" w:type="dxa"/>
            <w:tcBorders>
              <w:top w:val="nil"/>
            </w:tcBorders>
            <w:vAlign w:val="center"/>
          </w:tcPr>
          <w:p w:rsidR="00336CB1" w:rsidRPr="002559FC" w:rsidRDefault="00336CB1" w:rsidP="00CD712E">
            <w:pPr>
              <w:jc w:val="both"/>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$40 million</w:t>
            </w:r>
          </w:p>
        </w:tc>
        <w:tc>
          <w:tcPr>
            <w:tcW w:w="2977" w:type="dxa"/>
            <w:tcBorders>
              <w:top w:val="nil"/>
            </w:tcBorders>
            <w:vAlign w:val="center"/>
          </w:tcPr>
          <w:p w:rsidR="00336CB1" w:rsidRPr="002559FC" w:rsidRDefault="00336CB1" w:rsidP="00CD712E">
            <w:pPr>
              <w:jc w:val="both"/>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 xml:space="preserve">Urban </w:t>
            </w:r>
          </w:p>
        </w:tc>
      </w:tr>
      <w:tr w:rsidR="00336CB1" w:rsidRPr="002559FC" w:rsidTr="002559FC">
        <w:trPr>
          <w:trHeight w:val="425"/>
        </w:trPr>
        <w:tc>
          <w:tcPr>
            <w:tcW w:w="8931" w:type="dxa"/>
            <w:gridSpan w:val="3"/>
          </w:tcPr>
          <w:p w:rsidR="00336CB1" w:rsidRPr="002559FC" w:rsidRDefault="00336CB1" w:rsidP="002559FC">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Key Implementing Partners:</w:t>
            </w:r>
          </w:p>
          <w:p w:rsidR="00336CB1" w:rsidRPr="002559FC" w:rsidRDefault="00336CB1" w:rsidP="002559FC">
            <w:pPr>
              <w:pStyle w:val="ListBullet"/>
              <w:ind w:left="284" w:hanging="284"/>
              <w:rPr>
                <w:rFonts w:cs="Arial"/>
                <w:i/>
                <w:color w:val="000000" w:themeColor="text1"/>
                <w:szCs w:val="21"/>
              </w:rPr>
            </w:pPr>
            <w:proofErr w:type="spellStart"/>
            <w:r w:rsidRPr="002559FC">
              <w:rPr>
                <w:i/>
                <w:szCs w:val="21"/>
              </w:rPr>
              <w:t>GoI</w:t>
            </w:r>
            <w:proofErr w:type="spellEnd"/>
            <w:r w:rsidRPr="002559FC">
              <w:rPr>
                <w:i/>
                <w:szCs w:val="21"/>
              </w:rPr>
              <w:t xml:space="preserve"> (Ministry of Public Works, Ministry of Finance, </w:t>
            </w:r>
            <w:proofErr w:type="spellStart"/>
            <w:r w:rsidRPr="002559FC">
              <w:rPr>
                <w:i/>
                <w:szCs w:val="21"/>
              </w:rPr>
              <w:t>Bappenas</w:t>
            </w:r>
            <w:proofErr w:type="spellEnd"/>
            <w:r w:rsidRPr="002559FC">
              <w:rPr>
                <w:i/>
                <w:szCs w:val="21"/>
              </w:rPr>
              <w:t>, Local Governments)</w:t>
            </w:r>
          </w:p>
        </w:tc>
      </w:tr>
      <w:tr w:rsidR="00336CB1" w:rsidRPr="002559FC" w:rsidTr="002559FC">
        <w:trPr>
          <w:trHeight w:val="56"/>
        </w:trPr>
        <w:tc>
          <w:tcPr>
            <w:tcW w:w="8931" w:type="dxa"/>
            <w:gridSpan w:val="3"/>
          </w:tcPr>
          <w:p w:rsidR="00336CB1" w:rsidRPr="002559FC" w:rsidRDefault="00336CB1" w:rsidP="00057168">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Program Objective:</w:t>
            </w:r>
          </w:p>
          <w:p w:rsidR="00DA6753" w:rsidRPr="002559FC" w:rsidRDefault="00336CB1" w:rsidP="00DA6753">
            <w:pPr>
              <w:jc w:val="both"/>
              <w:rPr>
                <w:rFonts w:ascii="Franklin Gothic Book" w:eastAsia="Calibri" w:hAnsi="Franklin Gothic Book"/>
                <w:i/>
                <w:iCs/>
                <w:sz w:val="21"/>
                <w:szCs w:val="21"/>
              </w:rPr>
            </w:pPr>
            <w:r w:rsidRPr="002559FC">
              <w:rPr>
                <w:rFonts w:ascii="Franklin Gothic Book" w:eastAsia="Calibri" w:hAnsi="Franklin Gothic Book"/>
                <w:i/>
                <w:iCs/>
                <w:sz w:val="21"/>
                <w:szCs w:val="21"/>
              </w:rPr>
              <w:t xml:space="preserve">SAIIG aims to stimulate local government investment in municipal infrastructure for sanitation, and to provide incentives for governance reforms to enhance sustainability of operation of the system. The program works with approximately 42 local governments participating in </w:t>
            </w:r>
            <w:proofErr w:type="spellStart"/>
            <w:r w:rsidRPr="002559FC">
              <w:rPr>
                <w:rFonts w:ascii="Franklin Gothic Book" w:eastAsia="Calibri" w:hAnsi="Franklin Gothic Book"/>
                <w:i/>
                <w:iCs/>
                <w:sz w:val="21"/>
                <w:szCs w:val="21"/>
              </w:rPr>
              <w:t>sAIIG</w:t>
            </w:r>
            <w:proofErr w:type="spellEnd"/>
            <w:r w:rsidRPr="002559FC">
              <w:rPr>
                <w:rFonts w:ascii="Franklin Gothic Book" w:eastAsia="Calibri" w:hAnsi="Franklin Gothic Book"/>
                <w:i/>
                <w:iCs/>
                <w:sz w:val="21"/>
                <w:szCs w:val="21"/>
              </w:rPr>
              <w:t xml:space="preserve"> to deliver 62,000 sanitation connections. The program uses an output-based approach where a grant will be provided to local governments after independent verification has confirmed that the local governments have implemented the sanitation infrastructure and put in place the agreed governance improvements and progressive achievements towards governance benchmarks.</w:t>
            </w:r>
          </w:p>
        </w:tc>
      </w:tr>
    </w:tbl>
    <w:p w:rsidR="00336CB1" w:rsidRPr="002559FC" w:rsidRDefault="00336CB1" w:rsidP="00336CB1">
      <w:pPr>
        <w:jc w:val="both"/>
        <w:rPr>
          <w:rFonts w:ascii="Franklin Gothic Book" w:hAnsi="Franklin Gothic Book" w:cs="Arial"/>
          <w:color w:val="000000" w:themeColor="text1"/>
          <w:sz w:val="21"/>
          <w:szCs w:val="21"/>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77"/>
        <w:gridCol w:w="2977"/>
      </w:tblGrid>
      <w:tr w:rsidR="00DA6753" w:rsidRPr="002559FC" w:rsidTr="002559FC">
        <w:trPr>
          <w:trHeight w:val="416"/>
        </w:trPr>
        <w:tc>
          <w:tcPr>
            <w:tcW w:w="8931" w:type="dxa"/>
            <w:gridSpan w:val="3"/>
            <w:shd w:val="clear" w:color="auto" w:fill="C6D9F1" w:themeFill="text2" w:themeFillTint="33"/>
            <w:vAlign w:val="center"/>
          </w:tcPr>
          <w:p w:rsidR="00DA6753" w:rsidRPr="002559FC" w:rsidRDefault="00DA6753" w:rsidP="002559FC">
            <w:pPr>
              <w:spacing w:before="120" w:after="120"/>
              <w:jc w:val="both"/>
              <w:rPr>
                <w:rFonts w:ascii="Franklin Gothic Book" w:hAnsi="Franklin Gothic Book" w:cs="Arial"/>
                <w:b/>
                <w:i/>
                <w:color w:val="000000" w:themeColor="text1"/>
                <w:sz w:val="21"/>
                <w:szCs w:val="21"/>
              </w:rPr>
            </w:pPr>
            <w:r w:rsidRPr="002559FC">
              <w:rPr>
                <w:rFonts w:ascii="Franklin Gothic Book" w:eastAsia="Calibri" w:hAnsi="Franklin Gothic Book"/>
                <w:b/>
                <w:i/>
                <w:iCs/>
                <w:sz w:val="21"/>
                <w:szCs w:val="21"/>
              </w:rPr>
              <w:lastRenderedPageBreak/>
              <w:t>P</w:t>
            </w:r>
            <w:r w:rsidR="002559FC">
              <w:rPr>
                <w:rFonts w:ascii="Franklin Gothic Book" w:eastAsia="Calibri" w:hAnsi="Franklin Gothic Book"/>
                <w:b/>
                <w:i/>
                <w:iCs/>
                <w:sz w:val="21"/>
                <w:szCs w:val="21"/>
              </w:rPr>
              <w:t>alembang City Sewerage Project*</w:t>
            </w:r>
          </w:p>
        </w:tc>
      </w:tr>
      <w:tr w:rsidR="00DA6753" w:rsidRPr="002559FC" w:rsidTr="002559FC">
        <w:trPr>
          <w:trHeight w:val="280"/>
        </w:trPr>
        <w:tc>
          <w:tcPr>
            <w:tcW w:w="2977" w:type="dxa"/>
            <w:tcBorders>
              <w:bottom w:val="nil"/>
            </w:tcBorders>
            <w:vAlign w:val="center"/>
          </w:tcPr>
          <w:p w:rsidR="00DA6753" w:rsidRPr="002559FC" w:rsidRDefault="00DA6753" w:rsidP="00CD712E">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Timeframe / Years:</w:t>
            </w:r>
          </w:p>
        </w:tc>
        <w:tc>
          <w:tcPr>
            <w:tcW w:w="2977" w:type="dxa"/>
            <w:tcBorders>
              <w:bottom w:val="nil"/>
            </w:tcBorders>
            <w:vAlign w:val="center"/>
          </w:tcPr>
          <w:p w:rsidR="00DA6753" w:rsidRPr="002559FC" w:rsidRDefault="00DA6753" w:rsidP="00CD712E">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Australian contribution:</w:t>
            </w:r>
          </w:p>
        </w:tc>
        <w:tc>
          <w:tcPr>
            <w:tcW w:w="2977" w:type="dxa"/>
            <w:tcBorders>
              <w:bottom w:val="nil"/>
            </w:tcBorders>
            <w:vAlign w:val="center"/>
          </w:tcPr>
          <w:p w:rsidR="00DA6753" w:rsidRPr="002559FC" w:rsidRDefault="00DA6753" w:rsidP="00CD712E">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Location:</w:t>
            </w:r>
          </w:p>
        </w:tc>
      </w:tr>
      <w:tr w:rsidR="00DA6753" w:rsidRPr="002559FC" w:rsidTr="002559FC">
        <w:trPr>
          <w:trHeight w:val="405"/>
        </w:trPr>
        <w:tc>
          <w:tcPr>
            <w:tcW w:w="2977" w:type="dxa"/>
            <w:tcBorders>
              <w:top w:val="nil"/>
            </w:tcBorders>
            <w:vAlign w:val="center"/>
          </w:tcPr>
          <w:p w:rsidR="00DA6753" w:rsidRPr="002559FC" w:rsidRDefault="00DA6753" w:rsidP="00CD712E">
            <w:pPr>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Starting from Early 2016</w:t>
            </w:r>
            <w:r w:rsidRPr="002559FC">
              <w:rPr>
                <w:rFonts w:ascii="Franklin Gothic Book" w:hAnsi="Franklin Gothic Book" w:cs="Arial"/>
                <w:i/>
                <w:color w:val="000000" w:themeColor="text1"/>
                <w:sz w:val="21"/>
                <w:szCs w:val="21"/>
              </w:rPr>
              <w:t xml:space="preserve"> </w:t>
            </w:r>
          </w:p>
        </w:tc>
        <w:tc>
          <w:tcPr>
            <w:tcW w:w="2977" w:type="dxa"/>
            <w:tcBorders>
              <w:top w:val="nil"/>
            </w:tcBorders>
            <w:vAlign w:val="center"/>
          </w:tcPr>
          <w:p w:rsidR="00DA6753" w:rsidRPr="002559FC" w:rsidRDefault="00DA6753" w:rsidP="002559FC">
            <w:pPr>
              <w:rPr>
                <w:rFonts w:ascii="Franklin Gothic Book" w:eastAsia="Calibri" w:hAnsi="Franklin Gothic Book"/>
                <w:iCs/>
                <w:sz w:val="21"/>
                <w:szCs w:val="21"/>
              </w:rPr>
            </w:pPr>
            <w:r w:rsidRPr="002559FC">
              <w:rPr>
                <w:rFonts w:ascii="Franklin Gothic Book" w:eastAsia="Calibri" w:hAnsi="Franklin Gothic Book"/>
                <w:iCs/>
                <w:sz w:val="21"/>
                <w:szCs w:val="21"/>
              </w:rPr>
              <w:t>$45 million Investment Grant + $2million Technical Assistance for implementation</w:t>
            </w:r>
          </w:p>
        </w:tc>
        <w:tc>
          <w:tcPr>
            <w:tcW w:w="2977" w:type="dxa"/>
            <w:tcBorders>
              <w:top w:val="nil"/>
            </w:tcBorders>
            <w:vAlign w:val="center"/>
          </w:tcPr>
          <w:p w:rsidR="00DA6753" w:rsidRPr="002559FC" w:rsidRDefault="00DA6753" w:rsidP="00CD712E">
            <w:pPr>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City of Palembang</w:t>
            </w:r>
          </w:p>
        </w:tc>
      </w:tr>
      <w:tr w:rsidR="00DA6753" w:rsidRPr="002559FC" w:rsidTr="002559FC">
        <w:trPr>
          <w:trHeight w:val="482"/>
        </w:trPr>
        <w:tc>
          <w:tcPr>
            <w:tcW w:w="8931" w:type="dxa"/>
            <w:gridSpan w:val="3"/>
          </w:tcPr>
          <w:p w:rsidR="00DA6753" w:rsidRPr="002559FC" w:rsidRDefault="00DA6753" w:rsidP="00CD712E">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Key Implementing Partners:</w:t>
            </w:r>
          </w:p>
          <w:p w:rsidR="00DA6753" w:rsidRPr="002559FC" w:rsidRDefault="00DA6753" w:rsidP="002559FC">
            <w:pPr>
              <w:pStyle w:val="ListBullet"/>
              <w:ind w:left="284" w:hanging="284"/>
              <w:rPr>
                <w:rFonts w:cs="Arial"/>
                <w:i/>
                <w:color w:val="000000" w:themeColor="text1"/>
                <w:szCs w:val="21"/>
              </w:rPr>
            </w:pPr>
            <w:proofErr w:type="spellStart"/>
            <w:r w:rsidRPr="002559FC">
              <w:rPr>
                <w:i/>
                <w:szCs w:val="21"/>
              </w:rPr>
              <w:t>GoI</w:t>
            </w:r>
            <w:proofErr w:type="spellEnd"/>
            <w:r w:rsidRPr="002559FC">
              <w:rPr>
                <w:i/>
                <w:szCs w:val="21"/>
              </w:rPr>
              <w:t xml:space="preserve"> (Ministry of Public Works, Ministry of Finance, Palembang Municipal Government)</w:t>
            </w:r>
          </w:p>
        </w:tc>
      </w:tr>
      <w:tr w:rsidR="00DA6753" w:rsidRPr="002559FC" w:rsidTr="002559FC">
        <w:trPr>
          <w:trHeight w:val="425"/>
        </w:trPr>
        <w:tc>
          <w:tcPr>
            <w:tcW w:w="8931" w:type="dxa"/>
            <w:gridSpan w:val="3"/>
          </w:tcPr>
          <w:p w:rsidR="00DA6753" w:rsidRPr="002559FC" w:rsidRDefault="00DA6753" w:rsidP="00CD712E">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Program Objective:</w:t>
            </w:r>
            <w:r w:rsidR="002559FC">
              <w:rPr>
                <w:rFonts w:ascii="Franklin Gothic Book" w:eastAsia="Calibri" w:hAnsi="Franklin Gothic Book"/>
                <w:b/>
                <w:i/>
                <w:iCs/>
                <w:sz w:val="21"/>
                <w:szCs w:val="21"/>
              </w:rPr>
              <w:t xml:space="preserve"> </w:t>
            </w:r>
          </w:p>
          <w:p w:rsidR="00DA6753" w:rsidRPr="002559FC" w:rsidRDefault="00DA6753" w:rsidP="00CD712E">
            <w:pPr>
              <w:jc w:val="both"/>
              <w:rPr>
                <w:rFonts w:ascii="Franklin Gothic Book" w:eastAsia="Calibri" w:hAnsi="Franklin Gothic Book"/>
                <w:i/>
                <w:iCs/>
                <w:sz w:val="21"/>
                <w:szCs w:val="21"/>
              </w:rPr>
            </w:pPr>
            <w:r w:rsidRPr="002559FC">
              <w:rPr>
                <w:rFonts w:ascii="Franklin Gothic Book" w:eastAsia="Calibri" w:hAnsi="Franklin Gothic Book"/>
                <w:i/>
                <w:iCs/>
                <w:sz w:val="21"/>
                <w:szCs w:val="21"/>
              </w:rPr>
              <w:t>This investment concept has been the subject of discussions between DFAT and the Government of Indonesia (</w:t>
            </w:r>
            <w:proofErr w:type="spellStart"/>
            <w:r w:rsidRPr="002559FC">
              <w:rPr>
                <w:rFonts w:ascii="Franklin Gothic Book" w:eastAsia="Calibri" w:hAnsi="Franklin Gothic Book"/>
                <w:i/>
                <w:iCs/>
                <w:sz w:val="21"/>
                <w:szCs w:val="21"/>
              </w:rPr>
              <w:t>GoI</w:t>
            </w:r>
            <w:proofErr w:type="spellEnd"/>
            <w:r w:rsidRPr="002559FC">
              <w:rPr>
                <w:rFonts w:ascii="Franklin Gothic Book" w:eastAsia="Calibri" w:hAnsi="Franklin Gothic Book"/>
                <w:i/>
                <w:iCs/>
                <w:sz w:val="21"/>
                <w:szCs w:val="21"/>
              </w:rPr>
              <w:t xml:space="preserve">) and Palembang since mid-2013. It follows the signing of the Subsidiary Arrangement between </w:t>
            </w:r>
            <w:proofErr w:type="spellStart"/>
            <w:r w:rsidRPr="002559FC">
              <w:rPr>
                <w:rFonts w:ascii="Franklin Gothic Book" w:eastAsia="Calibri" w:hAnsi="Franklin Gothic Book"/>
                <w:i/>
                <w:iCs/>
                <w:sz w:val="21"/>
                <w:szCs w:val="21"/>
              </w:rPr>
              <w:t>GoI</w:t>
            </w:r>
            <w:proofErr w:type="spellEnd"/>
            <w:r w:rsidRPr="002559FC">
              <w:rPr>
                <w:rFonts w:ascii="Franklin Gothic Book" w:eastAsia="Calibri" w:hAnsi="Franklin Gothic Book"/>
                <w:i/>
                <w:iCs/>
                <w:sz w:val="21"/>
                <w:szCs w:val="21"/>
              </w:rPr>
              <w:t xml:space="preserve"> and Australia in 2012 for a package of infrastructure grants that includes the construction of a wastewater facility in one Indonesian city.  The program objectives are to:</w:t>
            </w:r>
          </w:p>
          <w:p w:rsidR="00DA6753" w:rsidRPr="002559FC" w:rsidRDefault="00DA6753" w:rsidP="00CD712E">
            <w:pPr>
              <w:pStyle w:val="ListBullet"/>
              <w:ind w:left="284" w:hanging="284"/>
              <w:rPr>
                <w:i/>
                <w:szCs w:val="21"/>
              </w:rPr>
            </w:pPr>
            <w:r w:rsidRPr="002559FC">
              <w:rPr>
                <w:i/>
                <w:szCs w:val="21"/>
              </w:rPr>
              <w:t>Increase investment for sewerage infrastructure to meet the GOI sewerage coverage targets by providing up to $45 million as a grant to Palembang Government.  The proposed sewerage system will directly benefit 83,600 people (19,000 households) and result in environmental, health and economic outcomes for those beneficiaries.</w:t>
            </w:r>
          </w:p>
          <w:p w:rsidR="00DA6753" w:rsidRPr="002559FC" w:rsidRDefault="00DA6753" w:rsidP="00CD712E">
            <w:pPr>
              <w:pStyle w:val="ListBullet"/>
              <w:ind w:left="284" w:hanging="284"/>
              <w:rPr>
                <w:i/>
                <w:szCs w:val="21"/>
              </w:rPr>
            </w:pPr>
            <w:r w:rsidRPr="002559FC">
              <w:rPr>
                <w:i/>
                <w:szCs w:val="21"/>
              </w:rPr>
              <w:t xml:space="preserve">Improve governance in the sanitation sector by channelling the grant directly to Palembang government.  This is to demonstrate to the </w:t>
            </w:r>
            <w:proofErr w:type="spellStart"/>
            <w:r w:rsidR="0040729F">
              <w:rPr>
                <w:i/>
                <w:szCs w:val="21"/>
              </w:rPr>
              <w:t>GoI</w:t>
            </w:r>
            <w:proofErr w:type="spellEnd"/>
            <w:r w:rsidRPr="002559FC">
              <w:rPr>
                <w:i/>
                <w:szCs w:val="21"/>
              </w:rPr>
              <w:t xml:space="preserve"> that other foreign loan funds or grants can be on-granted directly to local governments to increase their involvement (and hence, sustainability) in accordance with their mandated responsibility under the decentralisation laws and regulations and as a result, improve the on-going maintenance and sustainability of such infrastructure.</w:t>
            </w:r>
          </w:p>
          <w:p w:rsidR="00DA6753" w:rsidRPr="002559FC" w:rsidRDefault="00DA6753" w:rsidP="00CD712E">
            <w:pPr>
              <w:jc w:val="both"/>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The program will use the Indonesian Ministry of Finance’s (</w:t>
            </w:r>
            <w:proofErr w:type="spellStart"/>
            <w:r w:rsidRPr="002559FC">
              <w:rPr>
                <w:rFonts w:ascii="Franklin Gothic Book" w:eastAsia="Calibri" w:hAnsi="Franklin Gothic Book"/>
                <w:i/>
                <w:iCs/>
                <w:sz w:val="21"/>
                <w:szCs w:val="21"/>
              </w:rPr>
              <w:t>MoF</w:t>
            </w:r>
            <w:proofErr w:type="spellEnd"/>
            <w:r w:rsidRPr="002559FC">
              <w:rPr>
                <w:rFonts w:ascii="Franklin Gothic Book" w:eastAsia="Calibri" w:hAnsi="Franklin Gothic Book"/>
                <w:i/>
                <w:iCs/>
                <w:sz w:val="21"/>
                <w:szCs w:val="21"/>
              </w:rPr>
              <w:t xml:space="preserve">) on-granting mechanism used in the Australia-funded Water and Sanitation </w:t>
            </w:r>
            <w:proofErr w:type="spellStart"/>
            <w:r w:rsidRPr="002559FC">
              <w:rPr>
                <w:rFonts w:ascii="Franklin Gothic Book" w:eastAsia="Calibri" w:hAnsi="Franklin Gothic Book"/>
                <w:i/>
                <w:iCs/>
                <w:sz w:val="21"/>
                <w:szCs w:val="21"/>
              </w:rPr>
              <w:t>hibah</w:t>
            </w:r>
            <w:proofErr w:type="spellEnd"/>
            <w:r w:rsidRPr="002559FC">
              <w:rPr>
                <w:rFonts w:ascii="Franklin Gothic Book" w:eastAsia="Calibri" w:hAnsi="Franklin Gothic Book"/>
                <w:i/>
                <w:iCs/>
                <w:sz w:val="21"/>
                <w:szCs w:val="21"/>
              </w:rPr>
              <w:t xml:space="preserve"> as a way of transferring the funds.</w:t>
            </w:r>
          </w:p>
        </w:tc>
      </w:tr>
    </w:tbl>
    <w:p w:rsidR="00CD712E" w:rsidRPr="002559FC" w:rsidRDefault="00CD712E" w:rsidP="00336CB1">
      <w:pPr>
        <w:jc w:val="both"/>
        <w:rPr>
          <w:rFonts w:ascii="Franklin Gothic Book" w:hAnsi="Franklin Gothic Book" w:cs="Arial"/>
          <w:color w:val="000000" w:themeColor="text1"/>
          <w:sz w:val="21"/>
          <w:szCs w:val="21"/>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77"/>
        <w:gridCol w:w="2977"/>
      </w:tblGrid>
      <w:tr w:rsidR="00336CB1" w:rsidRPr="002559FC" w:rsidTr="002559FC">
        <w:trPr>
          <w:trHeight w:val="416"/>
        </w:trPr>
        <w:tc>
          <w:tcPr>
            <w:tcW w:w="8931" w:type="dxa"/>
            <w:gridSpan w:val="3"/>
            <w:shd w:val="clear" w:color="auto" w:fill="C6D9F1" w:themeFill="text2" w:themeFillTint="33"/>
            <w:vAlign w:val="center"/>
          </w:tcPr>
          <w:p w:rsidR="00336CB1" w:rsidRPr="002559FC" w:rsidRDefault="00336CB1" w:rsidP="002559FC">
            <w:pPr>
              <w:spacing w:before="120" w:after="120"/>
              <w:jc w:val="both"/>
              <w:rPr>
                <w:rFonts w:ascii="Franklin Gothic Book" w:hAnsi="Franklin Gothic Book" w:cs="Arial"/>
                <w:b/>
                <w:i/>
                <w:color w:val="000000" w:themeColor="text1"/>
                <w:sz w:val="21"/>
                <w:szCs w:val="21"/>
              </w:rPr>
            </w:pPr>
            <w:r w:rsidRPr="002559FC">
              <w:rPr>
                <w:rFonts w:ascii="Franklin Gothic Book" w:eastAsia="Calibri" w:hAnsi="Franklin Gothic Book"/>
                <w:b/>
                <w:i/>
                <w:iCs/>
                <w:sz w:val="21"/>
                <w:szCs w:val="21"/>
              </w:rPr>
              <w:t>Pilot Program for Provincial Road Improvement and Maintenance (PRIM)</w:t>
            </w:r>
            <w:r w:rsidR="002559FC">
              <w:rPr>
                <w:rFonts w:ascii="Franklin Gothic Book" w:eastAsia="Calibri" w:hAnsi="Franklin Gothic Book"/>
                <w:b/>
                <w:i/>
                <w:iCs/>
                <w:sz w:val="21"/>
                <w:szCs w:val="21"/>
              </w:rPr>
              <w:t>*</w:t>
            </w:r>
          </w:p>
        </w:tc>
      </w:tr>
      <w:tr w:rsidR="00CD712E" w:rsidRPr="002559FC" w:rsidTr="002559FC">
        <w:trPr>
          <w:trHeight w:val="280"/>
        </w:trPr>
        <w:tc>
          <w:tcPr>
            <w:tcW w:w="2977" w:type="dxa"/>
            <w:tcBorders>
              <w:bottom w:val="nil"/>
            </w:tcBorders>
            <w:vAlign w:val="center"/>
          </w:tcPr>
          <w:p w:rsidR="00CD712E" w:rsidRPr="002559FC" w:rsidRDefault="00CD712E" w:rsidP="00CD712E">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Timeframe / Years:</w:t>
            </w:r>
          </w:p>
        </w:tc>
        <w:tc>
          <w:tcPr>
            <w:tcW w:w="2977" w:type="dxa"/>
            <w:tcBorders>
              <w:bottom w:val="nil"/>
            </w:tcBorders>
            <w:vAlign w:val="center"/>
          </w:tcPr>
          <w:p w:rsidR="00CD712E" w:rsidRPr="002559FC" w:rsidRDefault="00CD712E" w:rsidP="00CD712E">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Australian contribution:</w:t>
            </w:r>
          </w:p>
        </w:tc>
        <w:tc>
          <w:tcPr>
            <w:tcW w:w="2977" w:type="dxa"/>
            <w:tcBorders>
              <w:bottom w:val="nil"/>
            </w:tcBorders>
            <w:vAlign w:val="center"/>
          </w:tcPr>
          <w:p w:rsidR="00CD712E" w:rsidRPr="002559FC" w:rsidRDefault="00CD712E" w:rsidP="00CD712E">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Location:</w:t>
            </w:r>
          </w:p>
        </w:tc>
      </w:tr>
      <w:tr w:rsidR="00336CB1" w:rsidRPr="002559FC" w:rsidTr="002559FC">
        <w:trPr>
          <w:trHeight w:val="405"/>
        </w:trPr>
        <w:tc>
          <w:tcPr>
            <w:tcW w:w="2977" w:type="dxa"/>
            <w:tcBorders>
              <w:top w:val="nil"/>
            </w:tcBorders>
          </w:tcPr>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2014-2015</w:t>
            </w:r>
          </w:p>
          <w:p w:rsidR="00336CB1" w:rsidRPr="002559FC" w:rsidRDefault="00336CB1" w:rsidP="00CD712E">
            <w:pPr>
              <w:rPr>
                <w:rFonts w:ascii="Franklin Gothic Book" w:hAnsi="Franklin Gothic Book" w:cs="Arial"/>
                <w:i/>
                <w:color w:val="000000" w:themeColor="text1"/>
                <w:sz w:val="21"/>
                <w:szCs w:val="21"/>
              </w:rPr>
            </w:pPr>
          </w:p>
        </w:tc>
        <w:tc>
          <w:tcPr>
            <w:tcW w:w="2977" w:type="dxa"/>
            <w:tcBorders>
              <w:top w:val="nil"/>
            </w:tcBorders>
          </w:tcPr>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DFA: $12.2million</w:t>
            </w:r>
          </w:p>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 xml:space="preserve">TA through </w:t>
            </w:r>
            <w:proofErr w:type="spellStart"/>
            <w:r w:rsidRPr="002559FC">
              <w:rPr>
                <w:rFonts w:ascii="Franklin Gothic Book" w:hAnsi="Franklin Gothic Book" w:cs="Arial"/>
                <w:i/>
                <w:color w:val="000000" w:themeColor="text1"/>
                <w:sz w:val="21"/>
                <w:szCs w:val="21"/>
              </w:rPr>
              <w:t>IndII</w:t>
            </w:r>
            <w:proofErr w:type="spellEnd"/>
            <w:r w:rsidRPr="002559FC">
              <w:rPr>
                <w:rFonts w:ascii="Franklin Gothic Book" w:hAnsi="Franklin Gothic Book" w:cs="Arial"/>
                <w:i/>
                <w:color w:val="000000" w:themeColor="text1"/>
                <w:sz w:val="21"/>
                <w:szCs w:val="21"/>
              </w:rPr>
              <w:t>: $8.9million</w:t>
            </w:r>
          </w:p>
        </w:tc>
        <w:tc>
          <w:tcPr>
            <w:tcW w:w="2977" w:type="dxa"/>
            <w:tcBorders>
              <w:top w:val="nil"/>
            </w:tcBorders>
          </w:tcPr>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West Nusa Tenggara (NTB) Province</w:t>
            </w:r>
          </w:p>
        </w:tc>
      </w:tr>
      <w:tr w:rsidR="00336CB1" w:rsidRPr="002559FC" w:rsidTr="002559FC">
        <w:trPr>
          <w:trHeight w:val="975"/>
        </w:trPr>
        <w:tc>
          <w:tcPr>
            <w:tcW w:w="8931" w:type="dxa"/>
            <w:gridSpan w:val="3"/>
          </w:tcPr>
          <w:p w:rsidR="00336CB1" w:rsidRPr="002559FC" w:rsidRDefault="00336CB1" w:rsidP="00057168">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Key Implementing Partners:</w:t>
            </w:r>
          </w:p>
          <w:p w:rsidR="00336CB1" w:rsidRPr="002559FC" w:rsidRDefault="00336CB1" w:rsidP="00CD712E">
            <w:pPr>
              <w:pStyle w:val="ListParagraph"/>
              <w:numPr>
                <w:ilvl w:val="0"/>
                <w:numId w:val="17"/>
              </w:numPr>
              <w:jc w:val="both"/>
              <w:rPr>
                <w:rFonts w:ascii="Franklin Gothic Book" w:eastAsia="Calibri" w:hAnsi="Franklin Gothic Book"/>
                <w:i/>
                <w:iCs/>
                <w:sz w:val="21"/>
                <w:szCs w:val="21"/>
              </w:rPr>
            </w:pPr>
            <w:proofErr w:type="spellStart"/>
            <w:r w:rsidRPr="002559FC">
              <w:rPr>
                <w:rFonts w:ascii="Franklin Gothic Book" w:eastAsia="Calibri" w:hAnsi="Franklin Gothic Book"/>
                <w:i/>
                <w:iCs/>
                <w:sz w:val="21"/>
                <w:szCs w:val="21"/>
              </w:rPr>
              <w:t>GoI</w:t>
            </w:r>
            <w:proofErr w:type="spellEnd"/>
            <w:r w:rsidRPr="002559FC">
              <w:rPr>
                <w:rFonts w:ascii="Franklin Gothic Book" w:eastAsia="Calibri" w:hAnsi="Franklin Gothic Book"/>
                <w:i/>
                <w:iCs/>
                <w:sz w:val="21"/>
                <w:szCs w:val="21"/>
              </w:rPr>
              <w:t xml:space="preserve"> (Ministry of Public Works, Ministry of Finance, </w:t>
            </w:r>
            <w:proofErr w:type="spellStart"/>
            <w:r w:rsidRPr="002559FC">
              <w:rPr>
                <w:rFonts w:ascii="Franklin Gothic Book" w:eastAsia="Calibri" w:hAnsi="Franklin Gothic Book"/>
                <w:i/>
                <w:iCs/>
                <w:sz w:val="21"/>
                <w:szCs w:val="21"/>
              </w:rPr>
              <w:t>Bappenas</w:t>
            </w:r>
            <w:proofErr w:type="spellEnd"/>
            <w:r w:rsidRPr="002559FC">
              <w:rPr>
                <w:rFonts w:ascii="Franklin Gothic Book" w:eastAsia="Calibri" w:hAnsi="Franklin Gothic Book"/>
                <w:i/>
                <w:iCs/>
                <w:sz w:val="21"/>
                <w:szCs w:val="21"/>
              </w:rPr>
              <w:t>)</w:t>
            </w:r>
          </w:p>
          <w:p w:rsidR="00336CB1" w:rsidRPr="002559FC" w:rsidRDefault="00336CB1" w:rsidP="00CD712E">
            <w:pPr>
              <w:pStyle w:val="ListParagraph"/>
              <w:numPr>
                <w:ilvl w:val="0"/>
                <w:numId w:val="17"/>
              </w:numPr>
              <w:jc w:val="both"/>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Provincial government of NTB</w:t>
            </w:r>
          </w:p>
        </w:tc>
      </w:tr>
      <w:tr w:rsidR="00336CB1" w:rsidRPr="002559FC" w:rsidTr="002559FC">
        <w:trPr>
          <w:trHeight w:val="56"/>
        </w:trPr>
        <w:tc>
          <w:tcPr>
            <w:tcW w:w="8931" w:type="dxa"/>
            <w:gridSpan w:val="3"/>
          </w:tcPr>
          <w:p w:rsidR="00336CB1" w:rsidRPr="002559FC" w:rsidRDefault="00336CB1" w:rsidP="00057168">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Program Objective:</w:t>
            </w:r>
          </w:p>
          <w:p w:rsidR="00336CB1" w:rsidRPr="002559FC" w:rsidRDefault="00336CB1" w:rsidP="00CD712E">
            <w:pPr>
              <w:jc w:val="both"/>
              <w:rPr>
                <w:rFonts w:ascii="Franklin Gothic Book" w:eastAsia="Calibri" w:hAnsi="Franklin Gothic Book"/>
                <w:i/>
                <w:iCs/>
                <w:sz w:val="21"/>
                <w:szCs w:val="21"/>
              </w:rPr>
            </w:pPr>
            <w:r w:rsidRPr="002559FC">
              <w:rPr>
                <w:rFonts w:ascii="Franklin Gothic Book" w:eastAsia="Calibri" w:hAnsi="Franklin Gothic Book"/>
                <w:i/>
                <w:iCs/>
                <w:sz w:val="21"/>
                <w:szCs w:val="21"/>
              </w:rPr>
              <w:t>The Provincial Road Improvement and Maintenance (PRIM) Pilot Program is a results-based grant program to incentivise better road maintenance performance. The program’s focus is on achieving lasting improvements in governance and value-for-money in rehabilitating and maintaining provincial roads, raising the quality of maintenance planning and delivery. Performance is rewarded by grant disbursements triggered by satisfactory execution of maintenance works in accordance with agreed procedures and standards, and improvements in governance measures. PRIM provides performance grants valued at approximately 40% of expenditures on provincial road maintenance. The program is being piloted in NTB Province given its stated commitment to trial PRIM, and is targeting (</w:t>
            </w:r>
            <w:proofErr w:type="spellStart"/>
            <w:r w:rsidRPr="002559FC">
              <w:rPr>
                <w:rFonts w:ascii="Franklin Gothic Book" w:eastAsia="Calibri" w:hAnsi="Franklin Gothic Book"/>
                <w:i/>
                <w:iCs/>
                <w:sz w:val="21"/>
                <w:szCs w:val="21"/>
              </w:rPr>
              <w:t>i</w:t>
            </w:r>
            <w:proofErr w:type="spellEnd"/>
            <w:r w:rsidRPr="002559FC">
              <w:rPr>
                <w:rFonts w:ascii="Franklin Gothic Book" w:eastAsia="Calibri" w:hAnsi="Franklin Gothic Book"/>
                <w:i/>
                <w:iCs/>
                <w:sz w:val="21"/>
                <w:szCs w:val="21"/>
              </w:rPr>
              <w:t>) 1,329 km of routine maintenance, (ii) 679 km of backlog &amp; minor works, (iii) 26 km of periodic maintenance, and (iv) 18 km of pavement rehabilitation.</w:t>
            </w:r>
          </w:p>
          <w:p w:rsidR="00336CB1" w:rsidRPr="002559FC" w:rsidRDefault="00336CB1" w:rsidP="00CD712E">
            <w:pPr>
              <w:jc w:val="both"/>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A further assessment on decision to extend funding to Stage-2 would be made based on the progress and success of pilot program for PRIM.</w:t>
            </w:r>
          </w:p>
        </w:tc>
      </w:tr>
      <w:tr w:rsidR="00336CB1" w:rsidRPr="002559FC" w:rsidTr="002559FC">
        <w:trPr>
          <w:trHeight w:val="416"/>
        </w:trPr>
        <w:tc>
          <w:tcPr>
            <w:tcW w:w="8931" w:type="dxa"/>
            <w:gridSpan w:val="3"/>
            <w:shd w:val="clear" w:color="auto" w:fill="C6D9F1" w:themeFill="text2" w:themeFillTint="33"/>
            <w:vAlign w:val="center"/>
          </w:tcPr>
          <w:p w:rsidR="00336CB1" w:rsidRPr="002559FC" w:rsidRDefault="00336CB1" w:rsidP="00336CB1">
            <w:pPr>
              <w:spacing w:before="120" w:after="120"/>
              <w:jc w:val="both"/>
              <w:rPr>
                <w:rFonts w:ascii="Franklin Gothic Book" w:hAnsi="Franklin Gothic Book" w:cs="Arial"/>
                <w:b/>
                <w:i/>
                <w:color w:val="000000" w:themeColor="text1"/>
                <w:sz w:val="21"/>
                <w:szCs w:val="21"/>
              </w:rPr>
            </w:pPr>
            <w:r w:rsidRPr="002559FC">
              <w:rPr>
                <w:rFonts w:ascii="Franklin Gothic Book" w:eastAsia="Calibri" w:hAnsi="Franklin Gothic Book"/>
                <w:b/>
                <w:i/>
                <w:iCs/>
                <w:sz w:val="21"/>
                <w:szCs w:val="21"/>
              </w:rPr>
              <w:lastRenderedPageBreak/>
              <w:t>The Eastern Indonesia National Road Improvement Project (EINRIP)</w:t>
            </w:r>
          </w:p>
        </w:tc>
      </w:tr>
      <w:tr w:rsidR="00CD712E" w:rsidRPr="002559FC" w:rsidTr="002559FC">
        <w:trPr>
          <w:trHeight w:val="280"/>
        </w:trPr>
        <w:tc>
          <w:tcPr>
            <w:tcW w:w="2977" w:type="dxa"/>
            <w:tcBorders>
              <w:bottom w:val="nil"/>
            </w:tcBorders>
            <w:vAlign w:val="center"/>
          </w:tcPr>
          <w:p w:rsidR="00CD712E" w:rsidRPr="002559FC" w:rsidRDefault="00CD712E" w:rsidP="00CD712E">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Timeframe / Years:</w:t>
            </w:r>
          </w:p>
        </w:tc>
        <w:tc>
          <w:tcPr>
            <w:tcW w:w="2977" w:type="dxa"/>
            <w:tcBorders>
              <w:bottom w:val="nil"/>
            </w:tcBorders>
            <w:vAlign w:val="center"/>
          </w:tcPr>
          <w:p w:rsidR="00CD712E" w:rsidRPr="002559FC" w:rsidRDefault="00CD712E" w:rsidP="00CD712E">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Australian contribution:</w:t>
            </w:r>
          </w:p>
        </w:tc>
        <w:tc>
          <w:tcPr>
            <w:tcW w:w="2977" w:type="dxa"/>
            <w:tcBorders>
              <w:bottom w:val="nil"/>
            </w:tcBorders>
            <w:vAlign w:val="center"/>
          </w:tcPr>
          <w:p w:rsidR="00CD712E" w:rsidRPr="002559FC" w:rsidRDefault="00CD712E" w:rsidP="00CD712E">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Location:</w:t>
            </w:r>
          </w:p>
        </w:tc>
      </w:tr>
      <w:tr w:rsidR="00336CB1" w:rsidRPr="002559FC" w:rsidTr="002559FC">
        <w:trPr>
          <w:trHeight w:val="460"/>
        </w:trPr>
        <w:tc>
          <w:tcPr>
            <w:tcW w:w="2977" w:type="dxa"/>
            <w:tcBorders>
              <w:top w:val="nil"/>
            </w:tcBorders>
          </w:tcPr>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2006 -2015</w:t>
            </w:r>
          </w:p>
          <w:p w:rsidR="00336CB1" w:rsidRPr="002559FC" w:rsidRDefault="00336CB1" w:rsidP="00CD712E">
            <w:pPr>
              <w:rPr>
                <w:rFonts w:ascii="Franklin Gothic Book" w:hAnsi="Franklin Gothic Book" w:cs="Arial"/>
                <w:i/>
                <w:color w:val="000000" w:themeColor="text1"/>
                <w:sz w:val="21"/>
                <w:szCs w:val="21"/>
              </w:rPr>
            </w:pPr>
          </w:p>
        </w:tc>
        <w:tc>
          <w:tcPr>
            <w:tcW w:w="2977" w:type="dxa"/>
            <w:tcBorders>
              <w:top w:val="nil"/>
            </w:tcBorders>
          </w:tcPr>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Loan: $300 million</w:t>
            </w:r>
          </w:p>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Grant: $36 million</w:t>
            </w:r>
          </w:p>
        </w:tc>
        <w:tc>
          <w:tcPr>
            <w:tcW w:w="2977" w:type="dxa"/>
            <w:tcBorders>
              <w:top w:val="nil"/>
            </w:tcBorders>
          </w:tcPr>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8 provinces in Eastern Indonesia</w:t>
            </w:r>
          </w:p>
        </w:tc>
      </w:tr>
      <w:tr w:rsidR="00336CB1" w:rsidRPr="002559FC" w:rsidTr="002559FC">
        <w:trPr>
          <w:trHeight w:val="360"/>
        </w:trPr>
        <w:tc>
          <w:tcPr>
            <w:tcW w:w="8931" w:type="dxa"/>
            <w:gridSpan w:val="3"/>
          </w:tcPr>
          <w:p w:rsidR="00336CB1" w:rsidRPr="002559FC" w:rsidRDefault="00336CB1" w:rsidP="002559FC">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Key Implementing Partners:</w:t>
            </w:r>
          </w:p>
          <w:p w:rsidR="00336CB1" w:rsidRPr="002559FC" w:rsidRDefault="00336CB1" w:rsidP="002559FC">
            <w:pPr>
              <w:pStyle w:val="ListParagraph"/>
              <w:numPr>
                <w:ilvl w:val="0"/>
                <w:numId w:val="17"/>
              </w:numPr>
              <w:jc w:val="both"/>
              <w:rPr>
                <w:rFonts w:ascii="Franklin Gothic Book" w:hAnsi="Franklin Gothic Book" w:cs="Arial"/>
                <w:i/>
                <w:color w:val="000000" w:themeColor="text1"/>
                <w:sz w:val="21"/>
                <w:szCs w:val="21"/>
              </w:rPr>
            </w:pPr>
            <w:proofErr w:type="spellStart"/>
            <w:r w:rsidRPr="002559FC">
              <w:rPr>
                <w:rFonts w:ascii="Franklin Gothic Book" w:eastAsia="Calibri" w:hAnsi="Franklin Gothic Book"/>
                <w:i/>
                <w:iCs/>
                <w:sz w:val="21"/>
                <w:szCs w:val="21"/>
              </w:rPr>
              <w:t>GoI</w:t>
            </w:r>
            <w:proofErr w:type="spellEnd"/>
            <w:r w:rsidRPr="002559FC">
              <w:rPr>
                <w:rFonts w:ascii="Franklin Gothic Book" w:eastAsia="Calibri" w:hAnsi="Franklin Gothic Book"/>
                <w:i/>
                <w:iCs/>
                <w:sz w:val="21"/>
                <w:szCs w:val="21"/>
              </w:rPr>
              <w:t xml:space="preserve"> (Ministry of Public Works, Ministry of Finance – Debt Management)</w:t>
            </w:r>
          </w:p>
        </w:tc>
      </w:tr>
      <w:tr w:rsidR="00336CB1" w:rsidRPr="002559FC" w:rsidTr="002559FC">
        <w:trPr>
          <w:trHeight w:val="975"/>
        </w:trPr>
        <w:tc>
          <w:tcPr>
            <w:tcW w:w="8931" w:type="dxa"/>
            <w:gridSpan w:val="3"/>
          </w:tcPr>
          <w:p w:rsidR="00336CB1" w:rsidRPr="002559FC" w:rsidRDefault="00336CB1" w:rsidP="00057168">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Program Objective:</w:t>
            </w:r>
          </w:p>
          <w:p w:rsidR="00336CB1" w:rsidRPr="002559FC" w:rsidRDefault="00336CB1" w:rsidP="00CD712E">
            <w:pPr>
              <w:jc w:val="both"/>
              <w:rPr>
                <w:rFonts w:ascii="Franklin Gothic Book" w:eastAsia="Calibri" w:hAnsi="Franklin Gothic Book"/>
                <w:i/>
                <w:iCs/>
                <w:sz w:val="21"/>
                <w:szCs w:val="21"/>
              </w:rPr>
            </w:pPr>
            <w:r w:rsidRPr="002559FC">
              <w:rPr>
                <w:rFonts w:ascii="Franklin Gothic Book" w:eastAsia="Calibri" w:hAnsi="Franklin Gothic Book"/>
                <w:i/>
                <w:iCs/>
                <w:sz w:val="21"/>
                <w:szCs w:val="21"/>
              </w:rPr>
              <w:t xml:space="preserve">The Eastern Indonesia National Roads Improvement Project (EINRIP) was established in 2006 as part of Australia’s assistance to the </w:t>
            </w:r>
            <w:proofErr w:type="spellStart"/>
            <w:r w:rsidR="0040729F">
              <w:rPr>
                <w:rFonts w:ascii="Franklin Gothic Book" w:eastAsia="Calibri" w:hAnsi="Franklin Gothic Book"/>
                <w:i/>
                <w:iCs/>
                <w:sz w:val="21"/>
                <w:szCs w:val="21"/>
              </w:rPr>
              <w:t>GoI</w:t>
            </w:r>
            <w:proofErr w:type="spellEnd"/>
            <w:r w:rsidRPr="002559FC">
              <w:rPr>
                <w:rFonts w:ascii="Franklin Gothic Book" w:eastAsia="Calibri" w:hAnsi="Franklin Gothic Book"/>
                <w:i/>
                <w:iCs/>
                <w:sz w:val="21"/>
                <w:szCs w:val="21"/>
              </w:rPr>
              <w:t xml:space="preserve"> under the Australia Indonesia Partnership for Reconstruction and Development (AIPRD), resulting from the $1billion assistance package announced after the 2004 tsunami. EINRIP provides a highly concessionary loan of up to AUD300 million for major reconstruction and improvement of national roads and bridges in Eastern Indonesia to promote the economic and social development of the region. EINRIP is supporting 20 road projects in 9 provinces, totalling around 395km of roads and 1,300m associated fabricated steel bridge structures.</w:t>
            </w:r>
          </w:p>
          <w:p w:rsidR="00336CB1" w:rsidRPr="002559FC" w:rsidRDefault="00336CB1" w:rsidP="00057168">
            <w:pPr>
              <w:jc w:val="both"/>
              <w:rPr>
                <w:rFonts w:ascii="Franklin Gothic Book" w:hAnsi="Franklin Gothic Book" w:cs="Arial"/>
                <w:color w:val="1F497D"/>
                <w:sz w:val="21"/>
                <w:szCs w:val="21"/>
              </w:rPr>
            </w:pPr>
            <w:r w:rsidRPr="002559FC">
              <w:rPr>
                <w:rFonts w:ascii="Franklin Gothic Book" w:eastAsia="Calibri" w:hAnsi="Franklin Gothic Book"/>
                <w:i/>
                <w:iCs/>
                <w:sz w:val="21"/>
                <w:szCs w:val="21"/>
              </w:rPr>
              <w:t>To support the above loan, DFAT has invested around $36 million in grant resources to improve EINRIP implementation and oversight including (</w:t>
            </w:r>
            <w:proofErr w:type="spellStart"/>
            <w:r w:rsidRPr="002559FC">
              <w:rPr>
                <w:rFonts w:ascii="Franklin Gothic Book" w:eastAsia="Calibri" w:hAnsi="Franklin Gothic Book"/>
                <w:i/>
                <w:iCs/>
                <w:sz w:val="21"/>
                <w:szCs w:val="21"/>
              </w:rPr>
              <w:t>i</w:t>
            </w:r>
            <w:proofErr w:type="spellEnd"/>
            <w:r w:rsidRPr="002559FC">
              <w:rPr>
                <w:rFonts w:ascii="Franklin Gothic Book" w:eastAsia="Calibri" w:hAnsi="Franklin Gothic Book"/>
                <w:i/>
                <w:iCs/>
                <w:sz w:val="21"/>
                <w:szCs w:val="21"/>
              </w:rPr>
              <w:t>) an EINRIP Monitoring Unit (EMU) to provide day-to-day technical oversight of the program; (ii) a Project Preparation Consultant (PPC) to provide Australian and Indonesian technical expertise for planning, technical preparation and provision of Final Engineering Designs (FED) for all road projects; (iii) a program of Technical and Financial Audits (TFAC) to closely assess construction quality and advise DFAT on remedial measures necessary to ensure substantial compliance with design specifications; and (iv) a Monitoring and Evaluation program that extends beyond the life of the project to assess its long-term impact.</w:t>
            </w:r>
          </w:p>
        </w:tc>
      </w:tr>
    </w:tbl>
    <w:p w:rsidR="00336CB1" w:rsidRPr="002559FC" w:rsidRDefault="00336CB1" w:rsidP="00336CB1">
      <w:pPr>
        <w:jc w:val="both"/>
        <w:rPr>
          <w:rFonts w:ascii="Franklin Gothic Book" w:hAnsi="Franklin Gothic Book" w:cs="Arial"/>
          <w:color w:val="000000" w:themeColor="text1"/>
          <w:sz w:val="21"/>
          <w:szCs w:val="21"/>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77"/>
        <w:gridCol w:w="2977"/>
      </w:tblGrid>
      <w:tr w:rsidR="00336CB1" w:rsidRPr="002559FC" w:rsidTr="002559FC">
        <w:trPr>
          <w:trHeight w:val="416"/>
        </w:trPr>
        <w:tc>
          <w:tcPr>
            <w:tcW w:w="8931" w:type="dxa"/>
            <w:gridSpan w:val="3"/>
            <w:shd w:val="clear" w:color="auto" w:fill="C6D9F1" w:themeFill="text2" w:themeFillTint="33"/>
            <w:vAlign w:val="center"/>
          </w:tcPr>
          <w:p w:rsidR="00336CB1" w:rsidRPr="002559FC" w:rsidRDefault="00336CB1" w:rsidP="00336CB1">
            <w:pPr>
              <w:spacing w:before="120" w:after="120"/>
              <w:jc w:val="both"/>
              <w:rPr>
                <w:rFonts w:ascii="Franklin Gothic Book" w:hAnsi="Franklin Gothic Book" w:cs="Arial"/>
                <w:b/>
                <w:i/>
                <w:color w:val="000000" w:themeColor="text1"/>
                <w:sz w:val="21"/>
                <w:szCs w:val="21"/>
              </w:rPr>
            </w:pPr>
            <w:r w:rsidRPr="002559FC">
              <w:rPr>
                <w:rFonts w:ascii="Franklin Gothic Book" w:eastAsia="Calibri" w:hAnsi="Franklin Gothic Book"/>
                <w:b/>
                <w:i/>
                <w:iCs/>
                <w:sz w:val="21"/>
                <w:szCs w:val="21"/>
              </w:rPr>
              <w:t>Multilateral Development Bank Infrastructure Assistance Program</w:t>
            </w:r>
          </w:p>
        </w:tc>
      </w:tr>
      <w:tr w:rsidR="00CD712E" w:rsidRPr="002559FC" w:rsidTr="002559FC">
        <w:trPr>
          <w:trHeight w:val="280"/>
        </w:trPr>
        <w:tc>
          <w:tcPr>
            <w:tcW w:w="2977" w:type="dxa"/>
            <w:tcBorders>
              <w:bottom w:val="nil"/>
            </w:tcBorders>
          </w:tcPr>
          <w:p w:rsidR="00CD712E" w:rsidRPr="002559FC" w:rsidRDefault="00CD712E" w:rsidP="00CD712E">
            <w:pPr>
              <w:spacing w:before="120"/>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Timeframe / Years:</w:t>
            </w:r>
          </w:p>
        </w:tc>
        <w:tc>
          <w:tcPr>
            <w:tcW w:w="2977" w:type="dxa"/>
            <w:tcBorders>
              <w:bottom w:val="nil"/>
            </w:tcBorders>
          </w:tcPr>
          <w:p w:rsidR="00CD712E" w:rsidRPr="002559FC" w:rsidRDefault="00CD712E" w:rsidP="00CD712E">
            <w:pPr>
              <w:spacing w:before="120"/>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Australian contribution:</w:t>
            </w:r>
          </w:p>
        </w:tc>
        <w:tc>
          <w:tcPr>
            <w:tcW w:w="2977" w:type="dxa"/>
            <w:tcBorders>
              <w:bottom w:val="nil"/>
            </w:tcBorders>
          </w:tcPr>
          <w:p w:rsidR="00CD712E" w:rsidRPr="002559FC" w:rsidRDefault="00CD712E" w:rsidP="00CD712E">
            <w:pPr>
              <w:spacing w:before="120"/>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Location:</w:t>
            </w:r>
          </w:p>
        </w:tc>
      </w:tr>
      <w:tr w:rsidR="00336CB1" w:rsidRPr="002559FC" w:rsidTr="002559FC">
        <w:trPr>
          <w:trHeight w:val="405"/>
        </w:trPr>
        <w:tc>
          <w:tcPr>
            <w:tcW w:w="2977" w:type="dxa"/>
            <w:tcBorders>
              <w:top w:val="nil"/>
            </w:tcBorders>
          </w:tcPr>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May 2013 - 2019</w:t>
            </w:r>
          </w:p>
        </w:tc>
        <w:tc>
          <w:tcPr>
            <w:tcW w:w="2977" w:type="dxa"/>
            <w:tcBorders>
              <w:top w:val="nil"/>
            </w:tcBorders>
          </w:tcPr>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Total $40.5 million: made up of $20 million to World Bank; $20 million to ADB; $0.5 million for M&amp;E and administration costs</w:t>
            </w:r>
          </w:p>
        </w:tc>
        <w:tc>
          <w:tcPr>
            <w:tcW w:w="2977" w:type="dxa"/>
            <w:tcBorders>
              <w:top w:val="nil"/>
            </w:tcBorders>
          </w:tcPr>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No specific geographic focus</w:t>
            </w:r>
          </w:p>
        </w:tc>
      </w:tr>
      <w:tr w:rsidR="00336CB1" w:rsidRPr="002559FC" w:rsidTr="002559FC">
        <w:trPr>
          <w:trHeight w:val="785"/>
        </w:trPr>
        <w:tc>
          <w:tcPr>
            <w:tcW w:w="8931" w:type="dxa"/>
            <w:gridSpan w:val="3"/>
          </w:tcPr>
          <w:p w:rsidR="00336CB1" w:rsidRPr="002559FC" w:rsidRDefault="00336CB1" w:rsidP="00057168">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Key Implementing Partners:</w:t>
            </w:r>
          </w:p>
          <w:p w:rsidR="00336CB1" w:rsidRPr="002559FC" w:rsidRDefault="00336CB1" w:rsidP="002559FC">
            <w:pPr>
              <w:pStyle w:val="ListParagraph"/>
              <w:numPr>
                <w:ilvl w:val="0"/>
                <w:numId w:val="17"/>
              </w:numPr>
              <w:jc w:val="both"/>
              <w:rPr>
                <w:rFonts w:ascii="Franklin Gothic Book" w:eastAsia="Calibri" w:hAnsi="Franklin Gothic Book"/>
                <w:i/>
                <w:iCs/>
                <w:sz w:val="21"/>
                <w:szCs w:val="21"/>
              </w:rPr>
            </w:pPr>
            <w:r w:rsidRPr="002559FC">
              <w:rPr>
                <w:rFonts w:ascii="Franklin Gothic Book" w:eastAsia="Calibri" w:hAnsi="Franklin Gothic Book"/>
                <w:i/>
                <w:iCs/>
                <w:sz w:val="21"/>
                <w:szCs w:val="21"/>
              </w:rPr>
              <w:t>The World Bank</w:t>
            </w:r>
          </w:p>
          <w:p w:rsidR="00336CB1" w:rsidRPr="002559FC" w:rsidRDefault="00336CB1" w:rsidP="002559FC">
            <w:pPr>
              <w:pStyle w:val="ListParagraph"/>
              <w:numPr>
                <w:ilvl w:val="0"/>
                <w:numId w:val="17"/>
              </w:numPr>
              <w:jc w:val="both"/>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ADB</w:t>
            </w:r>
          </w:p>
        </w:tc>
      </w:tr>
      <w:tr w:rsidR="00336CB1" w:rsidRPr="002559FC" w:rsidTr="002559FC">
        <w:trPr>
          <w:trHeight w:val="420"/>
        </w:trPr>
        <w:tc>
          <w:tcPr>
            <w:tcW w:w="8931" w:type="dxa"/>
            <w:gridSpan w:val="3"/>
          </w:tcPr>
          <w:p w:rsidR="00336CB1" w:rsidRPr="002559FC" w:rsidRDefault="00336CB1" w:rsidP="00057168">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Program Objective:</w:t>
            </w:r>
          </w:p>
          <w:p w:rsidR="00336CB1" w:rsidRPr="002559FC" w:rsidRDefault="00336CB1" w:rsidP="00CD712E">
            <w:pPr>
              <w:jc w:val="both"/>
              <w:rPr>
                <w:rFonts w:ascii="Franklin Gothic Book" w:eastAsia="Calibri" w:hAnsi="Franklin Gothic Book"/>
                <w:i/>
                <w:iCs/>
                <w:sz w:val="21"/>
                <w:szCs w:val="21"/>
              </w:rPr>
            </w:pPr>
            <w:r w:rsidRPr="002559FC">
              <w:rPr>
                <w:rFonts w:ascii="Franklin Gothic Book" w:eastAsia="Calibri" w:hAnsi="Franklin Gothic Book"/>
                <w:i/>
                <w:iCs/>
                <w:sz w:val="21"/>
                <w:szCs w:val="21"/>
              </w:rPr>
              <w:t xml:space="preserve">The Multilateral Development Bank Infrastructure Assistance Program (MDB-IAP) delivers infrastructure technical assistance to the </w:t>
            </w:r>
            <w:proofErr w:type="spellStart"/>
            <w:r w:rsidRPr="002559FC">
              <w:rPr>
                <w:rFonts w:ascii="Franklin Gothic Book" w:eastAsia="Calibri" w:hAnsi="Franklin Gothic Book"/>
                <w:i/>
                <w:iCs/>
                <w:sz w:val="21"/>
                <w:szCs w:val="21"/>
              </w:rPr>
              <w:t>GoI</w:t>
            </w:r>
            <w:proofErr w:type="spellEnd"/>
            <w:r w:rsidRPr="002559FC">
              <w:rPr>
                <w:rFonts w:ascii="Franklin Gothic Book" w:eastAsia="Calibri" w:hAnsi="Franklin Gothic Book"/>
                <w:i/>
                <w:iCs/>
                <w:sz w:val="21"/>
                <w:szCs w:val="21"/>
              </w:rPr>
              <w:t xml:space="preserve"> through the World Bank and Asian Development Bank (ADB) with the objective of strengthening the investment climate, associated policies and the institutional capacity for infrastructure development. The MDB-IAP works across multiple infrastructure sub-sectors including energy, transport, water and sanitation, and urban infrastructure.</w:t>
            </w:r>
          </w:p>
          <w:p w:rsidR="00336CB1" w:rsidRPr="002559FC" w:rsidRDefault="00336CB1" w:rsidP="00CD712E">
            <w:pPr>
              <w:spacing w:after="120"/>
              <w:jc w:val="both"/>
              <w:rPr>
                <w:rFonts w:ascii="Franklin Gothic Book" w:hAnsi="Franklin Gothic Book" w:cs="Arial"/>
                <w:i/>
                <w:color w:val="000000" w:themeColor="text1"/>
                <w:sz w:val="21"/>
                <w:szCs w:val="21"/>
              </w:rPr>
            </w:pPr>
          </w:p>
        </w:tc>
      </w:tr>
    </w:tbl>
    <w:p w:rsidR="00336CB1" w:rsidRDefault="00336CB1" w:rsidP="00336CB1">
      <w:pPr>
        <w:tabs>
          <w:tab w:val="num" w:pos="568"/>
        </w:tabs>
        <w:jc w:val="both"/>
        <w:rPr>
          <w:rFonts w:ascii="Franklin Gothic Book" w:hAnsi="Franklin Gothic Book" w:cs="Arial"/>
          <w:color w:val="000000" w:themeColor="text1"/>
          <w:sz w:val="21"/>
          <w:szCs w:val="21"/>
        </w:rPr>
      </w:pPr>
    </w:p>
    <w:p w:rsidR="002559FC" w:rsidRDefault="002559FC" w:rsidP="00336CB1">
      <w:pPr>
        <w:tabs>
          <w:tab w:val="num" w:pos="568"/>
        </w:tabs>
        <w:jc w:val="both"/>
        <w:rPr>
          <w:rFonts w:ascii="Franklin Gothic Book" w:hAnsi="Franklin Gothic Book" w:cs="Arial"/>
          <w:color w:val="000000" w:themeColor="text1"/>
          <w:sz w:val="21"/>
          <w:szCs w:val="21"/>
        </w:rPr>
      </w:pPr>
    </w:p>
    <w:p w:rsidR="002559FC" w:rsidRDefault="002559FC" w:rsidP="00336CB1">
      <w:pPr>
        <w:tabs>
          <w:tab w:val="num" w:pos="568"/>
        </w:tabs>
        <w:jc w:val="both"/>
        <w:rPr>
          <w:rFonts w:ascii="Franklin Gothic Book" w:hAnsi="Franklin Gothic Book" w:cs="Arial"/>
          <w:color w:val="000000" w:themeColor="text1"/>
          <w:sz w:val="21"/>
          <w:szCs w:val="21"/>
        </w:rPr>
      </w:pPr>
    </w:p>
    <w:p w:rsidR="002559FC" w:rsidRDefault="002559FC" w:rsidP="00336CB1">
      <w:pPr>
        <w:tabs>
          <w:tab w:val="num" w:pos="568"/>
        </w:tabs>
        <w:jc w:val="both"/>
        <w:rPr>
          <w:rFonts w:ascii="Franklin Gothic Book" w:hAnsi="Franklin Gothic Book" w:cs="Arial"/>
          <w:color w:val="000000" w:themeColor="text1"/>
          <w:sz w:val="21"/>
          <w:szCs w:val="21"/>
        </w:rPr>
      </w:pPr>
    </w:p>
    <w:p w:rsidR="002559FC" w:rsidRDefault="002559FC" w:rsidP="00336CB1">
      <w:pPr>
        <w:tabs>
          <w:tab w:val="num" w:pos="568"/>
        </w:tabs>
        <w:jc w:val="both"/>
        <w:rPr>
          <w:rFonts w:ascii="Franklin Gothic Book" w:hAnsi="Franklin Gothic Book" w:cs="Arial"/>
          <w:color w:val="000000" w:themeColor="text1"/>
          <w:sz w:val="21"/>
          <w:szCs w:val="21"/>
        </w:rPr>
      </w:pPr>
    </w:p>
    <w:p w:rsidR="002559FC" w:rsidRDefault="002559FC" w:rsidP="00336CB1">
      <w:pPr>
        <w:tabs>
          <w:tab w:val="num" w:pos="568"/>
        </w:tabs>
        <w:jc w:val="both"/>
        <w:rPr>
          <w:rFonts w:ascii="Franklin Gothic Book" w:hAnsi="Franklin Gothic Book" w:cs="Arial"/>
          <w:color w:val="000000" w:themeColor="text1"/>
          <w:sz w:val="21"/>
          <w:szCs w:val="21"/>
        </w:rPr>
      </w:pPr>
    </w:p>
    <w:p w:rsidR="002559FC" w:rsidRDefault="002559FC" w:rsidP="00336CB1">
      <w:pPr>
        <w:tabs>
          <w:tab w:val="num" w:pos="568"/>
        </w:tabs>
        <w:jc w:val="both"/>
        <w:rPr>
          <w:rFonts w:ascii="Franklin Gothic Book" w:hAnsi="Franklin Gothic Book" w:cs="Arial"/>
          <w:color w:val="000000" w:themeColor="text1"/>
          <w:sz w:val="21"/>
          <w:szCs w:val="21"/>
        </w:rPr>
      </w:pPr>
    </w:p>
    <w:p w:rsidR="002559FC" w:rsidRPr="002559FC" w:rsidRDefault="002559FC" w:rsidP="00336CB1">
      <w:pPr>
        <w:tabs>
          <w:tab w:val="num" w:pos="568"/>
        </w:tabs>
        <w:jc w:val="both"/>
        <w:rPr>
          <w:rFonts w:ascii="Franklin Gothic Book" w:hAnsi="Franklin Gothic Book" w:cs="Arial"/>
          <w:color w:val="000000" w:themeColor="text1"/>
          <w:sz w:val="21"/>
          <w:szCs w:val="21"/>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77"/>
        <w:gridCol w:w="2977"/>
      </w:tblGrid>
      <w:tr w:rsidR="00336CB1" w:rsidRPr="002559FC" w:rsidTr="002559FC">
        <w:trPr>
          <w:trHeight w:val="416"/>
        </w:trPr>
        <w:tc>
          <w:tcPr>
            <w:tcW w:w="8931" w:type="dxa"/>
            <w:gridSpan w:val="3"/>
            <w:shd w:val="clear" w:color="auto" w:fill="C6D9F1" w:themeFill="text2" w:themeFillTint="33"/>
            <w:vAlign w:val="center"/>
          </w:tcPr>
          <w:p w:rsidR="00336CB1" w:rsidRPr="002559FC" w:rsidRDefault="00336CB1" w:rsidP="00CD712E">
            <w:pPr>
              <w:jc w:val="both"/>
              <w:rPr>
                <w:rFonts w:ascii="Franklin Gothic Book" w:hAnsi="Franklin Gothic Book" w:cs="Arial"/>
                <w:b/>
                <w:i/>
                <w:color w:val="000000" w:themeColor="text1"/>
                <w:sz w:val="21"/>
                <w:szCs w:val="21"/>
              </w:rPr>
            </w:pPr>
            <w:r w:rsidRPr="002559FC">
              <w:rPr>
                <w:rFonts w:ascii="Franklin Gothic Book" w:hAnsi="Franklin Gothic Book" w:cs="Arial"/>
                <w:b/>
                <w:i/>
                <w:color w:val="000000" w:themeColor="text1"/>
                <w:sz w:val="21"/>
                <w:szCs w:val="21"/>
              </w:rPr>
              <w:lastRenderedPageBreak/>
              <w:t>PAMSIMAS (Water and Sanitation for Low-Income Communities)</w:t>
            </w:r>
          </w:p>
        </w:tc>
      </w:tr>
      <w:tr w:rsidR="00336CB1" w:rsidRPr="002559FC" w:rsidTr="002559FC">
        <w:trPr>
          <w:trHeight w:val="280"/>
        </w:trPr>
        <w:tc>
          <w:tcPr>
            <w:tcW w:w="2977" w:type="dxa"/>
            <w:tcBorders>
              <w:bottom w:val="nil"/>
            </w:tcBorders>
            <w:vAlign w:val="center"/>
          </w:tcPr>
          <w:p w:rsidR="00336CB1" w:rsidRPr="002559FC" w:rsidRDefault="00336CB1" w:rsidP="00057168">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Timeframe / Years:</w:t>
            </w:r>
          </w:p>
        </w:tc>
        <w:tc>
          <w:tcPr>
            <w:tcW w:w="2977" w:type="dxa"/>
            <w:tcBorders>
              <w:bottom w:val="nil"/>
            </w:tcBorders>
            <w:vAlign w:val="center"/>
          </w:tcPr>
          <w:p w:rsidR="00336CB1" w:rsidRPr="002559FC" w:rsidRDefault="00336CB1" w:rsidP="00057168">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Australian contribution:</w:t>
            </w:r>
          </w:p>
        </w:tc>
        <w:tc>
          <w:tcPr>
            <w:tcW w:w="2977" w:type="dxa"/>
            <w:tcBorders>
              <w:bottom w:val="nil"/>
            </w:tcBorders>
            <w:vAlign w:val="center"/>
          </w:tcPr>
          <w:p w:rsidR="00336CB1" w:rsidRPr="002559FC" w:rsidRDefault="00336CB1" w:rsidP="00057168">
            <w:pPr>
              <w:spacing w:before="120"/>
              <w:jc w:val="both"/>
              <w:rPr>
                <w:rFonts w:ascii="Franklin Gothic Book" w:hAnsi="Franklin Gothic Book" w:cs="Arial"/>
                <w:b/>
                <w:color w:val="000000" w:themeColor="text1"/>
                <w:sz w:val="21"/>
                <w:szCs w:val="21"/>
              </w:rPr>
            </w:pPr>
            <w:r w:rsidRPr="002559FC">
              <w:rPr>
                <w:rFonts w:ascii="Franklin Gothic Book" w:eastAsia="Calibri" w:hAnsi="Franklin Gothic Book"/>
                <w:b/>
                <w:i/>
                <w:iCs/>
                <w:sz w:val="21"/>
                <w:szCs w:val="21"/>
              </w:rPr>
              <w:t>Location:</w:t>
            </w:r>
          </w:p>
        </w:tc>
      </w:tr>
      <w:tr w:rsidR="00336CB1" w:rsidRPr="002559FC" w:rsidTr="002559FC">
        <w:trPr>
          <w:trHeight w:val="405"/>
        </w:trPr>
        <w:tc>
          <w:tcPr>
            <w:tcW w:w="2977" w:type="dxa"/>
            <w:tcBorders>
              <w:top w:val="nil"/>
            </w:tcBorders>
          </w:tcPr>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Phase 2: 2013-2018</w:t>
            </w:r>
          </w:p>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Phase 1: 2009-2012</w:t>
            </w:r>
          </w:p>
        </w:tc>
        <w:tc>
          <w:tcPr>
            <w:tcW w:w="2977" w:type="dxa"/>
            <w:tcBorders>
              <w:top w:val="nil"/>
            </w:tcBorders>
          </w:tcPr>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Phase 2: 49.95 million</w:t>
            </w:r>
          </w:p>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Phase 1: $54.5 million</w:t>
            </w:r>
          </w:p>
        </w:tc>
        <w:tc>
          <w:tcPr>
            <w:tcW w:w="2977" w:type="dxa"/>
            <w:tcBorders>
              <w:top w:val="nil"/>
            </w:tcBorders>
          </w:tcPr>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Phase 2: 5,000 villages in 32 provinces</w:t>
            </w:r>
          </w:p>
          <w:p w:rsidR="00336CB1" w:rsidRPr="002559FC" w:rsidRDefault="00336CB1" w:rsidP="00CD712E">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Phase 1: 4,000 villages in 15 provinces</w:t>
            </w:r>
          </w:p>
        </w:tc>
      </w:tr>
      <w:tr w:rsidR="00336CB1" w:rsidRPr="002559FC" w:rsidTr="002559FC">
        <w:trPr>
          <w:trHeight w:val="836"/>
        </w:trPr>
        <w:tc>
          <w:tcPr>
            <w:tcW w:w="8931" w:type="dxa"/>
            <w:gridSpan w:val="3"/>
          </w:tcPr>
          <w:p w:rsidR="00336CB1" w:rsidRPr="002559FC" w:rsidRDefault="00336CB1" w:rsidP="00057168">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Key Implementing Partners:</w:t>
            </w:r>
          </w:p>
          <w:p w:rsidR="00336CB1" w:rsidRPr="002559FC" w:rsidRDefault="00336CB1" w:rsidP="002559FC">
            <w:pPr>
              <w:pStyle w:val="ListParagraph"/>
              <w:numPr>
                <w:ilvl w:val="0"/>
                <w:numId w:val="17"/>
              </w:numPr>
              <w:jc w:val="both"/>
              <w:rPr>
                <w:rFonts w:ascii="Franklin Gothic Book" w:eastAsia="Calibri" w:hAnsi="Franklin Gothic Book"/>
                <w:i/>
                <w:iCs/>
                <w:sz w:val="21"/>
                <w:szCs w:val="21"/>
              </w:rPr>
            </w:pPr>
            <w:r w:rsidRPr="002559FC">
              <w:rPr>
                <w:rFonts w:ascii="Franklin Gothic Book" w:eastAsia="Calibri" w:hAnsi="Franklin Gothic Book"/>
                <w:i/>
                <w:iCs/>
                <w:sz w:val="21"/>
                <w:szCs w:val="21"/>
              </w:rPr>
              <w:t>World Bank</w:t>
            </w:r>
          </w:p>
          <w:p w:rsidR="00336CB1" w:rsidRPr="002559FC" w:rsidRDefault="00336CB1" w:rsidP="002559FC">
            <w:pPr>
              <w:pStyle w:val="ListParagraph"/>
              <w:numPr>
                <w:ilvl w:val="0"/>
                <w:numId w:val="17"/>
              </w:numPr>
              <w:jc w:val="both"/>
              <w:rPr>
                <w:rFonts w:ascii="Franklin Gothic Book" w:hAnsi="Franklin Gothic Book" w:cs="Arial"/>
                <w:i/>
                <w:color w:val="000000" w:themeColor="text1"/>
                <w:sz w:val="21"/>
                <w:szCs w:val="21"/>
              </w:rPr>
            </w:pPr>
            <w:r w:rsidRPr="002559FC">
              <w:rPr>
                <w:rFonts w:ascii="Franklin Gothic Book" w:eastAsia="Calibri" w:hAnsi="Franklin Gothic Book"/>
                <w:i/>
                <w:iCs/>
                <w:sz w:val="21"/>
                <w:szCs w:val="21"/>
              </w:rPr>
              <w:t>Ministry of Public Works</w:t>
            </w:r>
          </w:p>
        </w:tc>
      </w:tr>
      <w:tr w:rsidR="00336CB1" w:rsidRPr="002559FC" w:rsidTr="002559FC">
        <w:trPr>
          <w:trHeight w:val="975"/>
        </w:trPr>
        <w:tc>
          <w:tcPr>
            <w:tcW w:w="8931" w:type="dxa"/>
            <w:gridSpan w:val="3"/>
          </w:tcPr>
          <w:p w:rsidR="00336CB1" w:rsidRPr="002559FC" w:rsidRDefault="00336CB1" w:rsidP="00057168">
            <w:pPr>
              <w:spacing w:before="120"/>
              <w:jc w:val="both"/>
              <w:rPr>
                <w:rFonts w:ascii="Franklin Gothic Book" w:eastAsia="Calibri" w:hAnsi="Franklin Gothic Book"/>
                <w:b/>
                <w:i/>
                <w:iCs/>
                <w:sz w:val="21"/>
                <w:szCs w:val="21"/>
              </w:rPr>
            </w:pPr>
            <w:r w:rsidRPr="002559FC">
              <w:rPr>
                <w:rFonts w:ascii="Franklin Gothic Book" w:eastAsia="Calibri" w:hAnsi="Franklin Gothic Book"/>
                <w:b/>
                <w:i/>
                <w:iCs/>
                <w:sz w:val="21"/>
                <w:szCs w:val="21"/>
              </w:rPr>
              <w:t>Program Objective:</w:t>
            </w:r>
          </w:p>
          <w:p w:rsidR="00336CB1" w:rsidRPr="002559FC" w:rsidRDefault="00336CB1" w:rsidP="0040729F">
            <w:pPr>
              <w:tabs>
                <w:tab w:val="left" w:pos="227"/>
              </w:tabs>
              <w:spacing w:before="60"/>
              <w:jc w:val="both"/>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 xml:space="preserve">PAMSIMAS is a national </w:t>
            </w:r>
            <w:proofErr w:type="spellStart"/>
            <w:r w:rsidRPr="002559FC">
              <w:rPr>
                <w:rFonts w:ascii="Franklin Gothic Book" w:hAnsi="Franklin Gothic Book" w:cs="Arial"/>
                <w:i/>
                <w:color w:val="000000" w:themeColor="text1"/>
                <w:sz w:val="21"/>
                <w:szCs w:val="21"/>
              </w:rPr>
              <w:t>GoI</w:t>
            </w:r>
            <w:proofErr w:type="spellEnd"/>
            <w:r w:rsidRPr="002559FC">
              <w:rPr>
                <w:rFonts w:ascii="Franklin Gothic Book" w:hAnsi="Franklin Gothic Book" w:cs="Arial"/>
                <w:i/>
                <w:color w:val="000000" w:themeColor="text1"/>
                <w:sz w:val="21"/>
                <w:szCs w:val="21"/>
              </w:rPr>
              <w:t xml:space="preserve"> program aimed at increasing the number of low-income rural and peri-urban populations accessing improved water and sanitation facilities and to improve hygiene behaviours. PAMSIMAS is </w:t>
            </w:r>
            <w:proofErr w:type="spellStart"/>
            <w:r w:rsidRPr="002559FC">
              <w:rPr>
                <w:rFonts w:ascii="Franklin Gothic Book" w:hAnsi="Franklin Gothic Book" w:cs="Arial"/>
                <w:i/>
                <w:color w:val="000000" w:themeColor="text1"/>
                <w:sz w:val="21"/>
                <w:szCs w:val="21"/>
              </w:rPr>
              <w:t>GoI's</w:t>
            </w:r>
            <w:proofErr w:type="spellEnd"/>
            <w:r w:rsidRPr="002559FC">
              <w:rPr>
                <w:rFonts w:ascii="Franklin Gothic Book" w:hAnsi="Franklin Gothic Book" w:cs="Arial"/>
                <w:i/>
                <w:color w:val="000000" w:themeColor="text1"/>
                <w:sz w:val="21"/>
                <w:szCs w:val="21"/>
              </w:rPr>
              <w:t xml:space="preserve"> main rural program for achieving its ambitious 2019 "100-0-100 target" which refers to universal access to water and sanitation (and no slum areas).   PAMSIMAS is now in its second phase. Phase 1 (2008-2012) resulted in 5.59 million and 5.65 million people receiving improved access to water supply and sanitation facilities in 6,836 villages across 15 provinces in Indonesia. Phase 2 is expected to be implemented in 5,000 new villages across 32 provinces resulting in an additional 5.6 million people with improved access to water and 4 million people with access to sanitation facilities.  PAMSIMAS is partially funded by a World Bank loan, </w:t>
            </w:r>
            <w:proofErr w:type="spellStart"/>
            <w:r w:rsidRPr="002559FC">
              <w:rPr>
                <w:rFonts w:ascii="Franklin Gothic Book" w:hAnsi="Franklin Gothic Book" w:cs="Arial"/>
                <w:i/>
                <w:color w:val="000000" w:themeColor="text1"/>
                <w:sz w:val="21"/>
                <w:szCs w:val="21"/>
              </w:rPr>
              <w:t>GoI</w:t>
            </w:r>
            <w:proofErr w:type="spellEnd"/>
            <w:r w:rsidRPr="002559FC">
              <w:rPr>
                <w:rFonts w:ascii="Franklin Gothic Book" w:hAnsi="Franklin Gothic Book" w:cs="Arial"/>
                <w:i/>
                <w:color w:val="000000" w:themeColor="text1"/>
                <w:sz w:val="21"/>
                <w:szCs w:val="21"/>
              </w:rPr>
              <w:t xml:space="preserve"> counterpart funding and Australian Government co-financing. The total project value (for Phase 1 and Phase 2) is USD582.55 million. </w:t>
            </w:r>
            <w:proofErr w:type="spellStart"/>
            <w:r w:rsidRPr="002559FC">
              <w:rPr>
                <w:rFonts w:ascii="Franklin Gothic Book" w:hAnsi="Franklin Gothic Book" w:cs="Arial"/>
                <w:i/>
                <w:color w:val="000000" w:themeColor="text1"/>
                <w:sz w:val="21"/>
                <w:szCs w:val="21"/>
              </w:rPr>
              <w:t>GoI</w:t>
            </w:r>
            <w:proofErr w:type="spellEnd"/>
            <w:r w:rsidRPr="002559FC">
              <w:rPr>
                <w:rFonts w:ascii="Franklin Gothic Book" w:hAnsi="Franklin Gothic Book" w:cs="Arial"/>
                <w:i/>
                <w:color w:val="000000" w:themeColor="text1"/>
                <w:sz w:val="21"/>
                <w:szCs w:val="21"/>
              </w:rPr>
              <w:t xml:space="preserve"> contributes USD187.58 million, the World Bank loan contributes USD237.4 million, and the Australian grant is USD90.4 million (AUD104 million - Phase 1: AUD54.5m and Phase 2: AUD49.5m). Australia's grant covers approximately 16% of the overall project costs.  The Australian grant is directed towards water supply and public sanitation infrastructure, community empowerment and local institutional development, improving sanitation and hygiene practices and implementation support and project management (for example, facilitator salaries, training costs, implementation support costs, data management, impact evaluation, pilot studies and knowledge dissemination).</w:t>
            </w:r>
            <w:r w:rsidRPr="002559FC">
              <w:rPr>
                <w:rFonts w:ascii="Franklin Gothic Book" w:hAnsi="Franklin Gothic Book" w:cs="Arial"/>
                <w:i/>
                <w:noProof/>
                <w:color w:val="000000" w:themeColor="text1"/>
                <w:sz w:val="21"/>
                <w:szCs w:val="21"/>
                <w:lang w:val="en-US"/>
              </w:rPr>
              <w:t xml:space="preserve"> </w:t>
            </w:r>
          </w:p>
        </w:tc>
      </w:tr>
    </w:tbl>
    <w:p w:rsidR="00336CB1" w:rsidRDefault="00336CB1" w:rsidP="00336CB1">
      <w:pPr>
        <w:rPr>
          <w:rFonts w:cs="Arial"/>
          <w:szCs w:val="20"/>
        </w:rPr>
      </w:pPr>
    </w:p>
    <w:p w:rsidR="002559FC" w:rsidRPr="002559FC" w:rsidRDefault="002559FC" w:rsidP="00336CB1">
      <w:pPr>
        <w:rPr>
          <w:rFonts w:ascii="Franklin Gothic Book" w:hAnsi="Franklin Gothic Book" w:cs="Arial"/>
          <w:i/>
          <w:color w:val="000000" w:themeColor="text1"/>
          <w:sz w:val="21"/>
          <w:szCs w:val="21"/>
        </w:rPr>
      </w:pPr>
      <w:r w:rsidRPr="002559FC">
        <w:rPr>
          <w:rFonts w:ascii="Franklin Gothic Book" w:hAnsi="Franklin Gothic Book" w:cs="Arial"/>
          <w:i/>
          <w:color w:val="000000" w:themeColor="text1"/>
          <w:sz w:val="21"/>
          <w:szCs w:val="21"/>
        </w:rPr>
        <w:t>*</w:t>
      </w:r>
      <w:r>
        <w:rPr>
          <w:rFonts w:ascii="Franklin Gothic Book" w:hAnsi="Franklin Gothic Book" w:cs="Arial"/>
          <w:i/>
          <w:color w:val="000000" w:themeColor="text1"/>
          <w:sz w:val="21"/>
          <w:szCs w:val="21"/>
        </w:rPr>
        <w:t xml:space="preserve"> </w:t>
      </w:r>
      <w:r w:rsidRPr="002559FC">
        <w:rPr>
          <w:rFonts w:ascii="Franklin Gothic Book" w:hAnsi="Franklin Gothic Book" w:cs="Arial"/>
          <w:i/>
          <w:color w:val="000000" w:themeColor="text1"/>
          <w:sz w:val="21"/>
          <w:szCs w:val="21"/>
        </w:rPr>
        <w:t xml:space="preserve">Implemented through the </w:t>
      </w:r>
      <w:proofErr w:type="spellStart"/>
      <w:r w:rsidRPr="002559FC">
        <w:rPr>
          <w:rFonts w:ascii="Franklin Gothic Book" w:hAnsi="Franklin Gothic Book" w:cs="Arial"/>
          <w:i/>
          <w:color w:val="000000" w:themeColor="text1"/>
          <w:sz w:val="21"/>
          <w:szCs w:val="21"/>
        </w:rPr>
        <w:t>IndII</w:t>
      </w:r>
      <w:proofErr w:type="spellEnd"/>
      <w:r w:rsidRPr="002559FC">
        <w:rPr>
          <w:rFonts w:ascii="Franklin Gothic Book" w:hAnsi="Franklin Gothic Book" w:cs="Arial"/>
          <w:i/>
          <w:color w:val="000000" w:themeColor="text1"/>
          <w:sz w:val="21"/>
          <w:szCs w:val="21"/>
        </w:rPr>
        <w:t xml:space="preserve"> Facility</w:t>
      </w:r>
    </w:p>
    <w:p w:rsidR="003A374D" w:rsidRPr="00514717" w:rsidRDefault="003A374D" w:rsidP="00141BB0"/>
    <w:sectPr w:rsidR="003A374D" w:rsidRPr="00514717" w:rsidSect="00F23D98">
      <w:headerReference w:type="even" r:id="rId17"/>
      <w:pgSz w:w="11907" w:h="16840" w:code="9"/>
      <w:pgMar w:top="2381" w:right="1701" w:bottom="907" w:left="1701" w:header="85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6B" w:rsidRDefault="00856E6B">
      <w:r>
        <w:separator/>
      </w:r>
    </w:p>
    <w:p w:rsidR="00856E6B" w:rsidRDefault="00856E6B"/>
  </w:endnote>
  <w:endnote w:type="continuationSeparator" w:id="0">
    <w:p w:rsidR="00856E6B" w:rsidRDefault="00856E6B">
      <w:r>
        <w:continuationSeparator/>
      </w:r>
    </w:p>
    <w:p w:rsidR="00856E6B" w:rsidRDefault="00856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FE" w:rsidRPr="0091071F" w:rsidRDefault="00AF4EFE" w:rsidP="0091071F">
    <w:pPr>
      <w:pStyle w:val="Footer"/>
    </w:pPr>
    <w:r w:rsidRPr="0091071F">
      <w:fldChar w:fldCharType="begin"/>
    </w:r>
    <w:r w:rsidRPr="0091071F">
      <w:instrText xml:space="preserve"> PAGE </w:instrText>
    </w:r>
    <w:r w:rsidRPr="0091071F">
      <w:fldChar w:fldCharType="separate"/>
    </w:r>
    <w:r w:rsidR="001658CA">
      <w:rPr>
        <w:noProof/>
      </w:rPr>
      <w:t>16</w:t>
    </w:r>
    <w:r w:rsidRPr="0091071F">
      <w:fldChar w:fldCharType="end"/>
    </w:r>
    <w:r w:rsidRPr="0091071F">
      <w:tab/>
    </w:r>
    <w:r w:rsidRPr="0091071F">
      <w:rPr>
        <w:rFonts w:eastAsia="SimSun"/>
      </w:rPr>
      <w:fldChar w:fldCharType="begin"/>
    </w:r>
    <w:r w:rsidRPr="0091071F">
      <w:rPr>
        <w:rFonts w:eastAsia="SimSun"/>
      </w:rPr>
      <w:instrText xml:space="preserve"> STYLEREF  Title </w:instrText>
    </w:r>
    <w:r w:rsidRPr="0091071F">
      <w:rPr>
        <w:rFonts w:eastAsia="SimSun"/>
      </w:rPr>
      <w:fldChar w:fldCharType="separate"/>
    </w:r>
    <w:r w:rsidR="001658CA">
      <w:rPr>
        <w:rFonts w:eastAsia="SimSun"/>
        <w:noProof/>
      </w:rPr>
      <w:t>Indonesia Infrastructure Program (2016-26)</w:t>
    </w:r>
    <w:r w:rsidRPr="0091071F">
      <w:rPr>
        <w:rFonts w:eastAsia="SimSu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FE" w:rsidRPr="0091071F" w:rsidRDefault="00AF4EFE" w:rsidP="0091071F">
    <w:pPr>
      <w:pStyle w:val="Footer"/>
    </w:pPr>
    <w:r>
      <w:tab/>
    </w:r>
    <w:r>
      <w:tab/>
    </w:r>
    <w:r w:rsidR="001658CA">
      <w:fldChar w:fldCharType="begin"/>
    </w:r>
    <w:r w:rsidR="001658CA">
      <w:instrText xml:space="preserve"> STYLEREF Title \* MERGEFORMAT </w:instrText>
    </w:r>
    <w:r w:rsidR="001658CA">
      <w:fldChar w:fldCharType="separate"/>
    </w:r>
    <w:r w:rsidR="001658CA">
      <w:rPr>
        <w:noProof/>
      </w:rPr>
      <w:t>Indonesia Infrastructure Program (2016-26)</w:t>
    </w:r>
    <w:r w:rsidR="001658CA">
      <w:rPr>
        <w:noProof/>
      </w:rPr>
      <w:fldChar w:fldCharType="end"/>
    </w:r>
    <w:r w:rsidRPr="0091071F">
      <w:tab/>
    </w:r>
    <w:r w:rsidRPr="0091071F">
      <w:rPr>
        <w:rStyle w:val="PageNumber"/>
        <w:rFonts w:ascii="Helvetica" w:hAnsi="Helvetica"/>
        <w:color w:val="3E3935"/>
      </w:rPr>
      <w:tab/>
    </w:r>
    <w:r w:rsidRPr="0091071F">
      <w:rPr>
        <w:rStyle w:val="PageNumber"/>
        <w:rFonts w:ascii="Helvetica" w:hAnsi="Helvetica"/>
        <w:color w:val="3E3935"/>
      </w:rPr>
      <w:fldChar w:fldCharType="begin"/>
    </w:r>
    <w:r w:rsidRPr="0091071F">
      <w:rPr>
        <w:rStyle w:val="PageNumber"/>
        <w:rFonts w:ascii="Helvetica" w:hAnsi="Helvetica"/>
        <w:color w:val="3E3935"/>
      </w:rPr>
      <w:instrText xml:space="preserve"> PAGE </w:instrText>
    </w:r>
    <w:r w:rsidRPr="0091071F">
      <w:rPr>
        <w:rStyle w:val="PageNumber"/>
        <w:rFonts w:ascii="Helvetica" w:hAnsi="Helvetica"/>
        <w:color w:val="3E3935"/>
      </w:rPr>
      <w:fldChar w:fldCharType="separate"/>
    </w:r>
    <w:r w:rsidR="001658CA">
      <w:rPr>
        <w:rStyle w:val="PageNumber"/>
        <w:rFonts w:ascii="Helvetica" w:hAnsi="Helvetica"/>
        <w:noProof/>
        <w:color w:val="3E3935"/>
      </w:rPr>
      <w:t>17</w:t>
    </w:r>
    <w:r w:rsidRPr="0091071F">
      <w:rPr>
        <w:rStyle w:val="PageNumber"/>
        <w:rFonts w:ascii="Helvetica" w:hAnsi="Helvetica"/>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CA" w:rsidRDefault="00165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6B" w:rsidRDefault="00856E6B" w:rsidP="00B90206">
      <w:pPr>
        <w:spacing w:before="60" w:after="40" w:line="180" w:lineRule="exact"/>
      </w:pPr>
      <w:r>
        <w:continuationSeparator/>
      </w:r>
    </w:p>
    <w:p w:rsidR="00856E6B" w:rsidRDefault="00856E6B"/>
  </w:footnote>
  <w:footnote w:type="continuationSeparator" w:id="0">
    <w:p w:rsidR="00856E6B" w:rsidRDefault="00856E6B">
      <w:r>
        <w:continuationSeparator/>
      </w:r>
    </w:p>
    <w:p w:rsidR="00856E6B" w:rsidRDefault="00856E6B"/>
  </w:footnote>
  <w:footnote w:type="continuationNotice" w:id="1">
    <w:p w:rsidR="00856E6B" w:rsidRDefault="00856E6B"/>
    <w:p w:rsidR="00856E6B" w:rsidRDefault="00856E6B"/>
  </w:footnote>
  <w:footnote w:id="2">
    <w:p w:rsidR="00AF4EFE" w:rsidRPr="002153F9" w:rsidRDefault="00AF4EFE" w:rsidP="001B4968">
      <w:pPr>
        <w:pStyle w:val="FootnoteText"/>
        <w:rPr>
          <w:szCs w:val="16"/>
        </w:rPr>
      </w:pPr>
      <w:r w:rsidRPr="00031CAE">
        <w:rPr>
          <w:rStyle w:val="FootnoteReference"/>
          <w:szCs w:val="16"/>
        </w:rPr>
        <w:footnoteRef/>
      </w:r>
      <w:r>
        <w:rPr>
          <w:szCs w:val="16"/>
        </w:rPr>
        <w:t xml:space="preserve"> See Appendix A</w:t>
      </w:r>
      <w:r w:rsidRPr="00031CAE">
        <w:rPr>
          <w:szCs w:val="16"/>
        </w:rPr>
        <w:t xml:space="preserve"> for a list of existing major initiatives implemented </w:t>
      </w:r>
      <w:r>
        <w:rPr>
          <w:szCs w:val="16"/>
        </w:rPr>
        <w:t xml:space="preserve">through the </w:t>
      </w:r>
      <w:r w:rsidR="00A71F20">
        <w:rPr>
          <w:szCs w:val="16"/>
        </w:rPr>
        <w:t>Australia’s aid program to Indonesia</w:t>
      </w:r>
      <w:r>
        <w:rPr>
          <w:szCs w:val="16"/>
        </w:rPr>
        <w:t>, including Trust Funds with both the World Bank and the Asian Development Bank, and four grant funded demonstration projects delivered through the Indonesia Infrastructure Initiative (</w:t>
      </w:r>
      <w:proofErr w:type="spellStart"/>
      <w:r>
        <w:rPr>
          <w:szCs w:val="16"/>
        </w:rPr>
        <w:t>IndII</w:t>
      </w:r>
      <w:proofErr w:type="spellEnd"/>
      <w:r>
        <w:rPr>
          <w:szCs w:val="16"/>
        </w:rPr>
        <w:t>) Facility: (</w:t>
      </w:r>
      <w:proofErr w:type="spellStart"/>
      <w:r>
        <w:rPr>
          <w:szCs w:val="16"/>
        </w:rPr>
        <w:t>i</w:t>
      </w:r>
      <w:proofErr w:type="spellEnd"/>
      <w:r>
        <w:rPr>
          <w:szCs w:val="16"/>
        </w:rPr>
        <w:t xml:space="preserve">) the Water and Sanitation </w:t>
      </w:r>
      <w:proofErr w:type="spellStart"/>
      <w:r>
        <w:rPr>
          <w:i/>
          <w:szCs w:val="16"/>
        </w:rPr>
        <w:t>H</w:t>
      </w:r>
      <w:r w:rsidRPr="002153F9">
        <w:rPr>
          <w:i/>
          <w:szCs w:val="16"/>
        </w:rPr>
        <w:t>ibah</w:t>
      </w:r>
      <w:proofErr w:type="spellEnd"/>
      <w:r>
        <w:rPr>
          <w:szCs w:val="16"/>
        </w:rPr>
        <w:t>; (ii) the Australia Indonesia Infrastructure Grants for Sanitation; (iii) the Palembang City Sewerage Project and, (iv) Provincial Road Improvement and Maintenance (PRIM)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FE" w:rsidRDefault="00AF4EFE" w:rsidP="00B90206">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CA" w:rsidRDefault="00165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8CA" w:rsidRDefault="001658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FE" w:rsidRDefault="00AF4EFE" w:rsidP="00B9020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67CEE9E"/>
    <w:lvl w:ilvl="0">
      <w:start w:val="1"/>
      <w:numFmt w:val="lowerRoman"/>
      <w:pStyle w:val="ListNumber3"/>
      <w:lvlText w:val="%1."/>
      <w:lvlJc w:val="left"/>
      <w:pPr>
        <w:ind w:left="926" w:hanging="360"/>
      </w:pPr>
      <w:rPr>
        <w:rFonts w:hint="default"/>
      </w:rPr>
    </w:lvl>
  </w:abstractNum>
  <w:abstractNum w:abstractNumId="1">
    <w:nsid w:val="FFFFFF82"/>
    <w:multiLevelType w:val="singleLevel"/>
    <w:tmpl w:val="A2AE966E"/>
    <w:lvl w:ilvl="0">
      <w:start w:val="1"/>
      <w:numFmt w:val="bullet"/>
      <w:pStyle w:val="ListBullet3"/>
      <w:lvlText w:val="o"/>
      <w:lvlJc w:val="left"/>
      <w:pPr>
        <w:ind w:left="926" w:hanging="360"/>
      </w:pPr>
      <w:rPr>
        <w:rFonts w:ascii="Courier New" w:hAnsi="Courier New" w:cs="Courier New" w:hint="default"/>
      </w:rPr>
    </w:lvl>
  </w:abstractNum>
  <w:abstractNum w:abstractNumId="2">
    <w:nsid w:val="05246560"/>
    <w:multiLevelType w:val="hybridMultilevel"/>
    <w:tmpl w:val="1304F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B67778"/>
    <w:multiLevelType w:val="hybridMultilevel"/>
    <w:tmpl w:val="2E445AB6"/>
    <w:lvl w:ilvl="0" w:tplc="EEB2B4C2">
      <w:start w:val="1"/>
      <w:numFmt w:val="bullet"/>
      <w:pStyle w:val="BoxListBullet2"/>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621CE7"/>
    <w:multiLevelType w:val="hybridMultilevel"/>
    <w:tmpl w:val="9F282FDC"/>
    <w:lvl w:ilvl="0" w:tplc="7862B85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BE4AD784"/>
    <w:lvl w:ilvl="0" w:tplc="A6C2F2AE">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7">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8">
    <w:nsid w:val="1C6A342E"/>
    <w:multiLevelType w:val="hybridMultilevel"/>
    <w:tmpl w:val="C4C4401A"/>
    <w:lvl w:ilvl="0" w:tplc="3D8C7E7C">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0">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382D65A6"/>
    <w:multiLevelType w:val="hybridMultilevel"/>
    <w:tmpl w:val="BBA2DA8A"/>
    <w:lvl w:ilvl="0" w:tplc="681A17E8">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233F6B"/>
    <w:multiLevelType w:val="hybridMultilevel"/>
    <w:tmpl w:val="CBEA5018"/>
    <w:lvl w:ilvl="0" w:tplc="C8A4C5E0">
      <w:start w:val="1"/>
      <w:numFmt w:val="lowerLetter"/>
      <w:pStyle w:val="BoxListNumber2"/>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3">
    <w:nsid w:val="42C41785"/>
    <w:multiLevelType w:val="hybridMultilevel"/>
    <w:tmpl w:val="E40405C0"/>
    <w:lvl w:ilvl="0" w:tplc="E9643684">
      <w:start w:val="2014"/>
      <w:numFmt w:val="bullet"/>
      <w:lvlText w:val="-"/>
      <w:lvlJc w:val="left"/>
      <w:pPr>
        <w:ind w:left="720" w:hanging="360"/>
      </w:pPr>
      <w:rPr>
        <w:rFonts w:ascii="Franklin Gothic Book" w:eastAsia="Calibri"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CD579B"/>
    <w:multiLevelType w:val="hybridMultilevel"/>
    <w:tmpl w:val="6046BF8A"/>
    <w:lvl w:ilvl="0" w:tplc="9B00EB32">
      <w:start w:val="1"/>
      <w:numFmt w:val="bullet"/>
      <w:pStyle w:val="BoxListBullet"/>
      <w:lvlText w:val="›"/>
      <w:lvlJc w:val="left"/>
      <w:pPr>
        <w:ind w:left="1636" w:hanging="360"/>
      </w:pPr>
      <w:rPr>
        <w:rFonts w:ascii="Times New Roman" w:hAnsi="Times New Roman" w:cs="Times New Roman" w:hint="default"/>
        <w:color w:val="auto"/>
        <w:position w:val="3"/>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6C55035"/>
    <w:multiLevelType w:val="hybridMultilevel"/>
    <w:tmpl w:val="55C6E97A"/>
    <w:lvl w:ilvl="0" w:tplc="7848D426">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17">
    <w:nsid w:val="7A0C0330"/>
    <w:multiLevelType w:val="hybridMultilevel"/>
    <w:tmpl w:val="CEF88D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6"/>
  </w:num>
  <w:num w:numId="4">
    <w:abstractNumId w:val="9"/>
  </w:num>
  <w:num w:numId="5">
    <w:abstractNumId w:val="12"/>
  </w:num>
  <w:num w:numId="6">
    <w:abstractNumId w:val="14"/>
  </w:num>
  <w:num w:numId="7">
    <w:abstractNumId w:val="5"/>
  </w:num>
  <w:num w:numId="8">
    <w:abstractNumId w:val="11"/>
  </w:num>
  <w:num w:numId="9">
    <w:abstractNumId w:val="7"/>
  </w:num>
  <w:num w:numId="10">
    <w:abstractNumId w:val="18"/>
  </w:num>
  <w:num w:numId="11">
    <w:abstractNumId w:val="1"/>
  </w:num>
  <w:num w:numId="12">
    <w:abstractNumId w:val="0"/>
  </w:num>
  <w:num w:numId="13">
    <w:abstractNumId w:val="3"/>
  </w:num>
  <w:num w:numId="14">
    <w:abstractNumId w:val="4"/>
  </w:num>
  <w:num w:numId="15">
    <w:abstractNumId w:val="2"/>
  </w:num>
  <w:num w:numId="16">
    <w:abstractNumId w:val="10"/>
  </w:num>
  <w:num w:numId="17">
    <w:abstractNumId w:val="13"/>
  </w:num>
  <w:num w:numId="18">
    <w:abstractNumId w:val="18"/>
  </w:num>
  <w:num w:numId="19">
    <w:abstractNumId w:val="18"/>
  </w:num>
  <w:num w:numId="20">
    <w:abstractNumId w:val="18"/>
  </w:num>
  <w:num w:numId="21">
    <w:abstractNumId w:val="18"/>
  </w:num>
  <w:num w:numId="22">
    <w:abstractNumId w:val="8"/>
  </w:num>
  <w:num w:numId="23">
    <w:abstractNumId w:val="18"/>
  </w:num>
  <w:num w:numId="24">
    <w:abstractNumId w:val="1"/>
  </w:num>
  <w:num w:numId="25">
    <w:abstractNumId w:val="9"/>
  </w:num>
  <w:num w:numId="2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evenAndOddHeaders/>
  <w:drawingGridHorizontalSpacing w:val="120"/>
  <w:displayHorizontalDrawingGridEvery w:val="2"/>
  <w:displayVerticalDrawingGridEvery w:val="2"/>
  <w:noPunctuationKerning/>
  <w:characterSpacingControl w:val="doNotCompress"/>
  <w:hdrShapeDefaults>
    <o:shapedefaults v:ext="edit" spidmax="4097"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D0"/>
    <w:rsid w:val="00005510"/>
    <w:rsid w:val="00005A8F"/>
    <w:rsid w:val="00031E7B"/>
    <w:rsid w:val="000425B6"/>
    <w:rsid w:val="00057168"/>
    <w:rsid w:val="000722ED"/>
    <w:rsid w:val="00085C87"/>
    <w:rsid w:val="000A3003"/>
    <w:rsid w:val="000C0826"/>
    <w:rsid w:val="000F0E15"/>
    <w:rsid w:val="00114914"/>
    <w:rsid w:val="00117270"/>
    <w:rsid w:val="00133249"/>
    <w:rsid w:val="00141BB0"/>
    <w:rsid w:val="0016250F"/>
    <w:rsid w:val="001658CA"/>
    <w:rsid w:val="00166B39"/>
    <w:rsid w:val="00181915"/>
    <w:rsid w:val="00184214"/>
    <w:rsid w:val="00184363"/>
    <w:rsid w:val="001B2E4B"/>
    <w:rsid w:val="001B4968"/>
    <w:rsid w:val="001C653D"/>
    <w:rsid w:val="001C68F7"/>
    <w:rsid w:val="001E2DF8"/>
    <w:rsid w:val="001E7A82"/>
    <w:rsid w:val="001F3C0E"/>
    <w:rsid w:val="00206162"/>
    <w:rsid w:val="00210D3D"/>
    <w:rsid w:val="00215400"/>
    <w:rsid w:val="002221EF"/>
    <w:rsid w:val="002559FC"/>
    <w:rsid w:val="00260BB3"/>
    <w:rsid w:val="002B698E"/>
    <w:rsid w:val="002C113F"/>
    <w:rsid w:val="002F14BD"/>
    <w:rsid w:val="002F5DB6"/>
    <w:rsid w:val="00315C8D"/>
    <w:rsid w:val="00332F95"/>
    <w:rsid w:val="00336CB1"/>
    <w:rsid w:val="003373A6"/>
    <w:rsid w:val="003442A6"/>
    <w:rsid w:val="00344BA2"/>
    <w:rsid w:val="00353714"/>
    <w:rsid w:val="00356CFF"/>
    <w:rsid w:val="003A1A9E"/>
    <w:rsid w:val="003A374D"/>
    <w:rsid w:val="003C0718"/>
    <w:rsid w:val="003C458D"/>
    <w:rsid w:val="003D3F33"/>
    <w:rsid w:val="003F33E0"/>
    <w:rsid w:val="0040729F"/>
    <w:rsid w:val="00414EDD"/>
    <w:rsid w:val="00444CE5"/>
    <w:rsid w:val="004839F8"/>
    <w:rsid w:val="00485AB6"/>
    <w:rsid w:val="00495CE6"/>
    <w:rsid w:val="004A1EE0"/>
    <w:rsid w:val="004A676F"/>
    <w:rsid w:val="004A6CEC"/>
    <w:rsid w:val="004B3DA2"/>
    <w:rsid w:val="004D2003"/>
    <w:rsid w:val="00513253"/>
    <w:rsid w:val="00514717"/>
    <w:rsid w:val="0053570B"/>
    <w:rsid w:val="00537EBC"/>
    <w:rsid w:val="00544846"/>
    <w:rsid w:val="005765BF"/>
    <w:rsid w:val="0059467A"/>
    <w:rsid w:val="00597931"/>
    <w:rsid w:val="005A1D6E"/>
    <w:rsid w:val="005A715A"/>
    <w:rsid w:val="005C53CE"/>
    <w:rsid w:val="006015C1"/>
    <w:rsid w:val="0060563F"/>
    <w:rsid w:val="00616EB1"/>
    <w:rsid w:val="0063712C"/>
    <w:rsid w:val="006573B0"/>
    <w:rsid w:val="0065777F"/>
    <w:rsid w:val="006815BC"/>
    <w:rsid w:val="0068754A"/>
    <w:rsid w:val="00690560"/>
    <w:rsid w:val="00692AB4"/>
    <w:rsid w:val="006A1C33"/>
    <w:rsid w:val="006C7543"/>
    <w:rsid w:val="007101BB"/>
    <w:rsid w:val="00721254"/>
    <w:rsid w:val="00760FF4"/>
    <w:rsid w:val="00772E82"/>
    <w:rsid w:val="007877C3"/>
    <w:rsid w:val="007A1A49"/>
    <w:rsid w:val="007B4341"/>
    <w:rsid w:val="007D67A1"/>
    <w:rsid w:val="007E1A7C"/>
    <w:rsid w:val="007E4326"/>
    <w:rsid w:val="007E7BC9"/>
    <w:rsid w:val="00810AFF"/>
    <w:rsid w:val="0083313E"/>
    <w:rsid w:val="00856E6B"/>
    <w:rsid w:val="008B203B"/>
    <w:rsid w:val="008C70AE"/>
    <w:rsid w:val="008F1EC5"/>
    <w:rsid w:val="008F792D"/>
    <w:rsid w:val="009054B8"/>
    <w:rsid w:val="0091071F"/>
    <w:rsid w:val="00910AB9"/>
    <w:rsid w:val="00914A59"/>
    <w:rsid w:val="00923D0F"/>
    <w:rsid w:val="00957EBB"/>
    <w:rsid w:val="009D7149"/>
    <w:rsid w:val="009F23D2"/>
    <w:rsid w:val="00A366F4"/>
    <w:rsid w:val="00A443D2"/>
    <w:rsid w:val="00A71F20"/>
    <w:rsid w:val="00A92664"/>
    <w:rsid w:val="00AA14FD"/>
    <w:rsid w:val="00AA1E11"/>
    <w:rsid w:val="00AE45C3"/>
    <w:rsid w:val="00AF1A46"/>
    <w:rsid w:val="00AF4EFE"/>
    <w:rsid w:val="00AF5310"/>
    <w:rsid w:val="00B01C06"/>
    <w:rsid w:val="00B0252E"/>
    <w:rsid w:val="00B04EFF"/>
    <w:rsid w:val="00B751DC"/>
    <w:rsid w:val="00B8285F"/>
    <w:rsid w:val="00B90206"/>
    <w:rsid w:val="00BA28C7"/>
    <w:rsid w:val="00BB146D"/>
    <w:rsid w:val="00BB17C6"/>
    <w:rsid w:val="00BB6CAE"/>
    <w:rsid w:val="00BC5AF4"/>
    <w:rsid w:val="00BE1C90"/>
    <w:rsid w:val="00C16081"/>
    <w:rsid w:val="00C36563"/>
    <w:rsid w:val="00C408B5"/>
    <w:rsid w:val="00C65D3E"/>
    <w:rsid w:val="00CA276D"/>
    <w:rsid w:val="00CC259C"/>
    <w:rsid w:val="00CC6B6E"/>
    <w:rsid w:val="00CC6D96"/>
    <w:rsid w:val="00CD712E"/>
    <w:rsid w:val="00CF3D0E"/>
    <w:rsid w:val="00D161F0"/>
    <w:rsid w:val="00D27618"/>
    <w:rsid w:val="00D5391F"/>
    <w:rsid w:val="00D53FE2"/>
    <w:rsid w:val="00D578B8"/>
    <w:rsid w:val="00D945C6"/>
    <w:rsid w:val="00D94714"/>
    <w:rsid w:val="00DA3319"/>
    <w:rsid w:val="00DA6753"/>
    <w:rsid w:val="00DB42F4"/>
    <w:rsid w:val="00DB49FB"/>
    <w:rsid w:val="00DC623F"/>
    <w:rsid w:val="00DD231B"/>
    <w:rsid w:val="00DF3A34"/>
    <w:rsid w:val="00DF772B"/>
    <w:rsid w:val="00E70976"/>
    <w:rsid w:val="00E95941"/>
    <w:rsid w:val="00EB41D0"/>
    <w:rsid w:val="00ED332A"/>
    <w:rsid w:val="00EE3DEF"/>
    <w:rsid w:val="00EE41D5"/>
    <w:rsid w:val="00EF2734"/>
    <w:rsid w:val="00EF421E"/>
    <w:rsid w:val="00F04F5D"/>
    <w:rsid w:val="00F23D98"/>
    <w:rsid w:val="00F46211"/>
    <w:rsid w:val="00F50883"/>
    <w:rsid w:val="00F717C0"/>
    <w:rsid w:val="00F738B8"/>
    <w:rsid w:val="00F97C11"/>
    <w:rsid w:val="00FD15CD"/>
    <w:rsid w:val="00FD194E"/>
    <w:rsid w:val="00FF74C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List Paragraph" w:uiPriority="34" w:qFormat="1"/>
    <w:lsdException w:name="TOC Heading" w:semiHidden="1" w:uiPriority="39" w:unhideWhenUsed="1" w:qFormat="1"/>
  </w:latentStyles>
  <w:style w:type="paragraph" w:default="1" w:styleId="Normal">
    <w:name w:val="Normal"/>
    <w:rsid w:val="008B203B"/>
    <w:rPr>
      <w:sz w:val="24"/>
      <w:szCs w:val="24"/>
    </w:rPr>
  </w:style>
  <w:style w:type="paragraph" w:styleId="Heading1">
    <w:name w:val="heading 1"/>
    <w:basedOn w:val="Heading2"/>
    <w:next w:val="BodyText"/>
    <w:qFormat/>
    <w:rsid w:val="0020616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qFormat/>
    <w:rsid w:val="0020616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qFormat/>
    <w:rsid w:val="00BB146D"/>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10"/>
      </w:numPr>
      <w:spacing w:after="120"/>
    </w:pPr>
  </w:style>
  <w:style w:type="paragraph" w:styleId="ListBullet2">
    <w:name w:val="List Bullet 2"/>
    <w:basedOn w:val="ListBullet"/>
    <w:rsid w:val="00BB146D"/>
    <w:pPr>
      <w:numPr>
        <w:numId w:val="4"/>
      </w:numPr>
    </w:pPr>
  </w:style>
  <w:style w:type="paragraph" w:styleId="ListNumber">
    <w:name w:val="List Number"/>
    <w:basedOn w:val="ListBullet"/>
    <w:rsid w:val="00B0252E"/>
    <w:pPr>
      <w:numPr>
        <w:numId w:val="9"/>
      </w:numPr>
      <w:ind w:left="284" w:hanging="284"/>
    </w:pPr>
  </w:style>
  <w:style w:type="paragraph" w:styleId="ListNumber2">
    <w:name w:val="List Number 2"/>
    <w:basedOn w:val="ListNumber"/>
    <w:rsid w:val="006573B0"/>
    <w:pPr>
      <w:numPr>
        <w:numId w:val="13"/>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2C113F"/>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0C0826"/>
    <w:pPr>
      <w:keepLines/>
      <w:numPr>
        <w:numId w:val="6"/>
      </w:numPr>
      <w:ind w:left="568" w:hanging="284"/>
      <w:contextualSpacing/>
    </w:pPr>
    <w:rPr>
      <w:szCs w:val="20"/>
    </w:rPr>
  </w:style>
  <w:style w:type="paragraph" w:customStyle="1" w:styleId="BoxText">
    <w:name w:val="Box Text"/>
    <w:link w:val="BoxTextChar"/>
    <w:rsid w:val="009054B8"/>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mirrorIndents/>
    </w:pPr>
    <w:rPr>
      <w:rFonts w:ascii="Franklin Gothic Book" w:eastAsia="Calibri" w:hAnsi="Franklin Gothic Book"/>
      <w:iCs/>
      <w:sz w:val="22"/>
      <w:szCs w:val="22"/>
    </w:rPr>
  </w:style>
  <w:style w:type="character" w:customStyle="1" w:styleId="BoxTextChar">
    <w:name w:val="Box Text Char"/>
    <w:link w:val="BoxText"/>
    <w:rsid w:val="009054B8"/>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BC5AF4"/>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63712C"/>
    <w:pPr>
      <w:spacing w:before="120"/>
    </w:pPr>
    <w:rPr>
      <w:b/>
      <w:iCs w:val="0"/>
      <w:color w:val="000000"/>
      <w:sz w:val="26"/>
      <w:szCs w:val="26"/>
    </w:rPr>
  </w:style>
  <w:style w:type="paragraph" w:customStyle="1" w:styleId="BoxHeading2">
    <w:name w:val="Box Heading 2"/>
    <w:basedOn w:val="BoxText"/>
    <w:next w:val="BoxText"/>
    <w:rsid w:val="0063712C"/>
    <w:pPr>
      <w:spacing w:before="120"/>
    </w:pPr>
    <w:rPr>
      <w:b/>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aliases w:val="ftref,Normal + Font:9 Point,Superscript 3 Point Times,(NECG) Footnote Reference,16 Point,Superscript 6 Point,ADB Footnote Reference,de nota al pie,Ref,FnR-ANZDEC,fr,Footnote Ref in FtNote,SUPERS,Fußnotenzeichen DISS,footnote ref"/>
    <w:uiPriority w:val="99"/>
    <w:rsid w:val="003A1A9E"/>
    <w:rPr>
      <w:rFonts w:ascii="Franklin Gothic Book" w:hAnsi="Franklin Gothic Book"/>
      <w:w w:val="100"/>
      <w:position w:val="6"/>
      <w:sz w:val="16"/>
      <w:szCs w:val="12"/>
      <w:vertAlign w:val="baseline"/>
    </w:rPr>
  </w:style>
  <w:style w:type="paragraph" w:styleId="FootnoteText">
    <w:name w:val="footnote text"/>
    <w:aliases w:val="Footnote Text Char1,ft Char1,Footnote Text Char Char Char Char Char2,Footnote Text Char Char Char Char Char Char Char2,Footnote Text Char Char Char Char Char Char Char Char1,Footnote Text Char Char Char Char Char Char2,ft,single space,fn"/>
    <w:basedOn w:val="BodyText"/>
    <w:link w:val="FootnoteTextChar"/>
    <w:uiPriority w:val="99"/>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BC5AF4"/>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BC5AF4"/>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Text"/>
    <w:rsid w:val="000C0826"/>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DD231B"/>
    <w:pPr>
      <w:numPr>
        <w:numId w:val="8"/>
      </w:numPr>
      <w:ind w:left="568"/>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F23D98"/>
    <w:rPr>
      <w:rFonts w:ascii="Helvetica" w:eastAsia="Calibri" w:hAnsi="Helvetica"/>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character" w:customStyle="1" w:styleId="FooterChar">
    <w:name w:val="Footer Char"/>
    <w:basedOn w:val="DefaultParagraphFont"/>
    <w:link w:val="Footer"/>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character" w:customStyle="1" w:styleId="FootnoteTextChar">
    <w:name w:val="Footnote Text Char"/>
    <w:aliases w:val="Footnote Text Char1 Char,ft Char1 Char,Footnote Text Char Char Char Char Char2 Char,Footnote Text Char Char Char Char Char Char Char2 Char,Footnote Text Char Char Char Char Char Char Char Char1 Char,ft Char,single space Char,fn Char"/>
    <w:link w:val="FootnoteText"/>
    <w:uiPriority w:val="99"/>
    <w:rsid w:val="001B4968"/>
    <w:rPr>
      <w:rFonts w:ascii="Franklin Gothic Book" w:hAnsi="Franklin Gothic Book"/>
      <w:sz w:val="16"/>
      <w:szCs w:val="14"/>
    </w:rPr>
  </w:style>
  <w:style w:type="paragraph" w:customStyle="1" w:styleId="DocName">
    <w:name w:val="DocName"/>
    <w:basedOn w:val="Normal"/>
    <w:link w:val="DocNameChar"/>
    <w:rsid w:val="001B4968"/>
    <w:pPr>
      <w:jc w:val="center"/>
    </w:pPr>
    <w:rPr>
      <w:rFonts w:ascii="Arial" w:hAnsi="Arial"/>
      <w:b/>
      <w:bCs/>
      <w:sz w:val="28"/>
      <w:lang w:eastAsia="en-US"/>
    </w:rPr>
  </w:style>
  <w:style w:type="character" w:customStyle="1" w:styleId="DocNameChar">
    <w:name w:val="DocName Char"/>
    <w:basedOn w:val="DefaultParagraphFont"/>
    <w:link w:val="DocName"/>
    <w:rsid w:val="001B4968"/>
    <w:rPr>
      <w:rFonts w:ascii="Arial" w:hAnsi="Arial"/>
      <w:b/>
      <w:bCs/>
      <w:sz w:val="28"/>
      <w:szCs w:val="24"/>
      <w:lang w:eastAsia="en-US"/>
    </w:rPr>
  </w:style>
  <w:style w:type="paragraph" w:styleId="ListParagraph">
    <w:name w:val="List Paragraph"/>
    <w:basedOn w:val="Normal"/>
    <w:uiPriority w:val="34"/>
    <w:qFormat/>
    <w:rsid w:val="00F717C0"/>
    <w:pPr>
      <w:ind w:left="720"/>
      <w:contextualSpacing/>
    </w:pPr>
  </w:style>
  <w:style w:type="paragraph" w:customStyle="1" w:styleId="Body1">
    <w:name w:val="Body 1"/>
    <w:rsid w:val="00F717C0"/>
    <w:rPr>
      <w:rFonts w:ascii="Helvetica" w:eastAsia="Arial Unicode MS" w:hAnsi="Helvetica"/>
      <w:color w:val="000000"/>
      <w:sz w:val="24"/>
    </w:rPr>
  </w:style>
  <w:style w:type="paragraph" w:customStyle="1" w:styleId="Bullet">
    <w:name w:val="Bullet"/>
    <w:basedOn w:val="Normal"/>
    <w:rsid w:val="00336CB1"/>
    <w:pPr>
      <w:numPr>
        <w:numId w:val="16"/>
      </w:numPr>
      <w:spacing w:after="240" w:line="320" w:lineRule="exact"/>
    </w:pPr>
    <w:rPr>
      <w:rFonts w:ascii="Palatino" w:hAnsi="Palatino"/>
      <w:color w:val="000000"/>
      <w:sz w:val="22"/>
      <w:szCs w:val="22"/>
    </w:rPr>
  </w:style>
  <w:style w:type="character" w:customStyle="1" w:styleId="ContentsTitle">
    <w:name w:val="Contents Title"/>
    <w:rsid w:val="00923D0F"/>
    <w:rPr>
      <w:rFonts w:ascii="Arial" w:hAnsi="Arial"/>
      <w:color w:val="1B3A59"/>
      <w:sz w:val="36"/>
      <w:szCs w:val="36"/>
    </w:rPr>
  </w:style>
  <w:style w:type="character" w:styleId="CommentReference">
    <w:name w:val="annotation reference"/>
    <w:basedOn w:val="DefaultParagraphFont"/>
    <w:rsid w:val="00AF5310"/>
    <w:rPr>
      <w:sz w:val="16"/>
      <w:szCs w:val="16"/>
    </w:rPr>
  </w:style>
  <w:style w:type="paragraph" w:styleId="CommentText">
    <w:name w:val="annotation text"/>
    <w:basedOn w:val="Normal"/>
    <w:link w:val="CommentTextChar"/>
    <w:rsid w:val="00AF5310"/>
    <w:rPr>
      <w:sz w:val="20"/>
      <w:szCs w:val="20"/>
    </w:rPr>
  </w:style>
  <w:style w:type="character" w:customStyle="1" w:styleId="CommentTextChar">
    <w:name w:val="Comment Text Char"/>
    <w:basedOn w:val="DefaultParagraphFont"/>
    <w:link w:val="CommentText"/>
    <w:rsid w:val="00AF5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List Paragraph" w:uiPriority="34" w:qFormat="1"/>
    <w:lsdException w:name="TOC Heading" w:semiHidden="1" w:uiPriority="39" w:unhideWhenUsed="1" w:qFormat="1"/>
  </w:latentStyles>
  <w:style w:type="paragraph" w:default="1" w:styleId="Normal">
    <w:name w:val="Normal"/>
    <w:rsid w:val="008B203B"/>
    <w:rPr>
      <w:sz w:val="24"/>
      <w:szCs w:val="24"/>
    </w:rPr>
  </w:style>
  <w:style w:type="paragraph" w:styleId="Heading1">
    <w:name w:val="heading 1"/>
    <w:basedOn w:val="Heading2"/>
    <w:next w:val="BodyText"/>
    <w:qFormat/>
    <w:rsid w:val="00206162"/>
    <w:pPr>
      <w:pageBreakBefore/>
      <w:shd w:val="clear" w:color="auto" w:fill="0C7DAF"/>
      <w:spacing w:before="120" w:after="240" w:line="960" w:lineRule="auto"/>
      <w:ind w:left="-1701" w:right="-1701" w:firstLine="1701"/>
      <w:outlineLvl w:val="0"/>
    </w:pPr>
    <w:rPr>
      <w:rFonts w:ascii="Arial" w:hAnsi="Arial"/>
      <w:color w:val="FFFFFF" w:themeColor="background1"/>
      <w:sz w:val="50"/>
      <w:szCs w:val="50"/>
    </w:rPr>
  </w:style>
  <w:style w:type="paragraph" w:styleId="Heading2">
    <w:name w:val="heading 2"/>
    <w:basedOn w:val="Normal"/>
    <w:next w:val="BodyText"/>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qFormat/>
    <w:rsid w:val="00206162"/>
    <w:pPr>
      <w:keepNext/>
      <w:suppressLineNumbers/>
      <w:suppressAutoHyphens/>
      <w:spacing w:before="360" w:after="120"/>
      <w:outlineLvl w:val="2"/>
    </w:pPr>
    <w:rPr>
      <w:rFonts w:ascii="Helvetica" w:hAnsi="Helvetica" w:cs="Arial"/>
      <w:color w:val="0C7DAF"/>
      <w:kern w:val="28"/>
      <w:szCs w:val="28"/>
    </w:rPr>
  </w:style>
  <w:style w:type="paragraph" w:styleId="Heading4">
    <w:name w:val="heading 4"/>
    <w:basedOn w:val="Normal"/>
    <w:next w:val="BodyText"/>
    <w:qFormat/>
    <w:rsid w:val="00BB146D"/>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10"/>
      </w:numPr>
      <w:spacing w:after="120"/>
    </w:pPr>
  </w:style>
  <w:style w:type="paragraph" w:styleId="ListBullet2">
    <w:name w:val="List Bullet 2"/>
    <w:basedOn w:val="ListBullet"/>
    <w:rsid w:val="00BB146D"/>
    <w:pPr>
      <w:numPr>
        <w:numId w:val="4"/>
      </w:numPr>
    </w:pPr>
  </w:style>
  <w:style w:type="paragraph" w:styleId="ListNumber">
    <w:name w:val="List Number"/>
    <w:basedOn w:val="ListBullet"/>
    <w:rsid w:val="00B0252E"/>
    <w:pPr>
      <w:numPr>
        <w:numId w:val="9"/>
      </w:numPr>
      <w:ind w:left="284" w:hanging="284"/>
    </w:pPr>
  </w:style>
  <w:style w:type="paragraph" w:styleId="ListNumber2">
    <w:name w:val="List Number 2"/>
    <w:basedOn w:val="ListNumber"/>
    <w:rsid w:val="006573B0"/>
    <w:pPr>
      <w:numPr>
        <w:numId w:val="13"/>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qFormat/>
    <w:rsid w:val="002C113F"/>
    <w:pPr>
      <w:keepNext/>
      <w:spacing w:before="80" w:after="80" w:line="280" w:lineRule="atLeast"/>
    </w:pPr>
    <w:rPr>
      <w:rFonts w:ascii="Franklin Gothic Book" w:hAnsi="Franklin Gothic Book" w:cs="Arial"/>
      <w:szCs w:val="19"/>
    </w:rPr>
  </w:style>
  <w:style w:type="paragraph" w:customStyle="1" w:styleId="BoxListBullet">
    <w:name w:val="Box List Bullet"/>
    <w:basedOn w:val="BoxText"/>
    <w:rsid w:val="000C0826"/>
    <w:pPr>
      <w:keepLines/>
      <w:numPr>
        <w:numId w:val="6"/>
      </w:numPr>
      <w:ind w:left="568" w:hanging="284"/>
      <w:contextualSpacing/>
    </w:pPr>
    <w:rPr>
      <w:szCs w:val="20"/>
    </w:rPr>
  </w:style>
  <w:style w:type="paragraph" w:customStyle="1" w:styleId="BoxText">
    <w:name w:val="Box Text"/>
    <w:link w:val="BoxTextChar"/>
    <w:rsid w:val="009054B8"/>
    <w:pPr>
      <w:pBdr>
        <w:top w:val="single" w:sz="4" w:space="10" w:color="000000" w:themeColor="text1"/>
        <w:left w:val="single" w:sz="4" w:space="10" w:color="000000" w:themeColor="text1"/>
        <w:bottom w:val="single" w:sz="4" w:space="10" w:color="000000" w:themeColor="text1"/>
        <w:right w:val="single" w:sz="4" w:space="10" w:color="000000" w:themeColor="text1"/>
      </w:pBdr>
      <w:shd w:val="clear" w:color="auto" w:fill="C7D5E6"/>
      <w:spacing w:after="120"/>
      <w:ind w:left="284"/>
      <w:mirrorIndents/>
    </w:pPr>
    <w:rPr>
      <w:rFonts w:ascii="Franklin Gothic Book" w:eastAsia="Calibri" w:hAnsi="Franklin Gothic Book"/>
      <w:iCs/>
      <w:sz w:val="22"/>
      <w:szCs w:val="22"/>
    </w:rPr>
  </w:style>
  <w:style w:type="character" w:customStyle="1" w:styleId="BoxTextChar">
    <w:name w:val="Box Text Char"/>
    <w:link w:val="BoxText"/>
    <w:rsid w:val="009054B8"/>
    <w:rPr>
      <w:rFonts w:ascii="Franklin Gothic Book" w:eastAsia="Calibri" w:hAnsi="Franklin Gothic Book"/>
      <w:iCs/>
      <w:sz w:val="22"/>
      <w:szCs w:val="22"/>
      <w:shd w:val="clear" w:color="auto" w:fill="C7D5E6"/>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BC5AF4"/>
    <w:pPr>
      <w:spacing w:before="40" w:after="40" w:line="200" w:lineRule="atLeast"/>
    </w:pPr>
    <w:rPr>
      <w:rFonts w:ascii="Franklin Gothic Book" w:eastAsia="Calibri" w:hAnsi="Franklin Gothic Book"/>
      <w:sz w:val="20"/>
      <w:szCs w:val="20"/>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63712C"/>
    <w:pPr>
      <w:spacing w:before="120"/>
    </w:pPr>
    <w:rPr>
      <w:b/>
      <w:iCs w:val="0"/>
      <w:color w:val="000000"/>
      <w:sz w:val="26"/>
      <w:szCs w:val="26"/>
    </w:rPr>
  </w:style>
  <w:style w:type="paragraph" w:customStyle="1" w:styleId="BoxHeading2">
    <w:name w:val="Box Heading 2"/>
    <w:basedOn w:val="BoxText"/>
    <w:next w:val="BoxText"/>
    <w:rsid w:val="0063712C"/>
    <w:pPr>
      <w:spacing w:before="120"/>
    </w:pPr>
    <w:rPr>
      <w:b/>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aliases w:val="ftref,Normal + Font:9 Point,Superscript 3 Point Times,(NECG) Footnote Reference,16 Point,Superscript 6 Point,ADB Footnote Reference,de nota al pie,Ref,FnR-ANZDEC,fr,Footnote Ref in FtNote,SUPERS,Fußnotenzeichen DISS,footnote ref"/>
    <w:uiPriority w:val="99"/>
    <w:rsid w:val="003A1A9E"/>
    <w:rPr>
      <w:rFonts w:ascii="Franklin Gothic Book" w:hAnsi="Franklin Gothic Book"/>
      <w:w w:val="100"/>
      <w:position w:val="6"/>
      <w:sz w:val="16"/>
      <w:szCs w:val="12"/>
      <w:vertAlign w:val="baseline"/>
    </w:rPr>
  </w:style>
  <w:style w:type="paragraph" w:styleId="FootnoteText">
    <w:name w:val="footnote text"/>
    <w:aliases w:val="Footnote Text Char1,ft Char1,Footnote Text Char Char Char Char Char2,Footnote Text Char Char Char Char Char Char Char2,Footnote Text Char Char Char Char Char Char Char Char1,Footnote Text Char Char Char Char Char Char2,ft,single space,fn"/>
    <w:basedOn w:val="BodyText"/>
    <w:link w:val="FootnoteTextChar"/>
    <w:uiPriority w:val="99"/>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BC5AF4"/>
    <w:pPr>
      <w:spacing w:before="80" w:after="80" w:line="200" w:lineRule="atLeast"/>
    </w:pPr>
    <w:rPr>
      <w:rFonts w:ascii="Franklin Gothic Book" w:eastAsia="Calibri" w:hAnsi="Franklin Gothic Book"/>
      <w:b/>
      <w:sz w:val="20"/>
      <w:szCs w:val="20"/>
      <w:lang w:eastAsia="en-US"/>
    </w:rPr>
  </w:style>
  <w:style w:type="paragraph" w:customStyle="1" w:styleId="TableHeading2">
    <w:name w:val="Table Heading 2"/>
    <w:basedOn w:val="Normal"/>
    <w:next w:val="TableTextEntries"/>
    <w:rsid w:val="00BC5AF4"/>
    <w:pPr>
      <w:spacing w:before="40" w:after="40" w:line="200" w:lineRule="atLeast"/>
    </w:pPr>
    <w:rPr>
      <w:rFonts w:ascii="Franklin Gothic Book" w:eastAsia="Calibri" w:hAnsi="Franklin Gothic Book"/>
      <w:b/>
      <w:i/>
      <w:sz w:val="20"/>
      <w:szCs w:val="20"/>
      <w:lang w:eastAsia="en-US"/>
    </w:rPr>
  </w:style>
  <w:style w:type="paragraph" w:customStyle="1" w:styleId="TableListBullet2">
    <w:name w:val="Table List Bullet 2"/>
    <w:basedOn w:val="TableListBullet"/>
    <w:link w:val="TableListBullet2Char"/>
    <w:rsid w:val="00005A8F"/>
    <w:pPr>
      <w:numPr>
        <w:numId w:val="7"/>
      </w:numPr>
      <w:ind w:left="568" w:hanging="284"/>
    </w:pPr>
  </w:style>
  <w:style w:type="character" w:customStyle="1" w:styleId="TableListBullet2Char">
    <w:name w:val="Table List Bullet 2 Char"/>
    <w:link w:val="TableListBullet2"/>
    <w:rsid w:val="00005A8F"/>
    <w:rPr>
      <w:rFonts w:ascii="Franklin Gothic Book" w:eastAsia="Calibri" w:hAnsi="Franklin Gothic Book"/>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3"/>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Text"/>
    <w:rsid w:val="000C0826"/>
    <w:pPr>
      <w:keepLines/>
      <w:numPr>
        <w:numId w:val="14"/>
      </w:numPr>
      <w:tabs>
        <w:tab w:val="left" w:pos="284"/>
        <w:tab w:val="left" w:pos="851"/>
      </w:tabs>
      <w:ind w:left="568" w:hanging="284"/>
      <w:contextualSpacing/>
    </w:pPr>
    <w:rPr>
      <w:szCs w:val="18"/>
    </w:rPr>
  </w:style>
  <w:style w:type="paragraph" w:customStyle="1" w:styleId="BoxListNumber">
    <w:name w:val="Box List Number"/>
    <w:basedOn w:val="BoxListBullet"/>
    <w:rsid w:val="00DD231B"/>
    <w:pPr>
      <w:numPr>
        <w:numId w:val="8"/>
      </w:numPr>
      <w:ind w:left="568"/>
    </w:pPr>
  </w:style>
  <w:style w:type="paragraph" w:customStyle="1" w:styleId="BoxListNumber2">
    <w:name w:val="Box List Number 2"/>
    <w:basedOn w:val="BoxListNumber"/>
    <w:rsid w:val="00B0252E"/>
    <w:pPr>
      <w:numPr>
        <w:numId w:val="5"/>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11"/>
      </w:numPr>
      <w:contextualSpacing/>
    </w:pPr>
  </w:style>
  <w:style w:type="paragraph" w:styleId="ListNumber3">
    <w:name w:val="List Number 3"/>
    <w:basedOn w:val="ListNumber2"/>
    <w:rsid w:val="006573B0"/>
    <w:pPr>
      <w:numPr>
        <w:numId w:val="12"/>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F23D98"/>
    <w:rPr>
      <w:rFonts w:ascii="Helvetica" w:eastAsia="Calibri" w:hAnsi="Helvetica"/>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character" w:customStyle="1" w:styleId="FooterChar">
    <w:name w:val="Footer Char"/>
    <w:basedOn w:val="DefaultParagraphFont"/>
    <w:link w:val="Footer"/>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character" w:customStyle="1" w:styleId="FootnoteTextChar">
    <w:name w:val="Footnote Text Char"/>
    <w:aliases w:val="Footnote Text Char1 Char,ft Char1 Char,Footnote Text Char Char Char Char Char2 Char,Footnote Text Char Char Char Char Char Char Char2 Char,Footnote Text Char Char Char Char Char Char Char Char1 Char,ft Char,single space Char,fn Char"/>
    <w:link w:val="FootnoteText"/>
    <w:uiPriority w:val="99"/>
    <w:rsid w:val="001B4968"/>
    <w:rPr>
      <w:rFonts w:ascii="Franklin Gothic Book" w:hAnsi="Franklin Gothic Book"/>
      <w:sz w:val="16"/>
      <w:szCs w:val="14"/>
    </w:rPr>
  </w:style>
  <w:style w:type="paragraph" w:customStyle="1" w:styleId="DocName">
    <w:name w:val="DocName"/>
    <w:basedOn w:val="Normal"/>
    <w:link w:val="DocNameChar"/>
    <w:rsid w:val="001B4968"/>
    <w:pPr>
      <w:jc w:val="center"/>
    </w:pPr>
    <w:rPr>
      <w:rFonts w:ascii="Arial" w:hAnsi="Arial"/>
      <w:b/>
      <w:bCs/>
      <w:sz w:val="28"/>
      <w:lang w:eastAsia="en-US"/>
    </w:rPr>
  </w:style>
  <w:style w:type="character" w:customStyle="1" w:styleId="DocNameChar">
    <w:name w:val="DocName Char"/>
    <w:basedOn w:val="DefaultParagraphFont"/>
    <w:link w:val="DocName"/>
    <w:rsid w:val="001B4968"/>
    <w:rPr>
      <w:rFonts w:ascii="Arial" w:hAnsi="Arial"/>
      <w:b/>
      <w:bCs/>
      <w:sz w:val="28"/>
      <w:szCs w:val="24"/>
      <w:lang w:eastAsia="en-US"/>
    </w:rPr>
  </w:style>
  <w:style w:type="paragraph" w:styleId="ListParagraph">
    <w:name w:val="List Paragraph"/>
    <w:basedOn w:val="Normal"/>
    <w:uiPriority w:val="34"/>
    <w:qFormat/>
    <w:rsid w:val="00F717C0"/>
    <w:pPr>
      <w:ind w:left="720"/>
      <w:contextualSpacing/>
    </w:pPr>
  </w:style>
  <w:style w:type="paragraph" w:customStyle="1" w:styleId="Body1">
    <w:name w:val="Body 1"/>
    <w:rsid w:val="00F717C0"/>
    <w:rPr>
      <w:rFonts w:ascii="Helvetica" w:eastAsia="Arial Unicode MS" w:hAnsi="Helvetica"/>
      <w:color w:val="000000"/>
      <w:sz w:val="24"/>
    </w:rPr>
  </w:style>
  <w:style w:type="paragraph" w:customStyle="1" w:styleId="Bullet">
    <w:name w:val="Bullet"/>
    <w:basedOn w:val="Normal"/>
    <w:rsid w:val="00336CB1"/>
    <w:pPr>
      <w:numPr>
        <w:numId w:val="16"/>
      </w:numPr>
      <w:spacing w:after="240" w:line="320" w:lineRule="exact"/>
    </w:pPr>
    <w:rPr>
      <w:rFonts w:ascii="Palatino" w:hAnsi="Palatino"/>
      <w:color w:val="000000"/>
      <w:sz w:val="22"/>
      <w:szCs w:val="22"/>
    </w:rPr>
  </w:style>
  <w:style w:type="character" w:customStyle="1" w:styleId="ContentsTitle">
    <w:name w:val="Contents Title"/>
    <w:rsid w:val="00923D0F"/>
    <w:rPr>
      <w:rFonts w:ascii="Arial" w:hAnsi="Arial"/>
      <w:color w:val="1B3A59"/>
      <w:sz w:val="36"/>
      <w:szCs w:val="36"/>
    </w:rPr>
  </w:style>
  <w:style w:type="character" w:styleId="CommentReference">
    <w:name w:val="annotation reference"/>
    <w:basedOn w:val="DefaultParagraphFont"/>
    <w:rsid w:val="00AF5310"/>
    <w:rPr>
      <w:sz w:val="16"/>
      <w:szCs w:val="16"/>
    </w:rPr>
  </w:style>
  <w:style w:type="paragraph" w:styleId="CommentText">
    <w:name w:val="annotation text"/>
    <w:basedOn w:val="Normal"/>
    <w:link w:val="CommentTextChar"/>
    <w:rsid w:val="00AF5310"/>
    <w:rPr>
      <w:sz w:val="20"/>
      <w:szCs w:val="20"/>
    </w:rPr>
  </w:style>
  <w:style w:type="character" w:customStyle="1" w:styleId="CommentTextChar">
    <w:name w:val="Comment Text Char"/>
    <w:basedOn w:val="DefaultParagraphFont"/>
    <w:link w:val="CommentText"/>
    <w:rsid w:val="00AF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94864">
      <w:bodyDiv w:val="1"/>
      <w:marLeft w:val="0"/>
      <w:marRight w:val="0"/>
      <w:marTop w:val="0"/>
      <w:marBottom w:val="0"/>
      <w:divBdr>
        <w:top w:val="none" w:sz="0" w:space="0" w:color="auto"/>
        <w:left w:val="none" w:sz="0" w:space="0" w:color="auto"/>
        <w:bottom w:val="none" w:sz="0" w:space="0" w:color="auto"/>
        <w:right w:val="none" w:sz="0" w:space="0" w:color="auto"/>
      </w:divBdr>
      <w:divsChild>
        <w:div w:id="1235167609">
          <w:marLeft w:val="0"/>
          <w:marRight w:val="0"/>
          <w:marTop w:val="0"/>
          <w:marBottom w:val="0"/>
          <w:divBdr>
            <w:top w:val="none" w:sz="0" w:space="0" w:color="auto"/>
            <w:left w:val="none" w:sz="0" w:space="0" w:color="auto"/>
            <w:bottom w:val="none" w:sz="0" w:space="0" w:color="auto"/>
            <w:right w:val="none" w:sz="0" w:space="0" w:color="auto"/>
          </w:divBdr>
          <w:divsChild>
            <w:div w:id="643513754">
              <w:marLeft w:val="0"/>
              <w:marRight w:val="0"/>
              <w:marTop w:val="0"/>
              <w:marBottom w:val="0"/>
              <w:divBdr>
                <w:top w:val="none" w:sz="0" w:space="0" w:color="auto"/>
                <w:left w:val="none" w:sz="0" w:space="0" w:color="auto"/>
                <w:bottom w:val="none" w:sz="0" w:space="0" w:color="auto"/>
                <w:right w:val="none" w:sz="0" w:space="0" w:color="auto"/>
              </w:divBdr>
              <w:divsChild>
                <w:div w:id="1116171169">
                  <w:marLeft w:val="0"/>
                  <w:marRight w:val="0"/>
                  <w:marTop w:val="0"/>
                  <w:marBottom w:val="0"/>
                  <w:divBdr>
                    <w:top w:val="none" w:sz="0" w:space="0" w:color="auto"/>
                    <w:left w:val="none" w:sz="0" w:space="0" w:color="auto"/>
                    <w:bottom w:val="none" w:sz="0" w:space="0" w:color="auto"/>
                    <w:right w:val="none" w:sz="0" w:space="0" w:color="auto"/>
                  </w:divBdr>
                  <w:divsChild>
                    <w:div w:id="1252739112">
                      <w:marLeft w:val="0"/>
                      <w:marRight w:val="0"/>
                      <w:marTop w:val="0"/>
                      <w:marBottom w:val="0"/>
                      <w:divBdr>
                        <w:top w:val="none" w:sz="0" w:space="0" w:color="auto"/>
                        <w:left w:val="none" w:sz="0" w:space="0" w:color="auto"/>
                        <w:bottom w:val="none" w:sz="0" w:space="0" w:color="auto"/>
                        <w:right w:val="none" w:sz="0" w:space="0" w:color="auto"/>
                      </w:divBdr>
                      <w:divsChild>
                        <w:div w:id="1467551567">
                          <w:marLeft w:val="0"/>
                          <w:marRight w:val="0"/>
                          <w:marTop w:val="0"/>
                          <w:marBottom w:val="0"/>
                          <w:divBdr>
                            <w:top w:val="none" w:sz="0" w:space="0" w:color="auto"/>
                            <w:left w:val="none" w:sz="0" w:space="0" w:color="auto"/>
                            <w:bottom w:val="none" w:sz="0" w:space="0" w:color="auto"/>
                            <w:right w:val="none" w:sz="0" w:space="0" w:color="auto"/>
                          </w:divBdr>
                          <w:divsChild>
                            <w:div w:id="1096055692">
                              <w:marLeft w:val="0"/>
                              <w:marRight w:val="0"/>
                              <w:marTop w:val="0"/>
                              <w:marBottom w:val="0"/>
                              <w:divBdr>
                                <w:top w:val="none" w:sz="0" w:space="0" w:color="auto"/>
                                <w:left w:val="none" w:sz="0" w:space="0" w:color="auto"/>
                                <w:bottom w:val="none" w:sz="0" w:space="0" w:color="auto"/>
                                <w:right w:val="none" w:sz="0" w:space="0" w:color="auto"/>
                              </w:divBdr>
                              <w:divsChild>
                                <w:div w:id="1371490728">
                                  <w:marLeft w:val="0"/>
                                  <w:marRight w:val="0"/>
                                  <w:marTop w:val="0"/>
                                  <w:marBottom w:val="0"/>
                                  <w:divBdr>
                                    <w:top w:val="none" w:sz="0" w:space="0" w:color="auto"/>
                                    <w:left w:val="none" w:sz="0" w:space="0" w:color="auto"/>
                                    <w:bottom w:val="none" w:sz="0" w:space="0" w:color="auto"/>
                                    <w:right w:val="none" w:sz="0" w:space="0" w:color="auto"/>
                                  </w:divBdr>
                                  <w:divsChild>
                                    <w:div w:id="1004163978">
                                      <w:marLeft w:val="0"/>
                                      <w:marRight w:val="0"/>
                                      <w:marTop w:val="0"/>
                                      <w:marBottom w:val="0"/>
                                      <w:divBdr>
                                        <w:top w:val="none" w:sz="0" w:space="0" w:color="auto"/>
                                        <w:left w:val="none" w:sz="0" w:space="0" w:color="auto"/>
                                        <w:bottom w:val="none" w:sz="0" w:space="0" w:color="auto"/>
                                        <w:right w:val="none" w:sz="0" w:space="0" w:color="auto"/>
                                      </w:divBdr>
                                      <w:divsChild>
                                        <w:div w:id="114373203">
                                          <w:marLeft w:val="0"/>
                                          <w:marRight w:val="0"/>
                                          <w:marTop w:val="0"/>
                                          <w:marBottom w:val="0"/>
                                          <w:divBdr>
                                            <w:top w:val="none" w:sz="0" w:space="0" w:color="auto"/>
                                            <w:left w:val="none" w:sz="0" w:space="0" w:color="auto"/>
                                            <w:bottom w:val="none" w:sz="0" w:space="0" w:color="auto"/>
                                            <w:right w:val="none" w:sz="0" w:space="0" w:color="auto"/>
                                          </w:divBdr>
                                        </w:div>
                                      </w:divsChild>
                                    </w:div>
                                    <w:div w:id="1071998461">
                                      <w:marLeft w:val="0"/>
                                      <w:marRight w:val="0"/>
                                      <w:marTop w:val="0"/>
                                      <w:marBottom w:val="0"/>
                                      <w:divBdr>
                                        <w:top w:val="none" w:sz="0" w:space="0" w:color="auto"/>
                                        <w:left w:val="none" w:sz="0" w:space="0" w:color="auto"/>
                                        <w:bottom w:val="none" w:sz="0" w:space="0" w:color="auto"/>
                                        <w:right w:val="none" w:sz="0" w:space="0" w:color="auto"/>
                                      </w:divBdr>
                                      <w:divsChild>
                                        <w:div w:id="640580295">
                                          <w:marLeft w:val="0"/>
                                          <w:marRight w:val="0"/>
                                          <w:marTop w:val="0"/>
                                          <w:marBottom w:val="0"/>
                                          <w:divBdr>
                                            <w:top w:val="none" w:sz="0" w:space="0" w:color="auto"/>
                                            <w:left w:val="none" w:sz="0" w:space="0" w:color="auto"/>
                                            <w:bottom w:val="none" w:sz="0" w:space="0" w:color="auto"/>
                                            <w:right w:val="none" w:sz="0" w:space="0" w:color="auto"/>
                                          </w:divBdr>
                                          <w:divsChild>
                                            <w:div w:id="18698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782834">
      <w:bodyDiv w:val="1"/>
      <w:marLeft w:val="0"/>
      <w:marRight w:val="0"/>
      <w:marTop w:val="0"/>
      <w:marBottom w:val="0"/>
      <w:divBdr>
        <w:top w:val="none" w:sz="0" w:space="0" w:color="auto"/>
        <w:left w:val="none" w:sz="0" w:space="0" w:color="auto"/>
        <w:bottom w:val="none" w:sz="0" w:space="0" w:color="auto"/>
        <w:right w:val="none" w:sz="0" w:space="0" w:color="auto"/>
      </w:divBdr>
      <w:divsChild>
        <w:div w:id="97065794">
          <w:marLeft w:val="0"/>
          <w:marRight w:val="0"/>
          <w:marTop w:val="0"/>
          <w:marBottom w:val="0"/>
          <w:divBdr>
            <w:top w:val="none" w:sz="0" w:space="0" w:color="auto"/>
            <w:left w:val="none" w:sz="0" w:space="0" w:color="auto"/>
            <w:bottom w:val="none" w:sz="0" w:space="0" w:color="auto"/>
            <w:right w:val="none" w:sz="0" w:space="0" w:color="auto"/>
          </w:divBdr>
          <w:divsChild>
            <w:div w:id="57478388">
              <w:marLeft w:val="0"/>
              <w:marRight w:val="0"/>
              <w:marTop w:val="0"/>
              <w:marBottom w:val="0"/>
              <w:divBdr>
                <w:top w:val="none" w:sz="0" w:space="0" w:color="auto"/>
                <w:left w:val="none" w:sz="0" w:space="0" w:color="auto"/>
                <w:bottom w:val="none" w:sz="0" w:space="0" w:color="auto"/>
                <w:right w:val="none" w:sz="0" w:space="0" w:color="auto"/>
              </w:divBdr>
              <w:divsChild>
                <w:div w:id="999887036">
                  <w:marLeft w:val="0"/>
                  <w:marRight w:val="0"/>
                  <w:marTop w:val="0"/>
                  <w:marBottom w:val="0"/>
                  <w:divBdr>
                    <w:top w:val="none" w:sz="0" w:space="0" w:color="auto"/>
                    <w:left w:val="none" w:sz="0" w:space="0" w:color="auto"/>
                    <w:bottom w:val="none" w:sz="0" w:space="0" w:color="auto"/>
                    <w:right w:val="none" w:sz="0" w:space="0" w:color="auto"/>
                  </w:divBdr>
                  <w:divsChild>
                    <w:div w:id="456069543">
                      <w:marLeft w:val="0"/>
                      <w:marRight w:val="0"/>
                      <w:marTop w:val="0"/>
                      <w:marBottom w:val="0"/>
                      <w:divBdr>
                        <w:top w:val="none" w:sz="0" w:space="0" w:color="auto"/>
                        <w:left w:val="none" w:sz="0" w:space="0" w:color="auto"/>
                        <w:bottom w:val="none" w:sz="0" w:space="0" w:color="auto"/>
                        <w:right w:val="none" w:sz="0" w:space="0" w:color="auto"/>
                      </w:divBdr>
                      <w:divsChild>
                        <w:div w:id="2038191394">
                          <w:marLeft w:val="0"/>
                          <w:marRight w:val="0"/>
                          <w:marTop w:val="0"/>
                          <w:marBottom w:val="0"/>
                          <w:divBdr>
                            <w:top w:val="none" w:sz="0" w:space="0" w:color="auto"/>
                            <w:left w:val="none" w:sz="0" w:space="0" w:color="auto"/>
                            <w:bottom w:val="none" w:sz="0" w:space="0" w:color="auto"/>
                            <w:right w:val="none" w:sz="0" w:space="0" w:color="auto"/>
                          </w:divBdr>
                          <w:divsChild>
                            <w:div w:id="1470784746">
                              <w:marLeft w:val="0"/>
                              <w:marRight w:val="0"/>
                              <w:marTop w:val="0"/>
                              <w:marBottom w:val="0"/>
                              <w:divBdr>
                                <w:top w:val="none" w:sz="0" w:space="0" w:color="auto"/>
                                <w:left w:val="none" w:sz="0" w:space="0" w:color="auto"/>
                                <w:bottom w:val="none" w:sz="0" w:space="0" w:color="auto"/>
                                <w:right w:val="none" w:sz="0" w:space="0" w:color="auto"/>
                              </w:divBdr>
                              <w:divsChild>
                                <w:div w:id="560601162">
                                  <w:marLeft w:val="0"/>
                                  <w:marRight w:val="0"/>
                                  <w:marTop w:val="0"/>
                                  <w:marBottom w:val="0"/>
                                  <w:divBdr>
                                    <w:top w:val="none" w:sz="0" w:space="0" w:color="auto"/>
                                    <w:left w:val="none" w:sz="0" w:space="0" w:color="auto"/>
                                    <w:bottom w:val="none" w:sz="0" w:space="0" w:color="auto"/>
                                    <w:right w:val="none" w:sz="0" w:space="0" w:color="auto"/>
                                  </w:divBdr>
                                  <w:divsChild>
                                    <w:div w:id="2048993615">
                                      <w:marLeft w:val="0"/>
                                      <w:marRight w:val="0"/>
                                      <w:marTop w:val="0"/>
                                      <w:marBottom w:val="0"/>
                                      <w:divBdr>
                                        <w:top w:val="none" w:sz="0" w:space="0" w:color="auto"/>
                                        <w:left w:val="none" w:sz="0" w:space="0" w:color="auto"/>
                                        <w:bottom w:val="none" w:sz="0" w:space="0" w:color="auto"/>
                                        <w:right w:val="none" w:sz="0" w:space="0" w:color="auto"/>
                                      </w:divBdr>
                                      <w:divsChild>
                                        <w:div w:id="1497110890">
                                          <w:marLeft w:val="0"/>
                                          <w:marRight w:val="0"/>
                                          <w:marTop w:val="0"/>
                                          <w:marBottom w:val="0"/>
                                          <w:divBdr>
                                            <w:top w:val="none" w:sz="0" w:space="0" w:color="auto"/>
                                            <w:left w:val="none" w:sz="0" w:space="0" w:color="auto"/>
                                            <w:bottom w:val="none" w:sz="0" w:space="0" w:color="auto"/>
                                            <w:right w:val="none" w:sz="0" w:space="0" w:color="auto"/>
                                          </w:divBdr>
                                        </w:div>
                                      </w:divsChild>
                                    </w:div>
                                    <w:div w:id="213322043">
                                      <w:marLeft w:val="0"/>
                                      <w:marRight w:val="0"/>
                                      <w:marTop w:val="0"/>
                                      <w:marBottom w:val="0"/>
                                      <w:divBdr>
                                        <w:top w:val="none" w:sz="0" w:space="0" w:color="auto"/>
                                        <w:left w:val="none" w:sz="0" w:space="0" w:color="auto"/>
                                        <w:bottom w:val="none" w:sz="0" w:space="0" w:color="auto"/>
                                        <w:right w:val="none" w:sz="0" w:space="0" w:color="auto"/>
                                      </w:divBdr>
                                      <w:divsChild>
                                        <w:div w:id="925655170">
                                          <w:marLeft w:val="0"/>
                                          <w:marRight w:val="0"/>
                                          <w:marTop w:val="0"/>
                                          <w:marBottom w:val="0"/>
                                          <w:divBdr>
                                            <w:top w:val="none" w:sz="0" w:space="0" w:color="auto"/>
                                            <w:left w:val="none" w:sz="0" w:space="0" w:color="auto"/>
                                            <w:bottom w:val="none" w:sz="0" w:space="0" w:color="auto"/>
                                            <w:right w:val="none" w:sz="0" w:space="0" w:color="auto"/>
                                          </w:divBdr>
                                          <w:divsChild>
                                            <w:div w:id="11472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fat.gov.au/about-us/grants-tenders-funding/tenders/business-notifications/Documents/iip-concept-note-140814.pdf"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58BC7-822E-40CA-8F2E-FCAE83E5D8B7}"/>
</file>

<file path=customXml/itemProps2.xml><?xml version="1.0" encoding="utf-8"?>
<ds:datastoreItem xmlns:ds="http://schemas.openxmlformats.org/officeDocument/2006/customXml" ds:itemID="{A47A0C7F-A07F-4342-B1D6-F175D89DFFD8}"/>
</file>

<file path=customXml/itemProps3.xml><?xml version="1.0" encoding="utf-8"?>
<ds:datastoreItem xmlns:ds="http://schemas.openxmlformats.org/officeDocument/2006/customXml" ds:itemID="{69E1B1B6-2481-45C4-82B2-335BBCE07C0C}"/>
</file>

<file path=customXml/itemProps4.xml><?xml version="1.0" encoding="utf-8"?>
<ds:datastoreItem xmlns:ds="http://schemas.openxmlformats.org/officeDocument/2006/customXml" ds:itemID="{7FB23D6D-D616-4865-814B-A03FFA3548C7}"/>
</file>

<file path=docProps/app.xml><?xml version="1.0" encoding="utf-8"?>
<Properties xmlns="http://schemas.openxmlformats.org/officeDocument/2006/extended-properties" xmlns:vt="http://schemas.openxmlformats.org/officeDocument/2006/docPropsVTypes">
  <Template>CA5ED231</Template>
  <TotalTime>0</TotalTime>
  <Pages>17</Pages>
  <Words>5909</Words>
  <Characters>36554</Characters>
  <Application>Microsoft Office Word</Application>
  <DocSecurity>0</DocSecurity>
  <Lines>304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2015-11-17T00:31:00Z</dcterms:created>
  <dcterms:modified xsi:type="dcterms:W3CDTF">2015-11-17T00:31:00Z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