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diagrams/colors1.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theme/theme1.xml" ContentType="application/vnd.openxmlformats-officedocument.theme+xml"/>
  <Override PartName="/word/diagrams/drawing1.xml" ContentType="application/vnd.ms-office.drawingml.diagramDrawing+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8D569" w14:textId="77777777" w:rsidR="00914B6A" w:rsidRDefault="0066429C">
      <w:bookmarkStart w:id="0" w:name="_GoBack"/>
      <w:bookmarkEnd w:id="0"/>
      <w:r>
        <w:rPr>
          <w:noProof/>
          <w:lang w:eastAsia="en-AU"/>
        </w:rPr>
        <w:drawing>
          <wp:anchor distT="0" distB="0" distL="114300" distR="114300" simplePos="0" relativeHeight="251668480" behindDoc="1" locked="0" layoutInCell="1" allowOverlap="1" wp14:anchorId="6153C7A5" wp14:editId="661EEB84">
            <wp:simplePos x="0" y="0"/>
            <wp:positionH relativeFrom="column">
              <wp:posOffset>2876550</wp:posOffset>
            </wp:positionH>
            <wp:positionV relativeFrom="paragraph">
              <wp:posOffset>0</wp:posOffset>
            </wp:positionV>
            <wp:extent cx="3335655" cy="963295"/>
            <wp:effectExtent l="0" t="0" r="0" b="8255"/>
            <wp:wrapThrough wrapText="bothSides">
              <wp:wrapPolygon edited="0">
                <wp:start x="0" y="0"/>
                <wp:lineTo x="0" y="21358"/>
                <wp:lineTo x="21464" y="21358"/>
                <wp:lineTo x="21464" y="0"/>
                <wp:lineTo x="0" y="0"/>
              </wp:wrapPolygon>
            </wp:wrapThrough>
            <wp:docPr id="1" name="Picture 1" descr="cid:82D044E1-E25D-41A6-9AAA-ACD5306C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82D044E1-E25D-41A6-9AAA-ACD5306C1628"/>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335655" cy="963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0079E" w14:textId="77777777" w:rsidR="00914B6A" w:rsidRPr="00914B6A" w:rsidRDefault="00914B6A" w:rsidP="00914B6A"/>
    <w:p w14:paraId="57D11682" w14:textId="77777777" w:rsidR="00914B6A" w:rsidRPr="00914B6A" w:rsidRDefault="00914B6A" w:rsidP="00914B6A"/>
    <w:p w14:paraId="0B595877" w14:textId="77777777" w:rsidR="00914B6A" w:rsidRPr="00914B6A" w:rsidRDefault="00914B6A" w:rsidP="00914B6A"/>
    <w:p w14:paraId="7DA37B88" w14:textId="77777777" w:rsidR="00914B6A" w:rsidRPr="00914B6A" w:rsidRDefault="00914B6A" w:rsidP="00914B6A"/>
    <w:p w14:paraId="03C71A5A" w14:textId="77777777" w:rsidR="00914B6A" w:rsidRPr="00914B6A" w:rsidRDefault="00914B6A" w:rsidP="00914B6A"/>
    <w:p w14:paraId="084AB19C" w14:textId="77777777" w:rsidR="00914B6A" w:rsidRPr="00914B6A" w:rsidRDefault="00914B6A" w:rsidP="00914B6A"/>
    <w:p w14:paraId="348C6904" w14:textId="77777777" w:rsidR="00914B6A" w:rsidRDefault="00914B6A"/>
    <w:p w14:paraId="09A592E7" w14:textId="77777777" w:rsidR="00914B6A" w:rsidRDefault="00914B6A"/>
    <w:p w14:paraId="3001503B" w14:textId="77777777" w:rsidR="00914B6A" w:rsidRDefault="00914B6A"/>
    <w:p w14:paraId="3D6FB6A2" w14:textId="77777777" w:rsidR="00773E7D" w:rsidRDefault="00773E7D"/>
    <w:p w14:paraId="01BE3E78" w14:textId="77777777" w:rsidR="00767BE5" w:rsidRDefault="007E07AC">
      <w:pPr>
        <w:rPr>
          <w:color w:val="CF5D27"/>
        </w:rPr>
      </w:pPr>
      <w:r w:rsidRPr="007E07AC">
        <w:rPr>
          <w:b/>
          <w:noProof/>
          <w:color w:val="CF5D27"/>
          <w:sz w:val="100"/>
          <w:szCs w:val="100"/>
          <w:lang w:eastAsia="en-AU"/>
        </w:rPr>
        <mc:AlternateContent>
          <mc:Choice Requires="wps">
            <w:drawing>
              <wp:anchor distT="0" distB="0" distL="114300" distR="114300" simplePos="0" relativeHeight="251661312" behindDoc="0" locked="0" layoutInCell="1" allowOverlap="0" wp14:anchorId="4B3E1A58" wp14:editId="28857152">
                <wp:simplePos x="0" y="0"/>
                <wp:positionH relativeFrom="column">
                  <wp:posOffset>-104140</wp:posOffset>
                </wp:positionH>
                <wp:positionV relativeFrom="paragraph">
                  <wp:posOffset>327660</wp:posOffset>
                </wp:positionV>
                <wp:extent cx="6469380" cy="13970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1397000"/>
                        </a:xfrm>
                        <a:prstGeom prst="rect">
                          <a:avLst/>
                        </a:prstGeom>
                        <a:noFill/>
                        <a:ln w="9525">
                          <a:noFill/>
                          <a:miter lim="800000"/>
                          <a:headEnd/>
                          <a:tailEnd/>
                        </a:ln>
                      </wps:spPr>
                      <wps:txbx>
                        <w:txbxContent>
                          <w:p w14:paraId="790DD990" w14:textId="2AE172E8" w:rsidR="00FD7550" w:rsidRPr="00E27244" w:rsidRDefault="00FD7550" w:rsidP="00767BE5">
                            <w:pPr>
                              <w:tabs>
                                <w:tab w:val="left" w:pos="6063"/>
                              </w:tabs>
                              <w:rPr>
                                <w:b/>
                                <w:color w:val="CF5D27"/>
                                <w:sz w:val="56"/>
                                <w:szCs w:val="56"/>
                              </w:rPr>
                            </w:pPr>
                            <w:r>
                              <w:rPr>
                                <w:b/>
                                <w:color w:val="CF5D27"/>
                                <w:sz w:val="56"/>
                                <w:szCs w:val="56"/>
                              </w:rPr>
                              <w:t>Review of the DFAT-NGO Humanitarian Partnership Agreement 2011-201</w:t>
                            </w:r>
                            <w:r w:rsidR="00A90DB9">
                              <w:rPr>
                                <w:b/>
                                <w:color w:val="CF5D27"/>
                                <w:sz w:val="56"/>
                                <w:szCs w:val="56"/>
                              </w:rPr>
                              <w:t>6</w:t>
                            </w:r>
                          </w:p>
                          <w:p w14:paraId="23606DB6" w14:textId="77777777" w:rsidR="00FD7550" w:rsidRPr="00E27244" w:rsidRDefault="00FD7550" w:rsidP="004B5EA6">
                            <w:pPr>
                              <w:tabs>
                                <w:tab w:val="left" w:pos="6063"/>
                              </w:tabs>
                              <w:rPr>
                                <w:b/>
                                <w:color w:val="CF5D27"/>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pt;margin-top:25.8pt;width:509.4pt;height:1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EBDAIAAPUDAAAOAAAAZHJzL2Uyb0RvYy54bWysU9tuGyEQfa/Uf0C817u+2yvjKE2aqlJ6&#10;kZJ+AGZZLyowFLB33a/vwDqO1b5VfUEDM3Nmzplhc9MbTY7SBwWW0fGopERaAbWye0a/Pz+8W1ES&#10;Irc112AloycZ6M327ZtN5yo5gRZ0LT1BEBuqzjHaxuiqogiilYaHEThp0dmANzzi1e+L2vMO0Y0u&#10;JmW5KDrwtfMgZAj4ej846TbjN40U8WvTBBmJZhR7i/n0+dyls9hueLX33LVKnNvg/9CF4cpi0QvU&#10;PY+cHLz6C8oo4SFAE0cCTAFNo4TMHJDNuPyDzVPLncxcUJzgLjKF/wcrvhy/eaJqRqflkhLLDQ7p&#10;WfaRvIeeTJI+nQsVhj05DIw9PuOcM9fgHkH8CMTCXcvtXt56D10reY39jVNmcZU64IQEsus+Q41l&#10;+CFCBuobb5J4KAdBdJzT6TKb1IrAx8VssZ6u0CXQN56ul2WZp1fw6iXd+RA/SjAkGYx6HH6G58fH&#10;EFM7vHoJSdUsPCit8wJoSzpG1/PJPCdceYyKuJ9aGUZXWHGoyavE8oOtc3LkSg82FtD2TDsxHTjH&#10;ftdjYNJiB/UJBfAw7CH+GzRa8L8o6XAHGQ0/D9xLSvQniyKux7NZWtp8mc2XE7z4a8/u2sOtQChG&#10;IyWDeRfzog9cb1HsRmUZXjs594q7ldU5/4O0vNf3HPX6W7e/AQAA//8DAFBLAwQUAAYACAAAACEA&#10;eIT4qt4AAAALAQAADwAAAGRycy9kb3ducmV2LnhtbEyPTU/DMAyG70j8h8hI3Lak1Vag1J0QiCuI&#10;8SFxy1qvrWicqsnW8u/xTuzo149ePy42s+vVkcbQeUZIlgYUceXrjhuEj/fnxS2oEC3XtvdMCL8U&#10;YFNeXhQ2r/3Eb3TcxkZJCYfcIrQxDrnWoWrJ2bD0A7Hs9n50Nso4Nroe7STlrtepMZl2tmO50NqB&#10;HluqfrYHh/D5sv/+WpnX5smth8nPRrO704jXV/PDPahIc/yH4aQv6lCK084fuA6qR1gk2UpQhHWS&#10;gToBxqSS7BDSG4l0WejzH8o/AAAA//8DAFBLAQItABQABgAIAAAAIQC2gziS/gAAAOEBAAATAAAA&#10;AAAAAAAAAAAAAAAAAABbQ29udGVudF9UeXBlc10ueG1sUEsBAi0AFAAGAAgAAAAhADj9If/WAAAA&#10;lAEAAAsAAAAAAAAAAAAAAAAALwEAAF9yZWxzLy5yZWxzUEsBAi0AFAAGAAgAAAAhAEJTUQEMAgAA&#10;9QMAAA4AAAAAAAAAAAAAAAAALgIAAGRycy9lMm9Eb2MueG1sUEsBAi0AFAAGAAgAAAAhAHiE+Kre&#10;AAAACwEAAA8AAAAAAAAAAAAAAAAAZgQAAGRycy9kb3ducmV2LnhtbFBLBQYAAAAABAAEAPMAAABx&#10;BQAAAAA=&#10;" o:allowoverlap="f" filled="f" stroked="f">
                <v:textbox>
                  <w:txbxContent>
                    <w:p w14:paraId="790DD990" w14:textId="2AE172E8" w:rsidR="00FD7550" w:rsidRPr="00E27244" w:rsidRDefault="00FD7550" w:rsidP="00767BE5">
                      <w:pPr>
                        <w:tabs>
                          <w:tab w:val="left" w:pos="6063"/>
                        </w:tabs>
                        <w:rPr>
                          <w:b/>
                          <w:color w:val="CF5D27"/>
                          <w:sz w:val="56"/>
                          <w:szCs w:val="56"/>
                        </w:rPr>
                      </w:pPr>
                      <w:r>
                        <w:rPr>
                          <w:b/>
                          <w:color w:val="CF5D27"/>
                          <w:sz w:val="56"/>
                          <w:szCs w:val="56"/>
                        </w:rPr>
                        <w:t>Review of the DFAT-NGO Humanitarian Partnership Agreement 2011-201</w:t>
                      </w:r>
                      <w:r w:rsidR="00A90DB9">
                        <w:rPr>
                          <w:b/>
                          <w:color w:val="CF5D27"/>
                          <w:sz w:val="56"/>
                          <w:szCs w:val="56"/>
                        </w:rPr>
                        <w:t>6</w:t>
                      </w:r>
                    </w:p>
                    <w:p w14:paraId="23606DB6" w14:textId="77777777" w:rsidR="00FD7550" w:rsidRPr="00E27244" w:rsidRDefault="00FD7550" w:rsidP="004B5EA6">
                      <w:pPr>
                        <w:tabs>
                          <w:tab w:val="left" w:pos="6063"/>
                        </w:tabs>
                        <w:rPr>
                          <w:b/>
                          <w:color w:val="CF5D27"/>
                          <w:sz w:val="56"/>
                          <w:szCs w:val="56"/>
                        </w:rPr>
                      </w:pPr>
                    </w:p>
                  </w:txbxContent>
                </v:textbox>
                <w10:wrap type="topAndBottom"/>
              </v:shape>
            </w:pict>
          </mc:Fallback>
        </mc:AlternateContent>
      </w:r>
    </w:p>
    <w:p w14:paraId="7A6F3E5B" w14:textId="77777777" w:rsidR="00472119" w:rsidRDefault="007E07AC" w:rsidP="00713151">
      <w:pPr>
        <w:jc w:val="right"/>
      </w:pPr>
      <w:r w:rsidRPr="00CD2283">
        <w:rPr>
          <w:b/>
          <w:noProof/>
          <w:color w:val="9E4B1F"/>
          <w:sz w:val="100"/>
          <w:szCs w:val="100"/>
          <w:lang w:eastAsia="en-AU"/>
        </w:rPr>
        <mc:AlternateContent>
          <mc:Choice Requires="wps">
            <w:drawing>
              <wp:anchor distT="0" distB="0" distL="114300" distR="114300" simplePos="0" relativeHeight="251663360" behindDoc="0" locked="0" layoutInCell="1" allowOverlap="0" wp14:anchorId="225917FB" wp14:editId="4EF9ACB5">
                <wp:simplePos x="0" y="0"/>
                <wp:positionH relativeFrom="column">
                  <wp:posOffset>-41910</wp:posOffset>
                </wp:positionH>
                <wp:positionV relativeFrom="paragraph">
                  <wp:posOffset>1102995</wp:posOffset>
                </wp:positionV>
                <wp:extent cx="4537075" cy="118427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1184275"/>
                        </a:xfrm>
                        <a:prstGeom prst="rect">
                          <a:avLst/>
                        </a:prstGeom>
                        <a:noFill/>
                        <a:ln w="9525">
                          <a:noFill/>
                          <a:miter lim="800000"/>
                          <a:headEnd/>
                          <a:tailEnd/>
                        </a:ln>
                      </wps:spPr>
                      <wps:txbx>
                        <w:txbxContent>
                          <w:p w14:paraId="3753E343" w14:textId="77777777" w:rsidR="00FD7550" w:rsidRDefault="00FD7550" w:rsidP="007E07AC">
                            <w:pPr>
                              <w:spacing w:before="500"/>
                              <w:rPr>
                                <w:b/>
                                <w:sz w:val="40"/>
                                <w:szCs w:val="40"/>
                              </w:rPr>
                            </w:pPr>
                            <w:r>
                              <w:rPr>
                                <w:b/>
                                <w:sz w:val="40"/>
                                <w:szCs w:val="40"/>
                              </w:rPr>
                              <w:t>Final Report – July 2015</w:t>
                            </w:r>
                          </w:p>
                          <w:p w14:paraId="2842606D" w14:textId="77777777" w:rsidR="00FD7550" w:rsidRDefault="00FD7550" w:rsidP="007E07AC">
                            <w:pPr>
                              <w:spacing w:before="5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pt;margin-top:86.85pt;width:357.25pt;height:9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w4DAIAAPoDAAAOAAAAZHJzL2Uyb0RvYy54bWysU9tuGyEQfa/Uf0C813upXTsr4yhNmqpS&#10;epGSfgBmWS8qMBSwd92v78A6jtW+VeUBMczMYc6ZYX09Gk0O0gcFltFqVlIirYBW2R2j35/u36wo&#10;CZHblmuwktGjDPR68/rVenCNrKEH3UpPEMSGZnCM9jG6piiC6KXhYQZOWnR24A2PaPpd0Xo+ILrR&#10;RV2W74oBfOs8CBkC3t5NTrrJ+F0nRfzadUFGohnF2mLefd63aS82a97sPHe9Eqcy+D9UYbiy+OgZ&#10;6o5HTvZe/QVllPAQoIszAaaArlNCZg7Ipir/YPPYcyczFxQnuLNM4f/Bii+Hb56oltEFJZYbbNGT&#10;HCN5DyOpkzqDCw0GPToMiyNeY5cz0+AeQPwIxMJtz+1O3ngPQy95i9VVKbO4SJ1wQgLZDp+hxWf4&#10;PkIGGjtvknQoBkF07NLx3JlUisDL+eLtslxiiQJ9VbWa12ikN3jznO58iB8lGJIOjHpsfYbnh4cQ&#10;p9DnkPSahXulNd7zRlsyMHq1qBc54cJjVMTp1MowuirTmuYlsfxg25wcudLTGWvR9kQ7MZ04x3E7&#10;Zn2zJkmSLbRH1MHDNIz4efDQg/9FyYCDyGj4uedeUqI/WdTyqprP0+RmY75Y1mj4S8/20sOtQChG&#10;IyXT8TbmaZ8o36DmncpqvFRyKhkHLOt5+gxpgi/tHPXyZTe/AQAA//8DAFBLAwQUAAYACAAAACEA&#10;wXiVKt8AAAAKAQAADwAAAGRycy9kb3ducmV2LnhtbEyPwU7DMAyG70h7h8hI3LaEDdqtazohEFfQ&#10;BkzaLWu8tlrjVE22lrfHnOBo+9Pv7883o2vFFfvQeNJwP1MgkEpvG6o0fH68TpcgQjRkTesJNXxj&#10;gE0xuclNZv1AW7zuYiU4hEJmNNQxdpmUoazRmTDzHRLfTr53JvLYV9L2ZuBw18q5Uol0piH+UJsO&#10;n2ssz7uL0/D1djrsH9R79eIeu8GPSpJbSa3vbsenNYiIY/yD4Vef1aFgp6O/kA2i1TBNEiZ5ny5S&#10;EAykKl2BOGpYJGoOssjl/wrFDwAAAP//AwBQSwECLQAUAAYACAAAACEAtoM4kv4AAADhAQAAEwAA&#10;AAAAAAAAAAAAAAAAAAAAW0NvbnRlbnRfVHlwZXNdLnhtbFBLAQItABQABgAIAAAAIQA4/SH/1gAA&#10;AJQBAAALAAAAAAAAAAAAAAAAAC8BAABfcmVscy8ucmVsc1BLAQItABQABgAIAAAAIQBNvhw4DAIA&#10;APoDAAAOAAAAAAAAAAAAAAAAAC4CAABkcnMvZTJvRG9jLnhtbFBLAQItABQABgAIAAAAIQDBeJUq&#10;3wAAAAoBAAAPAAAAAAAAAAAAAAAAAGYEAABkcnMvZG93bnJldi54bWxQSwUGAAAAAAQABADzAAAA&#10;cgUAAAAA&#10;" o:allowoverlap="f" filled="f" stroked="f">
                <v:textbox>
                  <w:txbxContent>
                    <w:p w14:paraId="3753E343" w14:textId="77777777" w:rsidR="00FD7550" w:rsidRDefault="00FD7550" w:rsidP="007E07AC">
                      <w:pPr>
                        <w:spacing w:before="500"/>
                        <w:rPr>
                          <w:b/>
                          <w:sz w:val="40"/>
                          <w:szCs w:val="40"/>
                        </w:rPr>
                      </w:pPr>
                      <w:r>
                        <w:rPr>
                          <w:b/>
                          <w:sz w:val="40"/>
                          <w:szCs w:val="40"/>
                        </w:rPr>
                        <w:t>Final Report – July 2015</w:t>
                      </w:r>
                    </w:p>
                    <w:p w14:paraId="2842606D" w14:textId="77777777" w:rsidR="00FD7550" w:rsidRDefault="00FD7550" w:rsidP="007E07AC">
                      <w:pPr>
                        <w:spacing w:before="500"/>
                      </w:pPr>
                    </w:p>
                  </w:txbxContent>
                </v:textbox>
                <w10:wrap type="topAndBottom"/>
              </v:shape>
            </w:pict>
          </mc:Fallback>
        </mc:AlternateContent>
      </w:r>
    </w:p>
    <w:p w14:paraId="18B8352E" w14:textId="77777777" w:rsidR="00767BE5" w:rsidRDefault="00767BE5" w:rsidP="00472119"/>
    <w:p w14:paraId="6DDCE386" w14:textId="77777777" w:rsidR="00767BE5" w:rsidRDefault="00767BE5" w:rsidP="00472119"/>
    <w:p w14:paraId="4E118643" w14:textId="77777777" w:rsidR="00767BE5" w:rsidRDefault="00767BE5" w:rsidP="00472119"/>
    <w:p w14:paraId="1158987A" w14:textId="77777777" w:rsidR="00767BE5" w:rsidRDefault="00767BE5" w:rsidP="00767BE5">
      <w:pPr>
        <w:pStyle w:val="SDAbodytext"/>
      </w:pPr>
      <w:r>
        <w:t>----------------------------------------------------</w:t>
      </w:r>
    </w:p>
    <w:p w14:paraId="0EDE3586" w14:textId="193C1F2F" w:rsidR="00767BE5" w:rsidRPr="00472119" w:rsidRDefault="00767BE5" w:rsidP="00767BE5">
      <w:pPr>
        <w:sectPr w:rsidR="00767BE5" w:rsidRPr="00472119" w:rsidSect="004B7EE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r>
        <w:t>This report has been prepared by the following consultants from Strategic Developme</w:t>
      </w:r>
      <w:r w:rsidR="004F2862">
        <w:t>nt Associates – Zoë Mander-Jones</w:t>
      </w:r>
      <w:r>
        <w:t>, Michael Collins and Michelle Besley.</w:t>
      </w:r>
    </w:p>
    <w:p w14:paraId="7DB807CE" w14:textId="77777777" w:rsidR="00914B6A" w:rsidRDefault="00387FA5" w:rsidP="001B3ECA">
      <w:pPr>
        <w:pStyle w:val="SDAHeading1"/>
      </w:pPr>
      <w:bookmarkStart w:id="1" w:name="_Toc423711117"/>
      <w:r>
        <w:lastRenderedPageBreak/>
        <w:t>Executive</w:t>
      </w:r>
      <w:r w:rsidR="00914B6A" w:rsidRPr="001B3ECA">
        <w:t xml:space="preserve"> </w:t>
      </w:r>
      <w:r>
        <w:t>Summary</w:t>
      </w:r>
      <w:bookmarkEnd w:id="1"/>
    </w:p>
    <w:p w14:paraId="18105789" w14:textId="35E4AB9C" w:rsidR="00A91F18" w:rsidRDefault="00A17022" w:rsidP="00644C05">
      <w:pPr>
        <w:pStyle w:val="SDAbodytext"/>
      </w:pPr>
      <w:r>
        <w:t>T</w:t>
      </w:r>
      <w:r w:rsidR="00644C05">
        <w:t xml:space="preserve">he </w:t>
      </w:r>
      <w:r w:rsidR="00644C05" w:rsidRPr="00644C05">
        <w:rPr>
          <w:i/>
        </w:rPr>
        <w:t>DFAT-NGO Humanitarian Partnership Agreement (2011-201</w:t>
      </w:r>
      <w:r w:rsidR="00A90DB9">
        <w:rPr>
          <w:i/>
        </w:rPr>
        <w:t>6</w:t>
      </w:r>
      <w:r w:rsidR="00644C05" w:rsidRPr="00644C05">
        <w:rPr>
          <w:i/>
        </w:rPr>
        <w:t>)</w:t>
      </w:r>
      <w:r w:rsidR="00644C05">
        <w:t xml:space="preserve"> </w:t>
      </w:r>
      <w:r w:rsidR="00A91F18" w:rsidRPr="00A91F18">
        <w:t xml:space="preserve">has </w:t>
      </w:r>
      <w:r w:rsidR="00301527">
        <w:t>be</w:t>
      </w:r>
      <w:r w:rsidR="00D9207E">
        <w:t>en</w:t>
      </w:r>
      <w:r w:rsidR="0009416D">
        <w:t xml:space="preserve"> </w:t>
      </w:r>
      <w:r w:rsidR="00A91F18" w:rsidRPr="00A17022">
        <w:t xml:space="preserve">an effective </w:t>
      </w:r>
      <w:r w:rsidRPr="00A17022">
        <w:t>way</w:t>
      </w:r>
      <w:r w:rsidR="00A91F18" w:rsidRPr="00A91F18">
        <w:t xml:space="preserve"> </w:t>
      </w:r>
      <w:r>
        <w:t>for</w:t>
      </w:r>
      <w:r w:rsidR="00A91F18" w:rsidRPr="00A91F18">
        <w:t xml:space="preserve"> the Australian Government</w:t>
      </w:r>
      <w:r>
        <w:t>, with</w:t>
      </w:r>
      <w:r w:rsidR="00A91F18" w:rsidRPr="00A91F18">
        <w:t xml:space="preserve"> Australian NGOs</w:t>
      </w:r>
      <w:r>
        <w:t>,</w:t>
      </w:r>
      <w:r w:rsidR="00A91F18" w:rsidRPr="00A91F18">
        <w:t xml:space="preserve"> to respond </w:t>
      </w:r>
      <w:r>
        <w:t xml:space="preserve">quickly </w:t>
      </w:r>
      <w:r w:rsidR="00A91F18" w:rsidRPr="00A91F18">
        <w:t>to disasters and to strengthen community resilience and preparedness.</w:t>
      </w:r>
    </w:p>
    <w:p w14:paraId="45FAD340" w14:textId="460E7001" w:rsidR="00176A7E" w:rsidRDefault="00CB18D8" w:rsidP="00301527">
      <w:pPr>
        <w:pStyle w:val="SDAbodytext"/>
      </w:pPr>
      <w:r w:rsidRPr="0010322C">
        <w:t>The HPA has</w:t>
      </w:r>
      <w:r w:rsidRPr="009C6AD6">
        <w:t xml:space="preserve"> </w:t>
      </w:r>
      <w:r w:rsidR="00301527">
        <w:t xml:space="preserve">produced some </w:t>
      </w:r>
      <w:r w:rsidR="00301527" w:rsidRPr="002C4E94">
        <w:rPr>
          <w:b/>
        </w:rPr>
        <w:t>impressive achievements</w:t>
      </w:r>
      <w:r w:rsidR="00301527">
        <w:t xml:space="preserve">. It has </w:t>
      </w:r>
      <w:r w:rsidRPr="009C6AD6">
        <w:t>consistently delivered fas</w:t>
      </w:r>
      <w:r w:rsidRPr="0010322C">
        <w:t>t emergency response funding</w:t>
      </w:r>
      <w:r>
        <w:t xml:space="preserve">. </w:t>
      </w:r>
      <w:r w:rsidR="00301527">
        <w:t xml:space="preserve"> </w:t>
      </w:r>
      <w:r>
        <w:t>In</w:t>
      </w:r>
      <w:r w:rsidRPr="0010322C">
        <w:t xml:space="preserve"> many instances</w:t>
      </w:r>
      <w:r w:rsidR="00EF17DB">
        <w:t>,</w:t>
      </w:r>
      <w:r w:rsidRPr="0010322C">
        <w:t xml:space="preserve"> this has enabled Australia to </w:t>
      </w:r>
      <w:r>
        <w:t xml:space="preserve">be </w:t>
      </w:r>
      <w:r w:rsidR="004F2862">
        <w:t xml:space="preserve">one of </w:t>
      </w:r>
      <w:r w:rsidRPr="0010322C">
        <w:t>the first donor</w:t>
      </w:r>
      <w:r w:rsidR="004F2862">
        <w:t>s</w:t>
      </w:r>
      <w:r w:rsidRPr="0010322C">
        <w:t xml:space="preserve"> to get money on the ground after a humanitarian crisis. </w:t>
      </w:r>
      <w:r w:rsidR="00301527">
        <w:t xml:space="preserve">The </w:t>
      </w:r>
      <w:r w:rsidR="00D2380E">
        <w:t>flexible nature of this funding, which a</w:t>
      </w:r>
      <w:r w:rsidR="00301527">
        <w:t>llow</w:t>
      </w:r>
      <w:r w:rsidR="00D2380E">
        <w:t>s</w:t>
      </w:r>
      <w:r w:rsidR="00301527" w:rsidRPr="00DD33F1">
        <w:t xml:space="preserve"> changes to implementation plans up to the 8-week </w:t>
      </w:r>
      <w:r w:rsidR="00EF17DB">
        <w:t>point</w:t>
      </w:r>
      <w:r w:rsidR="00D2380E">
        <w:t>,</w:t>
      </w:r>
      <w:r w:rsidR="00301527" w:rsidRPr="00DD33F1">
        <w:t xml:space="preserve"> </w:t>
      </w:r>
      <w:r w:rsidR="00301527">
        <w:t xml:space="preserve">has </w:t>
      </w:r>
      <w:r w:rsidR="002C4E94">
        <w:t>further helped</w:t>
      </w:r>
      <w:r w:rsidR="00301527" w:rsidRPr="00DD33F1">
        <w:t xml:space="preserve"> </w:t>
      </w:r>
      <w:r w:rsidR="00301527">
        <w:t>HPA</w:t>
      </w:r>
      <w:r w:rsidR="00301527" w:rsidRPr="00DD33F1">
        <w:t xml:space="preserve"> activities </w:t>
      </w:r>
      <w:r w:rsidR="002C4E94">
        <w:t>to</w:t>
      </w:r>
      <w:r w:rsidR="00384109">
        <w:t xml:space="preserve"> </w:t>
      </w:r>
      <w:r w:rsidR="00301527" w:rsidRPr="00DD33F1">
        <w:t xml:space="preserve">remain well-targeted as </w:t>
      </w:r>
      <w:r w:rsidR="00384109">
        <w:t>a</w:t>
      </w:r>
      <w:r w:rsidR="00301527" w:rsidRPr="00DD33F1">
        <w:t xml:space="preserve"> disaster response unfolds. </w:t>
      </w:r>
      <w:r w:rsidR="00176A7E" w:rsidRPr="00DD33F1">
        <w:t xml:space="preserve"> </w:t>
      </w:r>
    </w:p>
    <w:p w14:paraId="428705BB" w14:textId="55C41A36" w:rsidR="00EE5623" w:rsidRPr="00DD33F1" w:rsidRDefault="001C05DD" w:rsidP="00EE5623">
      <w:pPr>
        <w:pStyle w:val="SDAbodytext"/>
      </w:pPr>
      <w:r>
        <w:t>The p</w:t>
      </w:r>
      <w:r w:rsidR="002C4E94" w:rsidRPr="00DD33F1">
        <w:t>redictable, multi-year</w:t>
      </w:r>
      <w:r w:rsidR="002C4E94">
        <w:t xml:space="preserve"> </w:t>
      </w:r>
      <w:r>
        <w:t xml:space="preserve">nature of the </w:t>
      </w:r>
      <w:r w:rsidR="00301527" w:rsidRPr="00DD33F1">
        <w:t>DRR and DRM funding has</w:t>
      </w:r>
      <w:r w:rsidR="002C4E94" w:rsidRPr="002C4E94">
        <w:t xml:space="preserve"> </w:t>
      </w:r>
      <w:r w:rsidR="00D9207E">
        <w:t>supported</w:t>
      </w:r>
      <w:r w:rsidR="002C4E94" w:rsidRPr="00DD33F1">
        <w:t xml:space="preserve"> long-term planning and helped build strong partner relationships</w:t>
      </w:r>
      <w:r w:rsidR="002C4E94">
        <w:t>.  It has</w:t>
      </w:r>
      <w:r w:rsidR="00301527" w:rsidRPr="00DD33F1">
        <w:t xml:space="preserve"> </w:t>
      </w:r>
      <w:r w:rsidR="006A4A33">
        <w:t xml:space="preserve">recently </w:t>
      </w:r>
      <w:r w:rsidR="005B282F">
        <w:t>produced</w:t>
      </w:r>
      <w:r w:rsidR="00301527" w:rsidRPr="00DD33F1">
        <w:t xml:space="preserve"> some</w:t>
      </w:r>
      <w:r w:rsidR="002C4E94">
        <w:t xml:space="preserve"> good examples of collaboration between HPA NGO partners. </w:t>
      </w:r>
      <w:r w:rsidR="00301527">
        <w:t>Th</w:t>
      </w:r>
      <w:r w:rsidR="002C4E94">
        <w:t>is</w:t>
      </w:r>
      <w:r w:rsidR="00EE5623" w:rsidRPr="00DD33F1">
        <w:t xml:space="preserve"> </w:t>
      </w:r>
      <w:r w:rsidR="00301527">
        <w:t>component of the HPA has</w:t>
      </w:r>
      <w:r w:rsidR="00EE5623" w:rsidRPr="00DD33F1">
        <w:t xml:space="preserve"> also </w:t>
      </w:r>
      <w:r w:rsidR="00301527">
        <w:t>given</w:t>
      </w:r>
      <w:r w:rsidR="00EE5623" w:rsidRPr="00DD33F1">
        <w:t xml:space="preserve"> tangible meaning to the partnership during periods of few or no response activations</w:t>
      </w:r>
      <w:r w:rsidR="00301527">
        <w:t xml:space="preserve">, allowing </w:t>
      </w:r>
      <w:r w:rsidR="00EE5623" w:rsidRPr="00DD33F1">
        <w:t>for continued momentum in partner relations.</w:t>
      </w:r>
    </w:p>
    <w:p w14:paraId="50F3BBB6" w14:textId="19CB9952" w:rsidR="006A4A33" w:rsidRDefault="002A0971" w:rsidP="006A4A33">
      <w:pPr>
        <w:pStyle w:val="SDAbodytext"/>
      </w:pPr>
      <w:r>
        <w:t>The HPA</w:t>
      </w:r>
      <w:r w:rsidR="00EF17DB" w:rsidRPr="00EF17DB">
        <w:t xml:space="preserve"> has been</w:t>
      </w:r>
      <w:r w:rsidR="00EF17DB" w:rsidRPr="002C4E94">
        <w:rPr>
          <w:b/>
        </w:rPr>
        <w:t xml:space="preserve"> an </w:t>
      </w:r>
      <w:r w:rsidR="00EF17DB">
        <w:rPr>
          <w:b/>
        </w:rPr>
        <w:t>innovative</w:t>
      </w:r>
      <w:r w:rsidR="00EF17DB" w:rsidRPr="002C4E94">
        <w:rPr>
          <w:b/>
        </w:rPr>
        <w:t xml:space="preserve"> model </w:t>
      </w:r>
      <w:r w:rsidR="00A17022">
        <w:rPr>
          <w:b/>
        </w:rPr>
        <w:t>that</w:t>
      </w:r>
      <w:r w:rsidR="00EF17DB" w:rsidRPr="002C4E94">
        <w:rPr>
          <w:b/>
        </w:rPr>
        <w:t xml:space="preserve"> has delivered good outcomes</w:t>
      </w:r>
      <w:r w:rsidR="00EF17DB" w:rsidRPr="00050AD2">
        <w:t xml:space="preserve">. </w:t>
      </w:r>
      <w:r w:rsidR="00EF17DB">
        <w:t>It has</w:t>
      </w:r>
      <w:r w:rsidR="006A4A33" w:rsidRPr="007B4491">
        <w:t xml:space="preserve"> </w:t>
      </w:r>
      <w:r w:rsidR="006A4A33">
        <w:t>moved</w:t>
      </w:r>
      <w:r w:rsidR="006A4A33" w:rsidRPr="007B4491">
        <w:t xml:space="preserve"> the DFAT-NGO relationship </w:t>
      </w:r>
      <w:r w:rsidR="006A4A33">
        <w:t xml:space="preserve">away from a </w:t>
      </w:r>
      <w:r w:rsidR="006A4A33" w:rsidRPr="007B4491">
        <w:t>transactional</w:t>
      </w:r>
      <w:r w:rsidR="006A4A33">
        <w:t xml:space="preserve"> approach to one involving a greater sense of collaboration. </w:t>
      </w:r>
      <w:r w:rsidR="005B6F42" w:rsidRPr="00050AD2">
        <w:t>The partnership has</w:t>
      </w:r>
      <w:r w:rsidR="00384109">
        <w:t xml:space="preserve"> evolved and </w:t>
      </w:r>
      <w:r w:rsidR="00384109" w:rsidRPr="00050AD2">
        <w:t>matured</w:t>
      </w:r>
      <w:r w:rsidR="005B6F42" w:rsidRPr="00050AD2">
        <w:t xml:space="preserve"> over the life of the </w:t>
      </w:r>
      <w:r w:rsidR="00396838">
        <w:t>agreement</w:t>
      </w:r>
      <w:r w:rsidR="005B6F42" w:rsidRPr="00050AD2">
        <w:t xml:space="preserve">. </w:t>
      </w:r>
      <w:r w:rsidR="00384109">
        <w:t xml:space="preserve"> </w:t>
      </w:r>
      <w:r w:rsidR="006A4A33" w:rsidRPr="001C05DD">
        <w:rPr>
          <w:b/>
        </w:rPr>
        <w:t>There is scope to further improve the effectiveness of the partnership</w:t>
      </w:r>
      <w:r w:rsidR="002C4E94">
        <w:t xml:space="preserve"> </w:t>
      </w:r>
      <w:r w:rsidR="002C4E94" w:rsidRPr="001C05DD">
        <w:rPr>
          <w:b/>
        </w:rPr>
        <w:t>arrangements</w:t>
      </w:r>
      <w:r w:rsidR="006A4A33">
        <w:t>.</w:t>
      </w:r>
    </w:p>
    <w:p w14:paraId="31751AB9" w14:textId="77777777" w:rsidR="006A4A33" w:rsidRDefault="006A4A33" w:rsidP="006A4A33">
      <w:pPr>
        <w:pStyle w:val="SDAbodytext"/>
      </w:pPr>
      <w:r w:rsidRPr="00C70287">
        <w:rPr>
          <w:b/>
        </w:rPr>
        <w:t>All partners have invested heavily in making the mechanism work, with time</w:t>
      </w:r>
      <w:r w:rsidR="002C4E94" w:rsidRPr="00C70287">
        <w:rPr>
          <w:b/>
        </w:rPr>
        <w:t xml:space="preserve">, </w:t>
      </w:r>
      <w:r w:rsidRPr="00C70287">
        <w:rPr>
          <w:b/>
        </w:rPr>
        <w:t>effort and goodwill.</w:t>
      </w:r>
      <w:r w:rsidRPr="00301527">
        <w:t xml:space="preserve"> </w:t>
      </w:r>
      <w:r w:rsidR="002C4E94">
        <w:t>A commitment to o</w:t>
      </w:r>
      <w:r w:rsidRPr="00DD33F1">
        <w:t xml:space="preserve">ngoing improvement has been a </w:t>
      </w:r>
      <w:r>
        <w:t>standout</w:t>
      </w:r>
      <w:r w:rsidRPr="00DD33F1">
        <w:t xml:space="preserve"> feature of the </w:t>
      </w:r>
      <w:r w:rsidR="002C4E94">
        <w:t>HPA</w:t>
      </w:r>
      <w:r>
        <w:t>.</w:t>
      </w:r>
    </w:p>
    <w:p w14:paraId="748EEA5E" w14:textId="1DF0211F" w:rsidR="006A4A33" w:rsidRDefault="002C4E94" w:rsidP="006A4A33">
      <w:pPr>
        <w:pStyle w:val="SDAbodytext"/>
      </w:pPr>
      <w:r>
        <w:t>W</w:t>
      </w:r>
      <w:r w:rsidR="006A4A33">
        <w:t>hile</w:t>
      </w:r>
      <w:r w:rsidR="006A4A33" w:rsidRPr="009C6AD6">
        <w:t xml:space="preserve"> the HPA</w:t>
      </w:r>
      <w:r w:rsidR="006A4A33" w:rsidRPr="0010322C">
        <w:t xml:space="preserve"> </w:t>
      </w:r>
      <w:r w:rsidR="006A4A33" w:rsidRPr="009C6AD6">
        <w:t xml:space="preserve">is functioning well, </w:t>
      </w:r>
      <w:r w:rsidR="006A4A33" w:rsidRPr="00C70287">
        <w:rPr>
          <w:b/>
        </w:rPr>
        <w:t>there are</w:t>
      </w:r>
      <w:r w:rsidR="00C70287" w:rsidRPr="00C70287">
        <w:rPr>
          <w:b/>
        </w:rPr>
        <w:t xml:space="preserve"> some</w:t>
      </w:r>
      <w:r w:rsidR="006A4A33" w:rsidRPr="00C70287">
        <w:rPr>
          <w:b/>
        </w:rPr>
        <w:t xml:space="preserve"> issues which </w:t>
      </w:r>
      <w:r w:rsidR="00EF17DB">
        <w:rPr>
          <w:b/>
        </w:rPr>
        <w:t>are</w:t>
      </w:r>
      <w:r w:rsidR="006A4A33" w:rsidRPr="00C70287">
        <w:rPr>
          <w:b/>
        </w:rPr>
        <w:t xml:space="preserve"> constraining </w:t>
      </w:r>
      <w:r w:rsidRPr="00C70287">
        <w:rPr>
          <w:b/>
        </w:rPr>
        <w:t>its</w:t>
      </w:r>
      <w:r w:rsidR="006A4A33" w:rsidRPr="00C70287">
        <w:rPr>
          <w:b/>
        </w:rPr>
        <w:t xml:space="preserve"> ability to achieve its full potential.</w:t>
      </w:r>
      <w:r w:rsidR="006A4A33" w:rsidRPr="009C6AD6">
        <w:t xml:space="preserve"> </w:t>
      </w:r>
      <w:r w:rsidR="006A4A33" w:rsidRPr="0010322C">
        <w:t xml:space="preserve">These </w:t>
      </w:r>
      <w:r w:rsidR="00A17022">
        <w:t>include</w:t>
      </w:r>
      <w:r w:rsidR="006A4A33">
        <w:t xml:space="preserve">: </w:t>
      </w:r>
      <w:r w:rsidR="00351BFE">
        <w:t xml:space="preserve">the competitiveness of the </w:t>
      </w:r>
      <w:r w:rsidR="00873A35">
        <w:t>peer review;</w:t>
      </w:r>
      <w:r w:rsidR="00396838">
        <w:t xml:space="preserve"> </w:t>
      </w:r>
      <w:r w:rsidR="00652064">
        <w:t xml:space="preserve">the </w:t>
      </w:r>
      <w:r w:rsidR="006A4A33">
        <w:t>appropriate</w:t>
      </w:r>
      <w:r w:rsidR="00652064">
        <w:t>ness of</w:t>
      </w:r>
      <w:r w:rsidR="006A4A33">
        <w:t xml:space="preserve"> </w:t>
      </w:r>
      <w:r w:rsidR="00396838">
        <w:t>the mechanism for protracted crises</w:t>
      </w:r>
      <w:r w:rsidR="006A4A33">
        <w:t xml:space="preserve">; </w:t>
      </w:r>
      <w:r w:rsidR="00351BFE">
        <w:t xml:space="preserve">the purpose of the </w:t>
      </w:r>
      <w:r w:rsidR="00A17022">
        <w:t>partnership and</w:t>
      </w:r>
      <w:r w:rsidR="00351BFE">
        <w:t xml:space="preserve"> of</w:t>
      </w:r>
      <w:r w:rsidR="00A17022">
        <w:t xml:space="preserve"> </w:t>
      </w:r>
      <w:r w:rsidR="00351BFE">
        <w:t xml:space="preserve">the </w:t>
      </w:r>
      <w:r w:rsidR="00A17022">
        <w:t xml:space="preserve">strategic dialogue; </w:t>
      </w:r>
      <w:r w:rsidR="00351BFE">
        <w:t xml:space="preserve">the lack of </w:t>
      </w:r>
      <w:r w:rsidR="006A4A33">
        <w:t xml:space="preserve">public awareness and visibility; and </w:t>
      </w:r>
      <w:r w:rsidR="00A17022">
        <w:t xml:space="preserve">some </w:t>
      </w:r>
      <w:r w:rsidR="006A4A33">
        <w:t xml:space="preserve">aspects </w:t>
      </w:r>
      <w:r w:rsidR="00A17022">
        <w:t>of</w:t>
      </w:r>
      <w:r w:rsidR="006A4A33">
        <w:t xml:space="preserve"> monitoring, evaluation and learning.  </w:t>
      </w:r>
    </w:p>
    <w:p w14:paraId="29C21D13" w14:textId="32C5A23A" w:rsidR="006A4A33" w:rsidRDefault="00384109" w:rsidP="006A4A33">
      <w:pPr>
        <w:pStyle w:val="SDAbodytext"/>
      </w:pPr>
      <w:r w:rsidRPr="00C70287">
        <w:rPr>
          <w:b/>
        </w:rPr>
        <w:t xml:space="preserve">There </w:t>
      </w:r>
      <w:r w:rsidR="006A4A33" w:rsidRPr="00C70287">
        <w:rPr>
          <w:b/>
        </w:rPr>
        <w:t>are</w:t>
      </w:r>
      <w:r w:rsidRPr="00C70287">
        <w:rPr>
          <w:b/>
        </w:rPr>
        <w:t xml:space="preserve"> many </w:t>
      </w:r>
      <w:r w:rsidR="006A4A33" w:rsidRPr="00C70287">
        <w:rPr>
          <w:b/>
        </w:rPr>
        <w:t xml:space="preserve">rich </w:t>
      </w:r>
      <w:r w:rsidRPr="00C70287">
        <w:rPr>
          <w:b/>
        </w:rPr>
        <w:t>lessons</w:t>
      </w:r>
      <w:r>
        <w:t xml:space="preserve"> that have come through the experience of the HPA</w:t>
      </w:r>
      <w:r w:rsidR="00EF17DB">
        <w:t>. These lessons</w:t>
      </w:r>
      <w:r>
        <w:t xml:space="preserve"> </w:t>
      </w:r>
      <w:r w:rsidR="001C05DD">
        <w:t>offer</w:t>
      </w:r>
      <w:r>
        <w:t xml:space="preserve"> </w:t>
      </w:r>
      <w:r w:rsidR="002C4E94">
        <w:t xml:space="preserve">valuable </w:t>
      </w:r>
      <w:r>
        <w:t>guidance to designing</w:t>
      </w:r>
      <w:r w:rsidR="00C70287">
        <w:t xml:space="preserve"> a future mechanism. </w:t>
      </w:r>
      <w:r w:rsidR="006A4A33">
        <w:t xml:space="preserve">Section 4 of </w:t>
      </w:r>
      <w:r w:rsidR="002C4E94">
        <w:t>this</w:t>
      </w:r>
      <w:r w:rsidR="006A4A33">
        <w:t xml:space="preserve"> report details a range of lessons relevant to the design.</w:t>
      </w:r>
    </w:p>
    <w:p w14:paraId="16E21E5F" w14:textId="32EB0C28" w:rsidR="001C4E36" w:rsidRDefault="00C518AC" w:rsidP="00C518AC">
      <w:pPr>
        <w:pStyle w:val="SDAbodytext"/>
      </w:pPr>
      <w:r>
        <w:t xml:space="preserve">The review concludes with </w:t>
      </w:r>
      <w:r w:rsidR="00396838" w:rsidRPr="00C70287">
        <w:rPr>
          <w:b/>
        </w:rPr>
        <w:t>1</w:t>
      </w:r>
      <w:r w:rsidR="00396838">
        <w:rPr>
          <w:b/>
        </w:rPr>
        <w:t>4</w:t>
      </w:r>
      <w:r w:rsidR="00396838" w:rsidRPr="00C70287">
        <w:rPr>
          <w:b/>
        </w:rPr>
        <w:t xml:space="preserve"> </w:t>
      </w:r>
      <w:r w:rsidRPr="00C70287">
        <w:rPr>
          <w:b/>
        </w:rPr>
        <w:t xml:space="preserve">recommendations grouped </w:t>
      </w:r>
      <w:r w:rsidR="001C4E36" w:rsidRPr="00C70287">
        <w:rPr>
          <w:b/>
        </w:rPr>
        <w:t>into three areas</w:t>
      </w:r>
      <w:r w:rsidR="001C4E36">
        <w:t xml:space="preserve">: </w:t>
      </w:r>
      <w:r>
        <w:t>r</w:t>
      </w:r>
      <w:r w:rsidR="002C4E94">
        <w:t>e</w:t>
      </w:r>
      <w:r w:rsidR="001C4E36">
        <w:t xml:space="preserve">commendations for the design; recommendations for DFAT; and recommendations </w:t>
      </w:r>
      <w:r w:rsidR="001C05DD">
        <w:t xml:space="preserve">for </w:t>
      </w:r>
      <w:r w:rsidR="001C4E36">
        <w:t xml:space="preserve">the current </w:t>
      </w:r>
      <w:r w:rsidR="00EF17DB">
        <w:t xml:space="preserve">phase of the </w:t>
      </w:r>
      <w:r w:rsidR="001C4E36">
        <w:t>HPA.</w:t>
      </w:r>
    </w:p>
    <w:p w14:paraId="7BB3EC63" w14:textId="7E3E3484" w:rsidR="002C4E94" w:rsidRPr="00050AD2" w:rsidRDefault="002C4E94" w:rsidP="002C4E94">
      <w:pPr>
        <w:pStyle w:val="SDAbodytext"/>
      </w:pPr>
      <w:r w:rsidRPr="00C70287">
        <w:rPr>
          <w:b/>
        </w:rPr>
        <w:t xml:space="preserve">The HPA </w:t>
      </w:r>
      <w:r w:rsidR="00351BFE">
        <w:rPr>
          <w:b/>
        </w:rPr>
        <w:t>provides</w:t>
      </w:r>
      <w:r w:rsidRPr="00C70287">
        <w:rPr>
          <w:b/>
        </w:rPr>
        <w:t xml:space="preserve"> a </w:t>
      </w:r>
      <w:r w:rsidR="00351BFE">
        <w:rPr>
          <w:b/>
        </w:rPr>
        <w:t>good</w:t>
      </w:r>
      <w:r w:rsidRPr="00C70287">
        <w:rPr>
          <w:b/>
        </w:rPr>
        <w:t xml:space="preserve"> basis on which to </w:t>
      </w:r>
      <w:r w:rsidR="00351BFE">
        <w:rPr>
          <w:b/>
        </w:rPr>
        <w:t xml:space="preserve">develop a future mechanism </w:t>
      </w:r>
      <w:r w:rsidR="00351BFE" w:rsidRPr="00351BFE">
        <w:t>that will allow DFAT and Australia</w:t>
      </w:r>
      <w:r w:rsidR="00351BFE">
        <w:t>n</w:t>
      </w:r>
      <w:r w:rsidR="00351BFE" w:rsidRPr="00351BFE">
        <w:t xml:space="preserve"> NGOs to jointly </w:t>
      </w:r>
      <w:r w:rsidR="00C70287" w:rsidRPr="00351BFE">
        <w:t>add value to Australia’s collective humanitarian</w:t>
      </w:r>
      <w:r w:rsidR="001C05DD">
        <w:t xml:space="preserve"> efforts</w:t>
      </w:r>
      <w:r w:rsidR="00C70287" w:rsidRPr="00351BFE">
        <w:t xml:space="preserve">.  </w:t>
      </w:r>
      <w:r w:rsidR="00C70287">
        <w:t xml:space="preserve"> </w:t>
      </w:r>
    </w:p>
    <w:p w14:paraId="200406E7" w14:textId="77777777" w:rsidR="00241613" w:rsidRPr="00241613" w:rsidRDefault="00241613" w:rsidP="002A0971">
      <w:pPr>
        <w:spacing w:before="120" w:after="120"/>
        <w:rPr>
          <w:b/>
          <w:sz w:val="40"/>
          <w:szCs w:val="40"/>
        </w:rPr>
      </w:pPr>
      <w:r w:rsidRPr="00241613">
        <w:rPr>
          <w:b/>
          <w:sz w:val="40"/>
          <w:szCs w:val="40"/>
        </w:rPr>
        <w:t>Recommendations</w:t>
      </w:r>
    </w:p>
    <w:p w14:paraId="55899E0A" w14:textId="77777777" w:rsidR="00241613" w:rsidRPr="00E72904" w:rsidRDefault="00241613" w:rsidP="00241613">
      <w:pPr>
        <w:pStyle w:val="SDAbodytext"/>
        <w:rPr>
          <w:b/>
        </w:rPr>
      </w:pPr>
      <w:r w:rsidRPr="00E72904">
        <w:rPr>
          <w:b/>
        </w:rPr>
        <w:t>The Review Team recommends that the design process:</w:t>
      </w:r>
    </w:p>
    <w:p w14:paraId="1B80C279" w14:textId="2D1585DA" w:rsidR="00241613" w:rsidRDefault="00873A35" w:rsidP="00326690">
      <w:pPr>
        <w:pStyle w:val="SDAbodytext"/>
        <w:numPr>
          <w:ilvl w:val="1"/>
          <w:numId w:val="6"/>
        </w:numPr>
      </w:pPr>
      <w:r>
        <w:t>B</w:t>
      </w:r>
      <w:r w:rsidR="00241613">
        <w:t xml:space="preserve">uilds on the achievements of the HPA, and all the lessons that have been learned as identified in section 4 of this report </w:t>
      </w:r>
    </w:p>
    <w:p w14:paraId="35B15175" w14:textId="3E71A3BB" w:rsidR="00241613" w:rsidRDefault="00873A35" w:rsidP="00326690">
      <w:pPr>
        <w:pStyle w:val="SDAbodytext"/>
        <w:numPr>
          <w:ilvl w:val="1"/>
          <w:numId w:val="6"/>
        </w:numPr>
      </w:pPr>
      <w:r>
        <w:t>A</w:t>
      </w:r>
      <w:r w:rsidR="00241613">
        <w:t>nalyses other comparable donor mechanisms and other comparable DFAT partnerships to identify best practice in partnering for effective humanitarian action</w:t>
      </w:r>
    </w:p>
    <w:p w14:paraId="6E8EC380" w14:textId="10679157" w:rsidR="00241613" w:rsidRDefault="00873A35" w:rsidP="00326690">
      <w:pPr>
        <w:pStyle w:val="SDAbodytext"/>
        <w:numPr>
          <w:ilvl w:val="1"/>
          <w:numId w:val="6"/>
        </w:numPr>
      </w:pPr>
      <w:r>
        <w:lastRenderedPageBreak/>
        <w:t>R</w:t>
      </w:r>
      <w:r w:rsidR="00241613">
        <w:t>eviews the recommendations from the Office of Development Effectiveness’ evaluation of the ANCP program for their relevance to a future mechanism</w:t>
      </w:r>
    </w:p>
    <w:p w14:paraId="154774B4" w14:textId="60FBF907" w:rsidR="00652064" w:rsidRPr="007C4275" w:rsidRDefault="00873A35" w:rsidP="00326690">
      <w:pPr>
        <w:pStyle w:val="SDAbulletpoints"/>
        <w:numPr>
          <w:ilvl w:val="1"/>
          <w:numId w:val="6"/>
        </w:numPr>
      </w:pPr>
      <w:r>
        <w:t>C</w:t>
      </w:r>
      <w:r w:rsidR="00652064">
        <w:t xml:space="preserve">onsiders adaptations to the peer review </w:t>
      </w:r>
      <w:r>
        <w:t>in order to</w:t>
      </w:r>
      <w:r w:rsidR="00396838">
        <w:t xml:space="preserve"> </w:t>
      </w:r>
      <w:r w:rsidR="001C05DD">
        <w:t xml:space="preserve">remove the divisive aspects while </w:t>
      </w:r>
      <w:r w:rsidR="00396838">
        <w:t>maintain</w:t>
      </w:r>
      <w:r w:rsidR="001C05DD">
        <w:t>ing</w:t>
      </w:r>
      <w:r w:rsidR="00652064">
        <w:t xml:space="preserve"> the positive elements of NGO collaboration</w:t>
      </w:r>
      <w:r w:rsidR="001C05DD">
        <w:t xml:space="preserve"> </w:t>
      </w:r>
    </w:p>
    <w:p w14:paraId="75EF0912" w14:textId="0FC06127" w:rsidR="00241613" w:rsidRDefault="00873A35" w:rsidP="00326690">
      <w:pPr>
        <w:pStyle w:val="SDAbodytext"/>
        <w:numPr>
          <w:ilvl w:val="1"/>
          <w:numId w:val="6"/>
        </w:numPr>
      </w:pPr>
      <w:r>
        <w:t>A</w:t>
      </w:r>
      <w:r w:rsidR="00241613">
        <w:t xml:space="preserve">ssesses </w:t>
      </w:r>
      <w:r>
        <w:t xml:space="preserve">funding </w:t>
      </w:r>
      <w:r w:rsidR="00241613">
        <w:t xml:space="preserve">models </w:t>
      </w:r>
      <w:r>
        <w:t>that</w:t>
      </w:r>
      <w:r w:rsidR="00241613">
        <w:t xml:space="preserve"> include both a narrow and broad NGO supplier base (or a combination of both), giving prominence to considerations around capacity to respond to different crises, established local capability, access to specialisation and value for money.</w:t>
      </w:r>
    </w:p>
    <w:p w14:paraId="6E3BF63E" w14:textId="77777777" w:rsidR="00241613" w:rsidRDefault="00241613" w:rsidP="00241613">
      <w:pPr>
        <w:pStyle w:val="SDAbodytext"/>
      </w:pPr>
    </w:p>
    <w:p w14:paraId="0D62885C" w14:textId="77777777" w:rsidR="00241613" w:rsidRPr="00E72904" w:rsidRDefault="00241613" w:rsidP="00241613">
      <w:pPr>
        <w:pStyle w:val="SDAbodytext"/>
        <w:rPr>
          <w:b/>
        </w:rPr>
      </w:pPr>
      <w:r w:rsidRPr="00E72904">
        <w:rPr>
          <w:b/>
        </w:rPr>
        <w:t>The Review Team recommends that DFAT use the design process to:</w:t>
      </w:r>
    </w:p>
    <w:p w14:paraId="1815F130" w14:textId="777D847B" w:rsidR="00241613" w:rsidRDefault="00873A35" w:rsidP="00326690">
      <w:pPr>
        <w:pStyle w:val="SDAbodytext"/>
        <w:numPr>
          <w:ilvl w:val="1"/>
          <w:numId w:val="6"/>
        </w:numPr>
      </w:pPr>
      <w:r>
        <w:t>A</w:t>
      </w:r>
      <w:r w:rsidR="00241613">
        <w:t xml:space="preserve">rticulate its expectations around the purpose (or purposes) of a future mechanism </w:t>
      </w:r>
    </w:p>
    <w:p w14:paraId="1CD28805" w14:textId="1498B68D" w:rsidR="00241613" w:rsidRDefault="00873A35" w:rsidP="00326690">
      <w:pPr>
        <w:pStyle w:val="SDAbodytext"/>
        <w:numPr>
          <w:ilvl w:val="1"/>
          <w:numId w:val="6"/>
        </w:numPr>
      </w:pPr>
      <w:r>
        <w:t>D</w:t>
      </w:r>
      <w:r w:rsidR="00241613">
        <w:t>efine the role it expects to play, as both a partner and as a donor, acknowledging that a future mechanism must remain effective in the context of DFAT staff turnover</w:t>
      </w:r>
    </w:p>
    <w:p w14:paraId="53B8E987" w14:textId="2F9075D0" w:rsidR="00241613" w:rsidRDefault="00873A35" w:rsidP="00326690">
      <w:pPr>
        <w:pStyle w:val="SDAbodytext"/>
        <w:numPr>
          <w:ilvl w:val="1"/>
          <w:numId w:val="6"/>
        </w:numPr>
      </w:pPr>
      <w:r>
        <w:t>C</w:t>
      </w:r>
      <w:r w:rsidR="00241613">
        <w:t>onsider funding arrangements that continue to be flexible and adaptive but are also mor</w:t>
      </w:r>
      <w:r w:rsidR="00EF17DB">
        <w:t>e predictable and long-term</w:t>
      </w:r>
    </w:p>
    <w:p w14:paraId="77E3C558" w14:textId="4C0C95F2" w:rsidR="00241613" w:rsidRDefault="00873A35" w:rsidP="00326690">
      <w:pPr>
        <w:pStyle w:val="SDAbodytext"/>
        <w:numPr>
          <w:ilvl w:val="1"/>
          <w:numId w:val="6"/>
        </w:numPr>
      </w:pPr>
      <w:r>
        <w:t>E</w:t>
      </w:r>
      <w:r w:rsidR="00241613">
        <w:t xml:space="preserve">stimate a minimum level of annual funding to be channelled through a future mechanism </w:t>
      </w:r>
      <w:r w:rsidR="00EF17DB">
        <w:t xml:space="preserve">to enable the design of </w:t>
      </w:r>
      <w:r w:rsidR="00241613">
        <w:t>an appropriately resourced governance and mana</w:t>
      </w:r>
      <w:r w:rsidR="00EF17DB">
        <w:t>gement structure</w:t>
      </w:r>
      <w:r w:rsidR="00241613">
        <w:t>.</w:t>
      </w:r>
    </w:p>
    <w:p w14:paraId="7816B0FC" w14:textId="77777777" w:rsidR="00241613" w:rsidRDefault="00241613" w:rsidP="00241613">
      <w:pPr>
        <w:pStyle w:val="SDAbodytext"/>
        <w:ind w:left="360"/>
      </w:pPr>
    </w:p>
    <w:p w14:paraId="1990A2AB" w14:textId="140AE275" w:rsidR="00241613" w:rsidRPr="00E72904" w:rsidRDefault="00241613" w:rsidP="00241613">
      <w:pPr>
        <w:pStyle w:val="SDAbodytext"/>
        <w:rPr>
          <w:b/>
        </w:rPr>
      </w:pPr>
      <w:r w:rsidRPr="00E72904">
        <w:rPr>
          <w:b/>
        </w:rPr>
        <w:t xml:space="preserve">The Review Team recommends that </w:t>
      </w:r>
      <w:r w:rsidR="00873A35" w:rsidRPr="00E72904">
        <w:rPr>
          <w:b/>
        </w:rPr>
        <w:t>during the current phase</w:t>
      </w:r>
      <w:r w:rsidR="00873A35">
        <w:rPr>
          <w:b/>
        </w:rPr>
        <w:t xml:space="preserve"> of the HPA,</w:t>
      </w:r>
      <w:r w:rsidR="00873A35" w:rsidRPr="00E72904">
        <w:rPr>
          <w:b/>
        </w:rPr>
        <w:t xml:space="preserve"> </w:t>
      </w:r>
      <w:r w:rsidRPr="00E72904">
        <w:rPr>
          <w:b/>
        </w:rPr>
        <w:t xml:space="preserve">DFAT together with </w:t>
      </w:r>
      <w:r w:rsidR="002A0971">
        <w:rPr>
          <w:b/>
        </w:rPr>
        <w:t>HPA NGO partners and ACFID,</w:t>
      </w:r>
      <w:r w:rsidRPr="00E72904">
        <w:rPr>
          <w:b/>
        </w:rPr>
        <w:t xml:space="preserve"> implement the following:</w:t>
      </w:r>
    </w:p>
    <w:p w14:paraId="5CBD3BFB" w14:textId="19E7F3D8" w:rsidR="00241613" w:rsidRDefault="00241613" w:rsidP="00326690">
      <w:pPr>
        <w:pStyle w:val="SDAbodytext"/>
        <w:numPr>
          <w:ilvl w:val="1"/>
          <w:numId w:val="6"/>
        </w:numPr>
      </w:pPr>
      <w:r>
        <w:t xml:space="preserve">In the event that the HPA is activated for a </w:t>
      </w:r>
      <w:r w:rsidRPr="00644C05">
        <w:rPr>
          <w:u w:val="single"/>
        </w:rPr>
        <w:t>major rapid onset emergency</w:t>
      </w:r>
      <w:r w:rsidRPr="00BB5B56">
        <w:t>, HPA</w:t>
      </w:r>
      <w:r>
        <w:t xml:space="preserve"> funding will be evenly split between all partners with established local capacity to respond. </w:t>
      </w:r>
      <w:r w:rsidR="00652064">
        <w:t xml:space="preserve">The </w:t>
      </w:r>
      <w:r w:rsidR="002A0971">
        <w:t>R</w:t>
      </w:r>
      <w:r w:rsidR="00652064">
        <w:t xml:space="preserve">esponse </w:t>
      </w:r>
      <w:r w:rsidR="002A0971">
        <w:t>C</w:t>
      </w:r>
      <w:r w:rsidR="00652064">
        <w:t xml:space="preserve">ommittee would still operate, </w:t>
      </w:r>
      <w:r w:rsidR="00996EE2">
        <w:t>and have a stronger</w:t>
      </w:r>
      <w:r w:rsidR="00652064">
        <w:t xml:space="preserve"> focus on coordination of </w:t>
      </w:r>
      <w:r w:rsidR="00996EE2">
        <w:t>quality responses</w:t>
      </w:r>
      <w:r w:rsidR="00652064">
        <w:t>, and collaboration around mon</w:t>
      </w:r>
      <w:r w:rsidR="00996EE2">
        <w:t xml:space="preserve">itoring </w:t>
      </w:r>
      <w:r w:rsidR="00652064">
        <w:t>and learning</w:t>
      </w:r>
      <w:r w:rsidR="00996EE2">
        <w:t>.</w:t>
      </w:r>
      <w:r>
        <w:t xml:space="preserve"> </w:t>
      </w:r>
      <w:r w:rsidR="00652064" w:rsidDel="00652064">
        <w:t xml:space="preserve"> </w:t>
      </w:r>
    </w:p>
    <w:p w14:paraId="62B2FF6C" w14:textId="77777777" w:rsidR="00241613" w:rsidRDefault="00241613" w:rsidP="00326690">
      <w:pPr>
        <w:pStyle w:val="SDAbodytext"/>
        <w:numPr>
          <w:ilvl w:val="1"/>
          <w:numId w:val="6"/>
        </w:numPr>
      </w:pPr>
      <w:r>
        <w:t xml:space="preserve">In the event that the HPA is activated for a response to a </w:t>
      </w:r>
      <w:r w:rsidRPr="00644C05">
        <w:rPr>
          <w:u w:val="single"/>
        </w:rPr>
        <w:t>protracted crisis</w:t>
      </w:r>
      <w:r w:rsidRPr="00BB5B56">
        <w:t xml:space="preserve">, </w:t>
      </w:r>
      <w:r>
        <w:t xml:space="preserve">the Response Committee’s peer review process will be supported by an independent technical assessment of NGO proposals. </w:t>
      </w:r>
    </w:p>
    <w:p w14:paraId="07FDBA04" w14:textId="77777777" w:rsidR="00241613" w:rsidRDefault="00EF17DB" w:rsidP="00326690">
      <w:pPr>
        <w:pStyle w:val="SDAbodytext"/>
        <w:numPr>
          <w:ilvl w:val="1"/>
          <w:numId w:val="6"/>
        </w:numPr>
      </w:pPr>
      <w:r>
        <w:t>Partners will r</w:t>
      </w:r>
      <w:r w:rsidR="00241613">
        <w:t>eview and debate the benefits and costs of the consortium approach that has been used in the Vanuatu and Nepal responses at an HPA/HRG quarterly meeting.</w:t>
      </w:r>
    </w:p>
    <w:p w14:paraId="2BD5CE85" w14:textId="77777777" w:rsidR="00241613" w:rsidRDefault="00EF17DB" w:rsidP="00326690">
      <w:pPr>
        <w:pStyle w:val="SDAbodytext"/>
        <w:numPr>
          <w:ilvl w:val="1"/>
          <w:numId w:val="6"/>
        </w:numPr>
      </w:pPr>
      <w:r>
        <w:t>Partners will d</w:t>
      </w:r>
      <w:r w:rsidR="00241613">
        <w:t>esign future HPA learning events to encourage sector</w:t>
      </w:r>
      <w:r>
        <w:t>-</w:t>
      </w:r>
      <w:r w:rsidR="00241613">
        <w:t>wide learning, be inclusive of HRG members, have a thematic/sectoral focus, and draw in outside agencies (such as academic institutes and/or private sector organisations) as relevant.</w:t>
      </w:r>
    </w:p>
    <w:p w14:paraId="6FC8D331" w14:textId="2475CA07" w:rsidR="006C50DD" w:rsidRDefault="00EF17DB" w:rsidP="00326690">
      <w:pPr>
        <w:pStyle w:val="SDAbodytext"/>
        <w:numPr>
          <w:ilvl w:val="1"/>
          <w:numId w:val="6"/>
        </w:numPr>
      </w:pPr>
      <w:r>
        <w:t>Partners will r</w:t>
      </w:r>
      <w:r w:rsidR="00241613">
        <w:t xml:space="preserve">eview current procedures around capacity mapping of HPA (and non-HPA) NGOs, with the aim of removing any duplication of effort, and improving the accuracy and utility of the information provided to all parties. </w:t>
      </w:r>
    </w:p>
    <w:p w14:paraId="065AE2D5" w14:textId="77777777" w:rsidR="002E62DC" w:rsidRDefault="002E62DC" w:rsidP="002E62DC">
      <w:pPr>
        <w:pStyle w:val="SDAHeading1"/>
      </w:pPr>
      <w:bookmarkStart w:id="2" w:name="_Toc423711118"/>
      <w:r>
        <w:t>Acknowledgements</w:t>
      </w:r>
      <w:r w:rsidR="007D1603">
        <w:t xml:space="preserve"> and Acronyms</w:t>
      </w:r>
      <w:bookmarkEnd w:id="2"/>
    </w:p>
    <w:p w14:paraId="67BCCBBC" w14:textId="5B9183BE" w:rsidR="002E62DC" w:rsidRDefault="002E62DC" w:rsidP="002E62DC">
      <w:pPr>
        <w:pStyle w:val="SDAbodytext"/>
      </w:pPr>
      <w:r>
        <w:t xml:space="preserve">We would like to thank the many people who have given their time, and shared their </w:t>
      </w:r>
      <w:r w:rsidR="00EF17DB">
        <w:t>expertise</w:t>
      </w:r>
      <w:r>
        <w:t xml:space="preserve"> with us during the review including: all HPA members and their respective NGO colleagues; non-HPA members of the HRG; ACFID</w:t>
      </w:r>
      <w:r w:rsidR="002C25EB">
        <w:t xml:space="preserve"> staff</w:t>
      </w:r>
      <w:r>
        <w:t>; local implementing partners in Lebanon and Vanuatu; and DFAT staff</w:t>
      </w:r>
      <w:r w:rsidR="007D1603">
        <w:t xml:space="preserve">. </w:t>
      </w:r>
      <w:r>
        <w:t xml:space="preserve">We would particularly like to thank the HPA Director </w:t>
      </w:r>
      <w:r w:rsidR="007D1603">
        <w:t xml:space="preserve">and DFAT staff in </w:t>
      </w:r>
      <w:r w:rsidR="00EF17DB">
        <w:t xml:space="preserve">the </w:t>
      </w:r>
      <w:r w:rsidR="007D1603">
        <w:t xml:space="preserve">Humanitarian Response Branch </w:t>
      </w:r>
      <w:r>
        <w:t xml:space="preserve">for all </w:t>
      </w:r>
      <w:r w:rsidR="007D1603">
        <w:t>their</w:t>
      </w:r>
      <w:r>
        <w:t xml:space="preserve"> efforts in facilitating our access to information and to people. </w:t>
      </w:r>
    </w:p>
    <w:p w14:paraId="50E0DAA4" w14:textId="77777777" w:rsidR="007D1603" w:rsidRPr="007D1603" w:rsidRDefault="007D1603" w:rsidP="007D1603">
      <w:pPr>
        <w:spacing w:before="500"/>
        <w:rPr>
          <w:b/>
          <w:sz w:val="40"/>
          <w:szCs w:val="40"/>
        </w:rPr>
      </w:pPr>
      <w:r w:rsidRPr="007D1603">
        <w:rPr>
          <w:b/>
          <w:sz w:val="40"/>
          <w:szCs w:val="40"/>
        </w:rPr>
        <w:t>Acronyms</w:t>
      </w:r>
    </w:p>
    <w:tbl>
      <w:tblPr>
        <w:tblStyle w:val="TableGrid"/>
        <w:tblW w:w="0" w:type="auto"/>
        <w:tblLook w:val="04A0" w:firstRow="1" w:lastRow="0" w:firstColumn="1" w:lastColumn="0" w:noHBand="0" w:noVBand="1"/>
      </w:tblPr>
      <w:tblGrid>
        <w:gridCol w:w="2093"/>
        <w:gridCol w:w="7149"/>
      </w:tblGrid>
      <w:tr w:rsidR="00644C05" w14:paraId="56FB577A" w14:textId="77777777" w:rsidTr="00DD33F1">
        <w:tc>
          <w:tcPr>
            <w:tcW w:w="2093" w:type="dxa"/>
          </w:tcPr>
          <w:p w14:paraId="5D309C45" w14:textId="77777777" w:rsidR="00644C05" w:rsidRDefault="00644C05" w:rsidP="00644C05">
            <w:pPr>
              <w:pStyle w:val="SDAbodytext"/>
            </w:pPr>
            <w:r>
              <w:t>ACFID</w:t>
            </w:r>
          </w:p>
        </w:tc>
        <w:tc>
          <w:tcPr>
            <w:tcW w:w="7149" w:type="dxa"/>
          </w:tcPr>
          <w:p w14:paraId="2CE7E2FA" w14:textId="77777777" w:rsidR="00644C05" w:rsidRDefault="00644C05" w:rsidP="00644C05">
            <w:pPr>
              <w:pStyle w:val="SDAbodytext"/>
            </w:pPr>
            <w:r>
              <w:t>Australian Council for International Development</w:t>
            </w:r>
          </w:p>
        </w:tc>
      </w:tr>
      <w:tr w:rsidR="00EF17DB" w14:paraId="7D6524FD" w14:textId="77777777" w:rsidTr="00DD33F1">
        <w:tc>
          <w:tcPr>
            <w:tcW w:w="2093" w:type="dxa"/>
          </w:tcPr>
          <w:p w14:paraId="0357C82E" w14:textId="77777777" w:rsidR="00EF17DB" w:rsidRDefault="00EF17DB" w:rsidP="00644C05">
            <w:pPr>
              <w:pStyle w:val="SDAbodytext"/>
            </w:pPr>
            <w:r>
              <w:t>ADF</w:t>
            </w:r>
          </w:p>
        </w:tc>
        <w:tc>
          <w:tcPr>
            <w:tcW w:w="7149" w:type="dxa"/>
          </w:tcPr>
          <w:p w14:paraId="59A72C8E" w14:textId="77777777" w:rsidR="00EF17DB" w:rsidRDefault="00EF17DB" w:rsidP="00644C05">
            <w:pPr>
              <w:pStyle w:val="SDAbodytext"/>
            </w:pPr>
            <w:r>
              <w:t>Australian Defence Force</w:t>
            </w:r>
          </w:p>
        </w:tc>
      </w:tr>
      <w:tr w:rsidR="00644C05" w14:paraId="72197B14" w14:textId="77777777" w:rsidTr="00DD33F1">
        <w:tc>
          <w:tcPr>
            <w:tcW w:w="2093" w:type="dxa"/>
          </w:tcPr>
          <w:p w14:paraId="2C490336" w14:textId="77777777" w:rsidR="00644C05" w:rsidRDefault="00644C05" w:rsidP="00644C05">
            <w:pPr>
              <w:pStyle w:val="SDAbodytext"/>
            </w:pPr>
            <w:r>
              <w:t>ANCP</w:t>
            </w:r>
          </w:p>
        </w:tc>
        <w:tc>
          <w:tcPr>
            <w:tcW w:w="7149" w:type="dxa"/>
          </w:tcPr>
          <w:p w14:paraId="080CE77E" w14:textId="77777777" w:rsidR="00644C05" w:rsidRDefault="00644C05" w:rsidP="00644C05">
            <w:pPr>
              <w:pStyle w:val="SDAbodytext"/>
            </w:pPr>
            <w:r>
              <w:t>Australian NGO Cooperation Program</w:t>
            </w:r>
          </w:p>
        </w:tc>
      </w:tr>
      <w:tr w:rsidR="00644C05" w14:paraId="4E0FFEBB" w14:textId="77777777" w:rsidTr="00DD33F1">
        <w:tc>
          <w:tcPr>
            <w:tcW w:w="2093" w:type="dxa"/>
          </w:tcPr>
          <w:p w14:paraId="569391D8" w14:textId="77777777" w:rsidR="00644C05" w:rsidRDefault="00644C05" w:rsidP="00644C05">
            <w:pPr>
              <w:pStyle w:val="SDAbodytext"/>
            </w:pPr>
            <w:r>
              <w:t>AusAID</w:t>
            </w:r>
          </w:p>
        </w:tc>
        <w:tc>
          <w:tcPr>
            <w:tcW w:w="7149" w:type="dxa"/>
          </w:tcPr>
          <w:p w14:paraId="764EF4BD" w14:textId="77777777" w:rsidR="00644C05" w:rsidRDefault="00644C05" w:rsidP="00644C05">
            <w:pPr>
              <w:pStyle w:val="SDAbodytext"/>
            </w:pPr>
            <w:r>
              <w:t>Australian Agency for International Development</w:t>
            </w:r>
          </w:p>
        </w:tc>
      </w:tr>
      <w:tr w:rsidR="00644C05" w14:paraId="03CD9B36" w14:textId="77777777" w:rsidTr="00DD33F1">
        <w:tc>
          <w:tcPr>
            <w:tcW w:w="2093" w:type="dxa"/>
          </w:tcPr>
          <w:p w14:paraId="56AC2060" w14:textId="77777777" w:rsidR="00644C05" w:rsidRDefault="00644C05" w:rsidP="00644C05">
            <w:pPr>
              <w:pStyle w:val="SDAbodytext"/>
            </w:pPr>
            <w:r>
              <w:t>CEO</w:t>
            </w:r>
          </w:p>
        </w:tc>
        <w:tc>
          <w:tcPr>
            <w:tcW w:w="7149" w:type="dxa"/>
          </w:tcPr>
          <w:p w14:paraId="2462F7EA" w14:textId="77777777" w:rsidR="00644C05" w:rsidRDefault="00644C05" w:rsidP="00644C05">
            <w:pPr>
              <w:pStyle w:val="SDAbodytext"/>
            </w:pPr>
            <w:r>
              <w:t>Chief Executive Officer</w:t>
            </w:r>
          </w:p>
        </w:tc>
      </w:tr>
      <w:tr w:rsidR="004A4C9A" w14:paraId="1C49840D" w14:textId="77777777" w:rsidTr="00DD33F1">
        <w:tc>
          <w:tcPr>
            <w:tcW w:w="2093" w:type="dxa"/>
          </w:tcPr>
          <w:p w14:paraId="01C819DF" w14:textId="77777777" w:rsidR="004A4C9A" w:rsidRDefault="004A4C9A" w:rsidP="00644C05">
            <w:pPr>
              <w:pStyle w:val="SDAbodytext"/>
            </w:pPr>
            <w:r>
              <w:t>CRS</w:t>
            </w:r>
          </w:p>
        </w:tc>
        <w:tc>
          <w:tcPr>
            <w:tcW w:w="7149" w:type="dxa"/>
          </w:tcPr>
          <w:p w14:paraId="74953CC7" w14:textId="77777777" w:rsidR="004A4C9A" w:rsidRDefault="004A4C9A" w:rsidP="00644C05">
            <w:pPr>
              <w:pStyle w:val="SDAbodytext"/>
            </w:pPr>
            <w:r>
              <w:t>Catholic Relief Services</w:t>
            </w:r>
          </w:p>
        </w:tc>
      </w:tr>
      <w:tr w:rsidR="00644C05" w14:paraId="1E9A5AD5" w14:textId="77777777" w:rsidTr="00DD33F1">
        <w:tc>
          <w:tcPr>
            <w:tcW w:w="2093" w:type="dxa"/>
          </w:tcPr>
          <w:p w14:paraId="4B5BA48A" w14:textId="77777777" w:rsidR="00644C05" w:rsidRDefault="00644C05" w:rsidP="00644C05">
            <w:pPr>
              <w:pStyle w:val="SDAbodytext"/>
            </w:pPr>
            <w:r>
              <w:t>DFAT</w:t>
            </w:r>
          </w:p>
        </w:tc>
        <w:tc>
          <w:tcPr>
            <w:tcW w:w="7149" w:type="dxa"/>
          </w:tcPr>
          <w:p w14:paraId="15C4165B" w14:textId="77777777" w:rsidR="00644C05" w:rsidRDefault="00644C05" w:rsidP="00644C05">
            <w:pPr>
              <w:pStyle w:val="SDAbodytext"/>
            </w:pPr>
            <w:r>
              <w:t>Department of Foreign Affairs and Trade</w:t>
            </w:r>
          </w:p>
        </w:tc>
      </w:tr>
      <w:tr w:rsidR="00644C05" w14:paraId="2F313B4F" w14:textId="77777777" w:rsidTr="00DD33F1">
        <w:tc>
          <w:tcPr>
            <w:tcW w:w="2093" w:type="dxa"/>
          </w:tcPr>
          <w:p w14:paraId="229B5295" w14:textId="77777777" w:rsidR="00644C05" w:rsidRDefault="00644C05" w:rsidP="00644C05">
            <w:pPr>
              <w:pStyle w:val="SDAbodytext"/>
            </w:pPr>
            <w:r>
              <w:t xml:space="preserve">DRM </w:t>
            </w:r>
          </w:p>
        </w:tc>
        <w:tc>
          <w:tcPr>
            <w:tcW w:w="7149" w:type="dxa"/>
          </w:tcPr>
          <w:p w14:paraId="3BBBD042" w14:textId="77777777" w:rsidR="00644C05" w:rsidRDefault="00644C05" w:rsidP="00644C05">
            <w:pPr>
              <w:pStyle w:val="SDAbodytext"/>
            </w:pPr>
            <w:r>
              <w:t>Disaster Risk Management</w:t>
            </w:r>
          </w:p>
        </w:tc>
      </w:tr>
      <w:tr w:rsidR="00644C05" w14:paraId="0790A69A" w14:textId="77777777" w:rsidTr="00DD33F1">
        <w:tc>
          <w:tcPr>
            <w:tcW w:w="2093" w:type="dxa"/>
          </w:tcPr>
          <w:p w14:paraId="0EBD1C8B" w14:textId="77777777" w:rsidR="00644C05" w:rsidRDefault="00644C05" w:rsidP="00644C05">
            <w:pPr>
              <w:pStyle w:val="SDAbodytext"/>
            </w:pPr>
            <w:r>
              <w:t>DRR</w:t>
            </w:r>
          </w:p>
        </w:tc>
        <w:tc>
          <w:tcPr>
            <w:tcW w:w="7149" w:type="dxa"/>
          </w:tcPr>
          <w:p w14:paraId="07FCC7FB" w14:textId="77777777" w:rsidR="00644C05" w:rsidRDefault="00644C05" w:rsidP="00644C05">
            <w:pPr>
              <w:pStyle w:val="SDAbodytext"/>
            </w:pPr>
            <w:r>
              <w:t>Disaster Risk Reduction</w:t>
            </w:r>
          </w:p>
        </w:tc>
      </w:tr>
      <w:tr w:rsidR="00644C05" w14:paraId="240E224D" w14:textId="77777777" w:rsidTr="00DD33F1">
        <w:tc>
          <w:tcPr>
            <w:tcW w:w="2093" w:type="dxa"/>
          </w:tcPr>
          <w:p w14:paraId="655F368B" w14:textId="77777777" w:rsidR="00644C05" w:rsidRDefault="00644C05" w:rsidP="00644C05">
            <w:pPr>
              <w:pStyle w:val="SDAbodytext"/>
            </w:pPr>
            <w:r>
              <w:t>HPA</w:t>
            </w:r>
          </w:p>
        </w:tc>
        <w:tc>
          <w:tcPr>
            <w:tcW w:w="7149" w:type="dxa"/>
          </w:tcPr>
          <w:p w14:paraId="10BC54CE" w14:textId="77777777" w:rsidR="00644C05" w:rsidRDefault="00644C05" w:rsidP="00644C05">
            <w:pPr>
              <w:pStyle w:val="SDAbodytext"/>
            </w:pPr>
            <w:r>
              <w:t>Humanitarian Partnership Agreement</w:t>
            </w:r>
          </w:p>
        </w:tc>
      </w:tr>
      <w:tr w:rsidR="00B825BE" w14:paraId="79B1718D" w14:textId="77777777" w:rsidTr="00955278">
        <w:tc>
          <w:tcPr>
            <w:tcW w:w="2093" w:type="dxa"/>
          </w:tcPr>
          <w:p w14:paraId="1164AE26" w14:textId="77777777" w:rsidR="00B825BE" w:rsidRDefault="00B825BE" w:rsidP="00955278">
            <w:pPr>
              <w:pStyle w:val="SDAbodytext"/>
            </w:pPr>
            <w:r>
              <w:t>HRC</w:t>
            </w:r>
          </w:p>
        </w:tc>
        <w:tc>
          <w:tcPr>
            <w:tcW w:w="7149" w:type="dxa"/>
          </w:tcPr>
          <w:p w14:paraId="5E799762" w14:textId="77777777" w:rsidR="00B825BE" w:rsidRDefault="00B825BE" w:rsidP="00955278">
            <w:pPr>
              <w:pStyle w:val="SDAbodytext"/>
            </w:pPr>
            <w:r>
              <w:t>Humanitarian Response Consortium (Oxfam partner in the Philippines)</w:t>
            </w:r>
          </w:p>
        </w:tc>
      </w:tr>
      <w:tr w:rsidR="00644C05" w14:paraId="3F844B9B" w14:textId="77777777" w:rsidTr="00DD33F1">
        <w:tc>
          <w:tcPr>
            <w:tcW w:w="2093" w:type="dxa"/>
          </w:tcPr>
          <w:p w14:paraId="4D46B80B" w14:textId="77777777" w:rsidR="00644C05" w:rsidRDefault="00644C05" w:rsidP="00644C05">
            <w:pPr>
              <w:pStyle w:val="SDAbodytext"/>
            </w:pPr>
            <w:r>
              <w:t>HRG</w:t>
            </w:r>
          </w:p>
        </w:tc>
        <w:tc>
          <w:tcPr>
            <w:tcW w:w="7149" w:type="dxa"/>
          </w:tcPr>
          <w:p w14:paraId="2D0F5032" w14:textId="77777777" w:rsidR="00644C05" w:rsidRDefault="00644C05" w:rsidP="00644C05">
            <w:pPr>
              <w:pStyle w:val="SDAbodytext"/>
            </w:pPr>
            <w:r>
              <w:t>Humanitarian Reference Group</w:t>
            </w:r>
          </w:p>
        </w:tc>
      </w:tr>
      <w:tr w:rsidR="00DD33F1" w14:paraId="67DC4EC5" w14:textId="77777777" w:rsidTr="00DD33F1">
        <w:tc>
          <w:tcPr>
            <w:tcW w:w="2093" w:type="dxa"/>
          </w:tcPr>
          <w:p w14:paraId="5155510D" w14:textId="77777777" w:rsidR="00DD33F1" w:rsidRDefault="00DD33F1" w:rsidP="00644C05">
            <w:pPr>
              <w:pStyle w:val="SDAbodytext"/>
            </w:pPr>
            <w:r w:rsidRPr="00DD33F1">
              <w:t>JERCP</w:t>
            </w:r>
          </w:p>
        </w:tc>
        <w:tc>
          <w:tcPr>
            <w:tcW w:w="7149" w:type="dxa"/>
          </w:tcPr>
          <w:p w14:paraId="51132E19" w14:textId="77777777" w:rsidR="00DD33F1" w:rsidRDefault="00DD33F1" w:rsidP="00EF17DB">
            <w:pPr>
              <w:pStyle w:val="SDAbodytext"/>
            </w:pPr>
            <w:r>
              <w:t xml:space="preserve">Joint Emergency Response </w:t>
            </w:r>
            <w:r w:rsidR="00EF17DB">
              <w:t>Concept Paper</w:t>
            </w:r>
          </w:p>
        </w:tc>
      </w:tr>
      <w:tr w:rsidR="00644C05" w14:paraId="110E85CF" w14:textId="77777777" w:rsidTr="00DD33F1">
        <w:tc>
          <w:tcPr>
            <w:tcW w:w="2093" w:type="dxa"/>
          </w:tcPr>
          <w:p w14:paraId="09C6C5AB" w14:textId="77777777" w:rsidR="00644C05" w:rsidRDefault="00644C05" w:rsidP="00644C05">
            <w:pPr>
              <w:pStyle w:val="SDAbodytext"/>
            </w:pPr>
            <w:r>
              <w:t>MEL</w:t>
            </w:r>
          </w:p>
        </w:tc>
        <w:tc>
          <w:tcPr>
            <w:tcW w:w="7149" w:type="dxa"/>
          </w:tcPr>
          <w:p w14:paraId="2999EC64" w14:textId="77777777" w:rsidR="00644C05" w:rsidRDefault="00644C05" w:rsidP="00644C05">
            <w:pPr>
              <w:pStyle w:val="SDAbodytext"/>
            </w:pPr>
            <w:r>
              <w:t>Monitoring, Evaluation and Learning</w:t>
            </w:r>
          </w:p>
        </w:tc>
      </w:tr>
      <w:tr w:rsidR="00644C05" w14:paraId="6AE8FCFB" w14:textId="77777777" w:rsidTr="00DD33F1">
        <w:tc>
          <w:tcPr>
            <w:tcW w:w="2093" w:type="dxa"/>
          </w:tcPr>
          <w:p w14:paraId="753002A1" w14:textId="77777777" w:rsidR="00644C05" w:rsidRDefault="00644C05" w:rsidP="00644C05">
            <w:pPr>
              <w:pStyle w:val="SDAbodytext"/>
            </w:pPr>
            <w:r>
              <w:t>NGO</w:t>
            </w:r>
          </w:p>
        </w:tc>
        <w:tc>
          <w:tcPr>
            <w:tcW w:w="7149" w:type="dxa"/>
          </w:tcPr>
          <w:p w14:paraId="4DE1CFAD" w14:textId="77777777" w:rsidR="00644C05" w:rsidRDefault="00644C05" w:rsidP="00644C05">
            <w:pPr>
              <w:pStyle w:val="SDAbodytext"/>
            </w:pPr>
            <w:r>
              <w:t>Non-Government Organisation</w:t>
            </w:r>
          </w:p>
        </w:tc>
      </w:tr>
      <w:tr w:rsidR="00644C05" w14:paraId="0CFF24B4" w14:textId="77777777" w:rsidTr="00DD33F1">
        <w:tc>
          <w:tcPr>
            <w:tcW w:w="2093" w:type="dxa"/>
          </w:tcPr>
          <w:p w14:paraId="073E20EC" w14:textId="77777777" w:rsidR="00644C05" w:rsidRDefault="00644C05" w:rsidP="00644C05">
            <w:pPr>
              <w:pStyle w:val="SDAbodytext"/>
            </w:pPr>
            <w:r>
              <w:t>ODE</w:t>
            </w:r>
          </w:p>
        </w:tc>
        <w:tc>
          <w:tcPr>
            <w:tcW w:w="7149" w:type="dxa"/>
          </w:tcPr>
          <w:p w14:paraId="7581BB66" w14:textId="77777777" w:rsidR="00644C05" w:rsidRDefault="00644C05" w:rsidP="00644C05">
            <w:pPr>
              <w:pStyle w:val="SDAbodytext"/>
            </w:pPr>
            <w:r>
              <w:t>Office of Development Effectiveness</w:t>
            </w:r>
          </w:p>
        </w:tc>
      </w:tr>
      <w:tr w:rsidR="00644C05" w14:paraId="7141F3BF" w14:textId="77777777" w:rsidTr="00DD33F1">
        <w:tc>
          <w:tcPr>
            <w:tcW w:w="2093" w:type="dxa"/>
          </w:tcPr>
          <w:p w14:paraId="332FCF8E" w14:textId="77777777" w:rsidR="00644C05" w:rsidRDefault="00644C05" w:rsidP="00644C05">
            <w:pPr>
              <w:pStyle w:val="SDAbodytext"/>
            </w:pPr>
            <w:r>
              <w:t>UN</w:t>
            </w:r>
          </w:p>
        </w:tc>
        <w:tc>
          <w:tcPr>
            <w:tcW w:w="7149" w:type="dxa"/>
          </w:tcPr>
          <w:p w14:paraId="4C3A3CF9" w14:textId="77777777" w:rsidR="002E62DC" w:rsidRDefault="00644C05" w:rsidP="002E62DC">
            <w:pPr>
              <w:pStyle w:val="SDAbodytext"/>
            </w:pPr>
            <w:r>
              <w:t>United Nations</w:t>
            </w:r>
          </w:p>
        </w:tc>
      </w:tr>
    </w:tbl>
    <w:p w14:paraId="0A30D7AF" w14:textId="77777777" w:rsidR="001B3ECA" w:rsidRDefault="001B3ECA" w:rsidP="0042772C">
      <w:pPr>
        <w:pStyle w:val="Heading2"/>
        <w:numPr>
          <w:ilvl w:val="0"/>
          <w:numId w:val="0"/>
        </w:numPr>
        <w:ind w:left="432" w:hanging="432"/>
      </w:pPr>
      <w:bookmarkStart w:id="3" w:name="_Toc423711119"/>
      <w:r>
        <w:t>Table of Contents</w:t>
      </w:r>
      <w:bookmarkEnd w:id="3"/>
    </w:p>
    <w:p w14:paraId="32C63EB7" w14:textId="77777777" w:rsidR="0042772C" w:rsidRDefault="001B3ECA" w:rsidP="0042772C">
      <w:pPr>
        <w:pStyle w:val="TOC1"/>
        <w:tabs>
          <w:tab w:val="right" w:pos="9016"/>
        </w:tabs>
        <w:spacing w:before="120"/>
        <w:rPr>
          <w:rFonts w:asciiTheme="minorHAnsi" w:eastAsiaTheme="minorEastAsia" w:hAnsiTheme="minorHAnsi"/>
          <w:b w:val="0"/>
          <w:bCs w:val="0"/>
          <w:noProof/>
          <w:sz w:val="22"/>
          <w:szCs w:val="22"/>
          <w:lang w:eastAsia="en-AU"/>
        </w:rPr>
      </w:pPr>
      <w:r>
        <w:rPr>
          <w:rFonts w:asciiTheme="majorHAnsi" w:hAnsiTheme="majorHAnsi"/>
          <w:caps/>
          <w:sz w:val="24"/>
        </w:rPr>
        <w:fldChar w:fldCharType="begin"/>
      </w:r>
      <w:r>
        <w:rPr>
          <w:rFonts w:asciiTheme="majorHAnsi" w:hAnsiTheme="majorHAnsi"/>
          <w:caps/>
          <w:sz w:val="24"/>
        </w:rPr>
        <w:instrText xml:space="preserve"> TOC \h \z \t "Heading 2,2,SDA Heading 1,1,SDA Numbered heading 3,4,SDA Numbered heading 2,3" </w:instrText>
      </w:r>
      <w:r>
        <w:rPr>
          <w:rFonts w:asciiTheme="majorHAnsi" w:hAnsiTheme="majorHAnsi"/>
          <w:caps/>
          <w:sz w:val="24"/>
        </w:rPr>
        <w:fldChar w:fldCharType="separate"/>
      </w:r>
      <w:hyperlink w:anchor="_Toc423711117" w:history="1">
        <w:r w:rsidR="0042772C" w:rsidRPr="007F5E31">
          <w:rPr>
            <w:rStyle w:val="Hyperlink"/>
            <w:noProof/>
          </w:rPr>
          <w:t>Executive Summary</w:t>
        </w:r>
        <w:r w:rsidR="0042772C">
          <w:rPr>
            <w:noProof/>
            <w:webHidden/>
          </w:rPr>
          <w:tab/>
        </w:r>
        <w:r w:rsidR="0042772C">
          <w:rPr>
            <w:noProof/>
            <w:webHidden/>
          </w:rPr>
          <w:fldChar w:fldCharType="begin"/>
        </w:r>
        <w:r w:rsidR="0042772C">
          <w:rPr>
            <w:noProof/>
            <w:webHidden/>
          </w:rPr>
          <w:instrText xml:space="preserve"> PAGEREF _Toc423711117 \h </w:instrText>
        </w:r>
        <w:r w:rsidR="0042772C">
          <w:rPr>
            <w:noProof/>
            <w:webHidden/>
          </w:rPr>
        </w:r>
        <w:r w:rsidR="0042772C">
          <w:rPr>
            <w:noProof/>
            <w:webHidden/>
          </w:rPr>
          <w:fldChar w:fldCharType="separate"/>
        </w:r>
        <w:r w:rsidR="00B5559D">
          <w:rPr>
            <w:noProof/>
            <w:webHidden/>
          </w:rPr>
          <w:t>2</w:t>
        </w:r>
        <w:r w:rsidR="0042772C">
          <w:rPr>
            <w:noProof/>
            <w:webHidden/>
          </w:rPr>
          <w:fldChar w:fldCharType="end"/>
        </w:r>
      </w:hyperlink>
    </w:p>
    <w:p w14:paraId="7A60B922" w14:textId="77777777" w:rsidR="0042772C" w:rsidRDefault="00FC2ACD" w:rsidP="0042772C">
      <w:pPr>
        <w:pStyle w:val="TOC1"/>
        <w:tabs>
          <w:tab w:val="right" w:pos="9016"/>
        </w:tabs>
        <w:spacing w:before="120"/>
        <w:rPr>
          <w:rFonts w:asciiTheme="minorHAnsi" w:eastAsiaTheme="minorEastAsia" w:hAnsiTheme="minorHAnsi"/>
          <w:b w:val="0"/>
          <w:bCs w:val="0"/>
          <w:noProof/>
          <w:sz w:val="22"/>
          <w:szCs w:val="22"/>
          <w:lang w:eastAsia="en-AU"/>
        </w:rPr>
      </w:pPr>
      <w:hyperlink w:anchor="_Toc423711118" w:history="1">
        <w:r w:rsidR="0042772C" w:rsidRPr="007F5E31">
          <w:rPr>
            <w:rStyle w:val="Hyperlink"/>
            <w:noProof/>
          </w:rPr>
          <w:t>Acknowledgements and Acronyms</w:t>
        </w:r>
        <w:r w:rsidR="0042772C">
          <w:rPr>
            <w:noProof/>
            <w:webHidden/>
          </w:rPr>
          <w:tab/>
        </w:r>
        <w:r w:rsidR="0042772C">
          <w:rPr>
            <w:noProof/>
            <w:webHidden/>
          </w:rPr>
          <w:fldChar w:fldCharType="begin"/>
        </w:r>
        <w:r w:rsidR="0042772C">
          <w:rPr>
            <w:noProof/>
            <w:webHidden/>
          </w:rPr>
          <w:instrText xml:space="preserve"> PAGEREF _Toc423711118 \h </w:instrText>
        </w:r>
        <w:r w:rsidR="0042772C">
          <w:rPr>
            <w:noProof/>
            <w:webHidden/>
          </w:rPr>
        </w:r>
        <w:r w:rsidR="0042772C">
          <w:rPr>
            <w:noProof/>
            <w:webHidden/>
          </w:rPr>
          <w:fldChar w:fldCharType="separate"/>
        </w:r>
        <w:r w:rsidR="00B5559D">
          <w:rPr>
            <w:noProof/>
            <w:webHidden/>
          </w:rPr>
          <w:t>4</w:t>
        </w:r>
        <w:r w:rsidR="0042772C">
          <w:rPr>
            <w:noProof/>
            <w:webHidden/>
          </w:rPr>
          <w:fldChar w:fldCharType="end"/>
        </w:r>
      </w:hyperlink>
    </w:p>
    <w:p w14:paraId="6BAB5891" w14:textId="77777777" w:rsidR="0042772C" w:rsidRDefault="00FC2ACD">
      <w:pPr>
        <w:pStyle w:val="TOC2"/>
        <w:tabs>
          <w:tab w:val="right" w:pos="9016"/>
        </w:tabs>
        <w:rPr>
          <w:rFonts w:eastAsiaTheme="minorEastAsia"/>
          <w:b w:val="0"/>
          <w:bCs w:val="0"/>
          <w:noProof/>
          <w:sz w:val="22"/>
          <w:szCs w:val="22"/>
          <w:lang w:eastAsia="en-AU"/>
        </w:rPr>
      </w:pPr>
      <w:hyperlink w:anchor="_Toc423711119" w:history="1">
        <w:r w:rsidR="0042772C" w:rsidRPr="007F5E31">
          <w:rPr>
            <w:rStyle w:val="Hyperlink"/>
            <w:noProof/>
          </w:rPr>
          <w:t>Table of Contents</w:t>
        </w:r>
        <w:r w:rsidR="0042772C">
          <w:rPr>
            <w:noProof/>
            <w:webHidden/>
          </w:rPr>
          <w:tab/>
        </w:r>
        <w:r w:rsidR="0042772C">
          <w:rPr>
            <w:noProof/>
            <w:webHidden/>
          </w:rPr>
          <w:fldChar w:fldCharType="begin"/>
        </w:r>
        <w:r w:rsidR="0042772C">
          <w:rPr>
            <w:noProof/>
            <w:webHidden/>
          </w:rPr>
          <w:instrText xml:space="preserve"> PAGEREF _Toc423711119 \h </w:instrText>
        </w:r>
        <w:r w:rsidR="0042772C">
          <w:rPr>
            <w:noProof/>
            <w:webHidden/>
          </w:rPr>
        </w:r>
        <w:r w:rsidR="0042772C">
          <w:rPr>
            <w:noProof/>
            <w:webHidden/>
          </w:rPr>
          <w:fldChar w:fldCharType="separate"/>
        </w:r>
        <w:r w:rsidR="00B5559D">
          <w:rPr>
            <w:noProof/>
            <w:webHidden/>
          </w:rPr>
          <w:t>5</w:t>
        </w:r>
        <w:r w:rsidR="0042772C">
          <w:rPr>
            <w:noProof/>
            <w:webHidden/>
          </w:rPr>
          <w:fldChar w:fldCharType="end"/>
        </w:r>
      </w:hyperlink>
    </w:p>
    <w:p w14:paraId="27719F40" w14:textId="77777777" w:rsidR="0042772C" w:rsidRDefault="00FC2ACD">
      <w:pPr>
        <w:pStyle w:val="TOC2"/>
        <w:tabs>
          <w:tab w:val="left" w:pos="660"/>
          <w:tab w:val="right" w:pos="9016"/>
        </w:tabs>
        <w:rPr>
          <w:rFonts w:eastAsiaTheme="minorEastAsia"/>
          <w:b w:val="0"/>
          <w:bCs w:val="0"/>
          <w:noProof/>
          <w:sz w:val="22"/>
          <w:szCs w:val="22"/>
          <w:lang w:eastAsia="en-AU"/>
        </w:rPr>
      </w:pPr>
      <w:hyperlink w:anchor="_Toc423711120" w:history="1">
        <w:r w:rsidR="0042772C" w:rsidRPr="007F5E31">
          <w:rPr>
            <w:rStyle w:val="Hyperlink"/>
            <w:noProof/>
          </w:rPr>
          <w:t>1.</w:t>
        </w:r>
        <w:r w:rsidR="0042772C">
          <w:rPr>
            <w:rFonts w:eastAsiaTheme="minorEastAsia"/>
            <w:b w:val="0"/>
            <w:bCs w:val="0"/>
            <w:noProof/>
            <w:sz w:val="22"/>
            <w:szCs w:val="22"/>
            <w:lang w:eastAsia="en-AU"/>
          </w:rPr>
          <w:tab/>
        </w:r>
        <w:r w:rsidR="0042772C" w:rsidRPr="007F5E31">
          <w:rPr>
            <w:rStyle w:val="Hyperlink"/>
            <w:noProof/>
          </w:rPr>
          <w:t>Purpose</w:t>
        </w:r>
        <w:r w:rsidR="0042772C">
          <w:rPr>
            <w:noProof/>
            <w:webHidden/>
          </w:rPr>
          <w:tab/>
        </w:r>
        <w:r w:rsidR="0042772C">
          <w:rPr>
            <w:noProof/>
            <w:webHidden/>
          </w:rPr>
          <w:fldChar w:fldCharType="begin"/>
        </w:r>
        <w:r w:rsidR="0042772C">
          <w:rPr>
            <w:noProof/>
            <w:webHidden/>
          </w:rPr>
          <w:instrText xml:space="preserve"> PAGEREF _Toc423711120 \h </w:instrText>
        </w:r>
        <w:r w:rsidR="0042772C">
          <w:rPr>
            <w:noProof/>
            <w:webHidden/>
          </w:rPr>
        </w:r>
        <w:r w:rsidR="0042772C">
          <w:rPr>
            <w:noProof/>
            <w:webHidden/>
          </w:rPr>
          <w:fldChar w:fldCharType="separate"/>
        </w:r>
        <w:r w:rsidR="00B5559D">
          <w:rPr>
            <w:noProof/>
            <w:webHidden/>
          </w:rPr>
          <w:t>6</w:t>
        </w:r>
        <w:r w:rsidR="0042772C">
          <w:rPr>
            <w:noProof/>
            <w:webHidden/>
          </w:rPr>
          <w:fldChar w:fldCharType="end"/>
        </w:r>
      </w:hyperlink>
    </w:p>
    <w:p w14:paraId="4CF7155E" w14:textId="77777777" w:rsidR="0042772C" w:rsidRDefault="00FC2ACD">
      <w:pPr>
        <w:pStyle w:val="TOC2"/>
        <w:tabs>
          <w:tab w:val="left" w:pos="660"/>
          <w:tab w:val="right" w:pos="9016"/>
        </w:tabs>
        <w:rPr>
          <w:rFonts w:eastAsiaTheme="minorEastAsia"/>
          <w:b w:val="0"/>
          <w:bCs w:val="0"/>
          <w:noProof/>
          <w:sz w:val="22"/>
          <w:szCs w:val="22"/>
          <w:lang w:eastAsia="en-AU"/>
        </w:rPr>
      </w:pPr>
      <w:hyperlink w:anchor="_Toc423711121" w:history="1">
        <w:r w:rsidR="0042772C" w:rsidRPr="007F5E31">
          <w:rPr>
            <w:rStyle w:val="Hyperlink"/>
            <w:noProof/>
          </w:rPr>
          <w:t>2.</w:t>
        </w:r>
        <w:r w:rsidR="0042772C">
          <w:rPr>
            <w:rFonts w:eastAsiaTheme="minorEastAsia"/>
            <w:b w:val="0"/>
            <w:bCs w:val="0"/>
            <w:noProof/>
            <w:sz w:val="22"/>
            <w:szCs w:val="22"/>
            <w:lang w:eastAsia="en-AU"/>
          </w:rPr>
          <w:tab/>
        </w:r>
        <w:r w:rsidR="0042772C" w:rsidRPr="007F5E31">
          <w:rPr>
            <w:rStyle w:val="Hyperlink"/>
            <w:noProof/>
          </w:rPr>
          <w:t>Introduction and Context</w:t>
        </w:r>
        <w:r w:rsidR="0042772C">
          <w:rPr>
            <w:noProof/>
            <w:webHidden/>
          </w:rPr>
          <w:tab/>
        </w:r>
        <w:r w:rsidR="0042772C">
          <w:rPr>
            <w:noProof/>
            <w:webHidden/>
          </w:rPr>
          <w:fldChar w:fldCharType="begin"/>
        </w:r>
        <w:r w:rsidR="0042772C">
          <w:rPr>
            <w:noProof/>
            <w:webHidden/>
          </w:rPr>
          <w:instrText xml:space="preserve"> PAGEREF _Toc423711121 \h </w:instrText>
        </w:r>
        <w:r w:rsidR="0042772C">
          <w:rPr>
            <w:noProof/>
            <w:webHidden/>
          </w:rPr>
        </w:r>
        <w:r w:rsidR="0042772C">
          <w:rPr>
            <w:noProof/>
            <w:webHidden/>
          </w:rPr>
          <w:fldChar w:fldCharType="separate"/>
        </w:r>
        <w:r w:rsidR="00B5559D">
          <w:rPr>
            <w:noProof/>
            <w:webHidden/>
          </w:rPr>
          <w:t>6</w:t>
        </w:r>
        <w:r w:rsidR="0042772C">
          <w:rPr>
            <w:noProof/>
            <w:webHidden/>
          </w:rPr>
          <w:fldChar w:fldCharType="end"/>
        </w:r>
      </w:hyperlink>
    </w:p>
    <w:p w14:paraId="3DFB9D0D" w14:textId="77777777" w:rsidR="0042772C" w:rsidRDefault="00FC2ACD">
      <w:pPr>
        <w:pStyle w:val="TOC3"/>
        <w:tabs>
          <w:tab w:val="left" w:pos="660"/>
          <w:tab w:val="right" w:pos="9016"/>
        </w:tabs>
        <w:rPr>
          <w:rFonts w:eastAsiaTheme="minorEastAsia"/>
          <w:noProof/>
          <w:sz w:val="22"/>
          <w:szCs w:val="22"/>
          <w:lang w:eastAsia="en-AU"/>
        </w:rPr>
      </w:pPr>
      <w:hyperlink w:anchor="_Toc423711122" w:history="1">
        <w:r w:rsidR="0042772C" w:rsidRPr="007F5E31">
          <w:rPr>
            <w:rStyle w:val="Hyperlink"/>
            <w:noProof/>
          </w:rPr>
          <w:t>2.1.</w:t>
        </w:r>
        <w:r w:rsidR="0042772C">
          <w:rPr>
            <w:rFonts w:eastAsiaTheme="minorEastAsia"/>
            <w:noProof/>
            <w:sz w:val="22"/>
            <w:szCs w:val="22"/>
            <w:lang w:eastAsia="en-AU"/>
          </w:rPr>
          <w:tab/>
        </w:r>
        <w:r w:rsidR="0042772C" w:rsidRPr="007F5E31">
          <w:rPr>
            <w:rStyle w:val="Hyperlink"/>
            <w:noProof/>
          </w:rPr>
          <w:t>Background to the HPA</w:t>
        </w:r>
        <w:r w:rsidR="0042772C">
          <w:rPr>
            <w:noProof/>
            <w:webHidden/>
          </w:rPr>
          <w:tab/>
        </w:r>
        <w:r w:rsidR="0042772C">
          <w:rPr>
            <w:noProof/>
            <w:webHidden/>
          </w:rPr>
          <w:fldChar w:fldCharType="begin"/>
        </w:r>
        <w:r w:rsidR="0042772C">
          <w:rPr>
            <w:noProof/>
            <w:webHidden/>
          </w:rPr>
          <w:instrText xml:space="preserve"> PAGEREF _Toc423711122 \h </w:instrText>
        </w:r>
        <w:r w:rsidR="0042772C">
          <w:rPr>
            <w:noProof/>
            <w:webHidden/>
          </w:rPr>
        </w:r>
        <w:r w:rsidR="0042772C">
          <w:rPr>
            <w:noProof/>
            <w:webHidden/>
          </w:rPr>
          <w:fldChar w:fldCharType="separate"/>
        </w:r>
        <w:r w:rsidR="00B5559D">
          <w:rPr>
            <w:noProof/>
            <w:webHidden/>
          </w:rPr>
          <w:t>6</w:t>
        </w:r>
        <w:r w:rsidR="0042772C">
          <w:rPr>
            <w:noProof/>
            <w:webHidden/>
          </w:rPr>
          <w:fldChar w:fldCharType="end"/>
        </w:r>
      </w:hyperlink>
    </w:p>
    <w:p w14:paraId="78C4D6C2" w14:textId="77777777" w:rsidR="0042772C" w:rsidRDefault="00FC2ACD">
      <w:pPr>
        <w:pStyle w:val="TOC3"/>
        <w:tabs>
          <w:tab w:val="left" w:pos="660"/>
          <w:tab w:val="right" w:pos="9016"/>
        </w:tabs>
        <w:rPr>
          <w:rFonts w:eastAsiaTheme="minorEastAsia"/>
          <w:noProof/>
          <w:sz w:val="22"/>
          <w:szCs w:val="22"/>
          <w:lang w:eastAsia="en-AU"/>
        </w:rPr>
      </w:pPr>
      <w:hyperlink w:anchor="_Toc423711123" w:history="1">
        <w:r w:rsidR="0042772C" w:rsidRPr="007F5E31">
          <w:rPr>
            <w:rStyle w:val="Hyperlink"/>
            <w:noProof/>
          </w:rPr>
          <w:t>2.2.</w:t>
        </w:r>
        <w:r w:rsidR="0042772C">
          <w:rPr>
            <w:rFonts w:eastAsiaTheme="minorEastAsia"/>
            <w:noProof/>
            <w:sz w:val="22"/>
            <w:szCs w:val="22"/>
            <w:lang w:eastAsia="en-AU"/>
          </w:rPr>
          <w:tab/>
        </w:r>
        <w:r w:rsidR="0042772C" w:rsidRPr="007F5E31">
          <w:rPr>
            <w:rStyle w:val="Hyperlink"/>
            <w:noProof/>
          </w:rPr>
          <w:t>Policy Context</w:t>
        </w:r>
        <w:r w:rsidR="0042772C">
          <w:rPr>
            <w:noProof/>
            <w:webHidden/>
          </w:rPr>
          <w:tab/>
        </w:r>
        <w:r w:rsidR="0042772C">
          <w:rPr>
            <w:noProof/>
            <w:webHidden/>
          </w:rPr>
          <w:fldChar w:fldCharType="begin"/>
        </w:r>
        <w:r w:rsidR="0042772C">
          <w:rPr>
            <w:noProof/>
            <w:webHidden/>
          </w:rPr>
          <w:instrText xml:space="preserve"> PAGEREF _Toc423711123 \h </w:instrText>
        </w:r>
        <w:r w:rsidR="0042772C">
          <w:rPr>
            <w:noProof/>
            <w:webHidden/>
          </w:rPr>
        </w:r>
        <w:r w:rsidR="0042772C">
          <w:rPr>
            <w:noProof/>
            <w:webHidden/>
          </w:rPr>
          <w:fldChar w:fldCharType="separate"/>
        </w:r>
        <w:r w:rsidR="00B5559D">
          <w:rPr>
            <w:noProof/>
            <w:webHidden/>
          </w:rPr>
          <w:t>7</w:t>
        </w:r>
        <w:r w:rsidR="0042772C">
          <w:rPr>
            <w:noProof/>
            <w:webHidden/>
          </w:rPr>
          <w:fldChar w:fldCharType="end"/>
        </w:r>
      </w:hyperlink>
    </w:p>
    <w:p w14:paraId="326FC4EB" w14:textId="77777777" w:rsidR="0042772C" w:rsidRDefault="00FC2ACD">
      <w:pPr>
        <w:pStyle w:val="TOC3"/>
        <w:tabs>
          <w:tab w:val="left" w:pos="660"/>
          <w:tab w:val="right" w:pos="9016"/>
        </w:tabs>
        <w:rPr>
          <w:rFonts w:eastAsiaTheme="minorEastAsia"/>
          <w:noProof/>
          <w:sz w:val="22"/>
          <w:szCs w:val="22"/>
          <w:lang w:eastAsia="en-AU"/>
        </w:rPr>
      </w:pPr>
      <w:hyperlink w:anchor="_Toc423711124" w:history="1">
        <w:r w:rsidR="0042772C" w:rsidRPr="007F5E31">
          <w:rPr>
            <w:rStyle w:val="Hyperlink"/>
            <w:noProof/>
          </w:rPr>
          <w:t>2.3.</w:t>
        </w:r>
        <w:r w:rsidR="0042772C">
          <w:rPr>
            <w:rFonts w:eastAsiaTheme="minorEastAsia"/>
            <w:noProof/>
            <w:sz w:val="22"/>
            <w:szCs w:val="22"/>
            <w:lang w:eastAsia="en-AU"/>
          </w:rPr>
          <w:tab/>
        </w:r>
        <w:r w:rsidR="0042772C" w:rsidRPr="007F5E31">
          <w:rPr>
            <w:rStyle w:val="Hyperlink"/>
            <w:noProof/>
          </w:rPr>
          <w:t>Our Approach</w:t>
        </w:r>
        <w:r w:rsidR="0042772C">
          <w:rPr>
            <w:noProof/>
            <w:webHidden/>
          </w:rPr>
          <w:tab/>
        </w:r>
        <w:r w:rsidR="0042772C">
          <w:rPr>
            <w:noProof/>
            <w:webHidden/>
          </w:rPr>
          <w:fldChar w:fldCharType="begin"/>
        </w:r>
        <w:r w:rsidR="0042772C">
          <w:rPr>
            <w:noProof/>
            <w:webHidden/>
          </w:rPr>
          <w:instrText xml:space="preserve"> PAGEREF _Toc423711124 \h </w:instrText>
        </w:r>
        <w:r w:rsidR="0042772C">
          <w:rPr>
            <w:noProof/>
            <w:webHidden/>
          </w:rPr>
        </w:r>
        <w:r w:rsidR="0042772C">
          <w:rPr>
            <w:noProof/>
            <w:webHidden/>
          </w:rPr>
          <w:fldChar w:fldCharType="separate"/>
        </w:r>
        <w:r w:rsidR="00B5559D">
          <w:rPr>
            <w:noProof/>
            <w:webHidden/>
          </w:rPr>
          <w:t>7</w:t>
        </w:r>
        <w:r w:rsidR="0042772C">
          <w:rPr>
            <w:noProof/>
            <w:webHidden/>
          </w:rPr>
          <w:fldChar w:fldCharType="end"/>
        </w:r>
      </w:hyperlink>
    </w:p>
    <w:p w14:paraId="04E22931" w14:textId="77777777" w:rsidR="0042772C" w:rsidRDefault="00FC2ACD">
      <w:pPr>
        <w:pStyle w:val="TOC2"/>
        <w:tabs>
          <w:tab w:val="left" w:pos="660"/>
          <w:tab w:val="right" w:pos="9016"/>
        </w:tabs>
        <w:rPr>
          <w:rFonts w:eastAsiaTheme="minorEastAsia"/>
          <w:b w:val="0"/>
          <w:bCs w:val="0"/>
          <w:noProof/>
          <w:sz w:val="22"/>
          <w:szCs w:val="22"/>
          <w:lang w:eastAsia="en-AU"/>
        </w:rPr>
      </w:pPr>
      <w:hyperlink w:anchor="_Toc423711125" w:history="1">
        <w:r w:rsidR="0042772C" w:rsidRPr="007F5E31">
          <w:rPr>
            <w:rStyle w:val="Hyperlink"/>
            <w:noProof/>
          </w:rPr>
          <w:t>3.</w:t>
        </w:r>
        <w:r w:rsidR="0042772C">
          <w:rPr>
            <w:rFonts w:eastAsiaTheme="minorEastAsia"/>
            <w:b w:val="0"/>
            <w:bCs w:val="0"/>
            <w:noProof/>
            <w:sz w:val="22"/>
            <w:szCs w:val="22"/>
            <w:lang w:eastAsia="en-AU"/>
          </w:rPr>
          <w:tab/>
        </w:r>
        <w:r w:rsidR="0042772C" w:rsidRPr="007F5E31">
          <w:rPr>
            <w:rStyle w:val="Hyperlink"/>
            <w:noProof/>
          </w:rPr>
          <w:t>Assessment of Outcomes</w:t>
        </w:r>
        <w:r w:rsidR="0042772C">
          <w:rPr>
            <w:noProof/>
            <w:webHidden/>
          </w:rPr>
          <w:tab/>
        </w:r>
        <w:r w:rsidR="0042772C">
          <w:rPr>
            <w:noProof/>
            <w:webHidden/>
          </w:rPr>
          <w:fldChar w:fldCharType="begin"/>
        </w:r>
        <w:r w:rsidR="0042772C">
          <w:rPr>
            <w:noProof/>
            <w:webHidden/>
          </w:rPr>
          <w:instrText xml:space="preserve"> PAGEREF _Toc423711125 \h </w:instrText>
        </w:r>
        <w:r w:rsidR="0042772C">
          <w:rPr>
            <w:noProof/>
            <w:webHidden/>
          </w:rPr>
        </w:r>
        <w:r w:rsidR="0042772C">
          <w:rPr>
            <w:noProof/>
            <w:webHidden/>
          </w:rPr>
          <w:fldChar w:fldCharType="separate"/>
        </w:r>
        <w:r w:rsidR="00B5559D">
          <w:rPr>
            <w:noProof/>
            <w:webHidden/>
          </w:rPr>
          <w:t>8</w:t>
        </w:r>
        <w:r w:rsidR="0042772C">
          <w:rPr>
            <w:noProof/>
            <w:webHidden/>
          </w:rPr>
          <w:fldChar w:fldCharType="end"/>
        </w:r>
      </w:hyperlink>
    </w:p>
    <w:p w14:paraId="7352EAA7" w14:textId="77777777" w:rsidR="0042772C" w:rsidRDefault="00FC2ACD">
      <w:pPr>
        <w:pStyle w:val="TOC3"/>
        <w:tabs>
          <w:tab w:val="left" w:pos="660"/>
          <w:tab w:val="right" w:pos="9016"/>
        </w:tabs>
        <w:rPr>
          <w:rFonts w:eastAsiaTheme="minorEastAsia"/>
          <w:noProof/>
          <w:sz w:val="22"/>
          <w:szCs w:val="22"/>
          <w:lang w:eastAsia="en-AU"/>
        </w:rPr>
      </w:pPr>
      <w:hyperlink w:anchor="_Toc423711126" w:history="1">
        <w:r w:rsidR="0042772C" w:rsidRPr="007F5E31">
          <w:rPr>
            <w:rStyle w:val="Hyperlink"/>
            <w:noProof/>
          </w:rPr>
          <w:t>3.1.</w:t>
        </w:r>
        <w:r w:rsidR="0042772C">
          <w:rPr>
            <w:rFonts w:eastAsiaTheme="minorEastAsia"/>
            <w:noProof/>
            <w:sz w:val="22"/>
            <w:szCs w:val="22"/>
            <w:lang w:eastAsia="en-AU"/>
          </w:rPr>
          <w:tab/>
        </w:r>
        <w:r w:rsidR="0042772C" w:rsidRPr="007F5E31">
          <w:rPr>
            <w:rStyle w:val="Hyperlink"/>
            <w:noProof/>
          </w:rPr>
          <w:t>Introduction</w:t>
        </w:r>
        <w:r w:rsidR="0042772C">
          <w:rPr>
            <w:noProof/>
            <w:webHidden/>
          </w:rPr>
          <w:tab/>
        </w:r>
        <w:r w:rsidR="0042772C">
          <w:rPr>
            <w:noProof/>
            <w:webHidden/>
          </w:rPr>
          <w:fldChar w:fldCharType="begin"/>
        </w:r>
        <w:r w:rsidR="0042772C">
          <w:rPr>
            <w:noProof/>
            <w:webHidden/>
          </w:rPr>
          <w:instrText xml:space="preserve"> PAGEREF _Toc423711126 \h </w:instrText>
        </w:r>
        <w:r w:rsidR="0042772C">
          <w:rPr>
            <w:noProof/>
            <w:webHidden/>
          </w:rPr>
        </w:r>
        <w:r w:rsidR="0042772C">
          <w:rPr>
            <w:noProof/>
            <w:webHidden/>
          </w:rPr>
          <w:fldChar w:fldCharType="separate"/>
        </w:r>
        <w:r w:rsidR="00B5559D">
          <w:rPr>
            <w:noProof/>
            <w:webHidden/>
          </w:rPr>
          <w:t>8</w:t>
        </w:r>
        <w:r w:rsidR="0042772C">
          <w:rPr>
            <w:noProof/>
            <w:webHidden/>
          </w:rPr>
          <w:fldChar w:fldCharType="end"/>
        </w:r>
      </w:hyperlink>
    </w:p>
    <w:p w14:paraId="4F010F2A" w14:textId="77777777" w:rsidR="0042772C" w:rsidRDefault="00FC2ACD">
      <w:pPr>
        <w:pStyle w:val="TOC3"/>
        <w:tabs>
          <w:tab w:val="left" w:pos="660"/>
          <w:tab w:val="right" w:pos="9016"/>
        </w:tabs>
        <w:rPr>
          <w:rFonts w:eastAsiaTheme="minorEastAsia"/>
          <w:noProof/>
          <w:sz w:val="22"/>
          <w:szCs w:val="22"/>
          <w:lang w:eastAsia="en-AU"/>
        </w:rPr>
      </w:pPr>
      <w:hyperlink w:anchor="_Toc423711127" w:history="1">
        <w:r w:rsidR="0042772C" w:rsidRPr="007F5E31">
          <w:rPr>
            <w:rStyle w:val="Hyperlink"/>
            <w:noProof/>
          </w:rPr>
          <w:t>3.2.</w:t>
        </w:r>
        <w:r w:rsidR="0042772C">
          <w:rPr>
            <w:rFonts w:eastAsiaTheme="minorEastAsia"/>
            <w:noProof/>
            <w:sz w:val="22"/>
            <w:szCs w:val="22"/>
            <w:lang w:eastAsia="en-AU"/>
          </w:rPr>
          <w:tab/>
        </w:r>
        <w:r w:rsidR="0042772C" w:rsidRPr="007F5E31">
          <w:rPr>
            <w:rStyle w:val="Hyperlink"/>
            <w:noProof/>
          </w:rPr>
          <w:t>Outcome 1: Delivering Rapid Emergency Assistance</w:t>
        </w:r>
        <w:r w:rsidR="0042772C">
          <w:rPr>
            <w:noProof/>
            <w:webHidden/>
          </w:rPr>
          <w:tab/>
        </w:r>
        <w:r w:rsidR="0042772C">
          <w:rPr>
            <w:noProof/>
            <w:webHidden/>
          </w:rPr>
          <w:fldChar w:fldCharType="begin"/>
        </w:r>
        <w:r w:rsidR="0042772C">
          <w:rPr>
            <w:noProof/>
            <w:webHidden/>
          </w:rPr>
          <w:instrText xml:space="preserve"> PAGEREF _Toc423711127 \h </w:instrText>
        </w:r>
        <w:r w:rsidR="0042772C">
          <w:rPr>
            <w:noProof/>
            <w:webHidden/>
          </w:rPr>
        </w:r>
        <w:r w:rsidR="0042772C">
          <w:rPr>
            <w:noProof/>
            <w:webHidden/>
          </w:rPr>
          <w:fldChar w:fldCharType="separate"/>
        </w:r>
        <w:r w:rsidR="00B5559D">
          <w:rPr>
            <w:noProof/>
            <w:webHidden/>
          </w:rPr>
          <w:t>8</w:t>
        </w:r>
        <w:r w:rsidR="0042772C">
          <w:rPr>
            <w:noProof/>
            <w:webHidden/>
          </w:rPr>
          <w:fldChar w:fldCharType="end"/>
        </w:r>
      </w:hyperlink>
    </w:p>
    <w:p w14:paraId="76AF99E4" w14:textId="4B3EEF2C" w:rsidR="0042772C" w:rsidRDefault="00FC2ACD">
      <w:pPr>
        <w:pStyle w:val="TOC3"/>
        <w:tabs>
          <w:tab w:val="left" w:pos="660"/>
          <w:tab w:val="right" w:pos="9016"/>
        </w:tabs>
        <w:rPr>
          <w:rFonts w:eastAsiaTheme="minorEastAsia"/>
          <w:noProof/>
          <w:sz w:val="22"/>
          <w:szCs w:val="22"/>
          <w:lang w:eastAsia="en-AU"/>
        </w:rPr>
      </w:pPr>
      <w:hyperlink w:anchor="_Toc423711128" w:history="1">
        <w:r w:rsidR="0042772C" w:rsidRPr="007F5E31">
          <w:rPr>
            <w:rStyle w:val="Hyperlink"/>
            <w:noProof/>
          </w:rPr>
          <w:t>3.3.</w:t>
        </w:r>
        <w:r w:rsidR="0042772C">
          <w:rPr>
            <w:rFonts w:eastAsiaTheme="minorEastAsia"/>
            <w:noProof/>
            <w:sz w:val="22"/>
            <w:szCs w:val="22"/>
            <w:lang w:eastAsia="en-AU"/>
          </w:rPr>
          <w:tab/>
        </w:r>
        <w:r w:rsidR="0042772C" w:rsidRPr="007F5E31">
          <w:rPr>
            <w:rStyle w:val="Hyperlink"/>
            <w:noProof/>
          </w:rPr>
          <w:t>Outcome 2: Collaborative DRR and DRM Activities</w:t>
        </w:r>
        <w:r w:rsidR="0042772C">
          <w:rPr>
            <w:noProof/>
            <w:webHidden/>
          </w:rPr>
          <w:tab/>
        </w:r>
        <w:r w:rsidR="0042772C">
          <w:rPr>
            <w:noProof/>
            <w:webHidden/>
          </w:rPr>
          <w:fldChar w:fldCharType="begin"/>
        </w:r>
        <w:r w:rsidR="0042772C">
          <w:rPr>
            <w:noProof/>
            <w:webHidden/>
          </w:rPr>
          <w:instrText xml:space="preserve"> PAGEREF _Toc423711128 \h </w:instrText>
        </w:r>
        <w:r w:rsidR="0042772C">
          <w:rPr>
            <w:noProof/>
            <w:webHidden/>
          </w:rPr>
        </w:r>
        <w:r w:rsidR="0042772C">
          <w:rPr>
            <w:noProof/>
            <w:webHidden/>
          </w:rPr>
          <w:fldChar w:fldCharType="separate"/>
        </w:r>
        <w:r w:rsidR="00B5559D">
          <w:rPr>
            <w:noProof/>
            <w:webHidden/>
          </w:rPr>
          <w:t>10</w:t>
        </w:r>
        <w:r w:rsidR="0042772C">
          <w:rPr>
            <w:noProof/>
            <w:webHidden/>
          </w:rPr>
          <w:fldChar w:fldCharType="end"/>
        </w:r>
      </w:hyperlink>
    </w:p>
    <w:p w14:paraId="49AFC5A6" w14:textId="77777777" w:rsidR="0042772C" w:rsidRDefault="00FC2ACD">
      <w:pPr>
        <w:pStyle w:val="TOC3"/>
        <w:tabs>
          <w:tab w:val="left" w:pos="660"/>
          <w:tab w:val="right" w:pos="9016"/>
        </w:tabs>
        <w:rPr>
          <w:rFonts w:eastAsiaTheme="minorEastAsia"/>
          <w:noProof/>
          <w:sz w:val="22"/>
          <w:szCs w:val="22"/>
          <w:lang w:eastAsia="en-AU"/>
        </w:rPr>
      </w:pPr>
      <w:hyperlink w:anchor="_Toc423711129" w:history="1">
        <w:r w:rsidR="0042772C" w:rsidRPr="007F5E31">
          <w:rPr>
            <w:rStyle w:val="Hyperlink"/>
            <w:noProof/>
          </w:rPr>
          <w:t>3.4.</w:t>
        </w:r>
        <w:r w:rsidR="0042772C">
          <w:rPr>
            <w:rFonts w:eastAsiaTheme="minorEastAsia"/>
            <w:noProof/>
            <w:sz w:val="22"/>
            <w:szCs w:val="22"/>
            <w:lang w:eastAsia="en-AU"/>
          </w:rPr>
          <w:tab/>
        </w:r>
        <w:r w:rsidR="0042772C" w:rsidRPr="007F5E31">
          <w:rPr>
            <w:rStyle w:val="Hyperlink"/>
            <w:noProof/>
          </w:rPr>
          <w:t>Outcome 3: Improved Strategic Dialogue and Partnership</w:t>
        </w:r>
        <w:r w:rsidR="0042772C">
          <w:rPr>
            <w:noProof/>
            <w:webHidden/>
          </w:rPr>
          <w:tab/>
        </w:r>
        <w:r w:rsidR="0042772C">
          <w:rPr>
            <w:noProof/>
            <w:webHidden/>
          </w:rPr>
          <w:fldChar w:fldCharType="begin"/>
        </w:r>
        <w:r w:rsidR="0042772C">
          <w:rPr>
            <w:noProof/>
            <w:webHidden/>
          </w:rPr>
          <w:instrText xml:space="preserve"> PAGEREF _Toc423711129 \h </w:instrText>
        </w:r>
        <w:r w:rsidR="0042772C">
          <w:rPr>
            <w:noProof/>
            <w:webHidden/>
          </w:rPr>
        </w:r>
        <w:r w:rsidR="0042772C">
          <w:rPr>
            <w:noProof/>
            <w:webHidden/>
          </w:rPr>
          <w:fldChar w:fldCharType="separate"/>
        </w:r>
        <w:r w:rsidR="00B5559D">
          <w:rPr>
            <w:noProof/>
            <w:webHidden/>
          </w:rPr>
          <w:t>11</w:t>
        </w:r>
        <w:r w:rsidR="0042772C">
          <w:rPr>
            <w:noProof/>
            <w:webHidden/>
          </w:rPr>
          <w:fldChar w:fldCharType="end"/>
        </w:r>
      </w:hyperlink>
    </w:p>
    <w:p w14:paraId="773E5AE0" w14:textId="77777777" w:rsidR="0042772C" w:rsidRDefault="00FC2ACD">
      <w:pPr>
        <w:pStyle w:val="TOC3"/>
        <w:tabs>
          <w:tab w:val="left" w:pos="660"/>
          <w:tab w:val="right" w:pos="9016"/>
        </w:tabs>
        <w:rPr>
          <w:rFonts w:eastAsiaTheme="minorEastAsia"/>
          <w:noProof/>
          <w:sz w:val="22"/>
          <w:szCs w:val="22"/>
          <w:lang w:eastAsia="en-AU"/>
        </w:rPr>
      </w:pPr>
      <w:hyperlink w:anchor="_Toc423711130" w:history="1">
        <w:r w:rsidR="0042772C" w:rsidRPr="007F5E31">
          <w:rPr>
            <w:rStyle w:val="Hyperlink"/>
            <w:noProof/>
          </w:rPr>
          <w:t>3.5.</w:t>
        </w:r>
        <w:r w:rsidR="0042772C">
          <w:rPr>
            <w:rFonts w:eastAsiaTheme="minorEastAsia"/>
            <w:noProof/>
            <w:sz w:val="22"/>
            <w:szCs w:val="22"/>
            <w:lang w:eastAsia="en-AU"/>
          </w:rPr>
          <w:tab/>
        </w:r>
        <w:r w:rsidR="0042772C" w:rsidRPr="007F5E31">
          <w:rPr>
            <w:rStyle w:val="Hyperlink"/>
            <w:noProof/>
          </w:rPr>
          <w:t>Monitoring, Evaluation and Learning</w:t>
        </w:r>
        <w:r w:rsidR="0042772C">
          <w:rPr>
            <w:noProof/>
            <w:webHidden/>
          </w:rPr>
          <w:tab/>
        </w:r>
        <w:r w:rsidR="0042772C">
          <w:rPr>
            <w:noProof/>
            <w:webHidden/>
          </w:rPr>
          <w:fldChar w:fldCharType="begin"/>
        </w:r>
        <w:r w:rsidR="0042772C">
          <w:rPr>
            <w:noProof/>
            <w:webHidden/>
          </w:rPr>
          <w:instrText xml:space="preserve"> PAGEREF _Toc423711130 \h </w:instrText>
        </w:r>
        <w:r w:rsidR="0042772C">
          <w:rPr>
            <w:noProof/>
            <w:webHidden/>
          </w:rPr>
        </w:r>
        <w:r w:rsidR="0042772C">
          <w:rPr>
            <w:noProof/>
            <w:webHidden/>
          </w:rPr>
          <w:fldChar w:fldCharType="separate"/>
        </w:r>
        <w:r w:rsidR="00B5559D">
          <w:rPr>
            <w:noProof/>
            <w:webHidden/>
          </w:rPr>
          <w:t>13</w:t>
        </w:r>
        <w:r w:rsidR="0042772C">
          <w:rPr>
            <w:noProof/>
            <w:webHidden/>
          </w:rPr>
          <w:fldChar w:fldCharType="end"/>
        </w:r>
      </w:hyperlink>
    </w:p>
    <w:p w14:paraId="2E3140F5" w14:textId="77777777" w:rsidR="0042772C" w:rsidRDefault="00FC2ACD">
      <w:pPr>
        <w:pStyle w:val="TOC3"/>
        <w:tabs>
          <w:tab w:val="left" w:pos="660"/>
          <w:tab w:val="right" w:pos="9016"/>
        </w:tabs>
        <w:rPr>
          <w:rFonts w:eastAsiaTheme="minorEastAsia"/>
          <w:noProof/>
          <w:sz w:val="22"/>
          <w:szCs w:val="22"/>
          <w:lang w:eastAsia="en-AU"/>
        </w:rPr>
      </w:pPr>
      <w:hyperlink w:anchor="_Toc423711131" w:history="1">
        <w:r w:rsidR="0042772C" w:rsidRPr="007F5E31">
          <w:rPr>
            <w:rStyle w:val="Hyperlink"/>
            <w:noProof/>
          </w:rPr>
          <w:t>3.6.</w:t>
        </w:r>
        <w:r w:rsidR="0042772C">
          <w:rPr>
            <w:rFonts w:eastAsiaTheme="minorEastAsia"/>
            <w:noProof/>
            <w:sz w:val="22"/>
            <w:szCs w:val="22"/>
            <w:lang w:eastAsia="en-AU"/>
          </w:rPr>
          <w:tab/>
        </w:r>
        <w:r w:rsidR="0042772C" w:rsidRPr="007F5E31">
          <w:rPr>
            <w:rStyle w:val="Hyperlink"/>
            <w:noProof/>
          </w:rPr>
          <w:t>Summary</w:t>
        </w:r>
        <w:r w:rsidR="0042772C">
          <w:rPr>
            <w:noProof/>
            <w:webHidden/>
          </w:rPr>
          <w:tab/>
        </w:r>
        <w:r w:rsidR="0042772C">
          <w:rPr>
            <w:noProof/>
            <w:webHidden/>
          </w:rPr>
          <w:fldChar w:fldCharType="begin"/>
        </w:r>
        <w:r w:rsidR="0042772C">
          <w:rPr>
            <w:noProof/>
            <w:webHidden/>
          </w:rPr>
          <w:instrText xml:space="preserve"> PAGEREF _Toc423711131 \h </w:instrText>
        </w:r>
        <w:r w:rsidR="0042772C">
          <w:rPr>
            <w:noProof/>
            <w:webHidden/>
          </w:rPr>
        </w:r>
        <w:r w:rsidR="0042772C">
          <w:rPr>
            <w:noProof/>
            <w:webHidden/>
          </w:rPr>
          <w:fldChar w:fldCharType="separate"/>
        </w:r>
        <w:r w:rsidR="00B5559D">
          <w:rPr>
            <w:noProof/>
            <w:webHidden/>
          </w:rPr>
          <w:t>15</w:t>
        </w:r>
        <w:r w:rsidR="0042772C">
          <w:rPr>
            <w:noProof/>
            <w:webHidden/>
          </w:rPr>
          <w:fldChar w:fldCharType="end"/>
        </w:r>
      </w:hyperlink>
    </w:p>
    <w:p w14:paraId="3295BAF7" w14:textId="77777777" w:rsidR="0042772C" w:rsidRDefault="00FC2ACD">
      <w:pPr>
        <w:pStyle w:val="TOC2"/>
        <w:tabs>
          <w:tab w:val="left" w:pos="660"/>
          <w:tab w:val="right" w:pos="9016"/>
        </w:tabs>
        <w:rPr>
          <w:rFonts w:eastAsiaTheme="minorEastAsia"/>
          <w:b w:val="0"/>
          <w:bCs w:val="0"/>
          <w:noProof/>
          <w:sz w:val="22"/>
          <w:szCs w:val="22"/>
          <w:lang w:eastAsia="en-AU"/>
        </w:rPr>
      </w:pPr>
      <w:hyperlink w:anchor="_Toc423711132" w:history="1">
        <w:r w:rsidR="0042772C" w:rsidRPr="007F5E31">
          <w:rPr>
            <w:rStyle w:val="Hyperlink"/>
            <w:noProof/>
          </w:rPr>
          <w:t>4.</w:t>
        </w:r>
        <w:r w:rsidR="0042772C">
          <w:rPr>
            <w:rFonts w:eastAsiaTheme="minorEastAsia"/>
            <w:b w:val="0"/>
            <w:bCs w:val="0"/>
            <w:noProof/>
            <w:sz w:val="22"/>
            <w:szCs w:val="22"/>
            <w:lang w:eastAsia="en-AU"/>
          </w:rPr>
          <w:tab/>
        </w:r>
        <w:r w:rsidR="0042772C" w:rsidRPr="007F5E31">
          <w:rPr>
            <w:rStyle w:val="Hyperlink"/>
            <w:noProof/>
          </w:rPr>
          <w:t>Lessons to Inform a Future Design</w:t>
        </w:r>
        <w:r w:rsidR="0042772C">
          <w:rPr>
            <w:noProof/>
            <w:webHidden/>
          </w:rPr>
          <w:tab/>
        </w:r>
        <w:r w:rsidR="0042772C">
          <w:rPr>
            <w:noProof/>
            <w:webHidden/>
          </w:rPr>
          <w:fldChar w:fldCharType="begin"/>
        </w:r>
        <w:r w:rsidR="0042772C">
          <w:rPr>
            <w:noProof/>
            <w:webHidden/>
          </w:rPr>
          <w:instrText xml:space="preserve"> PAGEREF _Toc423711132 \h </w:instrText>
        </w:r>
        <w:r w:rsidR="0042772C">
          <w:rPr>
            <w:noProof/>
            <w:webHidden/>
          </w:rPr>
        </w:r>
        <w:r w:rsidR="0042772C">
          <w:rPr>
            <w:noProof/>
            <w:webHidden/>
          </w:rPr>
          <w:fldChar w:fldCharType="separate"/>
        </w:r>
        <w:r w:rsidR="00B5559D">
          <w:rPr>
            <w:noProof/>
            <w:webHidden/>
          </w:rPr>
          <w:t>15</w:t>
        </w:r>
        <w:r w:rsidR="0042772C">
          <w:rPr>
            <w:noProof/>
            <w:webHidden/>
          </w:rPr>
          <w:fldChar w:fldCharType="end"/>
        </w:r>
      </w:hyperlink>
    </w:p>
    <w:p w14:paraId="353265E8" w14:textId="77777777" w:rsidR="0042772C" w:rsidRDefault="00FC2ACD">
      <w:pPr>
        <w:pStyle w:val="TOC3"/>
        <w:tabs>
          <w:tab w:val="left" w:pos="660"/>
          <w:tab w:val="right" w:pos="9016"/>
        </w:tabs>
        <w:rPr>
          <w:rFonts w:eastAsiaTheme="minorEastAsia"/>
          <w:noProof/>
          <w:sz w:val="22"/>
          <w:szCs w:val="22"/>
          <w:lang w:eastAsia="en-AU"/>
        </w:rPr>
      </w:pPr>
      <w:hyperlink w:anchor="_Toc423711133" w:history="1">
        <w:r w:rsidR="0042772C" w:rsidRPr="007F5E31">
          <w:rPr>
            <w:rStyle w:val="Hyperlink"/>
            <w:noProof/>
          </w:rPr>
          <w:t>4.1.</w:t>
        </w:r>
        <w:r w:rsidR="0042772C">
          <w:rPr>
            <w:rFonts w:eastAsiaTheme="minorEastAsia"/>
            <w:noProof/>
            <w:sz w:val="22"/>
            <w:szCs w:val="22"/>
            <w:lang w:eastAsia="en-AU"/>
          </w:rPr>
          <w:tab/>
        </w:r>
        <w:r w:rsidR="0042772C" w:rsidRPr="007F5E31">
          <w:rPr>
            <w:rStyle w:val="Hyperlink"/>
            <w:noProof/>
          </w:rPr>
          <w:t>Introduction</w:t>
        </w:r>
        <w:r w:rsidR="0042772C">
          <w:rPr>
            <w:noProof/>
            <w:webHidden/>
          </w:rPr>
          <w:tab/>
        </w:r>
        <w:r w:rsidR="0042772C">
          <w:rPr>
            <w:noProof/>
            <w:webHidden/>
          </w:rPr>
          <w:fldChar w:fldCharType="begin"/>
        </w:r>
        <w:r w:rsidR="0042772C">
          <w:rPr>
            <w:noProof/>
            <w:webHidden/>
          </w:rPr>
          <w:instrText xml:space="preserve"> PAGEREF _Toc423711133 \h </w:instrText>
        </w:r>
        <w:r w:rsidR="0042772C">
          <w:rPr>
            <w:noProof/>
            <w:webHidden/>
          </w:rPr>
        </w:r>
        <w:r w:rsidR="0042772C">
          <w:rPr>
            <w:noProof/>
            <w:webHidden/>
          </w:rPr>
          <w:fldChar w:fldCharType="separate"/>
        </w:r>
        <w:r w:rsidR="00B5559D">
          <w:rPr>
            <w:noProof/>
            <w:webHidden/>
          </w:rPr>
          <w:t>15</w:t>
        </w:r>
        <w:r w:rsidR="0042772C">
          <w:rPr>
            <w:noProof/>
            <w:webHidden/>
          </w:rPr>
          <w:fldChar w:fldCharType="end"/>
        </w:r>
      </w:hyperlink>
    </w:p>
    <w:p w14:paraId="697C3664" w14:textId="77777777" w:rsidR="0042772C" w:rsidRDefault="00FC2ACD">
      <w:pPr>
        <w:pStyle w:val="TOC3"/>
        <w:tabs>
          <w:tab w:val="left" w:pos="660"/>
          <w:tab w:val="right" w:pos="9016"/>
        </w:tabs>
        <w:rPr>
          <w:rFonts w:eastAsiaTheme="minorEastAsia"/>
          <w:noProof/>
          <w:sz w:val="22"/>
          <w:szCs w:val="22"/>
          <w:lang w:eastAsia="en-AU"/>
        </w:rPr>
      </w:pPr>
      <w:hyperlink w:anchor="_Toc423711134" w:history="1">
        <w:r w:rsidR="0042772C" w:rsidRPr="007F5E31">
          <w:rPr>
            <w:rStyle w:val="Hyperlink"/>
            <w:noProof/>
          </w:rPr>
          <w:t>4.2.</w:t>
        </w:r>
        <w:r w:rsidR="0042772C">
          <w:rPr>
            <w:rFonts w:eastAsiaTheme="minorEastAsia"/>
            <w:noProof/>
            <w:sz w:val="22"/>
            <w:szCs w:val="22"/>
            <w:lang w:eastAsia="en-AU"/>
          </w:rPr>
          <w:tab/>
        </w:r>
        <w:r w:rsidR="0042772C" w:rsidRPr="007F5E31">
          <w:rPr>
            <w:rStyle w:val="Hyperlink"/>
            <w:noProof/>
          </w:rPr>
          <w:t>The Partnership Approach</w:t>
        </w:r>
        <w:r w:rsidR="0042772C">
          <w:rPr>
            <w:noProof/>
            <w:webHidden/>
          </w:rPr>
          <w:tab/>
        </w:r>
        <w:r w:rsidR="0042772C">
          <w:rPr>
            <w:noProof/>
            <w:webHidden/>
          </w:rPr>
          <w:fldChar w:fldCharType="begin"/>
        </w:r>
        <w:r w:rsidR="0042772C">
          <w:rPr>
            <w:noProof/>
            <w:webHidden/>
          </w:rPr>
          <w:instrText xml:space="preserve"> PAGEREF _Toc423711134 \h </w:instrText>
        </w:r>
        <w:r w:rsidR="0042772C">
          <w:rPr>
            <w:noProof/>
            <w:webHidden/>
          </w:rPr>
        </w:r>
        <w:r w:rsidR="0042772C">
          <w:rPr>
            <w:noProof/>
            <w:webHidden/>
          </w:rPr>
          <w:fldChar w:fldCharType="separate"/>
        </w:r>
        <w:r w:rsidR="00B5559D">
          <w:rPr>
            <w:noProof/>
            <w:webHidden/>
          </w:rPr>
          <w:t>16</w:t>
        </w:r>
        <w:r w:rsidR="0042772C">
          <w:rPr>
            <w:noProof/>
            <w:webHidden/>
          </w:rPr>
          <w:fldChar w:fldCharType="end"/>
        </w:r>
      </w:hyperlink>
    </w:p>
    <w:p w14:paraId="5D3F949C" w14:textId="77777777" w:rsidR="0042772C" w:rsidRDefault="00FC2ACD">
      <w:pPr>
        <w:pStyle w:val="TOC3"/>
        <w:tabs>
          <w:tab w:val="left" w:pos="660"/>
          <w:tab w:val="right" w:pos="9016"/>
        </w:tabs>
        <w:rPr>
          <w:rFonts w:eastAsiaTheme="minorEastAsia"/>
          <w:noProof/>
          <w:sz w:val="22"/>
          <w:szCs w:val="22"/>
          <w:lang w:eastAsia="en-AU"/>
        </w:rPr>
      </w:pPr>
      <w:hyperlink w:anchor="_Toc423711135" w:history="1">
        <w:r w:rsidR="0042772C" w:rsidRPr="007F5E31">
          <w:rPr>
            <w:rStyle w:val="Hyperlink"/>
            <w:noProof/>
          </w:rPr>
          <w:t>4.3.</w:t>
        </w:r>
        <w:r w:rsidR="0042772C">
          <w:rPr>
            <w:rFonts w:eastAsiaTheme="minorEastAsia"/>
            <w:noProof/>
            <w:sz w:val="22"/>
            <w:szCs w:val="22"/>
            <w:lang w:eastAsia="en-AU"/>
          </w:rPr>
          <w:tab/>
        </w:r>
        <w:r w:rsidR="0042772C" w:rsidRPr="007F5E31">
          <w:rPr>
            <w:rStyle w:val="Hyperlink"/>
            <w:noProof/>
          </w:rPr>
          <w:t>Efficiency and Effectiveness of the HPA Mechansim</w:t>
        </w:r>
        <w:r w:rsidR="0042772C">
          <w:rPr>
            <w:noProof/>
            <w:webHidden/>
          </w:rPr>
          <w:tab/>
        </w:r>
        <w:r w:rsidR="0042772C">
          <w:rPr>
            <w:noProof/>
            <w:webHidden/>
          </w:rPr>
          <w:fldChar w:fldCharType="begin"/>
        </w:r>
        <w:r w:rsidR="0042772C">
          <w:rPr>
            <w:noProof/>
            <w:webHidden/>
          </w:rPr>
          <w:instrText xml:space="preserve"> PAGEREF _Toc423711135 \h </w:instrText>
        </w:r>
        <w:r w:rsidR="0042772C">
          <w:rPr>
            <w:noProof/>
            <w:webHidden/>
          </w:rPr>
        </w:r>
        <w:r w:rsidR="0042772C">
          <w:rPr>
            <w:noProof/>
            <w:webHidden/>
          </w:rPr>
          <w:fldChar w:fldCharType="separate"/>
        </w:r>
        <w:r w:rsidR="00B5559D">
          <w:rPr>
            <w:noProof/>
            <w:webHidden/>
          </w:rPr>
          <w:t>16</w:t>
        </w:r>
        <w:r w:rsidR="0042772C">
          <w:rPr>
            <w:noProof/>
            <w:webHidden/>
          </w:rPr>
          <w:fldChar w:fldCharType="end"/>
        </w:r>
      </w:hyperlink>
    </w:p>
    <w:p w14:paraId="6B350F4B" w14:textId="77777777" w:rsidR="0042772C" w:rsidRDefault="00FC2ACD">
      <w:pPr>
        <w:pStyle w:val="TOC3"/>
        <w:tabs>
          <w:tab w:val="left" w:pos="660"/>
          <w:tab w:val="right" w:pos="9016"/>
        </w:tabs>
        <w:rPr>
          <w:rFonts w:eastAsiaTheme="minorEastAsia"/>
          <w:noProof/>
          <w:sz w:val="22"/>
          <w:szCs w:val="22"/>
          <w:lang w:eastAsia="en-AU"/>
        </w:rPr>
      </w:pPr>
      <w:hyperlink w:anchor="_Toc423711136" w:history="1">
        <w:r w:rsidR="0042772C" w:rsidRPr="007F5E31">
          <w:rPr>
            <w:rStyle w:val="Hyperlink"/>
            <w:noProof/>
          </w:rPr>
          <w:t>4.4.</w:t>
        </w:r>
        <w:r w:rsidR="0042772C">
          <w:rPr>
            <w:rFonts w:eastAsiaTheme="minorEastAsia"/>
            <w:noProof/>
            <w:sz w:val="22"/>
            <w:szCs w:val="22"/>
            <w:lang w:eastAsia="en-AU"/>
          </w:rPr>
          <w:tab/>
        </w:r>
        <w:r w:rsidR="0042772C" w:rsidRPr="007F5E31">
          <w:rPr>
            <w:rStyle w:val="Hyperlink"/>
            <w:noProof/>
          </w:rPr>
          <w:t>DRR and DRM Activities</w:t>
        </w:r>
        <w:r w:rsidR="0042772C">
          <w:rPr>
            <w:noProof/>
            <w:webHidden/>
          </w:rPr>
          <w:tab/>
        </w:r>
        <w:r w:rsidR="0042772C">
          <w:rPr>
            <w:noProof/>
            <w:webHidden/>
          </w:rPr>
          <w:fldChar w:fldCharType="begin"/>
        </w:r>
        <w:r w:rsidR="0042772C">
          <w:rPr>
            <w:noProof/>
            <w:webHidden/>
          </w:rPr>
          <w:instrText xml:space="preserve"> PAGEREF _Toc423711136 \h </w:instrText>
        </w:r>
        <w:r w:rsidR="0042772C">
          <w:rPr>
            <w:noProof/>
            <w:webHidden/>
          </w:rPr>
        </w:r>
        <w:r w:rsidR="0042772C">
          <w:rPr>
            <w:noProof/>
            <w:webHidden/>
          </w:rPr>
          <w:fldChar w:fldCharType="separate"/>
        </w:r>
        <w:r w:rsidR="00B5559D">
          <w:rPr>
            <w:noProof/>
            <w:webHidden/>
          </w:rPr>
          <w:t>17</w:t>
        </w:r>
        <w:r w:rsidR="0042772C">
          <w:rPr>
            <w:noProof/>
            <w:webHidden/>
          </w:rPr>
          <w:fldChar w:fldCharType="end"/>
        </w:r>
      </w:hyperlink>
    </w:p>
    <w:p w14:paraId="6D989C4A" w14:textId="77777777" w:rsidR="0042772C" w:rsidRDefault="00FC2ACD">
      <w:pPr>
        <w:pStyle w:val="TOC3"/>
        <w:tabs>
          <w:tab w:val="left" w:pos="660"/>
          <w:tab w:val="right" w:pos="9016"/>
        </w:tabs>
        <w:rPr>
          <w:rFonts w:eastAsiaTheme="minorEastAsia"/>
          <w:noProof/>
          <w:sz w:val="22"/>
          <w:szCs w:val="22"/>
          <w:lang w:eastAsia="en-AU"/>
        </w:rPr>
      </w:pPr>
      <w:hyperlink w:anchor="_Toc423711137" w:history="1">
        <w:r w:rsidR="0042772C" w:rsidRPr="007F5E31">
          <w:rPr>
            <w:rStyle w:val="Hyperlink"/>
            <w:noProof/>
          </w:rPr>
          <w:t>4.5.</w:t>
        </w:r>
        <w:r w:rsidR="0042772C">
          <w:rPr>
            <w:rFonts w:eastAsiaTheme="minorEastAsia"/>
            <w:noProof/>
            <w:sz w:val="22"/>
            <w:szCs w:val="22"/>
            <w:lang w:eastAsia="en-AU"/>
          </w:rPr>
          <w:tab/>
        </w:r>
        <w:r w:rsidR="0042772C" w:rsidRPr="007F5E31">
          <w:rPr>
            <w:rStyle w:val="Hyperlink"/>
            <w:noProof/>
          </w:rPr>
          <w:t>Monitoring, Evaluation and Learning</w:t>
        </w:r>
        <w:r w:rsidR="0042772C">
          <w:rPr>
            <w:noProof/>
            <w:webHidden/>
          </w:rPr>
          <w:tab/>
        </w:r>
        <w:r w:rsidR="0042772C">
          <w:rPr>
            <w:noProof/>
            <w:webHidden/>
          </w:rPr>
          <w:fldChar w:fldCharType="begin"/>
        </w:r>
        <w:r w:rsidR="0042772C">
          <w:rPr>
            <w:noProof/>
            <w:webHidden/>
          </w:rPr>
          <w:instrText xml:space="preserve"> PAGEREF _Toc423711137 \h </w:instrText>
        </w:r>
        <w:r w:rsidR="0042772C">
          <w:rPr>
            <w:noProof/>
            <w:webHidden/>
          </w:rPr>
        </w:r>
        <w:r w:rsidR="0042772C">
          <w:rPr>
            <w:noProof/>
            <w:webHidden/>
          </w:rPr>
          <w:fldChar w:fldCharType="separate"/>
        </w:r>
        <w:r w:rsidR="00B5559D">
          <w:rPr>
            <w:noProof/>
            <w:webHidden/>
          </w:rPr>
          <w:t>18</w:t>
        </w:r>
        <w:r w:rsidR="0042772C">
          <w:rPr>
            <w:noProof/>
            <w:webHidden/>
          </w:rPr>
          <w:fldChar w:fldCharType="end"/>
        </w:r>
      </w:hyperlink>
    </w:p>
    <w:p w14:paraId="12B0C03E" w14:textId="77777777" w:rsidR="0042772C" w:rsidRDefault="00FC2ACD">
      <w:pPr>
        <w:pStyle w:val="TOC3"/>
        <w:tabs>
          <w:tab w:val="left" w:pos="660"/>
          <w:tab w:val="right" w:pos="9016"/>
        </w:tabs>
        <w:rPr>
          <w:rFonts w:eastAsiaTheme="minorEastAsia"/>
          <w:noProof/>
          <w:sz w:val="22"/>
          <w:szCs w:val="22"/>
          <w:lang w:eastAsia="en-AU"/>
        </w:rPr>
      </w:pPr>
      <w:hyperlink w:anchor="_Toc423711138" w:history="1">
        <w:r w:rsidR="0042772C" w:rsidRPr="007F5E31">
          <w:rPr>
            <w:rStyle w:val="Hyperlink"/>
            <w:noProof/>
          </w:rPr>
          <w:t>4.6.</w:t>
        </w:r>
        <w:r w:rsidR="0042772C">
          <w:rPr>
            <w:rFonts w:eastAsiaTheme="minorEastAsia"/>
            <w:noProof/>
            <w:sz w:val="22"/>
            <w:szCs w:val="22"/>
            <w:lang w:eastAsia="en-AU"/>
          </w:rPr>
          <w:tab/>
        </w:r>
        <w:r w:rsidR="0042772C" w:rsidRPr="007F5E31">
          <w:rPr>
            <w:rStyle w:val="Hyperlink"/>
            <w:noProof/>
          </w:rPr>
          <w:t>Management and Governance Arrangements</w:t>
        </w:r>
        <w:r w:rsidR="0042772C">
          <w:rPr>
            <w:noProof/>
            <w:webHidden/>
          </w:rPr>
          <w:tab/>
        </w:r>
        <w:r w:rsidR="0042772C">
          <w:rPr>
            <w:noProof/>
            <w:webHidden/>
          </w:rPr>
          <w:fldChar w:fldCharType="begin"/>
        </w:r>
        <w:r w:rsidR="0042772C">
          <w:rPr>
            <w:noProof/>
            <w:webHidden/>
          </w:rPr>
          <w:instrText xml:space="preserve"> PAGEREF _Toc423711138 \h </w:instrText>
        </w:r>
        <w:r w:rsidR="0042772C">
          <w:rPr>
            <w:noProof/>
            <w:webHidden/>
          </w:rPr>
        </w:r>
        <w:r w:rsidR="0042772C">
          <w:rPr>
            <w:noProof/>
            <w:webHidden/>
          </w:rPr>
          <w:fldChar w:fldCharType="separate"/>
        </w:r>
        <w:r w:rsidR="00B5559D">
          <w:rPr>
            <w:noProof/>
            <w:webHidden/>
          </w:rPr>
          <w:t>18</w:t>
        </w:r>
        <w:r w:rsidR="0042772C">
          <w:rPr>
            <w:noProof/>
            <w:webHidden/>
          </w:rPr>
          <w:fldChar w:fldCharType="end"/>
        </w:r>
      </w:hyperlink>
    </w:p>
    <w:p w14:paraId="21CBB9A8" w14:textId="77777777" w:rsidR="0042772C" w:rsidRDefault="00FC2ACD">
      <w:pPr>
        <w:pStyle w:val="TOC3"/>
        <w:tabs>
          <w:tab w:val="left" w:pos="660"/>
          <w:tab w:val="right" w:pos="9016"/>
        </w:tabs>
        <w:rPr>
          <w:rFonts w:eastAsiaTheme="minorEastAsia"/>
          <w:noProof/>
          <w:sz w:val="22"/>
          <w:szCs w:val="22"/>
          <w:lang w:eastAsia="en-AU"/>
        </w:rPr>
      </w:pPr>
      <w:hyperlink w:anchor="_Toc423711139" w:history="1">
        <w:r w:rsidR="0042772C" w:rsidRPr="007F5E31">
          <w:rPr>
            <w:rStyle w:val="Hyperlink"/>
            <w:noProof/>
          </w:rPr>
          <w:t>4.7.</w:t>
        </w:r>
        <w:r w:rsidR="0042772C">
          <w:rPr>
            <w:rFonts w:eastAsiaTheme="minorEastAsia"/>
            <w:noProof/>
            <w:sz w:val="22"/>
            <w:szCs w:val="22"/>
            <w:lang w:eastAsia="en-AU"/>
          </w:rPr>
          <w:tab/>
        </w:r>
        <w:r w:rsidR="0042772C" w:rsidRPr="007F5E31">
          <w:rPr>
            <w:rStyle w:val="Hyperlink"/>
            <w:noProof/>
          </w:rPr>
          <w:t>Gender Equality, Disability-Inclusion and Protection</w:t>
        </w:r>
        <w:r w:rsidR="0042772C">
          <w:rPr>
            <w:noProof/>
            <w:webHidden/>
          </w:rPr>
          <w:tab/>
        </w:r>
        <w:r w:rsidR="0042772C">
          <w:rPr>
            <w:noProof/>
            <w:webHidden/>
          </w:rPr>
          <w:fldChar w:fldCharType="begin"/>
        </w:r>
        <w:r w:rsidR="0042772C">
          <w:rPr>
            <w:noProof/>
            <w:webHidden/>
          </w:rPr>
          <w:instrText xml:space="preserve"> PAGEREF _Toc423711139 \h </w:instrText>
        </w:r>
        <w:r w:rsidR="0042772C">
          <w:rPr>
            <w:noProof/>
            <w:webHidden/>
          </w:rPr>
        </w:r>
        <w:r w:rsidR="0042772C">
          <w:rPr>
            <w:noProof/>
            <w:webHidden/>
          </w:rPr>
          <w:fldChar w:fldCharType="separate"/>
        </w:r>
        <w:r w:rsidR="00B5559D">
          <w:rPr>
            <w:noProof/>
            <w:webHidden/>
          </w:rPr>
          <w:t>19</w:t>
        </w:r>
        <w:r w:rsidR="0042772C">
          <w:rPr>
            <w:noProof/>
            <w:webHidden/>
          </w:rPr>
          <w:fldChar w:fldCharType="end"/>
        </w:r>
      </w:hyperlink>
    </w:p>
    <w:p w14:paraId="1F9E1F2D" w14:textId="77777777" w:rsidR="0042772C" w:rsidRDefault="00FC2ACD">
      <w:pPr>
        <w:pStyle w:val="TOC3"/>
        <w:tabs>
          <w:tab w:val="left" w:pos="660"/>
          <w:tab w:val="right" w:pos="9016"/>
        </w:tabs>
        <w:rPr>
          <w:rFonts w:eastAsiaTheme="minorEastAsia"/>
          <w:noProof/>
          <w:sz w:val="22"/>
          <w:szCs w:val="22"/>
          <w:lang w:eastAsia="en-AU"/>
        </w:rPr>
      </w:pPr>
      <w:hyperlink w:anchor="_Toc423711140" w:history="1">
        <w:r w:rsidR="0042772C" w:rsidRPr="007F5E31">
          <w:rPr>
            <w:rStyle w:val="Hyperlink"/>
            <w:noProof/>
          </w:rPr>
          <w:t>4.8.</w:t>
        </w:r>
        <w:r w:rsidR="0042772C">
          <w:rPr>
            <w:rFonts w:eastAsiaTheme="minorEastAsia"/>
            <w:noProof/>
            <w:sz w:val="22"/>
            <w:szCs w:val="22"/>
            <w:lang w:eastAsia="en-AU"/>
          </w:rPr>
          <w:tab/>
        </w:r>
        <w:r w:rsidR="0042772C" w:rsidRPr="007F5E31">
          <w:rPr>
            <w:rStyle w:val="Hyperlink"/>
            <w:noProof/>
          </w:rPr>
          <w:t>Public Awareness and Visibility</w:t>
        </w:r>
        <w:r w:rsidR="0042772C">
          <w:rPr>
            <w:noProof/>
            <w:webHidden/>
          </w:rPr>
          <w:tab/>
        </w:r>
        <w:r w:rsidR="0042772C">
          <w:rPr>
            <w:noProof/>
            <w:webHidden/>
          </w:rPr>
          <w:fldChar w:fldCharType="begin"/>
        </w:r>
        <w:r w:rsidR="0042772C">
          <w:rPr>
            <w:noProof/>
            <w:webHidden/>
          </w:rPr>
          <w:instrText xml:space="preserve"> PAGEREF _Toc423711140 \h </w:instrText>
        </w:r>
        <w:r w:rsidR="0042772C">
          <w:rPr>
            <w:noProof/>
            <w:webHidden/>
          </w:rPr>
        </w:r>
        <w:r w:rsidR="0042772C">
          <w:rPr>
            <w:noProof/>
            <w:webHidden/>
          </w:rPr>
          <w:fldChar w:fldCharType="separate"/>
        </w:r>
        <w:r w:rsidR="00B5559D">
          <w:rPr>
            <w:noProof/>
            <w:webHidden/>
          </w:rPr>
          <w:t>19</w:t>
        </w:r>
        <w:r w:rsidR="0042772C">
          <w:rPr>
            <w:noProof/>
            <w:webHidden/>
          </w:rPr>
          <w:fldChar w:fldCharType="end"/>
        </w:r>
      </w:hyperlink>
    </w:p>
    <w:p w14:paraId="101EBD38" w14:textId="77777777" w:rsidR="0042772C" w:rsidRDefault="00FC2ACD">
      <w:pPr>
        <w:pStyle w:val="TOC3"/>
        <w:tabs>
          <w:tab w:val="left" w:pos="660"/>
          <w:tab w:val="right" w:pos="9016"/>
        </w:tabs>
        <w:rPr>
          <w:rFonts w:eastAsiaTheme="minorEastAsia"/>
          <w:noProof/>
          <w:sz w:val="22"/>
          <w:szCs w:val="22"/>
          <w:lang w:eastAsia="en-AU"/>
        </w:rPr>
      </w:pPr>
      <w:hyperlink w:anchor="_Toc423711141" w:history="1">
        <w:r w:rsidR="0042772C" w:rsidRPr="007F5E31">
          <w:rPr>
            <w:rStyle w:val="Hyperlink"/>
            <w:noProof/>
          </w:rPr>
          <w:t>4.9.</w:t>
        </w:r>
        <w:r w:rsidR="0042772C">
          <w:rPr>
            <w:rFonts w:eastAsiaTheme="minorEastAsia"/>
            <w:noProof/>
            <w:sz w:val="22"/>
            <w:szCs w:val="22"/>
            <w:lang w:eastAsia="en-AU"/>
          </w:rPr>
          <w:tab/>
        </w:r>
        <w:r w:rsidR="0042772C" w:rsidRPr="007F5E31">
          <w:rPr>
            <w:rStyle w:val="Hyperlink"/>
            <w:noProof/>
          </w:rPr>
          <w:t>Case Study 1: Vanuatu</w:t>
        </w:r>
        <w:r w:rsidR="0042772C">
          <w:rPr>
            <w:noProof/>
            <w:webHidden/>
          </w:rPr>
          <w:tab/>
        </w:r>
        <w:r w:rsidR="0042772C">
          <w:rPr>
            <w:noProof/>
            <w:webHidden/>
          </w:rPr>
          <w:fldChar w:fldCharType="begin"/>
        </w:r>
        <w:r w:rsidR="0042772C">
          <w:rPr>
            <w:noProof/>
            <w:webHidden/>
          </w:rPr>
          <w:instrText xml:space="preserve"> PAGEREF _Toc423711141 \h </w:instrText>
        </w:r>
        <w:r w:rsidR="0042772C">
          <w:rPr>
            <w:noProof/>
            <w:webHidden/>
          </w:rPr>
        </w:r>
        <w:r w:rsidR="0042772C">
          <w:rPr>
            <w:noProof/>
            <w:webHidden/>
          </w:rPr>
          <w:fldChar w:fldCharType="separate"/>
        </w:r>
        <w:r w:rsidR="00B5559D">
          <w:rPr>
            <w:noProof/>
            <w:webHidden/>
          </w:rPr>
          <w:t>20</w:t>
        </w:r>
        <w:r w:rsidR="0042772C">
          <w:rPr>
            <w:noProof/>
            <w:webHidden/>
          </w:rPr>
          <w:fldChar w:fldCharType="end"/>
        </w:r>
      </w:hyperlink>
    </w:p>
    <w:p w14:paraId="064DC5D8" w14:textId="38CA3240" w:rsidR="0042772C" w:rsidRDefault="00FC2ACD">
      <w:pPr>
        <w:pStyle w:val="TOC3"/>
        <w:tabs>
          <w:tab w:val="left" w:pos="880"/>
          <w:tab w:val="right" w:pos="9016"/>
        </w:tabs>
        <w:rPr>
          <w:rFonts w:eastAsiaTheme="minorEastAsia"/>
          <w:noProof/>
          <w:sz w:val="22"/>
          <w:szCs w:val="22"/>
          <w:lang w:eastAsia="en-AU"/>
        </w:rPr>
      </w:pPr>
      <w:hyperlink w:anchor="_Toc423711142" w:history="1">
        <w:r w:rsidR="0042772C" w:rsidRPr="007F5E31">
          <w:rPr>
            <w:rStyle w:val="Hyperlink"/>
            <w:noProof/>
          </w:rPr>
          <w:t>4.10.</w:t>
        </w:r>
        <w:r w:rsidR="0042772C">
          <w:rPr>
            <w:rStyle w:val="Hyperlink"/>
            <w:noProof/>
          </w:rPr>
          <w:t xml:space="preserve">   </w:t>
        </w:r>
        <w:r w:rsidR="0042772C" w:rsidRPr="007F5E31">
          <w:rPr>
            <w:rStyle w:val="Hyperlink"/>
            <w:noProof/>
          </w:rPr>
          <w:t>Case Study 2: Lebanon</w:t>
        </w:r>
        <w:r w:rsidR="0042772C">
          <w:rPr>
            <w:noProof/>
            <w:webHidden/>
          </w:rPr>
          <w:tab/>
        </w:r>
        <w:r w:rsidR="0042772C">
          <w:rPr>
            <w:noProof/>
            <w:webHidden/>
          </w:rPr>
          <w:fldChar w:fldCharType="begin"/>
        </w:r>
        <w:r w:rsidR="0042772C">
          <w:rPr>
            <w:noProof/>
            <w:webHidden/>
          </w:rPr>
          <w:instrText xml:space="preserve"> PAGEREF _Toc423711142 \h </w:instrText>
        </w:r>
        <w:r w:rsidR="0042772C">
          <w:rPr>
            <w:noProof/>
            <w:webHidden/>
          </w:rPr>
        </w:r>
        <w:r w:rsidR="0042772C">
          <w:rPr>
            <w:noProof/>
            <w:webHidden/>
          </w:rPr>
          <w:fldChar w:fldCharType="separate"/>
        </w:r>
        <w:r w:rsidR="00B5559D">
          <w:rPr>
            <w:noProof/>
            <w:webHidden/>
          </w:rPr>
          <w:t>21</w:t>
        </w:r>
        <w:r w:rsidR="0042772C">
          <w:rPr>
            <w:noProof/>
            <w:webHidden/>
          </w:rPr>
          <w:fldChar w:fldCharType="end"/>
        </w:r>
      </w:hyperlink>
    </w:p>
    <w:p w14:paraId="70ABA14B" w14:textId="613A6EF5" w:rsidR="0042772C" w:rsidRDefault="00FC2ACD">
      <w:pPr>
        <w:pStyle w:val="TOC3"/>
        <w:tabs>
          <w:tab w:val="left" w:pos="880"/>
          <w:tab w:val="right" w:pos="9016"/>
        </w:tabs>
        <w:rPr>
          <w:rFonts w:eastAsiaTheme="minorEastAsia"/>
          <w:noProof/>
          <w:sz w:val="22"/>
          <w:szCs w:val="22"/>
          <w:lang w:eastAsia="en-AU"/>
        </w:rPr>
      </w:pPr>
      <w:hyperlink w:anchor="_Toc423711143" w:history="1">
        <w:r w:rsidR="0042772C" w:rsidRPr="007F5E31">
          <w:rPr>
            <w:rStyle w:val="Hyperlink"/>
            <w:noProof/>
          </w:rPr>
          <w:t>4.11.</w:t>
        </w:r>
        <w:r w:rsidR="0042772C">
          <w:rPr>
            <w:rStyle w:val="Hyperlink"/>
            <w:noProof/>
          </w:rPr>
          <w:t xml:space="preserve">   S</w:t>
        </w:r>
        <w:r w:rsidR="0042772C" w:rsidRPr="007F5E31">
          <w:rPr>
            <w:rStyle w:val="Hyperlink"/>
            <w:noProof/>
          </w:rPr>
          <w:t>ummary</w:t>
        </w:r>
        <w:r w:rsidR="0042772C">
          <w:rPr>
            <w:noProof/>
            <w:webHidden/>
          </w:rPr>
          <w:tab/>
        </w:r>
        <w:r w:rsidR="0042772C">
          <w:rPr>
            <w:noProof/>
            <w:webHidden/>
          </w:rPr>
          <w:fldChar w:fldCharType="begin"/>
        </w:r>
        <w:r w:rsidR="0042772C">
          <w:rPr>
            <w:noProof/>
            <w:webHidden/>
          </w:rPr>
          <w:instrText xml:space="preserve"> PAGEREF _Toc423711143 \h </w:instrText>
        </w:r>
        <w:r w:rsidR="0042772C">
          <w:rPr>
            <w:noProof/>
            <w:webHidden/>
          </w:rPr>
        </w:r>
        <w:r w:rsidR="0042772C">
          <w:rPr>
            <w:noProof/>
            <w:webHidden/>
          </w:rPr>
          <w:fldChar w:fldCharType="separate"/>
        </w:r>
        <w:r w:rsidR="00B5559D">
          <w:rPr>
            <w:noProof/>
            <w:webHidden/>
          </w:rPr>
          <w:t>22</w:t>
        </w:r>
        <w:r w:rsidR="0042772C">
          <w:rPr>
            <w:noProof/>
            <w:webHidden/>
          </w:rPr>
          <w:fldChar w:fldCharType="end"/>
        </w:r>
      </w:hyperlink>
    </w:p>
    <w:p w14:paraId="0357B26F" w14:textId="77777777" w:rsidR="0042772C" w:rsidRDefault="00FC2ACD">
      <w:pPr>
        <w:pStyle w:val="TOC2"/>
        <w:tabs>
          <w:tab w:val="left" w:pos="660"/>
          <w:tab w:val="right" w:pos="9016"/>
        </w:tabs>
        <w:rPr>
          <w:rFonts w:eastAsiaTheme="minorEastAsia"/>
          <w:b w:val="0"/>
          <w:bCs w:val="0"/>
          <w:noProof/>
          <w:sz w:val="22"/>
          <w:szCs w:val="22"/>
          <w:lang w:eastAsia="en-AU"/>
        </w:rPr>
      </w:pPr>
      <w:hyperlink w:anchor="_Toc423711144" w:history="1">
        <w:r w:rsidR="0042772C" w:rsidRPr="007F5E31">
          <w:rPr>
            <w:rStyle w:val="Hyperlink"/>
            <w:noProof/>
          </w:rPr>
          <w:t>5.</w:t>
        </w:r>
        <w:r w:rsidR="0042772C">
          <w:rPr>
            <w:rFonts w:eastAsiaTheme="minorEastAsia"/>
            <w:b w:val="0"/>
            <w:bCs w:val="0"/>
            <w:noProof/>
            <w:sz w:val="22"/>
            <w:szCs w:val="22"/>
            <w:lang w:eastAsia="en-AU"/>
          </w:rPr>
          <w:tab/>
        </w:r>
        <w:r w:rsidR="0042772C" w:rsidRPr="007F5E31">
          <w:rPr>
            <w:rStyle w:val="Hyperlink"/>
            <w:noProof/>
          </w:rPr>
          <w:t>Recommendations</w:t>
        </w:r>
        <w:r w:rsidR="0042772C">
          <w:rPr>
            <w:noProof/>
            <w:webHidden/>
          </w:rPr>
          <w:tab/>
        </w:r>
        <w:r w:rsidR="0042772C">
          <w:rPr>
            <w:noProof/>
            <w:webHidden/>
          </w:rPr>
          <w:fldChar w:fldCharType="begin"/>
        </w:r>
        <w:r w:rsidR="0042772C">
          <w:rPr>
            <w:noProof/>
            <w:webHidden/>
          </w:rPr>
          <w:instrText xml:space="preserve"> PAGEREF _Toc423711144 \h </w:instrText>
        </w:r>
        <w:r w:rsidR="0042772C">
          <w:rPr>
            <w:noProof/>
            <w:webHidden/>
          </w:rPr>
        </w:r>
        <w:r w:rsidR="0042772C">
          <w:rPr>
            <w:noProof/>
            <w:webHidden/>
          </w:rPr>
          <w:fldChar w:fldCharType="separate"/>
        </w:r>
        <w:r w:rsidR="00B5559D">
          <w:rPr>
            <w:noProof/>
            <w:webHidden/>
          </w:rPr>
          <w:t>23</w:t>
        </w:r>
        <w:r w:rsidR="0042772C">
          <w:rPr>
            <w:noProof/>
            <w:webHidden/>
          </w:rPr>
          <w:fldChar w:fldCharType="end"/>
        </w:r>
      </w:hyperlink>
    </w:p>
    <w:p w14:paraId="56650D49" w14:textId="77777777" w:rsidR="0042772C" w:rsidRDefault="00FC2ACD" w:rsidP="0042772C">
      <w:pPr>
        <w:pStyle w:val="TOC2"/>
        <w:tabs>
          <w:tab w:val="right" w:pos="9016"/>
        </w:tabs>
        <w:spacing w:before="0"/>
        <w:rPr>
          <w:rFonts w:eastAsiaTheme="minorEastAsia"/>
          <w:b w:val="0"/>
          <w:bCs w:val="0"/>
          <w:noProof/>
          <w:sz w:val="22"/>
          <w:szCs w:val="22"/>
          <w:lang w:eastAsia="en-AU"/>
        </w:rPr>
      </w:pPr>
      <w:hyperlink w:anchor="_Toc423711145" w:history="1">
        <w:r w:rsidR="0042772C" w:rsidRPr="007F5E31">
          <w:rPr>
            <w:rStyle w:val="Hyperlink"/>
            <w:noProof/>
          </w:rPr>
          <w:t>Annex 1: Terms of Reference</w:t>
        </w:r>
        <w:r w:rsidR="0042772C">
          <w:rPr>
            <w:noProof/>
            <w:webHidden/>
          </w:rPr>
          <w:tab/>
        </w:r>
        <w:r w:rsidR="0042772C">
          <w:rPr>
            <w:noProof/>
            <w:webHidden/>
          </w:rPr>
          <w:fldChar w:fldCharType="begin"/>
        </w:r>
        <w:r w:rsidR="0042772C">
          <w:rPr>
            <w:noProof/>
            <w:webHidden/>
          </w:rPr>
          <w:instrText xml:space="preserve"> PAGEREF _Toc423711145 \h </w:instrText>
        </w:r>
        <w:r w:rsidR="0042772C">
          <w:rPr>
            <w:noProof/>
            <w:webHidden/>
          </w:rPr>
        </w:r>
        <w:r w:rsidR="0042772C">
          <w:rPr>
            <w:noProof/>
            <w:webHidden/>
          </w:rPr>
          <w:fldChar w:fldCharType="separate"/>
        </w:r>
        <w:r w:rsidR="00B5559D">
          <w:rPr>
            <w:noProof/>
            <w:webHidden/>
          </w:rPr>
          <w:t>24</w:t>
        </w:r>
        <w:r w:rsidR="0042772C">
          <w:rPr>
            <w:noProof/>
            <w:webHidden/>
          </w:rPr>
          <w:fldChar w:fldCharType="end"/>
        </w:r>
      </w:hyperlink>
    </w:p>
    <w:p w14:paraId="7DBB95DD" w14:textId="77777777" w:rsidR="0042772C" w:rsidRDefault="00FC2ACD" w:rsidP="0042772C">
      <w:pPr>
        <w:pStyle w:val="TOC2"/>
        <w:tabs>
          <w:tab w:val="right" w:pos="9016"/>
        </w:tabs>
        <w:spacing w:before="0"/>
        <w:rPr>
          <w:rFonts w:eastAsiaTheme="minorEastAsia"/>
          <w:b w:val="0"/>
          <w:bCs w:val="0"/>
          <w:noProof/>
          <w:sz w:val="22"/>
          <w:szCs w:val="22"/>
          <w:lang w:eastAsia="en-AU"/>
        </w:rPr>
      </w:pPr>
      <w:hyperlink w:anchor="_Toc423711146" w:history="1">
        <w:r w:rsidR="0042772C" w:rsidRPr="007F5E31">
          <w:rPr>
            <w:rStyle w:val="Hyperlink"/>
            <w:noProof/>
          </w:rPr>
          <w:t>Annex 2: HPA Funding and Activation</w:t>
        </w:r>
        <w:r w:rsidR="0042772C">
          <w:rPr>
            <w:noProof/>
            <w:webHidden/>
          </w:rPr>
          <w:tab/>
        </w:r>
        <w:r w:rsidR="0042772C">
          <w:rPr>
            <w:noProof/>
            <w:webHidden/>
          </w:rPr>
          <w:fldChar w:fldCharType="begin"/>
        </w:r>
        <w:r w:rsidR="0042772C">
          <w:rPr>
            <w:noProof/>
            <w:webHidden/>
          </w:rPr>
          <w:instrText xml:space="preserve"> PAGEREF _Toc423711146 \h </w:instrText>
        </w:r>
        <w:r w:rsidR="0042772C">
          <w:rPr>
            <w:noProof/>
            <w:webHidden/>
          </w:rPr>
        </w:r>
        <w:r w:rsidR="0042772C">
          <w:rPr>
            <w:noProof/>
            <w:webHidden/>
          </w:rPr>
          <w:fldChar w:fldCharType="separate"/>
        </w:r>
        <w:r w:rsidR="00B5559D">
          <w:rPr>
            <w:noProof/>
            <w:webHidden/>
          </w:rPr>
          <w:t>29</w:t>
        </w:r>
        <w:r w:rsidR="0042772C">
          <w:rPr>
            <w:noProof/>
            <w:webHidden/>
          </w:rPr>
          <w:fldChar w:fldCharType="end"/>
        </w:r>
      </w:hyperlink>
    </w:p>
    <w:p w14:paraId="20713227" w14:textId="4C687A65" w:rsidR="0042772C" w:rsidRDefault="00FC2ACD" w:rsidP="0042772C">
      <w:pPr>
        <w:pStyle w:val="TOC2"/>
        <w:tabs>
          <w:tab w:val="right" w:pos="9016"/>
        </w:tabs>
        <w:spacing w:before="0"/>
        <w:rPr>
          <w:rFonts w:eastAsiaTheme="minorEastAsia"/>
          <w:b w:val="0"/>
          <w:bCs w:val="0"/>
          <w:noProof/>
          <w:sz w:val="22"/>
          <w:szCs w:val="22"/>
          <w:lang w:eastAsia="en-AU"/>
        </w:rPr>
      </w:pPr>
      <w:hyperlink w:anchor="_Toc423711147" w:history="1">
        <w:r w:rsidR="0042772C" w:rsidRPr="007F5E31">
          <w:rPr>
            <w:rStyle w:val="Hyperlink"/>
            <w:noProof/>
          </w:rPr>
          <w:t>Annex 3: Approach to Consultations</w:t>
        </w:r>
        <w:r w:rsidR="0042772C">
          <w:rPr>
            <w:noProof/>
            <w:webHidden/>
          </w:rPr>
          <w:tab/>
        </w:r>
        <w:r w:rsidR="0042772C">
          <w:rPr>
            <w:noProof/>
            <w:webHidden/>
          </w:rPr>
          <w:fldChar w:fldCharType="begin"/>
        </w:r>
        <w:r w:rsidR="0042772C">
          <w:rPr>
            <w:noProof/>
            <w:webHidden/>
          </w:rPr>
          <w:instrText xml:space="preserve"> PAGEREF _Toc423711147 \h </w:instrText>
        </w:r>
        <w:r w:rsidR="0042772C">
          <w:rPr>
            <w:noProof/>
            <w:webHidden/>
          </w:rPr>
        </w:r>
        <w:r w:rsidR="0042772C">
          <w:rPr>
            <w:noProof/>
            <w:webHidden/>
          </w:rPr>
          <w:fldChar w:fldCharType="separate"/>
        </w:r>
        <w:r w:rsidR="00B5559D">
          <w:rPr>
            <w:noProof/>
            <w:webHidden/>
          </w:rPr>
          <w:t>30</w:t>
        </w:r>
        <w:r w:rsidR="0042772C">
          <w:rPr>
            <w:noProof/>
            <w:webHidden/>
          </w:rPr>
          <w:fldChar w:fldCharType="end"/>
        </w:r>
      </w:hyperlink>
    </w:p>
    <w:p w14:paraId="319DC72E" w14:textId="77777777" w:rsidR="0042772C" w:rsidRDefault="00FC2ACD" w:rsidP="0042772C">
      <w:pPr>
        <w:pStyle w:val="TOC2"/>
        <w:tabs>
          <w:tab w:val="right" w:pos="9016"/>
        </w:tabs>
        <w:spacing w:before="0"/>
        <w:rPr>
          <w:rFonts w:eastAsiaTheme="minorEastAsia"/>
          <w:b w:val="0"/>
          <w:bCs w:val="0"/>
          <w:noProof/>
          <w:sz w:val="22"/>
          <w:szCs w:val="22"/>
          <w:lang w:eastAsia="en-AU"/>
        </w:rPr>
      </w:pPr>
      <w:hyperlink w:anchor="_Toc423711148" w:history="1">
        <w:r w:rsidR="0042772C" w:rsidRPr="007F5E31">
          <w:rPr>
            <w:rStyle w:val="Hyperlink"/>
            <w:noProof/>
          </w:rPr>
          <w:t>Annex 4: List of People Consulted</w:t>
        </w:r>
        <w:r w:rsidR="0042772C">
          <w:rPr>
            <w:noProof/>
            <w:webHidden/>
          </w:rPr>
          <w:tab/>
        </w:r>
        <w:r w:rsidR="0042772C">
          <w:rPr>
            <w:noProof/>
            <w:webHidden/>
          </w:rPr>
          <w:fldChar w:fldCharType="begin"/>
        </w:r>
        <w:r w:rsidR="0042772C">
          <w:rPr>
            <w:noProof/>
            <w:webHidden/>
          </w:rPr>
          <w:instrText xml:space="preserve"> PAGEREF _Toc423711148 \h </w:instrText>
        </w:r>
        <w:r w:rsidR="0042772C">
          <w:rPr>
            <w:noProof/>
            <w:webHidden/>
          </w:rPr>
        </w:r>
        <w:r w:rsidR="0042772C">
          <w:rPr>
            <w:noProof/>
            <w:webHidden/>
          </w:rPr>
          <w:fldChar w:fldCharType="separate"/>
        </w:r>
        <w:r w:rsidR="00B5559D">
          <w:rPr>
            <w:noProof/>
            <w:webHidden/>
          </w:rPr>
          <w:t>32</w:t>
        </w:r>
        <w:r w:rsidR="0042772C">
          <w:rPr>
            <w:noProof/>
            <w:webHidden/>
          </w:rPr>
          <w:fldChar w:fldCharType="end"/>
        </w:r>
      </w:hyperlink>
    </w:p>
    <w:p w14:paraId="2281A5B9" w14:textId="5DEE41E5" w:rsidR="00A27E01" w:rsidRDefault="00FC2ACD" w:rsidP="0042772C">
      <w:pPr>
        <w:pStyle w:val="TOC2"/>
        <w:tabs>
          <w:tab w:val="right" w:pos="9016"/>
        </w:tabs>
        <w:spacing w:before="0"/>
        <w:rPr>
          <w:rFonts w:ascii="Calibri" w:eastAsiaTheme="majorEastAsia" w:hAnsi="Calibri" w:cstheme="majorBidi"/>
          <w:b w:val="0"/>
          <w:bCs w:val="0"/>
          <w:color w:val="757575"/>
          <w:sz w:val="50"/>
          <w:szCs w:val="26"/>
          <w:highlight w:val="lightGray"/>
        </w:rPr>
      </w:pPr>
      <w:hyperlink w:anchor="_Toc423711149" w:history="1">
        <w:r w:rsidR="0042772C" w:rsidRPr="007F5E31">
          <w:rPr>
            <w:rStyle w:val="Hyperlink"/>
            <w:noProof/>
          </w:rPr>
          <w:t>Annex 5: List of Documents Reviewed</w:t>
        </w:r>
        <w:r w:rsidR="0042772C">
          <w:rPr>
            <w:noProof/>
            <w:webHidden/>
          </w:rPr>
          <w:tab/>
        </w:r>
        <w:r w:rsidR="0042772C">
          <w:rPr>
            <w:noProof/>
            <w:webHidden/>
          </w:rPr>
          <w:fldChar w:fldCharType="begin"/>
        </w:r>
        <w:r w:rsidR="0042772C">
          <w:rPr>
            <w:noProof/>
            <w:webHidden/>
          </w:rPr>
          <w:instrText xml:space="preserve"> PAGEREF _Toc423711149 \h </w:instrText>
        </w:r>
        <w:r w:rsidR="0042772C">
          <w:rPr>
            <w:noProof/>
            <w:webHidden/>
          </w:rPr>
        </w:r>
        <w:r w:rsidR="0042772C">
          <w:rPr>
            <w:noProof/>
            <w:webHidden/>
          </w:rPr>
          <w:fldChar w:fldCharType="separate"/>
        </w:r>
        <w:r w:rsidR="00B5559D">
          <w:rPr>
            <w:noProof/>
            <w:webHidden/>
          </w:rPr>
          <w:t>34</w:t>
        </w:r>
        <w:r w:rsidR="0042772C">
          <w:rPr>
            <w:noProof/>
            <w:webHidden/>
          </w:rPr>
          <w:fldChar w:fldCharType="end"/>
        </w:r>
      </w:hyperlink>
      <w:r w:rsidR="001B3ECA">
        <w:rPr>
          <w:rFonts w:asciiTheme="majorHAnsi" w:hAnsiTheme="majorHAnsi"/>
          <w:caps/>
          <w:szCs w:val="24"/>
        </w:rPr>
        <w:fldChar w:fldCharType="end"/>
      </w:r>
      <w:r w:rsidR="00A27E01">
        <w:rPr>
          <w:highlight w:val="lightGray"/>
        </w:rPr>
        <w:br w:type="page"/>
      </w:r>
    </w:p>
    <w:p w14:paraId="62BF5D88" w14:textId="77777777" w:rsidR="00914B6A" w:rsidRPr="007C2666" w:rsidRDefault="00E40F69" w:rsidP="00A27E01">
      <w:pPr>
        <w:pStyle w:val="Heading2"/>
      </w:pPr>
      <w:bookmarkStart w:id="4" w:name="_Toc423711120"/>
      <w:r w:rsidRPr="00E40F69">
        <w:t>Purpose</w:t>
      </w:r>
      <w:bookmarkEnd w:id="4"/>
      <w:r w:rsidRPr="00E40F69">
        <w:t xml:space="preserve"> </w:t>
      </w:r>
    </w:p>
    <w:p w14:paraId="62741481" w14:textId="0CE5E857" w:rsidR="003066B0" w:rsidRDefault="003066B0" w:rsidP="00E40F69">
      <w:pPr>
        <w:pStyle w:val="SDAbodytext"/>
      </w:pPr>
      <w:r>
        <w:t xml:space="preserve">The purpose of this report is to present the findings from, and recommendations of, an independent review of the </w:t>
      </w:r>
      <w:r w:rsidRPr="003066B0">
        <w:rPr>
          <w:i/>
        </w:rPr>
        <w:t>DFAT-NGO Huma</w:t>
      </w:r>
      <w:r w:rsidR="003F23AF">
        <w:rPr>
          <w:i/>
        </w:rPr>
        <w:t>nitarian Partnership Agreement (</w:t>
      </w:r>
      <w:r w:rsidRPr="003066B0">
        <w:rPr>
          <w:i/>
        </w:rPr>
        <w:t>2011-201</w:t>
      </w:r>
      <w:r w:rsidR="00A90DB9">
        <w:rPr>
          <w:i/>
        </w:rPr>
        <w:t>6</w:t>
      </w:r>
      <w:r w:rsidR="003F23AF">
        <w:rPr>
          <w:i/>
        </w:rPr>
        <w:t>)</w:t>
      </w:r>
      <w:r>
        <w:t xml:space="preserve">. The aim of the review, as set out in its terms of reference, </w:t>
      </w:r>
      <w:r w:rsidR="00774F5E">
        <w:t>is</w:t>
      </w:r>
      <w:r>
        <w:t xml:space="preserve"> to:</w:t>
      </w:r>
    </w:p>
    <w:p w14:paraId="1A437A7F" w14:textId="77777777" w:rsidR="003066B0" w:rsidRDefault="003066B0" w:rsidP="003066B0">
      <w:pPr>
        <w:pStyle w:val="SDAbulletpoints"/>
      </w:pPr>
      <w:r>
        <w:t>Determine whether the three main outcomes of delivering rapid emergency assistance, collaborative Disaster Risk Reduction (DRR) and Disaster Risk Management (DRM) activities and strategic dialogue were achieved; and</w:t>
      </w:r>
    </w:p>
    <w:p w14:paraId="29BF279D" w14:textId="77777777" w:rsidR="003066B0" w:rsidRDefault="003066B0" w:rsidP="003066B0">
      <w:pPr>
        <w:pStyle w:val="SDAbulletpoints"/>
      </w:pPr>
      <w:r>
        <w:t xml:space="preserve">Identify lessons learned from the </w:t>
      </w:r>
      <w:r w:rsidR="000855DA">
        <w:t xml:space="preserve">Humanitarian Partnership Agreement (HPA) </w:t>
      </w:r>
      <w:r>
        <w:t xml:space="preserve">to inform a design process for emergency response, DRR and DRM. </w:t>
      </w:r>
    </w:p>
    <w:p w14:paraId="255F84D5" w14:textId="77777777" w:rsidR="00651292" w:rsidRPr="00651292" w:rsidRDefault="003066B0" w:rsidP="00112148">
      <w:pPr>
        <w:pStyle w:val="SDAbodytext"/>
      </w:pPr>
      <w:r>
        <w:t xml:space="preserve">The review was commissioned by the Department of Foreign Affairs and Trade (DFAT) </w:t>
      </w:r>
      <w:r w:rsidR="00774F5E">
        <w:t xml:space="preserve">and took place over the period from April – July 2015. </w:t>
      </w:r>
      <w:r>
        <w:t xml:space="preserve"> </w:t>
      </w:r>
    </w:p>
    <w:p w14:paraId="5C77AE34" w14:textId="77777777" w:rsidR="006C50DD" w:rsidRPr="00651292" w:rsidRDefault="00E811EB" w:rsidP="006C50DD">
      <w:pPr>
        <w:pStyle w:val="SDAbodytext"/>
      </w:pPr>
      <w:r>
        <w:t xml:space="preserve">The terms of reference state that the </w:t>
      </w:r>
      <w:r w:rsidR="003F23AF">
        <w:t xml:space="preserve">review’s </w:t>
      </w:r>
      <w:r>
        <w:t xml:space="preserve">findings will </w:t>
      </w:r>
      <w:r w:rsidR="000855DA">
        <w:t>inform a</w:t>
      </w:r>
      <w:r>
        <w:t xml:space="preserve"> design of a future mechanism by which partners can effectively engage in humanitarian responses. </w:t>
      </w:r>
      <w:r w:rsidR="002B7FE2">
        <w:t xml:space="preserve"> </w:t>
      </w:r>
      <w:r w:rsidR="006C50DD">
        <w:t>DFAT and the review team therefore agreed that t</w:t>
      </w:r>
      <w:r w:rsidR="006C50DD" w:rsidRPr="00651292">
        <w:t>he primary purpose of this review is on learning</w:t>
      </w:r>
      <w:r w:rsidR="006C50DD">
        <w:t xml:space="preserve">, with a </w:t>
      </w:r>
      <w:r w:rsidR="006C50DD" w:rsidRPr="00651292">
        <w:t>secondary purpose on accountability</w:t>
      </w:r>
      <w:r w:rsidR="006C50DD">
        <w:t>.</w:t>
      </w:r>
      <w:r w:rsidR="006C50DD" w:rsidRPr="00651292">
        <w:t xml:space="preserve"> </w:t>
      </w:r>
    </w:p>
    <w:p w14:paraId="7662DE06" w14:textId="77777777" w:rsidR="00E811EB" w:rsidRDefault="003066B0" w:rsidP="00E811EB">
      <w:pPr>
        <w:pStyle w:val="SDAbodytext"/>
        <w:rPr>
          <w:u w:val="single"/>
        </w:rPr>
      </w:pPr>
      <w:r>
        <w:t xml:space="preserve">A </w:t>
      </w:r>
      <w:r w:rsidR="004B7D4C">
        <w:t>copy</w:t>
      </w:r>
      <w:r>
        <w:t xml:space="preserve"> of the</w:t>
      </w:r>
      <w:r w:rsidR="002B7FE2">
        <w:t xml:space="preserve"> </w:t>
      </w:r>
      <w:r>
        <w:t xml:space="preserve">terms of reference can be found at </w:t>
      </w:r>
      <w:r w:rsidRPr="00887E1E">
        <w:rPr>
          <w:u w:val="single"/>
        </w:rPr>
        <w:t>Annex 1</w:t>
      </w:r>
      <w:r w:rsidR="00E811EB">
        <w:rPr>
          <w:u w:val="single"/>
        </w:rPr>
        <w:t>.</w:t>
      </w:r>
    </w:p>
    <w:p w14:paraId="49EC83EA" w14:textId="77777777" w:rsidR="00B60CA1" w:rsidRPr="00B60CA1" w:rsidRDefault="00767BE5" w:rsidP="00E811EB">
      <w:pPr>
        <w:pStyle w:val="Heading2"/>
      </w:pPr>
      <w:bookmarkStart w:id="5" w:name="_Toc423711121"/>
      <w:r>
        <w:t>Introduction and Context</w:t>
      </w:r>
      <w:bookmarkEnd w:id="5"/>
    </w:p>
    <w:p w14:paraId="118D8C0A" w14:textId="77777777" w:rsidR="0055156D" w:rsidRDefault="00233B5D" w:rsidP="00233B5D">
      <w:pPr>
        <w:pStyle w:val="SDANumberedheading2"/>
        <w:ind w:left="709" w:hanging="709"/>
      </w:pPr>
      <w:bookmarkStart w:id="6" w:name="_Toc423711122"/>
      <w:r>
        <w:t>Background</w:t>
      </w:r>
      <w:r w:rsidR="002108DE">
        <w:t xml:space="preserve"> to the HPA</w:t>
      </w:r>
      <w:bookmarkEnd w:id="6"/>
    </w:p>
    <w:p w14:paraId="7E4221E9" w14:textId="77777777" w:rsidR="00774F5E" w:rsidRDefault="00774F5E" w:rsidP="00774F5E">
      <w:pPr>
        <w:pStyle w:val="SDAbodytext"/>
      </w:pPr>
      <w:r w:rsidRPr="00E40F69">
        <w:t>In June 201</w:t>
      </w:r>
      <w:r>
        <w:t xml:space="preserve">1, the Australian Government launched </w:t>
      </w:r>
      <w:r w:rsidRPr="00A27E01">
        <w:t>the</w:t>
      </w:r>
      <w:r w:rsidRPr="00774F5E">
        <w:rPr>
          <w:i/>
        </w:rPr>
        <w:t xml:space="preserve"> AusAID-NGO Humanitarian Partnership </w:t>
      </w:r>
      <w:r w:rsidRPr="000855DA">
        <w:rPr>
          <w:i/>
        </w:rPr>
        <w:t>Agreement</w:t>
      </w:r>
      <w:r w:rsidR="003F23AF" w:rsidRPr="000855DA">
        <w:rPr>
          <w:i/>
        </w:rPr>
        <w:t xml:space="preserve"> (</w:t>
      </w:r>
      <w:r w:rsidR="000855DA" w:rsidRPr="000855DA">
        <w:rPr>
          <w:i/>
        </w:rPr>
        <w:t>2011-201</w:t>
      </w:r>
      <w:r w:rsidR="000855DA">
        <w:rPr>
          <w:i/>
        </w:rPr>
        <w:t>4</w:t>
      </w:r>
      <w:r w:rsidR="003F23AF" w:rsidRPr="000855DA">
        <w:rPr>
          <w:i/>
        </w:rPr>
        <w:t>)</w:t>
      </w:r>
      <w:r w:rsidRPr="000855DA">
        <w:rPr>
          <w:i/>
        </w:rPr>
        <w:t>.</w:t>
      </w:r>
      <w:r w:rsidR="003F23AF" w:rsidRPr="000855DA">
        <w:rPr>
          <w:rStyle w:val="FootnoteReference"/>
          <w:i/>
        </w:rPr>
        <w:footnoteReference w:id="1"/>
      </w:r>
      <w:r w:rsidRPr="00E40F69">
        <w:t xml:space="preserve"> </w:t>
      </w:r>
      <w:r>
        <w:t>The</w:t>
      </w:r>
      <w:r w:rsidR="003F23AF">
        <w:t xml:space="preserve"> </w:t>
      </w:r>
      <w:r>
        <w:t xml:space="preserve">HPA replaced the </w:t>
      </w:r>
      <w:r w:rsidRPr="00774F5E">
        <w:t>Periodic Funding Agreement for Disaster Risk Management (2006-2009).</w:t>
      </w:r>
      <w:r w:rsidR="00901EF7">
        <w:t xml:space="preserve"> </w:t>
      </w:r>
      <w:r w:rsidR="006C50DD">
        <w:t>The design of the HPA was informed by a review of this agreement.</w:t>
      </w:r>
      <w:r w:rsidR="006C50DD">
        <w:rPr>
          <w:rStyle w:val="FootnoteReference"/>
        </w:rPr>
        <w:footnoteReference w:id="2"/>
      </w:r>
      <w:r w:rsidR="006C50DD">
        <w:t xml:space="preserve"> </w:t>
      </w:r>
      <w:r w:rsidR="00A27E01">
        <w:t xml:space="preserve"> </w:t>
      </w:r>
      <w:r w:rsidR="00901EF7">
        <w:t>The HPA is separate from other DFAT-NGO partnership arrangements</w:t>
      </w:r>
      <w:r w:rsidR="003F23AF">
        <w:t>,</w:t>
      </w:r>
      <w:r w:rsidR="00901EF7">
        <w:t xml:space="preserve"> such as the Australia</w:t>
      </w:r>
      <w:r w:rsidR="003F23AF">
        <w:t>n</w:t>
      </w:r>
      <w:r w:rsidR="00901EF7">
        <w:t>-NGO Cooperation Program (ANCP).</w:t>
      </w:r>
      <w:r w:rsidR="00901EF7">
        <w:rPr>
          <w:rStyle w:val="FootnoteReference"/>
        </w:rPr>
        <w:footnoteReference w:id="3"/>
      </w:r>
    </w:p>
    <w:p w14:paraId="4A1BF662" w14:textId="77777777" w:rsidR="000855DA" w:rsidRDefault="00901EF7" w:rsidP="00774F5E">
      <w:pPr>
        <w:pStyle w:val="SDAbodytext"/>
      </w:pPr>
      <w:r>
        <w:t xml:space="preserve">The </w:t>
      </w:r>
      <w:r w:rsidR="006C50DD">
        <w:t xml:space="preserve">stated </w:t>
      </w:r>
      <w:r w:rsidRPr="0040629D">
        <w:rPr>
          <w:b/>
        </w:rPr>
        <w:t>vision</w:t>
      </w:r>
      <w:r>
        <w:t xml:space="preserve"> of the HPA is: </w:t>
      </w:r>
    </w:p>
    <w:p w14:paraId="2DC7E87E" w14:textId="77777777" w:rsidR="00901EF7" w:rsidRPr="000855DA" w:rsidRDefault="003F23AF" w:rsidP="000855DA">
      <w:pPr>
        <w:pStyle w:val="SDAbulletpoints"/>
      </w:pPr>
      <w:r w:rsidRPr="000855DA">
        <w:t xml:space="preserve">That DFAT </w:t>
      </w:r>
      <w:r w:rsidR="0040629D" w:rsidRPr="000855DA">
        <w:t>humanitarian</w:t>
      </w:r>
      <w:r w:rsidR="00901EF7" w:rsidRPr="000855DA">
        <w:t xml:space="preserve"> partners will deliver better outcomes for people affected by disasters around the world by enhancing inter-agency collaboration, upholding the highest standards of accountability and ensuring the rapid release of funds during crises.</w:t>
      </w:r>
    </w:p>
    <w:p w14:paraId="692EE9E9" w14:textId="77777777" w:rsidR="00774F5E" w:rsidRDefault="003F23AF" w:rsidP="00774F5E">
      <w:pPr>
        <w:pStyle w:val="SDAbodytext"/>
      </w:pPr>
      <w:r>
        <w:t xml:space="preserve">The HPA is a mechanism for </w:t>
      </w:r>
      <w:r w:rsidR="00774F5E">
        <w:t>DFAT to engage with six Australian Non-Government Organisations (NGOs</w:t>
      </w:r>
      <w:r w:rsidR="00A27E01">
        <w:t>)</w:t>
      </w:r>
      <w:r w:rsidR="00774F5E" w:rsidRPr="00774F5E">
        <w:rPr>
          <w:rStyle w:val="FootnoteReference"/>
        </w:rPr>
        <w:footnoteReference w:id="4"/>
      </w:r>
      <w:r w:rsidR="00774F5E" w:rsidRPr="00774F5E">
        <w:rPr>
          <w:rStyle w:val="FootnoteReference"/>
        </w:rPr>
        <w:t xml:space="preserve"> </w:t>
      </w:r>
      <w:r w:rsidR="00774F5E">
        <w:t xml:space="preserve">in rapid-onset humanitarian emergency responses.  The HPA also </w:t>
      </w:r>
      <w:r w:rsidR="00774F5E" w:rsidRPr="006A0FDC">
        <w:t>provides multi-year funding</w:t>
      </w:r>
      <w:r w:rsidR="00774F5E">
        <w:t xml:space="preserve"> for DRR and DRM activities implemented by the NGOs </w:t>
      </w:r>
      <w:r w:rsidR="006C50DD">
        <w:t xml:space="preserve">that </w:t>
      </w:r>
      <w:proofErr w:type="gramStart"/>
      <w:r w:rsidR="006C50DD">
        <w:t>aims</w:t>
      </w:r>
      <w:proofErr w:type="gramEnd"/>
      <w:r w:rsidR="006C50DD">
        <w:t xml:space="preserve"> </w:t>
      </w:r>
      <w:r w:rsidR="00774F5E">
        <w:t xml:space="preserve">to strengthen community resilience and preparedness.  As a partnership, the HPA </w:t>
      </w:r>
      <w:r w:rsidR="00A27E01">
        <w:t xml:space="preserve">also </w:t>
      </w:r>
      <w:r w:rsidR="00774F5E">
        <w:t xml:space="preserve">aims to improve collaboration, shared learning and dialogue on relevant policy issues amongst all seven HPA partners. </w:t>
      </w:r>
    </w:p>
    <w:p w14:paraId="47D07C11" w14:textId="77777777" w:rsidR="00C66434" w:rsidRPr="00FA6C87" w:rsidRDefault="00E811EB" w:rsidP="00E811EB">
      <w:pPr>
        <w:pStyle w:val="SDAbodytext"/>
        <w:rPr>
          <w:highlight w:val="yellow"/>
        </w:rPr>
      </w:pPr>
      <w:r>
        <w:t xml:space="preserve">Australian NGO partners to the HPA are accredited agencies, </w:t>
      </w:r>
      <w:r w:rsidR="003F23AF">
        <w:t>which</w:t>
      </w:r>
      <w:r>
        <w:t xml:space="preserve"> have the</w:t>
      </w:r>
      <w:r w:rsidR="003F23AF">
        <w:t>n</w:t>
      </w:r>
      <w:r>
        <w:t xml:space="preserve"> been selected through a competitive tender. </w:t>
      </w:r>
      <w:r w:rsidR="003F23AF">
        <w:t xml:space="preserve">In essence, HPA </w:t>
      </w:r>
      <w:r w:rsidR="00290C91">
        <w:t xml:space="preserve">NGO </w:t>
      </w:r>
      <w:r w:rsidR="003F23AF">
        <w:t xml:space="preserve">partners have gone through a two-step selection process. </w:t>
      </w:r>
      <w:r>
        <w:t xml:space="preserve">Accreditation is a rigorous </w:t>
      </w:r>
      <w:r w:rsidR="003F23AF">
        <w:t>assessment that</w:t>
      </w:r>
      <w:r>
        <w:t xml:space="preserve"> involves </w:t>
      </w:r>
      <w:r w:rsidR="003F23AF">
        <w:t xml:space="preserve">looking at </w:t>
      </w:r>
      <w:r>
        <w:t xml:space="preserve">an </w:t>
      </w:r>
      <w:r w:rsidR="00C66434">
        <w:t>NGO’s governance, program management capacity, partner management, links with and support from the Australian public, and risk management.</w:t>
      </w:r>
      <w:r w:rsidR="00A27E01">
        <w:rPr>
          <w:rStyle w:val="FootnoteReference"/>
        </w:rPr>
        <w:footnoteReference w:id="5"/>
      </w:r>
      <w:r w:rsidR="00C66434">
        <w:t xml:space="preserve"> </w:t>
      </w:r>
    </w:p>
    <w:p w14:paraId="24346BA6" w14:textId="1878EDE0" w:rsidR="005B6D24" w:rsidRDefault="00774F5E" w:rsidP="005B6D24">
      <w:pPr>
        <w:pStyle w:val="SDAbodytext"/>
      </w:pPr>
      <w:r w:rsidRPr="0040629D">
        <w:t xml:space="preserve">Through the HPA, the NGO partners have received a total of AUD 55 million. This includes </w:t>
      </w:r>
      <w:r w:rsidR="004D33B5">
        <w:t xml:space="preserve">            </w:t>
      </w:r>
      <w:r w:rsidRPr="0040629D">
        <w:t xml:space="preserve">AUD 41.5 million in emergency funding, via 12 activations (as at </w:t>
      </w:r>
      <w:r w:rsidR="00A27E01">
        <w:t>3 July</w:t>
      </w:r>
      <w:r w:rsidRPr="0040629D">
        <w:t xml:space="preserve"> 2015). These activations cover responses to rapid-onset emergencies, to a rapid escalation in slow-onset emergencies, and to protracted crises.  The NGO partners have also received AUD 1</w:t>
      </w:r>
      <w:r w:rsidR="0040629D" w:rsidRPr="0040629D">
        <w:t xml:space="preserve">3.5 </w:t>
      </w:r>
      <w:r w:rsidRPr="0040629D">
        <w:t>million in</w:t>
      </w:r>
      <w:r>
        <w:t xml:space="preserve"> DRR and DRM funding.</w:t>
      </w:r>
    </w:p>
    <w:p w14:paraId="0A12801F" w14:textId="639D7B74" w:rsidR="00774F5E" w:rsidRDefault="00774F5E" w:rsidP="00774F5E">
      <w:pPr>
        <w:pStyle w:val="SDAbodytext"/>
      </w:pPr>
      <w:r>
        <w:t xml:space="preserve">A table detailing </w:t>
      </w:r>
      <w:r w:rsidR="00335A43">
        <w:t>HPA</w:t>
      </w:r>
      <w:r w:rsidR="008C2B30">
        <w:t xml:space="preserve"> </w:t>
      </w:r>
      <w:r w:rsidR="00290C91">
        <w:t>funding</w:t>
      </w:r>
      <w:r w:rsidR="008C2B30">
        <w:t>,</w:t>
      </w:r>
      <w:r>
        <w:t xml:space="preserve"> </w:t>
      </w:r>
      <w:r w:rsidR="002A0971">
        <w:t xml:space="preserve">and the </w:t>
      </w:r>
      <w:r w:rsidR="00335A43">
        <w:t>activation process</w:t>
      </w:r>
      <w:r w:rsidR="008C2B30">
        <w:t>,</w:t>
      </w:r>
      <w:r w:rsidR="00335A43">
        <w:t xml:space="preserve"> </w:t>
      </w:r>
      <w:r>
        <w:t xml:space="preserve">can be found at </w:t>
      </w:r>
      <w:r w:rsidRPr="00774F5E">
        <w:rPr>
          <w:u w:val="single"/>
        </w:rPr>
        <w:t>Annex 2</w:t>
      </w:r>
      <w:r>
        <w:t>.</w:t>
      </w:r>
    </w:p>
    <w:p w14:paraId="02C9DD50" w14:textId="77777777" w:rsidR="006354BF" w:rsidRDefault="006354BF" w:rsidP="00774F5E">
      <w:pPr>
        <w:pStyle w:val="SDAbodytext"/>
      </w:pPr>
    </w:p>
    <w:p w14:paraId="153BF472" w14:textId="77777777" w:rsidR="00233B5D" w:rsidRDefault="008A0D98" w:rsidP="00233B5D">
      <w:pPr>
        <w:pStyle w:val="SDANumberedheading2"/>
        <w:ind w:left="709" w:hanging="709"/>
      </w:pPr>
      <w:bookmarkStart w:id="7" w:name="_Toc423711123"/>
      <w:r>
        <w:t xml:space="preserve">Policy </w:t>
      </w:r>
      <w:r w:rsidR="00233B5D">
        <w:t>Context</w:t>
      </w:r>
      <w:bookmarkEnd w:id="7"/>
    </w:p>
    <w:p w14:paraId="381D7D9A" w14:textId="77777777" w:rsidR="0040629D" w:rsidRDefault="00290C91" w:rsidP="0040629D">
      <w:pPr>
        <w:pStyle w:val="SDAbodytext"/>
      </w:pPr>
      <w:r>
        <w:t>Disaster preparedness and h</w:t>
      </w:r>
      <w:r w:rsidR="0040629D" w:rsidRPr="00E70F84">
        <w:t xml:space="preserve">umanitarian </w:t>
      </w:r>
      <w:r>
        <w:t>response are</w:t>
      </w:r>
      <w:r w:rsidR="0040629D" w:rsidRPr="00E70F84">
        <w:t xml:space="preserve"> core responsibilit</w:t>
      </w:r>
      <w:r>
        <w:t>ies</w:t>
      </w:r>
      <w:r w:rsidR="0040629D" w:rsidRPr="00E70F84">
        <w:t xml:space="preserve"> of DFAT</w:t>
      </w:r>
      <w:r>
        <w:t>, as</w:t>
      </w:r>
      <w:r w:rsidR="0040629D" w:rsidRPr="00E70F84">
        <w:t xml:space="preserve"> reflected in the </w:t>
      </w:r>
      <w:r w:rsidR="008A0D98">
        <w:t xml:space="preserve">Australian </w:t>
      </w:r>
      <w:r w:rsidR="0040629D" w:rsidRPr="00E70F84">
        <w:t>Government’s aid policy</w:t>
      </w:r>
      <w:r>
        <w:rPr>
          <w:rStyle w:val="FootnoteReference"/>
        </w:rPr>
        <w:footnoteReference w:id="6"/>
      </w:r>
      <w:r w:rsidR="0040629D" w:rsidRPr="00E70F84">
        <w:t xml:space="preserve"> under the investment priority “</w:t>
      </w:r>
      <w:r w:rsidR="0040629D" w:rsidRPr="00290C91">
        <w:rPr>
          <w:i/>
        </w:rPr>
        <w:t>Building Resilience: Humanitarian Assistance, Disaster Risk Reduction and Social Protection</w:t>
      </w:r>
      <w:r w:rsidR="0040629D" w:rsidRPr="00E70F84">
        <w:t xml:space="preserve">”. The HPA is seen by </w:t>
      </w:r>
      <w:r w:rsidR="008A0D98">
        <w:t>DFAT</w:t>
      </w:r>
      <w:r w:rsidR="0040629D" w:rsidRPr="00E70F84">
        <w:t xml:space="preserve"> as an important part of the Government’s humanitarian response options.</w:t>
      </w:r>
      <w:r w:rsidR="00674860">
        <w:rPr>
          <w:rStyle w:val="FootnoteReference"/>
        </w:rPr>
        <w:footnoteReference w:id="7"/>
      </w:r>
      <w:r w:rsidR="0040629D" w:rsidRPr="00E70F84">
        <w:t xml:space="preserve">  DFAT is currently develop</w:t>
      </w:r>
      <w:r w:rsidR="008A0D98">
        <w:t>ing</w:t>
      </w:r>
      <w:r w:rsidR="0040629D" w:rsidRPr="00E70F84">
        <w:t xml:space="preserve"> a new humanitarian strategy which </w:t>
      </w:r>
      <w:r w:rsidR="00EF17DB">
        <w:t>is expected to</w:t>
      </w:r>
      <w:r w:rsidR="00E70F84" w:rsidRPr="00E70F84">
        <w:t xml:space="preserve"> be released around August 2015</w:t>
      </w:r>
      <w:r w:rsidR="008A0D98">
        <w:t xml:space="preserve">. This new strategy will provide a high level framework and be an important reference during </w:t>
      </w:r>
      <w:r w:rsidR="00910001">
        <w:t xml:space="preserve">the design of </w:t>
      </w:r>
      <w:r w:rsidR="00E70F84" w:rsidRPr="00E70F84">
        <w:t xml:space="preserve">a </w:t>
      </w:r>
      <w:r w:rsidR="00910001">
        <w:t>m</w:t>
      </w:r>
      <w:r w:rsidR="00E70F84" w:rsidRPr="00E70F84">
        <w:t>echanism</w:t>
      </w:r>
      <w:r w:rsidR="00910001">
        <w:t xml:space="preserve"> to replace the current HPA.</w:t>
      </w:r>
    </w:p>
    <w:p w14:paraId="5E6852A9" w14:textId="5F65A564" w:rsidR="00FA6C87" w:rsidRDefault="00FA6C87" w:rsidP="00E40F69">
      <w:pPr>
        <w:pStyle w:val="SDAbodytext"/>
      </w:pPr>
      <w:r w:rsidRPr="00E70F84">
        <w:t>The rationale for a partnership with Australian NGOs recognises the</w:t>
      </w:r>
      <w:r w:rsidR="00E70F84" w:rsidRPr="00E70F84">
        <w:t xml:space="preserve">m as trusted partners </w:t>
      </w:r>
      <w:r w:rsidR="00E70F84">
        <w:t>with deep</w:t>
      </w:r>
      <w:r w:rsidRPr="00E70F84">
        <w:t xml:space="preserve"> expertise and on-the-ground capacity to deliver effective emergency relief assistance through </w:t>
      </w:r>
      <w:r w:rsidR="00E70F84" w:rsidRPr="00E70F84">
        <w:t>their</w:t>
      </w:r>
      <w:r w:rsidRPr="00E70F84">
        <w:t xml:space="preserve"> international and </w:t>
      </w:r>
      <w:r w:rsidR="00910001">
        <w:t xml:space="preserve">local </w:t>
      </w:r>
      <w:r w:rsidRPr="00E70F84">
        <w:t xml:space="preserve">networks. The </w:t>
      </w:r>
      <w:r w:rsidR="00662626" w:rsidRPr="00E70F84">
        <w:t xml:space="preserve">HPA </w:t>
      </w:r>
      <w:r w:rsidR="00FB4A53">
        <w:t>offers</w:t>
      </w:r>
      <w:r w:rsidRPr="00E70F84">
        <w:t xml:space="preserve"> </w:t>
      </w:r>
      <w:r w:rsidR="00E70F84" w:rsidRPr="00E70F84">
        <w:t xml:space="preserve">Australian </w:t>
      </w:r>
      <w:r w:rsidRPr="00E70F84">
        <w:t xml:space="preserve">NGOs </w:t>
      </w:r>
      <w:r w:rsidR="00910001">
        <w:t xml:space="preserve">and the Australia Government </w:t>
      </w:r>
      <w:r w:rsidR="00FB4A53">
        <w:t xml:space="preserve">opportunities to provide humanitarian aid in a way that is </w:t>
      </w:r>
      <w:r w:rsidR="00A27E01">
        <w:t xml:space="preserve">fast and flexible, as well as being </w:t>
      </w:r>
      <w:r w:rsidR="00FB4A53">
        <w:t xml:space="preserve">visible to the public. </w:t>
      </w:r>
      <w:r w:rsidR="00910001">
        <w:t xml:space="preserve"> </w:t>
      </w:r>
      <w:r w:rsidRPr="00E70F84">
        <w:t xml:space="preserve">The </w:t>
      </w:r>
      <w:r w:rsidR="00FB4A53">
        <w:t>HPA is designed to</w:t>
      </w:r>
      <w:r w:rsidRPr="00E70F84">
        <w:t xml:space="preserve"> integrate emergency response assistance </w:t>
      </w:r>
      <w:r w:rsidR="00E70F84" w:rsidRPr="00E70F84">
        <w:t>with</w:t>
      </w:r>
      <w:r w:rsidRPr="00E70F84">
        <w:t xml:space="preserve"> DRR and </w:t>
      </w:r>
      <w:r w:rsidR="00910001">
        <w:t xml:space="preserve">DRM </w:t>
      </w:r>
      <w:r w:rsidRPr="00E70F84">
        <w:t>capacity building</w:t>
      </w:r>
      <w:r w:rsidR="00A27E01">
        <w:t xml:space="preserve"> investments</w:t>
      </w:r>
      <w:r w:rsidRPr="00E70F84">
        <w:t xml:space="preserve">, </w:t>
      </w:r>
      <w:r w:rsidR="00FB4A53">
        <w:t xml:space="preserve">to build on the </w:t>
      </w:r>
      <w:r w:rsidRPr="00E70F84">
        <w:t>significant expertise</w:t>
      </w:r>
      <w:r w:rsidR="00FB4A53">
        <w:t xml:space="preserve"> of NGOs in these areas</w:t>
      </w:r>
      <w:r w:rsidRPr="00E70F84">
        <w:t>.</w:t>
      </w:r>
      <w:r w:rsidR="00910001">
        <w:rPr>
          <w:rStyle w:val="FootnoteReference"/>
        </w:rPr>
        <w:footnoteReference w:id="8"/>
      </w:r>
      <w:r>
        <w:t xml:space="preserve"> </w:t>
      </w:r>
    </w:p>
    <w:p w14:paraId="633815CD" w14:textId="77777777" w:rsidR="006354BF" w:rsidRDefault="006354BF" w:rsidP="00E40F69">
      <w:pPr>
        <w:pStyle w:val="SDAbodytext"/>
      </w:pPr>
    </w:p>
    <w:p w14:paraId="79A955B3" w14:textId="77777777" w:rsidR="00233B5D" w:rsidRDefault="006C50DD" w:rsidP="00233B5D">
      <w:pPr>
        <w:pStyle w:val="SDANumberedheading2"/>
        <w:ind w:left="709" w:hanging="709"/>
      </w:pPr>
      <w:bookmarkStart w:id="8" w:name="_Toc423711124"/>
      <w:r>
        <w:t>Our</w:t>
      </w:r>
      <w:r w:rsidR="00233B5D">
        <w:t xml:space="preserve"> Approach</w:t>
      </w:r>
      <w:bookmarkEnd w:id="8"/>
    </w:p>
    <w:p w14:paraId="7049BA5F" w14:textId="77777777" w:rsidR="00F93FE5" w:rsidRDefault="00674860" w:rsidP="00F93FE5">
      <w:pPr>
        <w:spacing w:before="120" w:after="120" w:line="240" w:lineRule="auto"/>
      </w:pPr>
      <w:r>
        <w:t>The HPA</w:t>
      </w:r>
      <w:r w:rsidR="00F93FE5">
        <w:t xml:space="preserve"> has been reviewed on </w:t>
      </w:r>
      <w:r w:rsidR="00243602">
        <w:t>a number of</w:t>
      </w:r>
      <w:r w:rsidR="00F93FE5">
        <w:t xml:space="preserve"> occasions over the past four years</w:t>
      </w:r>
      <w:r w:rsidR="009C6AD6">
        <w:t>.</w:t>
      </w:r>
      <w:r w:rsidR="009C6AD6">
        <w:rPr>
          <w:rStyle w:val="FootnoteReference"/>
        </w:rPr>
        <w:footnoteReference w:id="9"/>
      </w:r>
      <w:r w:rsidR="009C6AD6">
        <w:t xml:space="preserve"> </w:t>
      </w:r>
      <w:r w:rsidR="00243602">
        <w:t xml:space="preserve"> This current</w:t>
      </w:r>
      <w:r w:rsidR="00F93FE5">
        <w:t xml:space="preserve"> </w:t>
      </w:r>
      <w:r w:rsidR="009C6AD6">
        <w:t xml:space="preserve">exercise in reviewing the </w:t>
      </w:r>
      <w:r w:rsidR="00F93FE5">
        <w:t>HPA</w:t>
      </w:r>
      <w:r w:rsidR="009C6AD6">
        <w:t xml:space="preserve"> </w:t>
      </w:r>
      <w:r>
        <w:t xml:space="preserve">aims </w:t>
      </w:r>
      <w:r w:rsidR="00E70F84">
        <w:t>to build</w:t>
      </w:r>
      <w:r w:rsidR="009C6AD6">
        <w:t xml:space="preserve"> on this history of analysis. </w:t>
      </w:r>
    </w:p>
    <w:p w14:paraId="577FC293" w14:textId="5986C3A5" w:rsidR="00651292" w:rsidRPr="009C6AD6" w:rsidRDefault="00E70F84" w:rsidP="00651292">
      <w:pPr>
        <w:spacing w:before="120" w:after="120" w:line="240" w:lineRule="auto"/>
      </w:pPr>
      <w:r>
        <w:t>Th</w:t>
      </w:r>
      <w:r w:rsidR="00674860">
        <w:t>e HPA</w:t>
      </w:r>
      <w:r w:rsidR="00FA6C87" w:rsidRPr="009C6AD6">
        <w:t xml:space="preserve"> </w:t>
      </w:r>
      <w:r w:rsidR="00651292" w:rsidRPr="009C6AD6">
        <w:t xml:space="preserve">review was conducted </w:t>
      </w:r>
      <w:r>
        <w:t>in two stages</w:t>
      </w:r>
      <w:r w:rsidR="00651292" w:rsidRPr="009C6AD6">
        <w:t xml:space="preserve">. The first stage involved the development of a </w:t>
      </w:r>
      <w:r w:rsidR="00FA6C87" w:rsidRPr="00674860">
        <w:rPr>
          <w:i/>
        </w:rPr>
        <w:t>Brief Discussion Paper</w:t>
      </w:r>
      <w:r w:rsidR="00FA6C87" w:rsidRPr="009C6AD6">
        <w:t xml:space="preserve"> </w:t>
      </w:r>
      <w:r w:rsidR="00651292" w:rsidRPr="009C6AD6">
        <w:t>which p</w:t>
      </w:r>
      <w:r w:rsidR="00FA6C87" w:rsidRPr="009C6AD6">
        <w:t>rovide</w:t>
      </w:r>
      <w:r w:rsidR="00651292" w:rsidRPr="009C6AD6">
        <w:t>d</w:t>
      </w:r>
      <w:r w:rsidR="00FA6C87" w:rsidRPr="009C6AD6">
        <w:t xml:space="preserve"> an initial assessment of the HPA based on a desk appraisal of available documents</w:t>
      </w:r>
      <w:r w:rsidR="00651292" w:rsidRPr="009C6AD6">
        <w:t>.</w:t>
      </w:r>
      <w:r w:rsidR="00CA41AD">
        <w:rPr>
          <w:rStyle w:val="FootnoteReference"/>
        </w:rPr>
        <w:footnoteReference w:id="10"/>
      </w:r>
      <w:r w:rsidR="00651292" w:rsidRPr="009C6AD6">
        <w:t xml:space="preserve"> </w:t>
      </w:r>
      <w:r w:rsidR="009532C8">
        <w:t xml:space="preserve"> </w:t>
      </w:r>
      <w:r w:rsidR="00651292" w:rsidRPr="009C6AD6">
        <w:t>The second stage involved stakeholder consultation</w:t>
      </w:r>
      <w:r w:rsidR="002D56AA">
        <w:t>, which were used t</w:t>
      </w:r>
      <w:r w:rsidR="00674860" w:rsidRPr="009C6AD6">
        <w:t xml:space="preserve">o inform a final assessment of whether the HPA outcomes </w:t>
      </w:r>
      <w:r w:rsidR="00674860">
        <w:t>were</w:t>
      </w:r>
      <w:r w:rsidR="00674860" w:rsidRPr="009C6AD6">
        <w:t xml:space="preserve"> achieved</w:t>
      </w:r>
      <w:r w:rsidR="002D56AA">
        <w:t>,</w:t>
      </w:r>
      <w:r w:rsidR="00674860">
        <w:t xml:space="preserve"> and t</w:t>
      </w:r>
      <w:r w:rsidR="00651292" w:rsidRPr="009C6AD6">
        <w:t xml:space="preserve">o identify and clarify useful lessons relevant to </w:t>
      </w:r>
      <w:r w:rsidR="00674860">
        <w:t xml:space="preserve">the design of </w:t>
      </w:r>
      <w:r w:rsidR="00651292" w:rsidRPr="009C6AD6">
        <w:t>a subsequent mechanism</w:t>
      </w:r>
      <w:r w:rsidR="00674860">
        <w:t>.</w:t>
      </w:r>
      <w:r w:rsidR="00651292" w:rsidRPr="009C6AD6">
        <w:t xml:space="preserve"> </w:t>
      </w:r>
    </w:p>
    <w:p w14:paraId="5B58692D" w14:textId="0D53474F" w:rsidR="00243602" w:rsidRDefault="009C6AD6" w:rsidP="00651292">
      <w:pPr>
        <w:pStyle w:val="SDAbodytext"/>
        <w:rPr>
          <w:rFonts w:ascii="Calibri" w:hAnsi="Calibri"/>
        </w:rPr>
      </w:pPr>
      <w:r>
        <w:rPr>
          <w:rFonts w:ascii="Calibri" w:hAnsi="Calibri"/>
        </w:rPr>
        <w:t>To support the consultations, t</w:t>
      </w:r>
      <w:r w:rsidR="00243602">
        <w:rPr>
          <w:rFonts w:ascii="Calibri" w:hAnsi="Calibri"/>
        </w:rPr>
        <w:t xml:space="preserve">he review team developed a </w:t>
      </w:r>
      <w:r w:rsidR="00243602" w:rsidRPr="00910001">
        <w:rPr>
          <w:rFonts w:ascii="Calibri" w:hAnsi="Calibri"/>
          <w:i/>
        </w:rPr>
        <w:t>lessons learned working paper</w:t>
      </w:r>
      <w:r w:rsidR="00243602">
        <w:rPr>
          <w:rFonts w:ascii="Calibri" w:hAnsi="Calibri"/>
        </w:rPr>
        <w:t xml:space="preserve">, and tested these lessons with key stakeholders </w:t>
      </w:r>
      <w:r w:rsidR="00674860">
        <w:rPr>
          <w:rFonts w:ascii="Calibri" w:hAnsi="Calibri"/>
        </w:rPr>
        <w:t>at a</w:t>
      </w:r>
      <w:r>
        <w:rPr>
          <w:rFonts w:ascii="Calibri" w:hAnsi="Calibri"/>
        </w:rPr>
        <w:t xml:space="preserve"> re</w:t>
      </w:r>
      <w:r w:rsidR="00243602">
        <w:rPr>
          <w:rFonts w:ascii="Calibri" w:hAnsi="Calibri"/>
        </w:rPr>
        <w:t xml:space="preserve">flections workshop on 26 June 2015. </w:t>
      </w:r>
      <w:r w:rsidR="00873A35">
        <w:rPr>
          <w:rFonts w:ascii="Calibri" w:hAnsi="Calibri"/>
        </w:rPr>
        <w:t>F</w:t>
      </w:r>
      <w:r>
        <w:rPr>
          <w:rFonts w:ascii="Calibri" w:hAnsi="Calibri"/>
        </w:rPr>
        <w:t xml:space="preserve">urther to the initial terms of </w:t>
      </w:r>
      <w:r w:rsidR="00E70F84">
        <w:rPr>
          <w:rFonts w:ascii="Calibri" w:hAnsi="Calibri"/>
        </w:rPr>
        <w:t>reference</w:t>
      </w:r>
      <w:r w:rsidR="00674860">
        <w:rPr>
          <w:rFonts w:ascii="Calibri" w:hAnsi="Calibri"/>
        </w:rPr>
        <w:t xml:space="preserve">, </w:t>
      </w:r>
      <w:r w:rsidR="00873A35">
        <w:rPr>
          <w:rFonts w:ascii="Calibri" w:hAnsi="Calibri"/>
        </w:rPr>
        <w:t xml:space="preserve">the review team also </w:t>
      </w:r>
      <w:r w:rsidR="00674860">
        <w:rPr>
          <w:rFonts w:ascii="Calibri" w:hAnsi="Calibri"/>
        </w:rPr>
        <w:t>conducted</w:t>
      </w:r>
      <w:r w:rsidR="00243602">
        <w:rPr>
          <w:rFonts w:ascii="Calibri" w:hAnsi="Calibri"/>
        </w:rPr>
        <w:t xml:space="preserve"> </w:t>
      </w:r>
      <w:r w:rsidR="002D56AA">
        <w:rPr>
          <w:rFonts w:ascii="Calibri" w:hAnsi="Calibri"/>
        </w:rPr>
        <w:t xml:space="preserve">two </w:t>
      </w:r>
      <w:r w:rsidR="00CA41AD">
        <w:rPr>
          <w:rFonts w:ascii="Calibri" w:hAnsi="Calibri"/>
        </w:rPr>
        <w:t xml:space="preserve">brief </w:t>
      </w:r>
      <w:r w:rsidR="00243602">
        <w:rPr>
          <w:rFonts w:ascii="Calibri" w:hAnsi="Calibri"/>
        </w:rPr>
        <w:t xml:space="preserve">case studies </w:t>
      </w:r>
      <w:r>
        <w:rPr>
          <w:rFonts w:ascii="Calibri" w:hAnsi="Calibri"/>
        </w:rPr>
        <w:t xml:space="preserve">of two activations </w:t>
      </w:r>
      <w:r w:rsidR="00243602">
        <w:rPr>
          <w:rFonts w:ascii="Calibri" w:hAnsi="Calibri"/>
        </w:rPr>
        <w:t>(Vanuatu and Lebanon)</w:t>
      </w:r>
      <w:r>
        <w:rPr>
          <w:rFonts w:ascii="Calibri" w:hAnsi="Calibri"/>
        </w:rPr>
        <w:t xml:space="preserve"> to help draw out, and</w:t>
      </w:r>
      <w:r w:rsidR="00E70F84">
        <w:rPr>
          <w:rFonts w:ascii="Calibri" w:hAnsi="Calibri"/>
        </w:rPr>
        <w:t xml:space="preserve"> confirm, relevant </w:t>
      </w:r>
      <w:r w:rsidR="00674860">
        <w:rPr>
          <w:rFonts w:ascii="Calibri" w:hAnsi="Calibri"/>
        </w:rPr>
        <w:t xml:space="preserve">design </w:t>
      </w:r>
      <w:r w:rsidR="00E70F84">
        <w:rPr>
          <w:rFonts w:ascii="Calibri" w:hAnsi="Calibri"/>
        </w:rPr>
        <w:t>lessons</w:t>
      </w:r>
      <w:r>
        <w:rPr>
          <w:rFonts w:ascii="Calibri" w:hAnsi="Calibri"/>
        </w:rPr>
        <w:t xml:space="preserve">. </w:t>
      </w:r>
    </w:p>
    <w:p w14:paraId="69C7D323" w14:textId="68F19053" w:rsidR="00243602" w:rsidRDefault="00243602" w:rsidP="00651292">
      <w:pPr>
        <w:pStyle w:val="SDAbodytext"/>
        <w:rPr>
          <w:rFonts w:ascii="Calibri" w:hAnsi="Calibri"/>
        </w:rPr>
      </w:pPr>
      <w:r>
        <w:rPr>
          <w:rFonts w:ascii="Calibri" w:hAnsi="Calibri"/>
        </w:rPr>
        <w:t xml:space="preserve">The </w:t>
      </w:r>
      <w:r w:rsidR="009C6AD6">
        <w:rPr>
          <w:rFonts w:ascii="Calibri" w:hAnsi="Calibri"/>
        </w:rPr>
        <w:t xml:space="preserve">findings </w:t>
      </w:r>
      <w:r w:rsidR="00910001">
        <w:rPr>
          <w:rFonts w:ascii="Calibri" w:hAnsi="Calibri"/>
        </w:rPr>
        <w:t xml:space="preserve">and recommendations in this report </w:t>
      </w:r>
      <w:r w:rsidR="009C6AD6">
        <w:rPr>
          <w:rFonts w:ascii="Calibri" w:hAnsi="Calibri"/>
        </w:rPr>
        <w:t xml:space="preserve">should be viewed within the limitations as set out in the terms of reference. The review </w:t>
      </w:r>
      <w:r>
        <w:rPr>
          <w:rFonts w:ascii="Calibri" w:hAnsi="Calibri"/>
        </w:rPr>
        <w:t xml:space="preserve">did not include a comparison of the HPA with other delivery mechanisms </w:t>
      </w:r>
      <w:r w:rsidR="00CA41AD">
        <w:rPr>
          <w:rFonts w:ascii="Calibri" w:hAnsi="Calibri"/>
        </w:rPr>
        <w:t xml:space="preserve">possibly </w:t>
      </w:r>
      <w:r>
        <w:rPr>
          <w:rFonts w:ascii="Calibri" w:hAnsi="Calibri"/>
        </w:rPr>
        <w:t xml:space="preserve">available to DFAT, nor did it include a comparison of the HPA with other donor emergency response mechanisms. The review did not include any field visits, or consultations with affected communities. </w:t>
      </w:r>
      <w:r w:rsidR="00996EE2">
        <w:rPr>
          <w:rFonts w:ascii="Calibri" w:hAnsi="Calibri"/>
        </w:rPr>
        <w:t xml:space="preserve"> The review conducted limited interviews with local implementing partners.</w:t>
      </w:r>
    </w:p>
    <w:p w14:paraId="31FBE638" w14:textId="77777777" w:rsidR="00651292" w:rsidRDefault="00651292" w:rsidP="00651292">
      <w:pPr>
        <w:pStyle w:val="SDAbodytext"/>
        <w:rPr>
          <w:rFonts w:ascii="Calibri" w:hAnsi="Calibri"/>
        </w:rPr>
      </w:pPr>
      <w:r>
        <w:rPr>
          <w:rFonts w:ascii="Calibri" w:hAnsi="Calibri"/>
        </w:rPr>
        <w:t xml:space="preserve">A summary of the </w:t>
      </w:r>
      <w:r w:rsidR="00112148">
        <w:rPr>
          <w:rFonts w:ascii="Calibri" w:hAnsi="Calibri"/>
        </w:rPr>
        <w:t xml:space="preserve">methodological </w:t>
      </w:r>
      <w:r>
        <w:rPr>
          <w:rFonts w:ascii="Calibri" w:hAnsi="Calibri"/>
        </w:rPr>
        <w:t xml:space="preserve">approach to </w:t>
      </w:r>
      <w:r w:rsidR="00112148">
        <w:rPr>
          <w:rFonts w:ascii="Calibri" w:hAnsi="Calibri"/>
        </w:rPr>
        <w:t>consultations</w:t>
      </w:r>
      <w:r>
        <w:rPr>
          <w:rFonts w:ascii="Calibri" w:hAnsi="Calibri"/>
        </w:rPr>
        <w:t xml:space="preserve"> can be found at </w:t>
      </w:r>
      <w:r w:rsidRPr="00243602">
        <w:rPr>
          <w:rFonts w:ascii="Calibri" w:hAnsi="Calibri"/>
          <w:u w:val="single"/>
        </w:rPr>
        <w:t xml:space="preserve">Annex </w:t>
      </w:r>
      <w:r w:rsidR="00243602">
        <w:rPr>
          <w:rFonts w:ascii="Calibri" w:hAnsi="Calibri"/>
          <w:u w:val="single"/>
        </w:rPr>
        <w:t>3</w:t>
      </w:r>
      <w:r>
        <w:rPr>
          <w:rFonts w:ascii="Calibri" w:hAnsi="Calibri"/>
        </w:rPr>
        <w:t>.</w:t>
      </w:r>
      <w:r w:rsidR="00243602">
        <w:rPr>
          <w:rFonts w:ascii="Calibri" w:hAnsi="Calibri"/>
        </w:rPr>
        <w:t xml:space="preserve"> </w:t>
      </w:r>
      <w:r w:rsidR="009C6AD6">
        <w:rPr>
          <w:rFonts w:ascii="Calibri" w:hAnsi="Calibri"/>
        </w:rPr>
        <w:t xml:space="preserve"> </w:t>
      </w:r>
      <w:r w:rsidR="00243602">
        <w:rPr>
          <w:rFonts w:ascii="Calibri" w:hAnsi="Calibri"/>
        </w:rPr>
        <w:t xml:space="preserve">A list of people consulted is at </w:t>
      </w:r>
      <w:r w:rsidR="00243602" w:rsidRPr="009C6AD6">
        <w:rPr>
          <w:rFonts w:ascii="Calibri" w:hAnsi="Calibri"/>
          <w:u w:val="single"/>
        </w:rPr>
        <w:t>Annex 4</w:t>
      </w:r>
      <w:r w:rsidR="00243602">
        <w:rPr>
          <w:rFonts w:ascii="Calibri" w:hAnsi="Calibri"/>
        </w:rPr>
        <w:t xml:space="preserve">. A list of documents reviewed can be found at </w:t>
      </w:r>
      <w:r w:rsidR="00243602" w:rsidRPr="009C6AD6">
        <w:rPr>
          <w:rFonts w:ascii="Calibri" w:hAnsi="Calibri"/>
          <w:u w:val="single"/>
        </w:rPr>
        <w:t>Annex 5</w:t>
      </w:r>
      <w:r w:rsidR="00243602">
        <w:rPr>
          <w:rFonts w:ascii="Calibri" w:hAnsi="Calibri"/>
        </w:rPr>
        <w:t xml:space="preserve">. </w:t>
      </w:r>
    </w:p>
    <w:p w14:paraId="27BBB987" w14:textId="77777777" w:rsidR="001007C1" w:rsidRPr="001007C1" w:rsidRDefault="00767BE5" w:rsidP="001007C1">
      <w:pPr>
        <w:pStyle w:val="Heading2"/>
      </w:pPr>
      <w:bookmarkStart w:id="9" w:name="_Toc423711125"/>
      <w:r>
        <w:t xml:space="preserve">Assessment </w:t>
      </w:r>
      <w:r w:rsidR="00F62177">
        <w:t xml:space="preserve">of </w:t>
      </w:r>
      <w:r w:rsidR="0012491C">
        <w:t>Outcomes</w:t>
      </w:r>
      <w:bookmarkEnd w:id="9"/>
    </w:p>
    <w:p w14:paraId="67C938F2" w14:textId="77777777" w:rsidR="009C6AD6" w:rsidRDefault="00767BE5" w:rsidP="009C6AD6">
      <w:pPr>
        <w:pStyle w:val="SDANumberedheading2"/>
        <w:ind w:left="709" w:hanging="709"/>
      </w:pPr>
      <w:bookmarkStart w:id="10" w:name="_Toc423711126"/>
      <w:r>
        <w:t>Introduction</w:t>
      </w:r>
      <w:bookmarkEnd w:id="10"/>
    </w:p>
    <w:p w14:paraId="2D9A9201" w14:textId="77777777" w:rsidR="00EF1802" w:rsidRDefault="00243602" w:rsidP="0010322C">
      <w:pPr>
        <w:pStyle w:val="SDAbodytext"/>
      </w:pPr>
      <w:r w:rsidRPr="0010322C">
        <w:t xml:space="preserve">The HPA </w:t>
      </w:r>
      <w:r w:rsidR="00EF1802" w:rsidRPr="0010322C">
        <w:t xml:space="preserve">is governed by a Head Agreement which defines </w:t>
      </w:r>
      <w:r w:rsidR="00CA41AD">
        <w:t>the</w:t>
      </w:r>
      <w:r w:rsidR="00EF1802" w:rsidRPr="0010322C">
        <w:t xml:space="preserve"> purpose</w:t>
      </w:r>
      <w:r w:rsidR="00CA41AD">
        <w:t xml:space="preserve"> of the HPA, </w:t>
      </w:r>
      <w:r w:rsidR="00EF1802" w:rsidRPr="0010322C">
        <w:t>the anticipated outcomes</w:t>
      </w:r>
      <w:r w:rsidR="00CA41AD">
        <w:t xml:space="preserve"> </w:t>
      </w:r>
      <w:r w:rsidR="00EF1802" w:rsidRPr="0010322C">
        <w:t>and a number of shared objectives for collaboration.</w:t>
      </w:r>
      <w:r w:rsidR="002D56AA">
        <w:rPr>
          <w:rStyle w:val="FootnoteReference"/>
        </w:rPr>
        <w:footnoteReference w:id="11"/>
      </w:r>
      <w:r w:rsidR="00EF1802" w:rsidRPr="0010322C">
        <w:t xml:space="preserve">  The HPA has evolved during its period of operation, and, in some aspects, has </w:t>
      </w:r>
      <w:r w:rsidR="0010322C" w:rsidRPr="0010322C">
        <w:t>broadened</w:t>
      </w:r>
      <w:r w:rsidR="00EF1802" w:rsidRPr="0010322C">
        <w:t xml:space="preserve"> its scope and modified </w:t>
      </w:r>
      <w:r w:rsidR="0010322C">
        <w:t>its</w:t>
      </w:r>
      <w:r w:rsidR="00EF1802" w:rsidRPr="0010322C">
        <w:t xml:space="preserve"> objectives. The review team’s assessment of achievements against the HPA’s three key outcomes has taken into account both the original </w:t>
      </w:r>
      <w:r w:rsidR="00736A37" w:rsidRPr="0010322C">
        <w:t>design</w:t>
      </w:r>
      <w:r w:rsidR="00EF1802" w:rsidRPr="0010322C">
        <w:t xml:space="preserve"> as </w:t>
      </w:r>
      <w:r w:rsidR="008A0428">
        <w:t xml:space="preserve">articulated in the Head Agreement, as </w:t>
      </w:r>
      <w:r w:rsidR="00EF1802" w:rsidRPr="0010322C">
        <w:t xml:space="preserve">well as how </w:t>
      </w:r>
      <w:r w:rsidR="00736A37" w:rsidRPr="0010322C">
        <w:t>the intent</w:t>
      </w:r>
      <w:r w:rsidR="00EF1802" w:rsidRPr="0010322C">
        <w:t xml:space="preserve"> </w:t>
      </w:r>
      <w:r w:rsidR="006B0BCA">
        <w:t>may have</w:t>
      </w:r>
      <w:r w:rsidR="00EF1802" w:rsidRPr="0010322C">
        <w:t xml:space="preserve"> changed over time. </w:t>
      </w:r>
      <w:r w:rsidR="00BD01A9">
        <w:t xml:space="preserve"> </w:t>
      </w:r>
    </w:p>
    <w:p w14:paraId="1DDFEE08" w14:textId="3CD7AB76" w:rsidR="001F7836" w:rsidRPr="0010322C" w:rsidRDefault="00873A35" w:rsidP="0010322C">
      <w:pPr>
        <w:pStyle w:val="SDAbodytext"/>
      </w:pPr>
      <w:r>
        <w:t>T</w:t>
      </w:r>
      <w:r w:rsidR="00BD01A9">
        <w:t xml:space="preserve">he review team has </w:t>
      </w:r>
      <w:r>
        <w:t xml:space="preserve">also </w:t>
      </w:r>
      <w:r w:rsidR="00BD01A9">
        <w:t xml:space="preserve">included an </w:t>
      </w:r>
      <w:r w:rsidR="001F7836">
        <w:t>analysis of t</w:t>
      </w:r>
      <w:r w:rsidR="00BD01A9">
        <w:t xml:space="preserve">he monitoring, evaluation and learning </w:t>
      </w:r>
      <w:r w:rsidR="005B282F">
        <w:t xml:space="preserve">(MEL) </w:t>
      </w:r>
      <w:r w:rsidR="00BD01A9">
        <w:t xml:space="preserve">aspects of the HPA. </w:t>
      </w:r>
      <w:r w:rsidR="001F7836">
        <w:t xml:space="preserve"> </w:t>
      </w:r>
      <w:r w:rsidR="005B282F">
        <w:t>While MEL is not a</w:t>
      </w:r>
      <w:r>
        <w:t>n</w:t>
      </w:r>
      <w:r w:rsidR="005B282F">
        <w:t xml:space="preserve"> outcome</w:t>
      </w:r>
      <w:r>
        <w:t xml:space="preserve"> specified </w:t>
      </w:r>
      <w:r w:rsidR="009532C8">
        <w:t>in</w:t>
      </w:r>
      <w:r>
        <w:t xml:space="preserve"> the </w:t>
      </w:r>
      <w:r w:rsidR="009532C8">
        <w:t>agreement</w:t>
      </w:r>
      <w:r w:rsidR="005B282F">
        <w:t xml:space="preserve">, it has a </w:t>
      </w:r>
      <w:r w:rsidR="001F7836">
        <w:t>central role in generating information to inform both reviews such as this</w:t>
      </w:r>
      <w:r w:rsidR="00F917D1">
        <w:t xml:space="preserve"> and, more importantly</w:t>
      </w:r>
      <w:r w:rsidR="00776F74">
        <w:t xml:space="preserve">, </w:t>
      </w:r>
      <w:r w:rsidR="001F7836">
        <w:t xml:space="preserve">management decisions around </w:t>
      </w:r>
      <w:r w:rsidR="005B282F">
        <w:t>performance</w:t>
      </w:r>
      <w:r w:rsidR="00062901">
        <w:t xml:space="preserve"> and improvement</w:t>
      </w:r>
      <w:r w:rsidR="001F7836">
        <w:t>.</w:t>
      </w:r>
    </w:p>
    <w:p w14:paraId="32BB6F31" w14:textId="77777777" w:rsidR="00DD33F1" w:rsidRDefault="00DD33F1" w:rsidP="0010322C">
      <w:pPr>
        <w:pStyle w:val="SDAbodytext"/>
      </w:pPr>
    </w:p>
    <w:p w14:paraId="5BA56CD0" w14:textId="77777777" w:rsidR="00E40F69" w:rsidRDefault="00767BE5" w:rsidP="00565770">
      <w:pPr>
        <w:pStyle w:val="SDANumberedheading2"/>
        <w:ind w:left="709" w:hanging="709"/>
      </w:pPr>
      <w:bookmarkStart w:id="11" w:name="_Toc423711127"/>
      <w:r>
        <w:t>Outcome 1: Delivering Rapid Emergency Assistance</w:t>
      </w:r>
      <w:bookmarkEnd w:id="11"/>
    </w:p>
    <w:p w14:paraId="744C425F" w14:textId="77777777" w:rsidR="00EE5623" w:rsidRPr="00EE5623" w:rsidRDefault="00EE5623" w:rsidP="00EE5623">
      <w:pPr>
        <w:pStyle w:val="SDAbodytext"/>
      </w:pPr>
      <w:r w:rsidRPr="00EE5623">
        <w:t xml:space="preserve">The HPA was designed to achieve quick turnaround of emergency response funding, as well as better decision-making and more flexible, targeted, coordinated and accountable emergency responses. </w:t>
      </w:r>
    </w:p>
    <w:p w14:paraId="2C9B3C69" w14:textId="00CEEADD" w:rsidR="00DD33F1" w:rsidRPr="00EE5623" w:rsidRDefault="00873A35" w:rsidP="00DD33F1">
      <w:pPr>
        <w:pStyle w:val="SDAbodytext"/>
        <w:rPr>
          <w:b/>
        </w:rPr>
      </w:pPr>
      <w:r>
        <w:rPr>
          <w:b/>
        </w:rPr>
        <w:t>Thi</w:t>
      </w:r>
      <w:r w:rsidR="00DD33F1" w:rsidRPr="00EE5623">
        <w:rPr>
          <w:b/>
        </w:rPr>
        <w:t>s outcome has been achieved.</w:t>
      </w:r>
    </w:p>
    <w:p w14:paraId="5A695266" w14:textId="38D9A336" w:rsidR="00DD33F1" w:rsidRPr="00DD33F1" w:rsidRDefault="00DD33F1" w:rsidP="00DD33F1">
      <w:pPr>
        <w:pStyle w:val="SDAbodytext"/>
      </w:pPr>
      <w:r w:rsidRPr="00DD33F1">
        <w:t>The response turnaround times achieved under the HPA have been dramatically faster than under the previous funding mechanism. While the 48-72 hour turnaround target has not been met in every case, they have all been close.</w:t>
      </w:r>
      <w:r w:rsidRPr="00DD33F1">
        <w:rPr>
          <w:rStyle w:val="FootnoteReference"/>
        </w:rPr>
        <w:footnoteReference w:id="12"/>
      </w:r>
      <w:r w:rsidRPr="00DD33F1">
        <w:rPr>
          <w:rStyle w:val="FootnoteReference"/>
        </w:rPr>
        <w:t xml:space="preserve"> </w:t>
      </w:r>
      <w:r>
        <w:t xml:space="preserve"> </w:t>
      </w:r>
      <w:r w:rsidRPr="00DD33F1">
        <w:t xml:space="preserve">The rapid approval of HPA funds has frequently enabled NGO partners to leverage other public and private funding; to build early influence with local partners, governments and UN clusters; and to 'prime' their logistics pipelines. </w:t>
      </w:r>
      <w:r w:rsidR="00176A7E">
        <w:t>O</w:t>
      </w:r>
      <w:r w:rsidR="00176A7E" w:rsidRPr="00DD33F1">
        <w:t xml:space="preserve">nce the </w:t>
      </w:r>
      <w:r w:rsidR="00176A7E">
        <w:t xml:space="preserve">Joint Emergency Response </w:t>
      </w:r>
      <w:r w:rsidR="00040D5A">
        <w:t>Concept Paper</w:t>
      </w:r>
      <w:r w:rsidR="00040D5A" w:rsidRPr="00DD33F1">
        <w:t xml:space="preserve"> </w:t>
      </w:r>
      <w:r w:rsidR="00176A7E">
        <w:t>(</w:t>
      </w:r>
      <w:r w:rsidR="00176A7E" w:rsidRPr="00DD33F1">
        <w:t>JERCP</w:t>
      </w:r>
      <w:r w:rsidR="00176A7E">
        <w:t>)</w:t>
      </w:r>
      <w:r w:rsidR="00176A7E" w:rsidRPr="00DD33F1">
        <w:t xml:space="preserve"> is approved, NGO partners have confidence to spend their own resources in anticipation of receiving DFAT funds.</w:t>
      </w:r>
      <w:r w:rsidR="00062901">
        <w:rPr>
          <w:rStyle w:val="FootnoteReference"/>
        </w:rPr>
        <w:footnoteReference w:id="13"/>
      </w:r>
      <w:r w:rsidR="00176A7E">
        <w:t xml:space="preserve"> </w:t>
      </w:r>
      <w:r w:rsidR="009532C8">
        <w:t xml:space="preserve"> </w:t>
      </w:r>
      <w:r w:rsidR="00176A7E">
        <w:t>T</w:t>
      </w:r>
      <w:r w:rsidRPr="00DD33F1">
        <w:t xml:space="preserve">he review team believes that current approval and disbursal timeframes are appropriate for rapid onset crises. </w:t>
      </w:r>
    </w:p>
    <w:p w14:paraId="158AED1F" w14:textId="77777777" w:rsidR="00DD33F1" w:rsidRDefault="00DD33F1" w:rsidP="00DD33F1">
      <w:pPr>
        <w:pStyle w:val="SDAbodytext"/>
      </w:pPr>
      <w:r w:rsidRPr="00DD33F1">
        <w:t xml:space="preserve">HPA response activities have proven effective and efficient. A wide range of activities were </w:t>
      </w:r>
      <w:r w:rsidRPr="00062901">
        <w:t>implemented, from distribution of food items following Typhoon Haiyan in the Philippines to de-stocking in drought-affected pastoral communities of northern Kenya. Activities</w:t>
      </w:r>
      <w:r w:rsidRPr="00DD33F1">
        <w:t xml:space="preserve"> have been appropriate and have generally achieved or exceeded targets, even in extremely difficult operating contexts such as the Horn of Africa. </w:t>
      </w:r>
      <w:r w:rsidR="00176A7E">
        <w:rPr>
          <w:rStyle w:val="FootnoteReference"/>
        </w:rPr>
        <w:footnoteReference w:id="14"/>
      </w:r>
    </w:p>
    <w:p w14:paraId="0DB77E7B" w14:textId="7A14098B" w:rsidR="00DD33F1" w:rsidRDefault="00DD33F1" w:rsidP="00DD33F1">
      <w:pPr>
        <w:pStyle w:val="SDAbodytext"/>
        <w:rPr>
          <w:rStyle w:val="FootnoteReference"/>
        </w:rPr>
      </w:pPr>
      <w:r w:rsidRPr="00DD33F1">
        <w:t xml:space="preserve">Rapid approval and disbursement of emergency response funds </w:t>
      </w:r>
      <w:r w:rsidR="009532C8">
        <w:t>improved</w:t>
      </w:r>
      <w:r w:rsidRPr="00DD33F1">
        <w:t xml:space="preserve"> the effectiveness and efficiency of activities. For example, during the Typhoon Bopha response in the Philippines, the rapid distribution of supplies allowed needs assessment teams better access to affected communities, allowing for more accurate assessments.</w:t>
      </w:r>
      <w:r w:rsidRPr="00DD33F1">
        <w:rPr>
          <w:rStyle w:val="FootnoteReference"/>
        </w:rPr>
        <w:footnoteReference w:id="15"/>
      </w:r>
    </w:p>
    <w:p w14:paraId="537BDB59" w14:textId="77777777" w:rsidR="00DD33F1" w:rsidRDefault="00062901" w:rsidP="00DD33F1">
      <w:pPr>
        <w:pStyle w:val="SDAbodytext"/>
      </w:pPr>
      <w:r>
        <w:t>The ac</w:t>
      </w:r>
      <w:r w:rsidR="00DD33F1" w:rsidRPr="00DD33F1">
        <w:t xml:space="preserve">curacy of targeting </w:t>
      </w:r>
      <w:r>
        <w:t xml:space="preserve">relief efforts </w:t>
      </w:r>
      <w:r w:rsidR="00DD33F1" w:rsidRPr="00DD33F1">
        <w:t xml:space="preserve">was enhanced by the flexibility built into the HPA response mechanism. By allowing changes to implementation plans up to the 8-week mark, HPA processes ensure that activities remain appropriate as the disaster response unfolds. </w:t>
      </w:r>
    </w:p>
    <w:p w14:paraId="519AB4AE" w14:textId="6DBF1DF8" w:rsidR="00DD33F1" w:rsidRPr="00DD33F1" w:rsidRDefault="00DD33F1" w:rsidP="00DD33F1">
      <w:pPr>
        <w:pStyle w:val="SDAbodytext"/>
      </w:pPr>
      <w:r w:rsidRPr="00DD33F1">
        <w:t xml:space="preserve">The long-term nature of the relationships between the </w:t>
      </w:r>
      <w:r w:rsidR="00062901">
        <w:t xml:space="preserve">HPA </w:t>
      </w:r>
      <w:r w:rsidRPr="00DD33F1">
        <w:t>NGOs and their in-country partners has been central to the effectiveness of the emergency responses. The rapid nature of HPA funding</w:t>
      </w:r>
      <w:r w:rsidR="004A4C9A">
        <w:t xml:space="preserve">, which is often used by NGOs to leverage other funding, </w:t>
      </w:r>
      <w:r w:rsidRPr="00DD33F1">
        <w:t xml:space="preserve">has allowed the Australian Government to </w:t>
      </w:r>
      <w:r w:rsidR="00062901">
        <w:t>have a highly visible</w:t>
      </w:r>
      <w:r w:rsidRPr="00DD33F1">
        <w:t xml:space="preserve"> role in many responses</w:t>
      </w:r>
      <w:r w:rsidR="00062901">
        <w:t>, including in those in which Australia</w:t>
      </w:r>
      <w:r w:rsidR="00834BFD">
        <w:t xml:space="preserve">n funding </w:t>
      </w:r>
      <w:r w:rsidR="00062901">
        <w:t>has been</w:t>
      </w:r>
      <w:r w:rsidRPr="00DD33F1">
        <w:t xml:space="preserve"> </w:t>
      </w:r>
      <w:r w:rsidR="00062901">
        <w:t>relatively small</w:t>
      </w:r>
      <w:r w:rsidRPr="00DD33F1">
        <w:t>.</w:t>
      </w:r>
    </w:p>
    <w:p w14:paraId="37125EC3" w14:textId="56EF499D" w:rsidR="00DD33F1" w:rsidRDefault="00834BFD" w:rsidP="00DD33F1">
      <w:pPr>
        <w:pStyle w:val="SDAbodytext"/>
        <w:rPr>
          <w:rStyle w:val="FootnoteReference"/>
        </w:rPr>
      </w:pPr>
      <w:r>
        <w:t>The HPA has improved overtime</w:t>
      </w:r>
      <w:r w:rsidR="00DD33F1" w:rsidRPr="00DD33F1">
        <w:t xml:space="preserve">. The partnership </w:t>
      </w:r>
      <w:r>
        <w:t>has</w:t>
      </w:r>
      <w:r w:rsidR="00DD33F1" w:rsidRPr="00DD33F1">
        <w:t xml:space="preserve"> demonstrat</w:t>
      </w:r>
      <w:r>
        <w:t xml:space="preserve">ed a </w:t>
      </w:r>
      <w:r w:rsidR="00DD33F1" w:rsidRPr="00DD33F1">
        <w:t xml:space="preserve">commitment to implementing lessons learned from previous funding mechanisms. As the partnership has evolved, collaboration between NGO partners </w:t>
      </w:r>
      <w:r>
        <w:t>in particular has been improved</w:t>
      </w:r>
      <w:r w:rsidR="00DD33F1" w:rsidRPr="00DD33F1">
        <w:t>. For example, during the Typhoon Bopha response in the Philippines</w:t>
      </w:r>
      <w:r w:rsidR="004A4C9A">
        <w:t>,</w:t>
      </w:r>
      <w:r w:rsidR="00DD33F1" w:rsidRPr="00DD33F1">
        <w:t xml:space="preserve"> Oxfam</w:t>
      </w:r>
      <w:r w:rsidR="009532C8">
        <w:t>’s</w:t>
      </w:r>
      <w:r w:rsidR="00DD33F1" w:rsidRPr="00DD33F1">
        <w:t xml:space="preserve"> </w:t>
      </w:r>
      <w:r w:rsidR="00B4765D">
        <w:t xml:space="preserve">partner Humanitarian Response Consortium (HRC) </w:t>
      </w:r>
      <w:r w:rsidR="00DD33F1" w:rsidRPr="00DD33F1">
        <w:t>and Caritas</w:t>
      </w:r>
      <w:r w:rsidR="009532C8">
        <w:t>’</w:t>
      </w:r>
      <w:r w:rsidR="00DD33F1" w:rsidRPr="00DD33F1">
        <w:t xml:space="preserve"> partner </w:t>
      </w:r>
      <w:r w:rsidR="000B5675">
        <w:t>Catholic Relief Services (</w:t>
      </w:r>
      <w:r w:rsidR="00DD33F1" w:rsidRPr="00996EE2">
        <w:t>CRS</w:t>
      </w:r>
      <w:r w:rsidR="000B5675">
        <w:t>)</w:t>
      </w:r>
      <w:r w:rsidR="00DD33F1" w:rsidRPr="00DD33F1">
        <w:t xml:space="preserve"> shared warehousing facilities, and Oxfam</w:t>
      </w:r>
      <w:r w:rsidR="00B4765D">
        <w:t>-HRC</w:t>
      </w:r>
      <w:r w:rsidR="00DD33F1" w:rsidRPr="00DD33F1">
        <w:t xml:space="preserve"> distributed hygiene kits for CRS making use of existing distribution systems.</w:t>
      </w:r>
      <w:r w:rsidR="00DD33F1" w:rsidRPr="00DD33F1">
        <w:rPr>
          <w:rStyle w:val="FootnoteReference"/>
        </w:rPr>
        <w:footnoteReference w:id="16"/>
      </w:r>
      <w:r w:rsidR="00DD33F1" w:rsidRPr="00DD33F1">
        <w:rPr>
          <w:rStyle w:val="FootnoteReference"/>
        </w:rPr>
        <w:t xml:space="preserve"> </w:t>
      </w:r>
    </w:p>
    <w:p w14:paraId="56CA39BA" w14:textId="7B2936BD" w:rsidR="00DD33F1" w:rsidRPr="00DD33F1" w:rsidRDefault="00DD33F1" w:rsidP="00DD33F1">
      <w:pPr>
        <w:pStyle w:val="SDAbodytext"/>
      </w:pPr>
      <w:r w:rsidRPr="00DD33F1">
        <w:t>The partnership also provided structured opportunities for learning and sharing lessons</w:t>
      </w:r>
      <w:r w:rsidR="00834BFD">
        <w:t xml:space="preserve">. These have </w:t>
      </w:r>
      <w:r w:rsidR="009532C8">
        <w:t>led</w:t>
      </w:r>
      <w:r w:rsidR="00834BFD">
        <w:t xml:space="preserve"> to </w:t>
      </w:r>
      <w:r w:rsidRPr="00DD33F1">
        <w:t>improvement</w:t>
      </w:r>
      <w:r w:rsidR="009532C8">
        <w:t>s</w:t>
      </w:r>
      <w:r w:rsidRPr="00DD33F1">
        <w:t xml:space="preserve"> to processes and activities. However, lesson learning processes did not </w:t>
      </w:r>
      <w:r w:rsidR="00834BFD">
        <w:t>extend to</w:t>
      </w:r>
      <w:r w:rsidRPr="00DD33F1">
        <w:t xml:space="preserve"> a post-implementation assessment of the JERCP</w:t>
      </w:r>
      <w:r w:rsidR="00834BFD">
        <w:t xml:space="preserve"> (i.e.</w:t>
      </w:r>
      <w:r w:rsidRPr="00DD33F1">
        <w:t xml:space="preserve"> to evaluate the extent to which the right decisions had been made</w:t>
      </w:r>
      <w:r w:rsidR="00834BFD">
        <w:t>)</w:t>
      </w:r>
      <w:r w:rsidRPr="00DD33F1">
        <w:t>. Such assessment</w:t>
      </w:r>
      <w:r w:rsidR="00834BFD">
        <w:t>s</w:t>
      </w:r>
      <w:r w:rsidRPr="00DD33F1">
        <w:t xml:space="preserve"> </w:t>
      </w:r>
      <w:r w:rsidR="009532C8">
        <w:t xml:space="preserve">would </w:t>
      </w:r>
      <w:r w:rsidRPr="00DD33F1">
        <w:t>improve accountability and programming.</w:t>
      </w:r>
      <w:r w:rsidR="00FF311C" w:rsidRPr="00FF311C">
        <w:rPr>
          <w:rStyle w:val="FootnoteReference"/>
        </w:rPr>
        <w:t xml:space="preserve"> </w:t>
      </w:r>
      <w:r w:rsidR="00FF311C">
        <w:rPr>
          <w:rStyle w:val="FootnoteReference"/>
        </w:rPr>
        <w:footnoteReference w:id="17"/>
      </w:r>
    </w:p>
    <w:p w14:paraId="27157B13" w14:textId="0BDE2553" w:rsidR="00DD33F1" w:rsidRPr="00661731" w:rsidRDefault="00834BFD" w:rsidP="00DD33F1">
      <w:pPr>
        <w:pStyle w:val="SDAbodytext"/>
        <w:rPr>
          <w:b/>
        </w:rPr>
      </w:pPr>
      <w:r>
        <w:rPr>
          <w:b/>
        </w:rPr>
        <w:t>This</w:t>
      </w:r>
      <w:r w:rsidR="004A4C9A" w:rsidRPr="004A4C9A">
        <w:rPr>
          <w:b/>
        </w:rPr>
        <w:t xml:space="preserve"> outcome has been achieved</w:t>
      </w:r>
      <w:r>
        <w:rPr>
          <w:b/>
        </w:rPr>
        <w:t xml:space="preserve">. However, the </w:t>
      </w:r>
      <w:r w:rsidR="00F917D1">
        <w:rPr>
          <w:b/>
        </w:rPr>
        <w:t xml:space="preserve">effectiveness and efficiency </w:t>
      </w:r>
      <w:r>
        <w:rPr>
          <w:b/>
        </w:rPr>
        <w:t xml:space="preserve">of achieving the outcome </w:t>
      </w:r>
      <w:r w:rsidR="00F917D1">
        <w:rPr>
          <w:b/>
        </w:rPr>
        <w:t xml:space="preserve">has been </w:t>
      </w:r>
      <w:r w:rsidR="00DD33F1" w:rsidRPr="004A4C9A">
        <w:rPr>
          <w:b/>
        </w:rPr>
        <w:t>constrained</w:t>
      </w:r>
      <w:r w:rsidR="00DD33F1" w:rsidRPr="00661731">
        <w:rPr>
          <w:b/>
        </w:rPr>
        <w:t xml:space="preserve"> </w:t>
      </w:r>
      <w:r w:rsidR="00F917D1">
        <w:rPr>
          <w:b/>
        </w:rPr>
        <w:t>by</w:t>
      </w:r>
      <w:r w:rsidR="00DF71E0">
        <w:rPr>
          <w:b/>
        </w:rPr>
        <w:t xml:space="preserve"> factors including</w:t>
      </w:r>
      <w:r w:rsidR="00DD33F1" w:rsidRPr="00661731">
        <w:rPr>
          <w:b/>
        </w:rPr>
        <w:t>:</w:t>
      </w:r>
    </w:p>
    <w:p w14:paraId="7E1F4DF5" w14:textId="284F200D" w:rsidR="00DD33F1" w:rsidRPr="00661731" w:rsidRDefault="00062901" w:rsidP="00DD33F1">
      <w:pPr>
        <w:pStyle w:val="SDAbulletpoints"/>
      </w:pPr>
      <w:r>
        <w:rPr>
          <w:b/>
          <w:i/>
        </w:rPr>
        <w:t>Us</w:t>
      </w:r>
      <w:r w:rsidR="00834BFD">
        <w:rPr>
          <w:b/>
          <w:i/>
        </w:rPr>
        <w:t>ing</w:t>
      </w:r>
      <w:r w:rsidR="00DD33F1" w:rsidRPr="004A4C9A">
        <w:rPr>
          <w:b/>
          <w:i/>
        </w:rPr>
        <w:t xml:space="preserve"> the HPA </w:t>
      </w:r>
      <w:r w:rsidR="00834BFD">
        <w:rPr>
          <w:b/>
          <w:i/>
        </w:rPr>
        <w:t>to fund</w:t>
      </w:r>
      <w:r w:rsidR="00DD33F1" w:rsidRPr="004A4C9A">
        <w:rPr>
          <w:b/>
          <w:i/>
        </w:rPr>
        <w:t xml:space="preserve"> slow-onset and protracted crises, for which the </w:t>
      </w:r>
      <w:r w:rsidR="00834BFD">
        <w:rPr>
          <w:b/>
          <w:i/>
        </w:rPr>
        <w:t>agreement</w:t>
      </w:r>
      <w:r w:rsidR="00DD33F1" w:rsidRPr="004A4C9A">
        <w:rPr>
          <w:b/>
          <w:i/>
        </w:rPr>
        <w:t xml:space="preserve"> was not designed</w:t>
      </w:r>
      <w:r w:rsidR="00DD33F1" w:rsidRPr="004A4C9A">
        <w:rPr>
          <w:i/>
        </w:rPr>
        <w:t>.</w:t>
      </w:r>
      <w:r w:rsidR="004A4C9A" w:rsidRPr="004A4C9A">
        <w:t xml:space="preserve"> </w:t>
      </w:r>
      <w:r w:rsidR="004A4C9A" w:rsidRPr="00661731">
        <w:t>HPA partners were selected based on their ability to respond to rapid</w:t>
      </w:r>
      <w:r w:rsidR="009532C8">
        <w:t>-</w:t>
      </w:r>
      <w:r w:rsidR="004A4C9A" w:rsidRPr="00661731">
        <w:t>onset disasters.</w:t>
      </w:r>
      <w:r w:rsidR="004A4C9A">
        <w:t xml:space="preserve"> </w:t>
      </w:r>
      <w:r w:rsidR="00DD33F1" w:rsidRPr="00661731">
        <w:t xml:space="preserve">Response triggers and timeframes for protracted and slow-onset crises are significantly different to those required by rapid-onset disasters. </w:t>
      </w:r>
      <w:r w:rsidR="005B6D24">
        <w:t xml:space="preserve">While </w:t>
      </w:r>
      <w:r w:rsidR="004A4C9A">
        <w:t xml:space="preserve">HPA </w:t>
      </w:r>
      <w:r w:rsidR="005B6D24">
        <w:t xml:space="preserve">partners have </w:t>
      </w:r>
      <w:r w:rsidR="004A4C9A">
        <w:t>made adjustments to these timeframes</w:t>
      </w:r>
      <w:r w:rsidR="005B6D24">
        <w:t xml:space="preserve">, the HPA is more effective </w:t>
      </w:r>
      <w:r w:rsidR="00834BFD">
        <w:t>in</w:t>
      </w:r>
      <w:r w:rsidR="005B6D24">
        <w:t xml:space="preserve"> responding </w:t>
      </w:r>
      <w:r w:rsidR="00F917D1">
        <w:t>to rapi</w:t>
      </w:r>
      <w:r w:rsidR="009532C8">
        <w:t>d-onset</w:t>
      </w:r>
      <w:r w:rsidR="005B6D24" w:rsidRPr="00661731">
        <w:t xml:space="preserve"> disasters</w:t>
      </w:r>
      <w:r w:rsidR="005B6D24">
        <w:t>.</w:t>
      </w:r>
    </w:p>
    <w:p w14:paraId="11FEA9D7" w14:textId="78A5ADFD" w:rsidR="00DD33F1" w:rsidRDefault="00834BFD" w:rsidP="00DD33F1">
      <w:pPr>
        <w:pStyle w:val="SDAbulletpoints"/>
      </w:pPr>
      <w:r>
        <w:rPr>
          <w:b/>
          <w:i/>
        </w:rPr>
        <w:t>Co</w:t>
      </w:r>
      <w:r w:rsidR="00DD33F1" w:rsidRPr="00EE5623">
        <w:rPr>
          <w:b/>
          <w:i/>
        </w:rPr>
        <w:t>mpetitive engagement by NGO partners</w:t>
      </w:r>
      <w:r w:rsidR="00DD33F1" w:rsidRPr="00EE5623">
        <w:rPr>
          <w:i/>
        </w:rPr>
        <w:t>.</w:t>
      </w:r>
      <w:r w:rsidR="00DD33F1" w:rsidRPr="00DD33F1">
        <w:t xml:space="preserve"> NGO collaboration has been enhanced by the HPA, and the peer review process has </w:t>
      </w:r>
      <w:r w:rsidR="00996EE2">
        <w:t>supported effective responses</w:t>
      </w:r>
      <w:r w:rsidR="005B6D24">
        <w:t>. However, competiti</w:t>
      </w:r>
      <w:r>
        <w:t>on</w:t>
      </w:r>
      <w:r w:rsidR="005B6D24">
        <w:t xml:space="preserve"> </w:t>
      </w:r>
      <w:r w:rsidR="00407C80">
        <w:t xml:space="preserve">for funds </w:t>
      </w:r>
      <w:r w:rsidR="005B6D24">
        <w:t>produces</w:t>
      </w:r>
      <w:r w:rsidR="00DD33F1" w:rsidRPr="00DD33F1">
        <w:t xml:space="preserve"> incentives for individual NGOs to seek </w:t>
      </w:r>
      <w:r w:rsidR="00B4765D">
        <w:t xml:space="preserve">maximum advantage for their own organisation, potentially at the expense of </w:t>
      </w:r>
      <w:r>
        <w:t>an optimal</w:t>
      </w:r>
      <w:r w:rsidR="00B4765D">
        <w:t xml:space="preserve"> response</w:t>
      </w:r>
      <w:r w:rsidR="00996EE2">
        <w:t xml:space="preserve">. </w:t>
      </w:r>
    </w:p>
    <w:p w14:paraId="71C65E11" w14:textId="276234FF" w:rsidR="0012491C" w:rsidRPr="00EE5623" w:rsidRDefault="00834BFD" w:rsidP="00EE5623">
      <w:pPr>
        <w:pStyle w:val="SDAbulletpoints"/>
      </w:pPr>
      <w:r>
        <w:rPr>
          <w:b/>
          <w:i/>
        </w:rPr>
        <w:t>Limited volume of funding</w:t>
      </w:r>
      <w:r w:rsidR="00DD33F1" w:rsidRPr="00EE5623">
        <w:rPr>
          <w:b/>
          <w:i/>
        </w:rPr>
        <w:t>.</w:t>
      </w:r>
      <w:r w:rsidR="00DD33F1" w:rsidRPr="00EE5623">
        <w:rPr>
          <w:b/>
        </w:rPr>
        <w:t xml:space="preserve"> </w:t>
      </w:r>
      <w:r w:rsidR="00DD33F1" w:rsidRPr="00EE5623">
        <w:t xml:space="preserve">The collaborative </w:t>
      </w:r>
      <w:r>
        <w:t xml:space="preserve">nature of </w:t>
      </w:r>
      <w:r w:rsidR="00DD33F1" w:rsidRPr="00EE5623">
        <w:t xml:space="preserve">decision-making </w:t>
      </w:r>
      <w:r>
        <w:t>by</w:t>
      </w:r>
      <w:r w:rsidR="00661731" w:rsidRPr="00EE5623">
        <w:t xml:space="preserve"> the HPA require</w:t>
      </w:r>
      <w:r>
        <w:t>s</w:t>
      </w:r>
      <w:r w:rsidR="00DD33F1" w:rsidRPr="00EE5623">
        <w:t xml:space="preserve"> a significant investment of time and resources from all HPA partners, especially NGO partners. Similarly, the contracting model </w:t>
      </w:r>
      <w:r>
        <w:t xml:space="preserve">of individual grant orders </w:t>
      </w:r>
      <w:r w:rsidR="00DD33F1" w:rsidRPr="00EE5623">
        <w:t xml:space="preserve">places a heavy administrative burden on DFAT </w:t>
      </w:r>
      <w:r>
        <w:t>(</w:t>
      </w:r>
      <w:r w:rsidR="00DD33F1" w:rsidRPr="00EE5623">
        <w:t xml:space="preserve">with the </w:t>
      </w:r>
      <w:r>
        <w:t xml:space="preserve">possible </w:t>
      </w:r>
      <w:r w:rsidR="00DD33F1" w:rsidRPr="00EE5623">
        <w:t>exception of the recent consortium approach which shifts some of that burden to the consortium lead NGO</w:t>
      </w:r>
      <w:r>
        <w:t>)</w:t>
      </w:r>
      <w:r w:rsidR="00DD33F1" w:rsidRPr="00EE5623">
        <w:t xml:space="preserve">. </w:t>
      </w:r>
      <w:r>
        <w:t xml:space="preserve">Some NGOs have questioned </w:t>
      </w:r>
      <w:r w:rsidR="00062901">
        <w:t>whether the investment</w:t>
      </w:r>
      <w:r w:rsidR="004708A9">
        <w:t xml:space="preserve"> in the HPA </w:t>
      </w:r>
      <w:r w:rsidR="00062901">
        <w:t>is p</w:t>
      </w:r>
      <w:r w:rsidR="00661731" w:rsidRPr="00EE5623">
        <w:t>roportional to the benefit (i.e.</w:t>
      </w:r>
      <w:r w:rsidR="00DD33F1" w:rsidRPr="00EE5623">
        <w:t xml:space="preserve"> </w:t>
      </w:r>
      <w:r w:rsidR="004708A9">
        <w:t xml:space="preserve">to </w:t>
      </w:r>
      <w:r w:rsidR="00DD33F1" w:rsidRPr="00EE5623">
        <w:t xml:space="preserve">the </w:t>
      </w:r>
      <w:r w:rsidR="004708A9">
        <w:t>amount</w:t>
      </w:r>
      <w:r w:rsidR="00DD33F1" w:rsidRPr="00EE5623">
        <w:t xml:space="preserve"> of funding</w:t>
      </w:r>
      <w:r w:rsidR="004708A9">
        <w:t>)</w:t>
      </w:r>
      <w:r w:rsidR="00DD33F1" w:rsidRPr="00EE5623">
        <w:t xml:space="preserve">. </w:t>
      </w:r>
    </w:p>
    <w:p w14:paraId="62139E85" w14:textId="77777777" w:rsidR="00EE5623" w:rsidRDefault="00EE5623" w:rsidP="0012491C">
      <w:pPr>
        <w:pStyle w:val="SDAbulletpoints"/>
        <w:numPr>
          <w:ilvl w:val="0"/>
          <w:numId w:val="0"/>
        </w:numPr>
        <w:ind w:left="709"/>
      </w:pPr>
    </w:p>
    <w:p w14:paraId="25B54755" w14:textId="77777777" w:rsidR="00767BE5" w:rsidRDefault="00767BE5" w:rsidP="00565770">
      <w:pPr>
        <w:pStyle w:val="SDANumberedheading2"/>
        <w:ind w:left="709" w:hanging="709"/>
      </w:pPr>
      <w:bookmarkStart w:id="12" w:name="_Toc423711128"/>
      <w:r>
        <w:t xml:space="preserve">Outcome 2: Collaborative </w:t>
      </w:r>
      <w:r w:rsidR="006C50DD">
        <w:t>Disaster Risk Reduction (</w:t>
      </w:r>
      <w:r>
        <w:t>DRR</w:t>
      </w:r>
      <w:r w:rsidR="006C50DD">
        <w:t>)</w:t>
      </w:r>
      <w:r>
        <w:t xml:space="preserve"> and </w:t>
      </w:r>
      <w:r w:rsidR="006C50DD">
        <w:t>Disaster Risk Management (</w:t>
      </w:r>
      <w:r>
        <w:t>DRM</w:t>
      </w:r>
      <w:r w:rsidR="006C50DD">
        <w:t>)</w:t>
      </w:r>
      <w:r>
        <w:t xml:space="preserve"> Activities</w:t>
      </w:r>
      <w:bookmarkEnd w:id="12"/>
    </w:p>
    <w:p w14:paraId="367E5AC0" w14:textId="463AC425" w:rsidR="00050AD2" w:rsidRDefault="00DD33F1" w:rsidP="00DD33F1">
      <w:pPr>
        <w:pStyle w:val="SDAbodytext"/>
      </w:pPr>
      <w:r w:rsidRPr="00DD33F1">
        <w:t xml:space="preserve">The HPA was designed to reduce community vulnerability and enhance resilience to disasters; </w:t>
      </w:r>
      <w:r w:rsidR="00407C80">
        <w:t>as well as to</w:t>
      </w:r>
      <w:r w:rsidRPr="00DD33F1">
        <w:t xml:space="preserve"> strengthen DRM capacities and s</w:t>
      </w:r>
      <w:r w:rsidR="00062901">
        <w:t>ystems of HPA NGOs and their in-</w:t>
      </w:r>
      <w:r w:rsidRPr="00DD33F1">
        <w:t xml:space="preserve">country NGO partners. </w:t>
      </w:r>
    </w:p>
    <w:p w14:paraId="286C4D8B" w14:textId="21EBE84E" w:rsidR="00DD33F1" w:rsidRPr="00EE5623" w:rsidRDefault="00DE5BB2" w:rsidP="00DD33F1">
      <w:pPr>
        <w:pStyle w:val="SDAbodytext"/>
        <w:rPr>
          <w:b/>
        </w:rPr>
      </w:pPr>
      <w:r>
        <w:t>M</w:t>
      </w:r>
      <w:r w:rsidR="00DD33F1" w:rsidRPr="00DD33F1">
        <w:t xml:space="preserve">onitoring of this component of the HPA </w:t>
      </w:r>
      <w:r>
        <w:t xml:space="preserve">has been minimal. The review team, therefore, had a limited amount of </w:t>
      </w:r>
      <w:r w:rsidR="00DD33F1" w:rsidRPr="00DD33F1">
        <w:t xml:space="preserve">information </w:t>
      </w:r>
      <w:r>
        <w:t xml:space="preserve">to assess this aspect of the agreement. </w:t>
      </w:r>
      <w:r w:rsidR="00F917D1">
        <w:t>Within this limitation</w:t>
      </w:r>
      <w:r w:rsidR="00DD33F1" w:rsidRPr="00DD33F1">
        <w:t xml:space="preserve">, </w:t>
      </w:r>
      <w:r w:rsidR="00DD33F1" w:rsidRPr="00EE5623">
        <w:rPr>
          <w:b/>
        </w:rPr>
        <w:t xml:space="preserve">the review team's assessment is that this outcome has been </w:t>
      </w:r>
      <w:r w:rsidR="006354BF" w:rsidRPr="00EE5623">
        <w:rPr>
          <w:b/>
        </w:rPr>
        <w:t>partially</w:t>
      </w:r>
      <w:r w:rsidR="00DD33F1" w:rsidRPr="00EE5623">
        <w:rPr>
          <w:b/>
        </w:rPr>
        <w:t xml:space="preserve"> achieved.</w:t>
      </w:r>
    </w:p>
    <w:p w14:paraId="5DE7A682" w14:textId="6CC4C609" w:rsidR="006354BF" w:rsidRDefault="005B6D24" w:rsidP="00DD33F1">
      <w:pPr>
        <w:pStyle w:val="SDAbodytext"/>
      </w:pPr>
      <w:r>
        <w:t>DRR</w:t>
      </w:r>
      <w:r w:rsidR="00DD33F1" w:rsidRPr="00DD33F1">
        <w:t xml:space="preserve"> and </w:t>
      </w:r>
      <w:r>
        <w:t>DRM</w:t>
      </w:r>
      <w:r w:rsidR="00DD33F1" w:rsidRPr="00DD33F1">
        <w:t xml:space="preserve"> capacity building activities have prove</w:t>
      </w:r>
      <w:r>
        <w:t>d</w:t>
      </w:r>
      <w:r w:rsidR="00DD33F1" w:rsidRPr="00DD33F1">
        <w:t xml:space="preserve"> effective over a range of initiatives. Significant latitude </w:t>
      </w:r>
      <w:r w:rsidR="00407C80">
        <w:t>was</w:t>
      </w:r>
      <w:r w:rsidR="00DD33F1" w:rsidRPr="00DD33F1">
        <w:t xml:space="preserve"> given</w:t>
      </w:r>
      <w:r w:rsidR="00DE5BB2">
        <w:t xml:space="preserve"> by DFAT</w:t>
      </w:r>
      <w:r w:rsidR="00DD33F1" w:rsidRPr="00DD33F1">
        <w:t xml:space="preserve"> to NGO partners to determine the nature of these activities. Examples of DRR activities include</w:t>
      </w:r>
      <w:r>
        <w:t>:</w:t>
      </w:r>
      <w:r w:rsidR="00DD33F1" w:rsidRPr="00DD33F1">
        <w:t xml:space="preserve"> assisting district governments in Indonesia to develop standard operating procedures for emergencies</w:t>
      </w:r>
      <w:r>
        <w:t>;</w:t>
      </w:r>
      <w:r w:rsidR="00DD33F1" w:rsidRPr="00DD33F1">
        <w:t xml:space="preserve"> integrating climate change adaptation into community-based disaster risk management in Vietnam</w:t>
      </w:r>
      <w:r>
        <w:t>;</w:t>
      </w:r>
      <w:r w:rsidR="00DD33F1" w:rsidRPr="00DD33F1">
        <w:t xml:space="preserve"> and disaster awareness raising in schools. These activities were found to be generally effective in supporting governments to fulfil their DRR mandates.</w:t>
      </w:r>
      <w:r w:rsidR="00EE5623">
        <w:rPr>
          <w:rStyle w:val="FootnoteReference"/>
        </w:rPr>
        <w:footnoteReference w:id="18"/>
      </w:r>
      <w:r w:rsidR="00DD33F1" w:rsidRPr="00DD33F1">
        <w:t xml:space="preserve"> </w:t>
      </w:r>
      <w:r w:rsidR="00EE5623">
        <w:t xml:space="preserve"> </w:t>
      </w:r>
      <w:r w:rsidR="00DD33F1" w:rsidRPr="00DD33F1">
        <w:t>DRR activities also supported vulnerable communities to identify hazards and prepare appropriately.</w:t>
      </w:r>
      <w:r w:rsidR="00DD33F1" w:rsidRPr="00DD33F1">
        <w:rPr>
          <w:rStyle w:val="FootnoteReference"/>
        </w:rPr>
        <w:footnoteReference w:id="19"/>
      </w:r>
      <w:r w:rsidR="00DD33F1" w:rsidRPr="00DD33F1">
        <w:rPr>
          <w:rStyle w:val="FootnoteReference"/>
        </w:rPr>
        <w:t xml:space="preserve"> </w:t>
      </w:r>
    </w:p>
    <w:p w14:paraId="1AEBC157" w14:textId="77777777" w:rsidR="00DD33F1" w:rsidRPr="00DD33F1" w:rsidRDefault="00DD33F1" w:rsidP="00DD33F1">
      <w:pPr>
        <w:pStyle w:val="SDAbodytext"/>
      </w:pPr>
      <w:r w:rsidRPr="00DD33F1">
        <w:t>DRM funding was used appropriately to increase the capacity of NGO and in-country partner staff, as well as other humanitarian actors.</w:t>
      </w:r>
      <w:r w:rsidRPr="00DD33F1">
        <w:rPr>
          <w:rStyle w:val="FootnoteReference"/>
        </w:rPr>
        <w:footnoteReference w:id="20"/>
      </w:r>
      <w:r w:rsidRPr="00DD33F1">
        <w:t xml:space="preserve"> </w:t>
      </w:r>
      <w:r w:rsidR="00EE5623">
        <w:t xml:space="preserve"> </w:t>
      </w:r>
      <w:r w:rsidRPr="00DD33F1">
        <w:t>Examples of DRM activities include</w:t>
      </w:r>
      <w:r w:rsidR="005B6D24">
        <w:t>:</w:t>
      </w:r>
      <w:r w:rsidRPr="00DD33F1">
        <w:t xml:space="preserve"> </w:t>
      </w:r>
      <w:r w:rsidR="005B6D24">
        <w:t xml:space="preserve">the </w:t>
      </w:r>
      <w:r w:rsidRPr="00DD33F1">
        <w:t>design and implementation of the Humanitarian Leadership Program graduate certificate at Deakin University</w:t>
      </w:r>
      <w:r w:rsidR="005B6D24">
        <w:t>;</w:t>
      </w:r>
      <w:r w:rsidRPr="00DD33F1">
        <w:t xml:space="preserve"> development of an evaluation tool to assess the effectiveness of disaster resilience in shelter projects</w:t>
      </w:r>
      <w:r w:rsidR="00FF311C">
        <w:t xml:space="preserve">; </w:t>
      </w:r>
      <w:r w:rsidR="00FF311C" w:rsidRPr="00DD33F1">
        <w:t>and</w:t>
      </w:r>
      <w:r w:rsidRPr="00DD33F1">
        <w:t xml:space="preserve"> delivery of multi-lingual e-learning modules to NGO and local partner staff. Local </w:t>
      </w:r>
      <w:r w:rsidR="00DF71E0">
        <w:t>in-country</w:t>
      </w:r>
      <w:r w:rsidRPr="00DD33F1">
        <w:t xml:space="preserve"> NGOs have reported to their </w:t>
      </w:r>
      <w:r w:rsidR="005B6D24">
        <w:t xml:space="preserve">Australian NGO </w:t>
      </w:r>
      <w:r w:rsidRPr="00DD33F1">
        <w:t>partners that DRR/DRM activities have made a significant difference to preparedness and the quality of emergency responses.</w:t>
      </w:r>
      <w:r w:rsidR="005B6D24">
        <w:rPr>
          <w:rStyle w:val="FootnoteReference"/>
        </w:rPr>
        <w:footnoteReference w:id="21"/>
      </w:r>
    </w:p>
    <w:p w14:paraId="6164E099" w14:textId="74F418D3" w:rsidR="00DD33F1" w:rsidRPr="00DD33F1" w:rsidRDefault="00DE5BB2" w:rsidP="00DD33F1">
      <w:pPr>
        <w:pStyle w:val="SDAbodytext"/>
        <w:rPr>
          <w:rStyle w:val="FootnoteReference"/>
        </w:rPr>
      </w:pPr>
      <w:r>
        <w:t>M</w:t>
      </w:r>
      <w:r w:rsidR="00DD33F1" w:rsidRPr="00DD33F1">
        <w:t xml:space="preserve">ulti-year funding for DRR and DRM activities has been highly valued by HPA NGO partners. </w:t>
      </w:r>
      <w:r>
        <w:t>It</w:t>
      </w:r>
      <w:r w:rsidR="00DD33F1" w:rsidRPr="00DD33F1">
        <w:t xml:space="preserve"> has allowed long-term planning and helped build strong partner relationships, including by testing and refining DRR and DRM approaches when seasonal disasters strike. It has also provided the space to test innovative approaches which might otherwise have struggled to attract funding.</w:t>
      </w:r>
      <w:r w:rsidR="002B12A3">
        <w:rPr>
          <w:rStyle w:val="FootnoteReference"/>
        </w:rPr>
        <w:footnoteReference w:id="22"/>
      </w:r>
      <w:r w:rsidR="00DD33F1" w:rsidRPr="00DD33F1">
        <w:t xml:space="preserve"> </w:t>
      </w:r>
      <w:r w:rsidR="00407C80">
        <w:t xml:space="preserve"> </w:t>
      </w:r>
      <w:r w:rsidR="00DD33F1" w:rsidRPr="00DD33F1">
        <w:t>Likewise, multi-year funding for DRR/DRM has contributed to the efficiency of activities by enabling strong alignment with partner government priorities, harmonisation with other donors, and participation in relevant coordination mechanisms</w:t>
      </w:r>
      <w:r w:rsidR="002B12A3">
        <w:t>.</w:t>
      </w:r>
      <w:r w:rsidR="00DD33F1" w:rsidRPr="00DD33F1">
        <w:rPr>
          <w:rStyle w:val="FootnoteReference"/>
        </w:rPr>
        <w:footnoteReference w:id="23"/>
      </w:r>
    </w:p>
    <w:p w14:paraId="76093E0C" w14:textId="77777777" w:rsidR="00DD33F1" w:rsidRPr="00DD33F1" w:rsidRDefault="00DD33F1" w:rsidP="00DD33F1">
      <w:pPr>
        <w:pStyle w:val="SDAbodytext"/>
      </w:pPr>
      <w:r w:rsidRPr="00DD33F1">
        <w:t xml:space="preserve">DRR and DRM funding under the HPA has given rise to some good examples of collaboration. For example, CARE </w:t>
      </w:r>
      <w:r w:rsidR="002B12A3">
        <w:t>used</w:t>
      </w:r>
      <w:r w:rsidRPr="00DD33F1">
        <w:t xml:space="preserve"> school-based DRR learning resources from Plan and Save the Children to support flood recovery in Cambodia in 2014.</w:t>
      </w:r>
      <w:r w:rsidRPr="00DD33F1">
        <w:rPr>
          <w:rStyle w:val="FootnoteReference"/>
        </w:rPr>
        <w:footnoteReference w:id="24"/>
      </w:r>
      <w:r w:rsidR="00062901">
        <w:t xml:space="preserve"> </w:t>
      </w:r>
      <w:r w:rsidRPr="00DD33F1">
        <w:t xml:space="preserve"> The Humanitarian Leadership Program, led by Save the Children in partnership with a number of other HPA NGO partners, has demonstrated a strategic impact from a relatively small investment. For example, more than 30 graduates and students of the Humanitarian Leadership </w:t>
      </w:r>
      <w:r w:rsidR="00062901">
        <w:t>P</w:t>
      </w:r>
      <w:r w:rsidRPr="00DD33F1">
        <w:t>rogram were involved in the response to Typhoon Haiyan in the Philippines in 2013/14.</w:t>
      </w:r>
      <w:r w:rsidRPr="00DD33F1">
        <w:rPr>
          <w:rStyle w:val="FootnoteReference"/>
        </w:rPr>
        <w:footnoteReference w:id="25"/>
      </w:r>
      <w:r w:rsidRPr="00DD33F1">
        <w:t xml:space="preserve"> </w:t>
      </w:r>
    </w:p>
    <w:p w14:paraId="5B9E44D9" w14:textId="409F084B" w:rsidR="00DD33F1" w:rsidRPr="00DD33F1" w:rsidRDefault="00DD33F1" w:rsidP="00DD33F1">
      <w:pPr>
        <w:pStyle w:val="SDAbodytext"/>
      </w:pPr>
      <w:r w:rsidRPr="00DD33F1">
        <w:t>DRR and DRM activities also gave tangible meaning to the HPA partnership during periods of few or no response activations. This allowed for continued momentum in partner relations.</w:t>
      </w:r>
    </w:p>
    <w:p w14:paraId="61C427A6" w14:textId="77777777" w:rsidR="00DD33F1" w:rsidRPr="00DD33F1" w:rsidRDefault="00DD33F1" w:rsidP="00DD33F1">
      <w:pPr>
        <w:pStyle w:val="SDAbodytext"/>
        <w:rPr>
          <w:b/>
        </w:rPr>
      </w:pPr>
      <w:r w:rsidRPr="00DD33F1">
        <w:rPr>
          <w:b/>
        </w:rPr>
        <w:t>The full achievement of this outcome has been constrained by factors including:</w:t>
      </w:r>
    </w:p>
    <w:p w14:paraId="3D31FDF2" w14:textId="6A8D85C2" w:rsidR="00DD33F1" w:rsidRDefault="00DD33F1" w:rsidP="00DD33F1">
      <w:pPr>
        <w:pStyle w:val="SDAbulletpoints"/>
      </w:pPr>
      <w:r w:rsidRPr="00EE5623">
        <w:rPr>
          <w:b/>
          <w:i/>
        </w:rPr>
        <w:t>A lack of clarity on expected levels of collaboration between NGO partners</w:t>
      </w:r>
      <w:r w:rsidRPr="00DD33F1">
        <w:t xml:space="preserve">. Despite collaboration on implementation of DRR and DRM activities being a commitment in the HPA </w:t>
      </w:r>
      <w:r w:rsidR="002B12A3">
        <w:t>H</w:t>
      </w:r>
      <w:r w:rsidRPr="00DD33F1">
        <w:t xml:space="preserve">ead </w:t>
      </w:r>
      <w:r w:rsidR="002B12A3">
        <w:t>A</w:t>
      </w:r>
      <w:r w:rsidRPr="00DD33F1">
        <w:t>greement,</w:t>
      </w:r>
      <w:r w:rsidR="006354BF">
        <w:t xml:space="preserve"> </w:t>
      </w:r>
      <w:r w:rsidRPr="00DD33F1">
        <w:t>there seems to have been a lack of clarity on what this commitment means in practise</w:t>
      </w:r>
      <w:r w:rsidR="006354BF">
        <w:t>.</w:t>
      </w:r>
      <w:r w:rsidR="006354BF" w:rsidRPr="00DD33F1">
        <w:rPr>
          <w:rStyle w:val="FootnoteReference"/>
        </w:rPr>
        <w:footnoteReference w:id="26"/>
      </w:r>
      <w:r w:rsidR="006354BF" w:rsidRPr="00DD33F1">
        <w:t xml:space="preserve"> </w:t>
      </w:r>
      <w:r w:rsidR="006354BF">
        <w:t xml:space="preserve"> </w:t>
      </w:r>
      <w:r w:rsidR="00062901">
        <w:t>From the outset</w:t>
      </w:r>
      <w:r w:rsidR="00EE5623">
        <w:t>, i</w:t>
      </w:r>
      <w:r w:rsidR="006354BF">
        <w:t xml:space="preserve">ndividual </w:t>
      </w:r>
      <w:r w:rsidR="002B12A3">
        <w:t>NGO partners</w:t>
      </w:r>
      <w:r w:rsidR="006354BF">
        <w:t xml:space="preserve"> designed their three-year programs independently of each other</w:t>
      </w:r>
      <w:r w:rsidRPr="00DD33F1">
        <w:t xml:space="preserve">. </w:t>
      </w:r>
      <w:r w:rsidR="006354BF">
        <w:t xml:space="preserve"> </w:t>
      </w:r>
      <w:r w:rsidRPr="00DD33F1">
        <w:t>A renewed emphasis on collaboration in the latter years of the HPA gave rise to the kinds of good examples listed above</w:t>
      </w:r>
      <w:r w:rsidR="00FA6DDF">
        <w:t>. O</w:t>
      </w:r>
      <w:r w:rsidRPr="00DD33F1">
        <w:t xml:space="preserve">pportunities </w:t>
      </w:r>
      <w:r w:rsidR="00FA6DDF">
        <w:t xml:space="preserve">for collaboration </w:t>
      </w:r>
      <w:r w:rsidRPr="00DD33F1">
        <w:t>may have been missed in the initial years of the partnership.</w:t>
      </w:r>
    </w:p>
    <w:p w14:paraId="41E8034E" w14:textId="344241C2" w:rsidR="00A91F18" w:rsidRDefault="00DD33F1" w:rsidP="00EE5623">
      <w:pPr>
        <w:pStyle w:val="SDAbulletpoints"/>
      </w:pPr>
      <w:r w:rsidRPr="00EE5623">
        <w:rPr>
          <w:b/>
          <w:i/>
        </w:rPr>
        <w:t xml:space="preserve">A </w:t>
      </w:r>
      <w:r w:rsidR="00FA6DDF">
        <w:rPr>
          <w:b/>
          <w:i/>
        </w:rPr>
        <w:t>need for more direction from</w:t>
      </w:r>
      <w:r w:rsidRPr="00EE5623">
        <w:rPr>
          <w:b/>
          <w:i/>
        </w:rPr>
        <w:t xml:space="preserve"> DFAT </w:t>
      </w:r>
      <w:r w:rsidR="00FA6DDF">
        <w:rPr>
          <w:b/>
          <w:i/>
        </w:rPr>
        <w:t>on</w:t>
      </w:r>
      <w:r w:rsidRPr="00EE5623">
        <w:rPr>
          <w:b/>
          <w:i/>
        </w:rPr>
        <w:t xml:space="preserve"> this component of the HPA</w:t>
      </w:r>
      <w:r w:rsidRPr="00DD33F1">
        <w:t>. It is unclear what, if any, direction</w:t>
      </w:r>
      <w:r w:rsidR="00FA6DDF">
        <w:t>s</w:t>
      </w:r>
      <w:r w:rsidRPr="00DD33F1">
        <w:t xml:space="preserve"> </w:t>
      </w:r>
      <w:r w:rsidR="00FA6DDF">
        <w:t>were</w:t>
      </w:r>
      <w:r w:rsidRPr="00DD33F1">
        <w:t xml:space="preserve"> given by DFAT to NGO partners at the inception of the </w:t>
      </w:r>
      <w:r w:rsidR="00FA6DDF">
        <w:t xml:space="preserve">DRR and DRM </w:t>
      </w:r>
      <w:r w:rsidRPr="00DD33F1">
        <w:t>activities</w:t>
      </w:r>
      <w:r w:rsidR="00FA6DDF">
        <w:t xml:space="preserve">. </w:t>
      </w:r>
      <w:r w:rsidRPr="00DD33F1">
        <w:t xml:space="preserve">DFAT monitoring of these activities has </w:t>
      </w:r>
      <w:r w:rsidR="00FA6DDF">
        <w:t xml:space="preserve">also </w:t>
      </w:r>
      <w:r w:rsidRPr="00DD33F1">
        <w:t xml:space="preserve">been minimal. Consequently, it has </w:t>
      </w:r>
      <w:r w:rsidR="00FA6DDF">
        <w:t>been</w:t>
      </w:r>
      <w:r w:rsidRPr="00DD33F1">
        <w:t xml:space="preserve"> difficult to ensure accountability in the use of these funds. </w:t>
      </w:r>
      <w:r w:rsidR="00FA6DDF">
        <w:t>F</w:t>
      </w:r>
      <w:r w:rsidRPr="00DD33F1">
        <w:t xml:space="preserve">ollowing </w:t>
      </w:r>
      <w:r w:rsidR="00062901">
        <w:t>a</w:t>
      </w:r>
      <w:r w:rsidRPr="00DD33F1">
        <w:t xml:space="preserve"> recommendation of the mid-term review</w:t>
      </w:r>
      <w:r w:rsidR="00FA6DDF">
        <w:t xml:space="preserve">, there has been </w:t>
      </w:r>
      <w:r w:rsidR="00A439DC">
        <w:t xml:space="preserve">greater </w:t>
      </w:r>
      <w:r w:rsidRPr="00DD33F1">
        <w:t xml:space="preserve">technical oversight for </w:t>
      </w:r>
      <w:r w:rsidR="00FA6DDF">
        <w:t>DRR</w:t>
      </w:r>
      <w:r w:rsidRPr="00DD33F1">
        <w:t xml:space="preserve"> activities </w:t>
      </w:r>
      <w:r w:rsidR="00A439DC">
        <w:t>by the</w:t>
      </w:r>
      <w:r w:rsidRPr="00DD33F1">
        <w:t xml:space="preserve"> DRR section of DFAT.</w:t>
      </w:r>
      <w:r w:rsidRPr="00DD33F1">
        <w:rPr>
          <w:rStyle w:val="FootnoteReference"/>
        </w:rPr>
        <w:footnoteReference w:id="27"/>
      </w:r>
      <w:r w:rsidRPr="00DD33F1">
        <w:rPr>
          <w:rStyle w:val="FootnoteReference"/>
        </w:rPr>
        <w:t xml:space="preserve"> </w:t>
      </w:r>
      <w:r w:rsidR="00EE5623">
        <w:t xml:space="preserve"> </w:t>
      </w:r>
      <w:r w:rsidRPr="00DD33F1">
        <w:t xml:space="preserve">Nonetheless, there are </w:t>
      </w:r>
      <w:r w:rsidR="00A439DC">
        <w:t xml:space="preserve">likely to be </w:t>
      </w:r>
      <w:r w:rsidRPr="00DD33F1">
        <w:t>synerg</w:t>
      </w:r>
      <w:r w:rsidR="00A439DC">
        <w:t>ies</w:t>
      </w:r>
      <w:r w:rsidRPr="00DD33F1">
        <w:t xml:space="preserve"> yet to be achieved</w:t>
      </w:r>
      <w:r w:rsidR="00D67173">
        <w:t xml:space="preserve"> between</w:t>
      </w:r>
      <w:r w:rsidR="00407C80">
        <w:t xml:space="preserve"> (</w:t>
      </w:r>
      <w:r w:rsidR="00FA6DDF">
        <w:t xml:space="preserve">and opportunities </w:t>
      </w:r>
      <w:r w:rsidR="00D67173">
        <w:t>to</w:t>
      </w:r>
      <w:r w:rsidR="00FA6DDF">
        <w:t xml:space="preserve"> </w:t>
      </w:r>
      <w:r w:rsidR="00D67173">
        <w:t>avoid duplication of</w:t>
      </w:r>
      <w:r w:rsidR="00407C80">
        <w:t>)</w:t>
      </w:r>
      <w:r w:rsidR="00D67173">
        <w:t xml:space="preserve"> </w:t>
      </w:r>
      <w:r w:rsidRPr="00DD33F1">
        <w:t xml:space="preserve">DRR activities funded through </w:t>
      </w:r>
      <w:r w:rsidR="00A439DC">
        <w:t xml:space="preserve">the </w:t>
      </w:r>
      <w:r w:rsidRPr="00DD33F1">
        <w:t xml:space="preserve">HPA, and DRR activities funded through ANCP and other funding mechanisms. </w:t>
      </w:r>
    </w:p>
    <w:p w14:paraId="7CD3B1BB" w14:textId="77777777" w:rsidR="00050AD2" w:rsidRDefault="00050AD2" w:rsidP="00050AD2">
      <w:pPr>
        <w:pStyle w:val="SDAbulletpoints"/>
        <w:numPr>
          <w:ilvl w:val="0"/>
          <w:numId w:val="0"/>
        </w:numPr>
        <w:ind w:left="720"/>
      </w:pPr>
    </w:p>
    <w:p w14:paraId="60565070" w14:textId="77777777" w:rsidR="00767BE5" w:rsidRDefault="00767BE5" w:rsidP="00565770">
      <w:pPr>
        <w:pStyle w:val="SDANumberedheading2"/>
        <w:ind w:left="709" w:hanging="709"/>
      </w:pPr>
      <w:bookmarkStart w:id="13" w:name="_Toc423711129"/>
      <w:r>
        <w:t xml:space="preserve">Outcome 3: Improved Strategic </w:t>
      </w:r>
      <w:r w:rsidR="00782E53">
        <w:t>Dialogue</w:t>
      </w:r>
      <w:r>
        <w:t xml:space="preserve"> and Partnership</w:t>
      </w:r>
      <w:bookmarkEnd w:id="13"/>
    </w:p>
    <w:p w14:paraId="6A58BC1D" w14:textId="1D560D7A" w:rsidR="0075704D" w:rsidRPr="00EE5623" w:rsidRDefault="00D67173" w:rsidP="0075704D">
      <w:pPr>
        <w:pStyle w:val="SDAbodytext"/>
        <w:rPr>
          <w:b/>
        </w:rPr>
      </w:pPr>
      <w:r>
        <w:rPr>
          <w:b/>
        </w:rPr>
        <w:t>T</w:t>
      </w:r>
      <w:r w:rsidR="0075704D" w:rsidRPr="00EE5623">
        <w:rPr>
          <w:b/>
        </w:rPr>
        <w:t xml:space="preserve">his outcome has been partially achieved.  </w:t>
      </w:r>
    </w:p>
    <w:p w14:paraId="6935A629" w14:textId="6CE1803F" w:rsidR="004131F3" w:rsidRDefault="004131F3" w:rsidP="00FD1BD7">
      <w:pPr>
        <w:pStyle w:val="SDAbodytext"/>
      </w:pPr>
      <w:r w:rsidRPr="006B0BCA">
        <w:t>The HPA was designed to improve “strategic engagement and partnership”</w:t>
      </w:r>
      <w:r w:rsidR="00302FFF" w:rsidRPr="006B0BCA">
        <w:t xml:space="preserve"> between all seven HPA partners</w:t>
      </w:r>
      <w:r w:rsidR="007B4491" w:rsidRPr="006B0BCA">
        <w:t xml:space="preserve"> (six NGOs and DFAT)</w:t>
      </w:r>
      <w:r w:rsidRPr="006B0BCA">
        <w:t>.</w:t>
      </w:r>
      <w:r w:rsidRPr="006B0BCA">
        <w:rPr>
          <w:rStyle w:val="FootnoteReference"/>
          <w:rFonts w:ascii="Calibri" w:eastAsiaTheme="majorEastAsia" w:hAnsi="Calibri" w:cstheme="majorBidi"/>
          <w:bCs/>
          <w:color w:val="000000" w:themeColor="text1"/>
        </w:rPr>
        <w:footnoteReference w:id="28"/>
      </w:r>
      <w:r w:rsidRPr="006B0BCA">
        <w:rPr>
          <w:rStyle w:val="FootnoteReference"/>
          <w:rFonts w:ascii="Calibri" w:eastAsiaTheme="majorEastAsia" w:hAnsi="Calibri" w:cstheme="majorBidi"/>
          <w:bCs/>
          <w:color w:val="000000" w:themeColor="text1"/>
        </w:rPr>
        <w:t xml:space="preserve">  </w:t>
      </w:r>
      <w:r w:rsidR="00407C80">
        <w:rPr>
          <w:rStyle w:val="FootnoteReference"/>
          <w:rFonts w:ascii="Calibri" w:eastAsiaTheme="majorEastAsia" w:hAnsi="Calibri" w:cstheme="majorBidi"/>
          <w:bCs/>
          <w:color w:val="000000" w:themeColor="text1"/>
        </w:rPr>
        <w:t xml:space="preserve"> </w:t>
      </w:r>
      <w:r w:rsidRPr="006B0BCA">
        <w:t>The Head Agreement defines a number of shared objectives which partners are to work on collaboratively. Shared objectives are a positive design feature of any partnership approach. The Head Agreement also envisaged that partners would engage in dialogue on international policy debates</w:t>
      </w:r>
      <w:r w:rsidR="0007577F" w:rsidRPr="006B0BCA">
        <w:t>;</w:t>
      </w:r>
      <w:r w:rsidR="00302FFF" w:rsidRPr="006B0BCA">
        <w:t xml:space="preserve"> be involved in </w:t>
      </w:r>
      <w:r w:rsidRPr="006B0BCA">
        <w:t>policy formulation</w:t>
      </w:r>
      <w:r w:rsidR="0007577F" w:rsidRPr="006B0BCA">
        <w:t>;</w:t>
      </w:r>
      <w:r w:rsidRPr="006B0BCA">
        <w:t xml:space="preserve"> collaborate on research, training and advocacy</w:t>
      </w:r>
      <w:r w:rsidR="0007577F" w:rsidRPr="006B0BCA">
        <w:t>;</w:t>
      </w:r>
      <w:r w:rsidRPr="006B0BCA">
        <w:t xml:space="preserve"> and share informat</w:t>
      </w:r>
      <w:r w:rsidR="00101689" w:rsidRPr="006B0BCA">
        <w:t>ion</w:t>
      </w:r>
      <w:r w:rsidRPr="006B0BCA">
        <w:t xml:space="preserve"> and lessons learned.</w:t>
      </w:r>
      <w:r>
        <w:t xml:space="preserve"> </w:t>
      </w:r>
    </w:p>
    <w:p w14:paraId="4A3455E0" w14:textId="0D41E527" w:rsidR="00CA0F56" w:rsidRDefault="00782E53" w:rsidP="00F76271">
      <w:pPr>
        <w:pStyle w:val="SDAbodytext"/>
        <w:rPr>
          <w:rFonts w:ascii="Calibri" w:eastAsiaTheme="majorEastAsia" w:hAnsi="Calibri" w:cstheme="majorBidi"/>
          <w:bCs/>
          <w:color w:val="000000" w:themeColor="text1"/>
        </w:rPr>
      </w:pPr>
      <w:r>
        <w:rPr>
          <w:rFonts w:ascii="Calibri" w:eastAsiaTheme="majorEastAsia" w:hAnsi="Calibri" w:cstheme="majorBidi"/>
          <w:bCs/>
          <w:color w:val="000000" w:themeColor="text1"/>
        </w:rPr>
        <w:t>There are</w:t>
      </w:r>
      <w:r w:rsidR="00603BA1">
        <w:rPr>
          <w:rFonts w:ascii="Calibri" w:eastAsiaTheme="majorEastAsia" w:hAnsi="Calibri" w:cstheme="majorBidi"/>
          <w:bCs/>
          <w:color w:val="000000" w:themeColor="text1"/>
        </w:rPr>
        <w:t>, therefore,</w:t>
      </w:r>
      <w:r>
        <w:rPr>
          <w:rFonts w:ascii="Calibri" w:eastAsiaTheme="majorEastAsia" w:hAnsi="Calibri" w:cstheme="majorBidi"/>
          <w:bCs/>
          <w:color w:val="000000" w:themeColor="text1"/>
        </w:rPr>
        <w:t xml:space="preserve"> two features embedded in this outcome. Strategic dialogue </w:t>
      </w:r>
      <w:r w:rsidR="00F76271">
        <w:rPr>
          <w:rFonts w:ascii="Calibri" w:eastAsiaTheme="majorEastAsia" w:hAnsi="Calibri" w:cstheme="majorBidi"/>
          <w:bCs/>
          <w:color w:val="000000" w:themeColor="text1"/>
        </w:rPr>
        <w:t xml:space="preserve">on a range of issues </w:t>
      </w:r>
      <w:r>
        <w:rPr>
          <w:rFonts w:ascii="Calibri" w:eastAsiaTheme="majorEastAsia" w:hAnsi="Calibri" w:cstheme="majorBidi"/>
          <w:bCs/>
          <w:color w:val="000000" w:themeColor="text1"/>
        </w:rPr>
        <w:t>is intended to be a</w:t>
      </w:r>
      <w:r w:rsidR="000019E4">
        <w:rPr>
          <w:rFonts w:ascii="Calibri" w:eastAsiaTheme="majorEastAsia" w:hAnsi="Calibri" w:cstheme="majorBidi"/>
          <w:bCs/>
          <w:color w:val="000000" w:themeColor="text1"/>
        </w:rPr>
        <w:t>n</w:t>
      </w:r>
      <w:r>
        <w:rPr>
          <w:rFonts w:ascii="Calibri" w:eastAsiaTheme="majorEastAsia" w:hAnsi="Calibri" w:cstheme="majorBidi"/>
          <w:bCs/>
          <w:color w:val="000000" w:themeColor="text1"/>
        </w:rPr>
        <w:t xml:space="preserve"> element of the partnership. </w:t>
      </w:r>
      <w:r w:rsidR="00603BA1">
        <w:rPr>
          <w:rFonts w:ascii="Calibri" w:eastAsiaTheme="majorEastAsia" w:hAnsi="Calibri" w:cstheme="majorBidi"/>
          <w:bCs/>
          <w:color w:val="000000" w:themeColor="text1"/>
        </w:rPr>
        <w:t>And t</w:t>
      </w:r>
      <w:r>
        <w:rPr>
          <w:rFonts w:ascii="Calibri" w:eastAsiaTheme="majorEastAsia" w:hAnsi="Calibri" w:cstheme="majorBidi"/>
          <w:bCs/>
          <w:color w:val="000000" w:themeColor="text1"/>
        </w:rPr>
        <w:t>he</w:t>
      </w:r>
      <w:r w:rsidR="00603BA1">
        <w:rPr>
          <w:rFonts w:ascii="Calibri" w:eastAsiaTheme="majorEastAsia" w:hAnsi="Calibri" w:cstheme="majorBidi"/>
          <w:bCs/>
          <w:color w:val="000000" w:themeColor="text1"/>
        </w:rPr>
        <w:t>n there is the</w:t>
      </w:r>
      <w:r>
        <w:rPr>
          <w:rFonts w:ascii="Calibri" w:eastAsiaTheme="majorEastAsia" w:hAnsi="Calibri" w:cstheme="majorBidi"/>
          <w:bCs/>
          <w:color w:val="000000" w:themeColor="text1"/>
        </w:rPr>
        <w:t xml:space="preserve"> partnership </w:t>
      </w:r>
      <w:r w:rsidR="004D564B">
        <w:rPr>
          <w:rFonts w:ascii="Calibri" w:eastAsiaTheme="majorEastAsia" w:hAnsi="Calibri" w:cstheme="majorBidi"/>
          <w:bCs/>
          <w:color w:val="000000" w:themeColor="text1"/>
        </w:rPr>
        <w:t>itself</w:t>
      </w:r>
      <w:r w:rsidR="00603BA1">
        <w:rPr>
          <w:rFonts w:ascii="Calibri" w:eastAsiaTheme="majorEastAsia" w:hAnsi="Calibri" w:cstheme="majorBidi"/>
          <w:bCs/>
          <w:color w:val="000000" w:themeColor="text1"/>
        </w:rPr>
        <w:t>;</w:t>
      </w:r>
      <w:r w:rsidR="004D564B">
        <w:rPr>
          <w:rFonts w:ascii="Calibri" w:eastAsiaTheme="majorEastAsia" w:hAnsi="Calibri" w:cstheme="majorBidi"/>
          <w:bCs/>
          <w:color w:val="000000" w:themeColor="text1"/>
        </w:rPr>
        <w:t xml:space="preserve"> </w:t>
      </w:r>
      <w:r w:rsidR="00603BA1">
        <w:rPr>
          <w:rFonts w:ascii="Calibri" w:eastAsiaTheme="majorEastAsia" w:hAnsi="Calibri" w:cstheme="majorBidi"/>
          <w:bCs/>
          <w:color w:val="000000" w:themeColor="text1"/>
        </w:rPr>
        <w:t xml:space="preserve">which </w:t>
      </w:r>
      <w:r w:rsidR="00F76271">
        <w:rPr>
          <w:rFonts w:ascii="Calibri" w:eastAsiaTheme="majorEastAsia" w:hAnsi="Calibri" w:cstheme="majorBidi"/>
          <w:bCs/>
          <w:color w:val="000000" w:themeColor="text1"/>
        </w:rPr>
        <w:t xml:space="preserve">relates to </w:t>
      </w:r>
      <w:r w:rsidR="00603BA1">
        <w:rPr>
          <w:rFonts w:ascii="Calibri" w:eastAsiaTheme="majorEastAsia" w:hAnsi="Calibri" w:cstheme="majorBidi"/>
          <w:bCs/>
          <w:color w:val="000000" w:themeColor="text1"/>
        </w:rPr>
        <w:t>the state of the relationships</w:t>
      </w:r>
      <w:r w:rsidR="00F76271">
        <w:rPr>
          <w:rFonts w:ascii="Calibri" w:eastAsiaTheme="majorEastAsia" w:hAnsi="Calibri" w:cstheme="majorBidi"/>
          <w:bCs/>
          <w:color w:val="000000" w:themeColor="text1"/>
        </w:rPr>
        <w:t xml:space="preserve"> between the HPA NGOs as well as between the HPA NGOs and DFAT.  These two elements</w:t>
      </w:r>
      <w:r w:rsidR="004D564B">
        <w:rPr>
          <w:rFonts w:ascii="Calibri" w:eastAsiaTheme="majorEastAsia" w:hAnsi="Calibri" w:cstheme="majorBidi"/>
          <w:bCs/>
          <w:color w:val="000000" w:themeColor="text1"/>
        </w:rPr>
        <w:t xml:space="preserve"> of strategic dialogue and partnership</w:t>
      </w:r>
      <w:r w:rsidR="00F76271">
        <w:rPr>
          <w:rFonts w:ascii="Calibri" w:eastAsiaTheme="majorEastAsia" w:hAnsi="Calibri" w:cstheme="majorBidi"/>
          <w:bCs/>
          <w:color w:val="000000" w:themeColor="text1"/>
        </w:rPr>
        <w:t xml:space="preserve"> interact.</w:t>
      </w:r>
      <w:r w:rsidR="00CA0F56" w:rsidRPr="00CA0F56">
        <w:rPr>
          <w:rFonts w:ascii="Calibri" w:eastAsiaTheme="majorEastAsia" w:hAnsi="Calibri" w:cstheme="majorBidi"/>
          <w:bCs/>
          <w:color w:val="000000" w:themeColor="text1"/>
        </w:rPr>
        <w:t xml:space="preserve"> </w:t>
      </w:r>
    </w:p>
    <w:p w14:paraId="54CF4A31" w14:textId="77777777" w:rsidR="00CA0F56" w:rsidRDefault="00CA0F56" w:rsidP="00F76271">
      <w:pPr>
        <w:pStyle w:val="SDAbodytext"/>
      </w:pPr>
      <w:r>
        <w:rPr>
          <w:rFonts w:ascii="Calibri" w:eastAsiaTheme="majorEastAsia" w:hAnsi="Calibri" w:cstheme="majorBidi"/>
          <w:bCs/>
          <w:color w:val="000000" w:themeColor="text1"/>
        </w:rPr>
        <w:t xml:space="preserve">In addition, these two elements need to be understood in the context of the </w:t>
      </w:r>
      <w:r w:rsidR="00DB75D5">
        <w:rPr>
          <w:rFonts w:ascii="Calibri" w:eastAsiaTheme="majorEastAsia" w:hAnsi="Calibri" w:cstheme="majorBidi"/>
          <w:bCs/>
          <w:color w:val="000000" w:themeColor="text1"/>
        </w:rPr>
        <w:t xml:space="preserve">other </w:t>
      </w:r>
      <w:r>
        <w:rPr>
          <w:rFonts w:ascii="Calibri" w:eastAsiaTheme="majorEastAsia" w:hAnsi="Calibri" w:cstheme="majorBidi"/>
          <w:bCs/>
          <w:color w:val="000000" w:themeColor="text1"/>
        </w:rPr>
        <w:t xml:space="preserve">outcomes of </w:t>
      </w:r>
      <w:r>
        <w:t xml:space="preserve">delivering rapid emergency assistance and collaborative DRR and DRM activities. </w:t>
      </w:r>
      <w:r w:rsidR="00DB75D5">
        <w:t>T</w:t>
      </w:r>
      <w:r>
        <w:t>hese outcomes have been discussed above and will only be briefly referred to in this section.</w:t>
      </w:r>
    </w:p>
    <w:p w14:paraId="2F5E0F25" w14:textId="77777777" w:rsidR="00782E53" w:rsidRDefault="00F76271" w:rsidP="00F76271">
      <w:pPr>
        <w:pStyle w:val="SDAbodytext"/>
        <w:rPr>
          <w:rFonts w:ascii="Calibri" w:eastAsiaTheme="majorEastAsia" w:hAnsi="Calibri" w:cstheme="majorBidi"/>
          <w:bCs/>
          <w:color w:val="000000" w:themeColor="text1"/>
        </w:rPr>
      </w:pPr>
      <w:r>
        <w:rPr>
          <w:rFonts w:ascii="Calibri" w:eastAsiaTheme="majorEastAsia" w:hAnsi="Calibri" w:cstheme="majorBidi"/>
          <w:bCs/>
          <w:color w:val="000000" w:themeColor="text1"/>
        </w:rPr>
        <w:t xml:space="preserve">In order to </w:t>
      </w:r>
      <w:r w:rsidR="00782E53">
        <w:rPr>
          <w:rFonts w:ascii="Calibri" w:eastAsiaTheme="majorEastAsia" w:hAnsi="Calibri" w:cstheme="majorBidi"/>
          <w:bCs/>
          <w:color w:val="000000" w:themeColor="text1"/>
        </w:rPr>
        <w:t>assess achievements</w:t>
      </w:r>
      <w:r>
        <w:rPr>
          <w:rFonts w:ascii="Calibri" w:eastAsiaTheme="majorEastAsia" w:hAnsi="Calibri" w:cstheme="majorBidi"/>
          <w:bCs/>
          <w:color w:val="000000" w:themeColor="text1"/>
        </w:rPr>
        <w:t xml:space="preserve">, the review team has considered the </w:t>
      </w:r>
      <w:r w:rsidR="00782E53">
        <w:rPr>
          <w:rFonts w:ascii="Calibri" w:eastAsiaTheme="majorEastAsia" w:hAnsi="Calibri" w:cstheme="majorBidi"/>
          <w:bCs/>
          <w:color w:val="000000" w:themeColor="text1"/>
        </w:rPr>
        <w:t xml:space="preserve">effectiveness and efficiency of </w:t>
      </w:r>
      <w:r>
        <w:rPr>
          <w:rFonts w:ascii="Calibri" w:eastAsiaTheme="majorEastAsia" w:hAnsi="Calibri" w:cstheme="majorBidi"/>
          <w:bCs/>
          <w:color w:val="000000" w:themeColor="text1"/>
        </w:rPr>
        <w:t xml:space="preserve">both </w:t>
      </w:r>
      <w:r w:rsidR="00603BA1">
        <w:rPr>
          <w:rFonts w:ascii="Calibri" w:eastAsiaTheme="majorEastAsia" w:hAnsi="Calibri" w:cstheme="majorBidi"/>
          <w:bCs/>
          <w:color w:val="000000" w:themeColor="text1"/>
        </w:rPr>
        <w:t xml:space="preserve">the </w:t>
      </w:r>
      <w:r w:rsidR="00782E53">
        <w:rPr>
          <w:rFonts w:ascii="Calibri" w:eastAsiaTheme="majorEastAsia" w:hAnsi="Calibri" w:cstheme="majorBidi"/>
          <w:bCs/>
          <w:color w:val="000000" w:themeColor="text1"/>
        </w:rPr>
        <w:t>strategic dialogue</w:t>
      </w:r>
      <w:r>
        <w:rPr>
          <w:rFonts w:ascii="Calibri" w:eastAsiaTheme="majorEastAsia" w:hAnsi="Calibri" w:cstheme="majorBidi"/>
          <w:bCs/>
          <w:color w:val="000000" w:themeColor="text1"/>
        </w:rPr>
        <w:t xml:space="preserve"> </w:t>
      </w:r>
      <w:r w:rsidR="00603BA1">
        <w:rPr>
          <w:rFonts w:ascii="Calibri" w:eastAsiaTheme="majorEastAsia" w:hAnsi="Calibri" w:cstheme="majorBidi"/>
          <w:bCs/>
          <w:color w:val="000000" w:themeColor="text1"/>
        </w:rPr>
        <w:t xml:space="preserve">activities </w:t>
      </w:r>
      <w:r>
        <w:rPr>
          <w:rFonts w:ascii="Calibri" w:eastAsiaTheme="majorEastAsia" w:hAnsi="Calibri" w:cstheme="majorBidi"/>
          <w:bCs/>
          <w:color w:val="000000" w:themeColor="text1"/>
        </w:rPr>
        <w:t xml:space="preserve">and </w:t>
      </w:r>
      <w:r w:rsidR="007B4491">
        <w:rPr>
          <w:rFonts w:ascii="Calibri" w:eastAsiaTheme="majorEastAsia" w:hAnsi="Calibri" w:cstheme="majorBidi"/>
          <w:bCs/>
          <w:color w:val="000000" w:themeColor="text1"/>
        </w:rPr>
        <w:t xml:space="preserve">of </w:t>
      </w:r>
      <w:r>
        <w:rPr>
          <w:rFonts w:ascii="Calibri" w:eastAsiaTheme="majorEastAsia" w:hAnsi="Calibri" w:cstheme="majorBidi"/>
          <w:bCs/>
          <w:color w:val="000000" w:themeColor="text1"/>
        </w:rPr>
        <w:t>the partnership</w:t>
      </w:r>
      <w:r w:rsidR="00660996">
        <w:rPr>
          <w:rFonts w:ascii="Calibri" w:eastAsiaTheme="majorEastAsia" w:hAnsi="Calibri" w:cstheme="majorBidi"/>
          <w:bCs/>
          <w:color w:val="000000" w:themeColor="text1"/>
        </w:rPr>
        <w:t xml:space="preserve"> arrangement</w:t>
      </w:r>
      <w:r>
        <w:rPr>
          <w:rFonts w:ascii="Calibri" w:eastAsiaTheme="majorEastAsia" w:hAnsi="Calibri" w:cstheme="majorBidi"/>
          <w:bCs/>
          <w:color w:val="000000" w:themeColor="text1"/>
        </w:rPr>
        <w:t>.</w:t>
      </w:r>
      <w:r w:rsidR="00CA0F56" w:rsidRPr="00CA0F56">
        <w:rPr>
          <w:rFonts w:ascii="Calibri" w:eastAsiaTheme="majorEastAsia" w:hAnsi="Calibri" w:cstheme="majorBidi"/>
          <w:bCs/>
          <w:color w:val="000000" w:themeColor="text1"/>
        </w:rPr>
        <w:t xml:space="preserve"> </w:t>
      </w:r>
    </w:p>
    <w:p w14:paraId="7E0D3B32" w14:textId="2201E9C0" w:rsidR="00F2646D" w:rsidRDefault="002C030E" w:rsidP="00F2646D">
      <w:pPr>
        <w:pStyle w:val="SDAbodytext"/>
      </w:pPr>
      <w:r>
        <w:rPr>
          <w:rFonts w:ascii="Calibri" w:eastAsiaTheme="majorEastAsia" w:hAnsi="Calibri" w:cstheme="majorBidi"/>
          <w:bCs/>
          <w:color w:val="000000" w:themeColor="text1"/>
        </w:rPr>
        <w:t xml:space="preserve">All </w:t>
      </w:r>
      <w:r w:rsidR="00F2646D">
        <w:rPr>
          <w:rFonts w:ascii="Calibri" w:eastAsiaTheme="majorEastAsia" w:hAnsi="Calibri" w:cstheme="majorBidi"/>
          <w:bCs/>
          <w:color w:val="000000" w:themeColor="text1"/>
        </w:rPr>
        <w:t>HPA members are committed to the partnership, and have invested</w:t>
      </w:r>
      <w:r>
        <w:rPr>
          <w:rFonts w:ascii="Calibri" w:eastAsiaTheme="majorEastAsia" w:hAnsi="Calibri" w:cstheme="majorBidi"/>
          <w:bCs/>
          <w:color w:val="000000" w:themeColor="text1"/>
        </w:rPr>
        <w:t xml:space="preserve"> heavily</w:t>
      </w:r>
      <w:r w:rsidR="00F2646D">
        <w:rPr>
          <w:rFonts w:ascii="Calibri" w:eastAsiaTheme="majorEastAsia" w:hAnsi="Calibri" w:cstheme="majorBidi"/>
          <w:bCs/>
          <w:color w:val="000000" w:themeColor="text1"/>
        </w:rPr>
        <w:t xml:space="preserve"> in partnership processes</w:t>
      </w:r>
      <w:r w:rsidR="001D7CF9">
        <w:rPr>
          <w:rFonts w:ascii="Calibri" w:eastAsiaTheme="majorEastAsia" w:hAnsi="Calibri" w:cstheme="majorBidi"/>
          <w:bCs/>
          <w:color w:val="000000" w:themeColor="text1"/>
        </w:rPr>
        <w:t xml:space="preserve"> (i.e. </w:t>
      </w:r>
      <w:r w:rsidR="00660996">
        <w:rPr>
          <w:rFonts w:ascii="Calibri" w:eastAsiaTheme="majorEastAsia" w:hAnsi="Calibri" w:cstheme="majorBidi"/>
          <w:bCs/>
          <w:color w:val="000000" w:themeColor="text1"/>
        </w:rPr>
        <w:t xml:space="preserve">improving the operations of the </w:t>
      </w:r>
      <w:r>
        <w:rPr>
          <w:rFonts w:ascii="Calibri" w:eastAsiaTheme="majorEastAsia" w:hAnsi="Calibri" w:cstheme="majorBidi"/>
          <w:bCs/>
          <w:color w:val="000000" w:themeColor="text1"/>
        </w:rPr>
        <w:t xml:space="preserve">Response Committee and </w:t>
      </w:r>
      <w:r w:rsidR="00660996">
        <w:rPr>
          <w:rFonts w:ascii="Calibri" w:eastAsiaTheme="majorEastAsia" w:hAnsi="Calibri" w:cstheme="majorBidi"/>
          <w:bCs/>
          <w:color w:val="000000" w:themeColor="text1"/>
        </w:rPr>
        <w:t xml:space="preserve">ensuring </w:t>
      </w:r>
      <w:r w:rsidR="001D7CF9">
        <w:rPr>
          <w:rFonts w:ascii="Calibri" w:eastAsiaTheme="majorEastAsia" w:hAnsi="Calibri" w:cstheme="majorBidi"/>
          <w:bCs/>
          <w:color w:val="000000" w:themeColor="text1"/>
        </w:rPr>
        <w:t>better</w:t>
      </w:r>
      <w:r>
        <w:rPr>
          <w:rFonts w:ascii="Calibri" w:eastAsiaTheme="majorEastAsia" w:hAnsi="Calibri" w:cstheme="majorBidi"/>
          <w:bCs/>
          <w:color w:val="000000" w:themeColor="text1"/>
        </w:rPr>
        <w:t xml:space="preserve"> HPA/HRG dialogue</w:t>
      </w:r>
      <w:r w:rsidR="001D7CF9">
        <w:rPr>
          <w:rFonts w:ascii="Calibri" w:eastAsiaTheme="majorEastAsia" w:hAnsi="Calibri" w:cstheme="majorBidi"/>
          <w:bCs/>
          <w:color w:val="000000" w:themeColor="text1"/>
        </w:rPr>
        <w:t>)</w:t>
      </w:r>
      <w:r>
        <w:rPr>
          <w:rFonts w:ascii="Calibri" w:eastAsiaTheme="majorEastAsia" w:hAnsi="Calibri" w:cstheme="majorBidi"/>
          <w:bCs/>
          <w:color w:val="000000" w:themeColor="text1"/>
        </w:rPr>
        <w:t xml:space="preserve">. </w:t>
      </w:r>
      <w:r w:rsidR="00CB6C43">
        <w:rPr>
          <w:rFonts w:ascii="Calibri" w:eastAsiaTheme="majorEastAsia" w:hAnsi="Calibri" w:cstheme="majorBidi"/>
          <w:bCs/>
          <w:color w:val="000000" w:themeColor="text1"/>
        </w:rPr>
        <w:t xml:space="preserve"> </w:t>
      </w:r>
      <w:r>
        <w:rPr>
          <w:rFonts w:ascii="Calibri" w:eastAsiaTheme="majorEastAsia" w:hAnsi="Calibri" w:cstheme="majorBidi"/>
          <w:bCs/>
          <w:color w:val="000000" w:themeColor="text1"/>
        </w:rPr>
        <w:t>Efforts to reduce transaction costs to improve the efficiency of the arrangements are evident.</w:t>
      </w:r>
      <w:r>
        <w:rPr>
          <w:rStyle w:val="FootnoteReference"/>
          <w:rFonts w:ascii="Calibri" w:eastAsiaTheme="majorEastAsia" w:hAnsi="Calibri" w:cstheme="majorBidi"/>
          <w:bCs/>
          <w:color w:val="000000" w:themeColor="text1"/>
        </w:rPr>
        <w:footnoteReference w:id="29"/>
      </w:r>
      <w:r>
        <w:rPr>
          <w:rFonts w:ascii="Calibri" w:eastAsiaTheme="majorEastAsia" w:hAnsi="Calibri" w:cstheme="majorBidi"/>
          <w:bCs/>
          <w:color w:val="000000" w:themeColor="text1"/>
        </w:rPr>
        <w:t xml:space="preserve"> </w:t>
      </w:r>
      <w:r w:rsidR="00407C80">
        <w:rPr>
          <w:rFonts w:ascii="Calibri" w:eastAsiaTheme="majorEastAsia" w:hAnsi="Calibri" w:cstheme="majorBidi"/>
          <w:bCs/>
          <w:color w:val="000000" w:themeColor="text1"/>
        </w:rPr>
        <w:t xml:space="preserve"> </w:t>
      </w:r>
      <w:r w:rsidR="00F2646D">
        <w:rPr>
          <w:rFonts w:ascii="Calibri" w:eastAsiaTheme="majorEastAsia" w:hAnsi="Calibri" w:cstheme="majorBidi"/>
          <w:bCs/>
          <w:color w:val="000000" w:themeColor="text1"/>
        </w:rPr>
        <w:t>There are many examples of enhanced collaboration and information sharing between HPA NGO partners, and more recent</w:t>
      </w:r>
      <w:r w:rsidR="001D7CF9">
        <w:rPr>
          <w:rFonts w:ascii="Calibri" w:eastAsiaTheme="majorEastAsia" w:hAnsi="Calibri" w:cstheme="majorBidi"/>
          <w:bCs/>
          <w:color w:val="000000" w:themeColor="text1"/>
        </w:rPr>
        <w:t>ly</w:t>
      </w:r>
      <w:r w:rsidR="00F2646D">
        <w:rPr>
          <w:rFonts w:ascii="Calibri" w:eastAsiaTheme="majorEastAsia" w:hAnsi="Calibri" w:cstheme="majorBidi"/>
          <w:bCs/>
          <w:color w:val="000000" w:themeColor="text1"/>
        </w:rPr>
        <w:t xml:space="preserve"> between DFAT and NGO partners.</w:t>
      </w:r>
      <w:r w:rsidR="001D7CF9">
        <w:rPr>
          <w:rStyle w:val="FootnoteReference"/>
          <w:rFonts w:ascii="Calibri" w:eastAsiaTheme="majorEastAsia" w:hAnsi="Calibri" w:cstheme="majorBidi"/>
          <w:bCs/>
          <w:color w:val="000000" w:themeColor="text1"/>
        </w:rPr>
        <w:footnoteReference w:id="30"/>
      </w:r>
      <w:r w:rsidR="00F2646D">
        <w:rPr>
          <w:rFonts w:ascii="Calibri" w:eastAsiaTheme="majorEastAsia" w:hAnsi="Calibri" w:cstheme="majorBidi"/>
          <w:bCs/>
          <w:color w:val="000000" w:themeColor="text1"/>
        </w:rPr>
        <w:t xml:space="preserve"> </w:t>
      </w:r>
      <w:r w:rsidR="00CB6C43">
        <w:rPr>
          <w:rFonts w:ascii="Calibri" w:eastAsiaTheme="majorEastAsia" w:hAnsi="Calibri" w:cstheme="majorBidi"/>
          <w:bCs/>
          <w:color w:val="000000" w:themeColor="text1"/>
        </w:rPr>
        <w:t xml:space="preserve"> </w:t>
      </w:r>
    </w:p>
    <w:p w14:paraId="5CA4F1A3" w14:textId="3400B4B4" w:rsidR="00287D60" w:rsidRDefault="00287D60" w:rsidP="00287D60">
      <w:pPr>
        <w:pStyle w:val="SDAbodytext"/>
      </w:pPr>
      <w:r>
        <w:t xml:space="preserve">Partnership principles of trust and respect are </w:t>
      </w:r>
      <w:r w:rsidR="00A439DC">
        <w:t>apparent</w:t>
      </w:r>
      <w:r>
        <w:t xml:space="preserve">, both between HPA NGOs themselves and between NGOs and DFAT, and appear to have </w:t>
      </w:r>
      <w:r w:rsidR="007C5437">
        <w:t>matured</w:t>
      </w:r>
      <w:r>
        <w:t xml:space="preserve"> </w:t>
      </w:r>
      <w:r w:rsidR="007C5437">
        <w:t>over</w:t>
      </w:r>
      <w:r>
        <w:t xml:space="preserve"> the </w:t>
      </w:r>
      <w:r w:rsidR="007C5437">
        <w:t xml:space="preserve">period of </w:t>
      </w:r>
      <w:r>
        <w:t xml:space="preserve">the HPA (although the review team would suggest that this is an area which </w:t>
      </w:r>
      <w:r w:rsidR="00BB4F8C">
        <w:t xml:space="preserve">would benefit from </w:t>
      </w:r>
      <w:r>
        <w:t xml:space="preserve">further attention).  </w:t>
      </w:r>
      <w:r>
        <w:rPr>
          <w:rFonts w:ascii="Calibri" w:eastAsiaTheme="majorEastAsia" w:hAnsi="Calibri" w:cstheme="majorBidi"/>
          <w:bCs/>
          <w:color w:val="000000" w:themeColor="text1"/>
        </w:rPr>
        <w:t xml:space="preserve">The HPA </w:t>
      </w:r>
      <w:r w:rsidR="00407C80">
        <w:rPr>
          <w:rFonts w:ascii="Calibri" w:eastAsiaTheme="majorEastAsia" w:hAnsi="Calibri" w:cstheme="majorBidi"/>
          <w:bCs/>
          <w:color w:val="000000" w:themeColor="text1"/>
        </w:rPr>
        <w:t>D</w:t>
      </w:r>
      <w:r>
        <w:rPr>
          <w:rFonts w:ascii="Calibri" w:eastAsiaTheme="majorEastAsia" w:hAnsi="Calibri" w:cstheme="majorBidi"/>
          <w:bCs/>
          <w:color w:val="000000" w:themeColor="text1"/>
        </w:rPr>
        <w:t xml:space="preserve">irector role has played an important part in building collaborative relationships between HPA NGO partners, DFAT and ACFID. </w:t>
      </w:r>
      <w:r w:rsidR="00BB4F8C">
        <w:rPr>
          <w:rFonts w:ascii="Calibri" w:eastAsiaTheme="majorEastAsia" w:hAnsi="Calibri" w:cstheme="majorBidi"/>
          <w:bCs/>
          <w:color w:val="000000" w:themeColor="text1"/>
        </w:rPr>
        <w:t xml:space="preserve"> The professionalism, expertise and commitment of all partners to the HPA </w:t>
      </w:r>
      <w:r w:rsidR="00407C80">
        <w:rPr>
          <w:rFonts w:ascii="Calibri" w:eastAsiaTheme="majorEastAsia" w:hAnsi="Calibri" w:cstheme="majorBidi"/>
          <w:bCs/>
          <w:color w:val="000000" w:themeColor="text1"/>
        </w:rPr>
        <w:t>have</w:t>
      </w:r>
      <w:r w:rsidR="00BB4F8C">
        <w:rPr>
          <w:rFonts w:ascii="Calibri" w:eastAsiaTheme="majorEastAsia" w:hAnsi="Calibri" w:cstheme="majorBidi"/>
          <w:bCs/>
          <w:color w:val="000000" w:themeColor="text1"/>
        </w:rPr>
        <w:t xml:space="preserve"> also been fa</w:t>
      </w:r>
      <w:r w:rsidR="00E5120C">
        <w:rPr>
          <w:rFonts w:ascii="Calibri" w:eastAsiaTheme="majorEastAsia" w:hAnsi="Calibri" w:cstheme="majorBidi"/>
          <w:bCs/>
          <w:color w:val="000000" w:themeColor="text1"/>
        </w:rPr>
        <w:t>ctor</w:t>
      </w:r>
      <w:r w:rsidR="00407C80">
        <w:rPr>
          <w:rFonts w:ascii="Calibri" w:eastAsiaTheme="majorEastAsia" w:hAnsi="Calibri" w:cstheme="majorBidi"/>
          <w:bCs/>
          <w:color w:val="000000" w:themeColor="text1"/>
        </w:rPr>
        <w:t>s</w:t>
      </w:r>
      <w:r w:rsidR="00E5120C">
        <w:rPr>
          <w:rFonts w:ascii="Calibri" w:eastAsiaTheme="majorEastAsia" w:hAnsi="Calibri" w:cstheme="majorBidi"/>
          <w:bCs/>
          <w:color w:val="000000" w:themeColor="text1"/>
        </w:rPr>
        <w:t xml:space="preserve"> in making the HPA work</w:t>
      </w:r>
      <w:r w:rsidR="00BB4F8C">
        <w:rPr>
          <w:rFonts w:ascii="Calibri" w:eastAsiaTheme="majorEastAsia" w:hAnsi="Calibri" w:cstheme="majorBidi"/>
          <w:bCs/>
          <w:color w:val="000000" w:themeColor="text1"/>
        </w:rPr>
        <w:t>.</w:t>
      </w:r>
    </w:p>
    <w:p w14:paraId="3ED6D973" w14:textId="312F976E" w:rsidR="00287D60" w:rsidRDefault="00287D60" w:rsidP="00287D60">
      <w:pPr>
        <w:pStyle w:val="SDAbodytext"/>
      </w:pPr>
      <w:r>
        <w:t xml:space="preserve">The </w:t>
      </w:r>
      <w:r>
        <w:rPr>
          <w:rFonts w:ascii="Calibri" w:eastAsiaTheme="majorEastAsia" w:hAnsi="Calibri" w:cstheme="majorBidi"/>
          <w:bCs/>
          <w:color w:val="000000" w:themeColor="text1"/>
        </w:rPr>
        <w:t xml:space="preserve">mix of competitive and collaborative processes within the partnership, has had intended and unintended consequences. While competition may bring players to the decision-making table, and possibly increase the quality of individual proposals, the competitive aspects have also, at times, undermined relationships and the quality of the partnership between HPA NGOs.  </w:t>
      </w:r>
      <w:r>
        <w:t xml:space="preserve">The lack of an independent technical </w:t>
      </w:r>
      <w:r w:rsidR="002B12A3">
        <w:t>assessment of proposals</w:t>
      </w:r>
      <w:r>
        <w:t xml:space="preserve"> within the </w:t>
      </w:r>
      <w:r w:rsidR="00407C80">
        <w:t>R</w:t>
      </w:r>
      <w:r>
        <w:t xml:space="preserve">esponse </w:t>
      </w:r>
      <w:r w:rsidR="00407C80">
        <w:t xml:space="preserve">Committee </w:t>
      </w:r>
      <w:r>
        <w:t>may also</w:t>
      </w:r>
      <w:r w:rsidR="00E5120C">
        <w:t>, at times,</w:t>
      </w:r>
      <w:r>
        <w:t xml:space="preserve"> have </w:t>
      </w:r>
      <w:r w:rsidR="00A439DC">
        <w:t>reduced</w:t>
      </w:r>
      <w:r w:rsidR="00E5120C">
        <w:t xml:space="preserve"> </w:t>
      </w:r>
      <w:r w:rsidR="00407C80">
        <w:t xml:space="preserve">partners’ </w:t>
      </w:r>
      <w:r w:rsidR="00E5120C">
        <w:t>confidence around HPA NGO decision-making</w:t>
      </w:r>
      <w:r>
        <w:t xml:space="preserve">. </w:t>
      </w:r>
    </w:p>
    <w:p w14:paraId="5360E572" w14:textId="77777777" w:rsidR="00BB4F8C" w:rsidRDefault="00BB4F8C" w:rsidP="00BB4F8C">
      <w:pPr>
        <w:pStyle w:val="SDAbodytext"/>
      </w:pPr>
      <w:r w:rsidRPr="001D7CF9">
        <w:rPr>
          <w:b/>
        </w:rPr>
        <w:t>Key achievements under this outcome include, but are not limited to</w:t>
      </w:r>
      <w:r>
        <w:t>:</w:t>
      </w:r>
    </w:p>
    <w:p w14:paraId="474F29FE" w14:textId="09D115AF" w:rsidR="00BB4F8C" w:rsidRDefault="00BB4F8C" w:rsidP="006C24B0">
      <w:pPr>
        <w:pStyle w:val="SDAbulletpoints"/>
      </w:pPr>
      <w:r>
        <w:t xml:space="preserve">Recent dialogue between partners during the Vanuatu and Nepal response, at both the operational and strategic level, including between the CEOs of the HPA NGOs and DFAT’s Humanitarian Coordinator </w:t>
      </w:r>
    </w:p>
    <w:p w14:paraId="430ADE79" w14:textId="77777777" w:rsidR="00BB4F8C" w:rsidRDefault="00BB4F8C" w:rsidP="006C24B0">
      <w:pPr>
        <w:pStyle w:val="SDAbulletpoints"/>
      </w:pPr>
      <w:r>
        <w:t>The cooperation of HPA NGO partners in trialling a ‘consortium approach’ in an effort to further reduce transaction costs on DFAT</w:t>
      </w:r>
    </w:p>
    <w:p w14:paraId="1305A2B3" w14:textId="77777777" w:rsidR="00BB4F8C" w:rsidRDefault="00BB4F8C" w:rsidP="006C24B0">
      <w:pPr>
        <w:pStyle w:val="SDAbulletpoints"/>
      </w:pPr>
      <w:r w:rsidRPr="006C24B0">
        <w:t>Joint dialogue on private sector engagement, as a key Australian Government policy priority</w:t>
      </w:r>
      <w:r>
        <w:t xml:space="preserve"> </w:t>
      </w:r>
    </w:p>
    <w:p w14:paraId="5A3F5F3A" w14:textId="77777777" w:rsidR="00BB4F8C" w:rsidRDefault="00BB4F8C" w:rsidP="006C24B0">
      <w:pPr>
        <w:pStyle w:val="SDAbulletpoints"/>
      </w:pPr>
      <w:r>
        <w:t>Joint dialogue on international policy issues such as in the lead up to, and around, the T</w:t>
      </w:r>
      <w:r w:rsidRPr="00CB6C43">
        <w:t>hird UN World Conference on Disaster Risk Reduction in Sendai (Japan) in March 2015</w:t>
      </w:r>
    </w:p>
    <w:p w14:paraId="4C3528BC" w14:textId="77777777" w:rsidR="00BB4F8C" w:rsidRDefault="00BB4F8C" w:rsidP="006C24B0">
      <w:pPr>
        <w:pStyle w:val="SDAbulletpoints"/>
      </w:pPr>
      <w:r>
        <w:t>Joint learning events on DRR initiatives, inclusive of HPA and HRG members</w:t>
      </w:r>
      <w:r w:rsidRPr="00A439DC">
        <w:rPr>
          <w:rStyle w:val="FootnoteReference"/>
          <w:rFonts w:ascii="Calibri" w:eastAsiaTheme="majorEastAsia" w:hAnsi="Calibri" w:cstheme="majorBidi"/>
          <w:bCs/>
          <w:color w:val="000000" w:themeColor="text1"/>
        </w:rPr>
        <w:footnoteReference w:id="31"/>
      </w:r>
    </w:p>
    <w:p w14:paraId="2E688705" w14:textId="77777777" w:rsidR="00BB4F8C" w:rsidRPr="006C24B0" w:rsidRDefault="00BB4F8C" w:rsidP="006C24B0">
      <w:pPr>
        <w:pStyle w:val="SDAbulletpoints"/>
      </w:pPr>
      <w:r w:rsidRPr="006C24B0">
        <w:t>Increased collaboration on DRR programming</w:t>
      </w:r>
      <w:r w:rsidRPr="00A439DC">
        <w:rPr>
          <w:rStyle w:val="FootnoteReference"/>
          <w:rFonts w:ascii="Calibri" w:eastAsiaTheme="majorEastAsia" w:hAnsi="Calibri" w:cstheme="majorBidi"/>
          <w:bCs/>
          <w:color w:val="000000" w:themeColor="text1"/>
        </w:rPr>
        <w:footnoteReference w:id="32"/>
      </w:r>
      <w:r w:rsidRPr="00A439DC">
        <w:rPr>
          <w:rStyle w:val="FootnoteReference"/>
          <w:rFonts w:ascii="Calibri" w:eastAsiaTheme="majorEastAsia" w:hAnsi="Calibri" w:cstheme="majorBidi"/>
          <w:bCs/>
          <w:color w:val="000000" w:themeColor="text1"/>
        </w:rPr>
        <w:t xml:space="preserve"> </w:t>
      </w:r>
    </w:p>
    <w:p w14:paraId="45D7B1BE" w14:textId="77777777" w:rsidR="00BB4F8C" w:rsidRDefault="00BB4F8C" w:rsidP="006C24B0">
      <w:pPr>
        <w:pStyle w:val="SDAbulletpoints"/>
      </w:pPr>
      <w:r w:rsidRPr="006C24B0">
        <w:t>Regular joint forums to discuss policy approaches to improve gender equality and disability-inclusive programming</w:t>
      </w:r>
    </w:p>
    <w:p w14:paraId="7ECA972B" w14:textId="77777777" w:rsidR="00BB4F8C" w:rsidRDefault="00BB4F8C" w:rsidP="006C24B0">
      <w:pPr>
        <w:pStyle w:val="SDAbulletpoints"/>
      </w:pPr>
      <w:r>
        <w:t xml:space="preserve">Joint sharing of the benefits of DRM investments, such as multi-agency participation in the Humanitarian Leadership Program </w:t>
      </w:r>
    </w:p>
    <w:p w14:paraId="3D1641F6" w14:textId="77777777" w:rsidR="00BB4F8C" w:rsidRPr="006C24B0" w:rsidRDefault="00BB4F8C" w:rsidP="006C24B0">
      <w:pPr>
        <w:pStyle w:val="SDAbulletpoints"/>
      </w:pPr>
      <w:r w:rsidRPr="006C24B0">
        <w:t xml:space="preserve">Frank and robust policy </w:t>
      </w:r>
      <w:r w:rsidR="00E5120C" w:rsidRPr="006C24B0">
        <w:t>dialogue</w:t>
      </w:r>
      <w:r w:rsidRPr="006C24B0">
        <w:t xml:space="preserve"> </w:t>
      </w:r>
      <w:r w:rsidR="00E5120C" w:rsidRPr="006C24B0">
        <w:t xml:space="preserve">on the Syria crisis </w:t>
      </w:r>
      <w:r w:rsidRPr="006C24B0">
        <w:t>between HPA members, DFAT and selected non-HPA HRG members</w:t>
      </w:r>
      <w:r w:rsidR="007C5437" w:rsidRPr="006C24B0">
        <w:t>.</w:t>
      </w:r>
    </w:p>
    <w:p w14:paraId="19ED3F3B" w14:textId="77777777" w:rsidR="00A439DC" w:rsidRDefault="00A439DC" w:rsidP="00A439DC">
      <w:pPr>
        <w:pStyle w:val="SDAbulletpoints"/>
        <w:numPr>
          <w:ilvl w:val="0"/>
          <w:numId w:val="0"/>
        </w:numPr>
      </w:pPr>
      <w:r>
        <w:t>A key limiting factor in assessing this outcome is that the purpose of the partnership (including the benefits of the strategic dialogue) was not clearly defined during the HPA design. As a result, different partners hold different expectations around their roles and hold different views as to the benefits and costs of investing in partnership processes, including strategic dialogue.</w:t>
      </w:r>
    </w:p>
    <w:p w14:paraId="3D9F6B23" w14:textId="77777777" w:rsidR="001D7CF9" w:rsidRDefault="001D7CF9" w:rsidP="001D7CF9">
      <w:pPr>
        <w:pStyle w:val="SDAbodytext"/>
      </w:pPr>
      <w:r>
        <w:t>Partnerships can</w:t>
      </w:r>
      <w:r w:rsidR="00A439DC">
        <w:t xml:space="preserve">, and do, </w:t>
      </w:r>
      <w:r>
        <w:t>mean different things to different people. However, as Roche and Kelly</w:t>
      </w:r>
      <w:r w:rsidR="007C5437">
        <w:rPr>
          <w:rStyle w:val="FootnoteReference"/>
        </w:rPr>
        <w:footnoteReference w:id="33"/>
      </w:r>
      <w:r>
        <w:t xml:space="preserve"> suggest, while definitions </w:t>
      </w:r>
      <w:r w:rsidR="00A439DC">
        <w:t>matter</w:t>
      </w:r>
      <w:r>
        <w:t xml:space="preserve">, it is </w:t>
      </w:r>
      <w:r w:rsidR="00A439DC">
        <w:t xml:space="preserve">more </w:t>
      </w:r>
      <w:r>
        <w:t xml:space="preserve">important that partners share a common understanding of the </w:t>
      </w:r>
      <w:r w:rsidRPr="001D7CF9">
        <w:rPr>
          <w:i/>
        </w:rPr>
        <w:t>purpose</w:t>
      </w:r>
      <w:r>
        <w:t xml:space="preserve"> of a partnership arrangement.</w:t>
      </w:r>
      <w:r>
        <w:rPr>
          <w:rStyle w:val="FootnoteReference"/>
        </w:rPr>
        <w:footnoteReference w:id="34"/>
      </w:r>
      <w:r>
        <w:t xml:space="preserve"> </w:t>
      </w:r>
      <w:r w:rsidR="00A40CF2">
        <w:t xml:space="preserve"> </w:t>
      </w:r>
      <w:r>
        <w:t>The HPA Head Agreement does articulate a purpose</w:t>
      </w:r>
      <w:r>
        <w:rPr>
          <w:rStyle w:val="FootnoteReference"/>
        </w:rPr>
        <w:footnoteReference w:id="35"/>
      </w:r>
      <w:r>
        <w:t xml:space="preserve">, but this focusses on the HPA as a mechanism to respond more effectively to </w:t>
      </w:r>
      <w:r w:rsidRPr="008E2991">
        <w:t xml:space="preserve">complex </w:t>
      </w:r>
      <w:r w:rsidR="00A40CF2">
        <w:t xml:space="preserve">humanitarian </w:t>
      </w:r>
      <w:r w:rsidRPr="008E2991">
        <w:t>situations</w:t>
      </w:r>
      <w:r>
        <w:t>.</w:t>
      </w:r>
      <w:r>
        <w:rPr>
          <w:rStyle w:val="FootnoteReference"/>
        </w:rPr>
        <w:footnoteReference w:id="36"/>
      </w:r>
      <w:r w:rsidRPr="008E2991">
        <w:t xml:space="preserve"> </w:t>
      </w:r>
      <w:r>
        <w:t xml:space="preserve"> The HPA shared objectives</w:t>
      </w:r>
      <w:r w:rsidRPr="008E2991">
        <w:t xml:space="preserve"> go</w:t>
      </w:r>
      <w:r>
        <w:t xml:space="preserve"> </w:t>
      </w:r>
      <w:r w:rsidRPr="008E2991">
        <w:t>further than this and emphasise the importance</w:t>
      </w:r>
      <w:r>
        <w:t xml:space="preserve"> of collaboration on a range of fronts, for example</w:t>
      </w:r>
      <w:r w:rsidRPr="008E2991">
        <w:t xml:space="preserve"> </w:t>
      </w:r>
      <w:r>
        <w:t>on</w:t>
      </w:r>
      <w:r w:rsidRPr="008E2991">
        <w:t xml:space="preserve"> shared learning. </w:t>
      </w:r>
      <w:r>
        <w:t xml:space="preserve"> </w:t>
      </w:r>
      <w:r w:rsidRPr="008E2991">
        <w:t xml:space="preserve">In this way, we </w:t>
      </w:r>
      <w:r>
        <w:t xml:space="preserve">might </w:t>
      </w:r>
      <w:r w:rsidRPr="008E2991">
        <w:t>understand that the purpose of the HPA is to “add quality to the work of all partners”.</w:t>
      </w:r>
      <w:r>
        <w:rPr>
          <w:rStyle w:val="FootnoteReference"/>
        </w:rPr>
        <w:footnoteReference w:id="37"/>
      </w:r>
      <w:r>
        <w:t xml:space="preserve">  </w:t>
      </w:r>
    </w:p>
    <w:p w14:paraId="27DDFA1A" w14:textId="77777777" w:rsidR="001D7CF9" w:rsidRPr="008E2991" w:rsidRDefault="001D7CF9" w:rsidP="001D7CF9">
      <w:pPr>
        <w:pStyle w:val="SDAbodytext"/>
      </w:pPr>
      <w:r>
        <w:t>Partners have struggled, at times, to get the balance right between discussions around the mechanism (i.e. the funding relationship) and higher level dialogue across the three pillars of the HPA. DFAT’s role as a donor and as a partner is not always clearly portrayed or understood. The particular role the HPA plays in strategic dialogue</w:t>
      </w:r>
      <w:r w:rsidR="00A40CF2">
        <w:t xml:space="preserve"> with DFAT</w:t>
      </w:r>
      <w:r>
        <w:t xml:space="preserve">, </w:t>
      </w:r>
      <w:r w:rsidR="00A40CF2">
        <w:t xml:space="preserve">compared to the </w:t>
      </w:r>
      <w:r>
        <w:t xml:space="preserve">role of ACFID and the broader HRG, </w:t>
      </w:r>
      <w:r w:rsidR="00697523">
        <w:t>has never been clearly articulated by the HPA</w:t>
      </w:r>
      <w:r>
        <w:t xml:space="preserve">. </w:t>
      </w:r>
    </w:p>
    <w:p w14:paraId="09D08FDD" w14:textId="77777777" w:rsidR="0075704D" w:rsidRDefault="004D7659" w:rsidP="0075704D">
      <w:pPr>
        <w:pStyle w:val="SDAbodytext"/>
      </w:pPr>
      <w:r w:rsidRPr="001D7CF9">
        <w:rPr>
          <w:b/>
        </w:rPr>
        <w:t>T</w:t>
      </w:r>
      <w:r w:rsidR="0075704D" w:rsidRPr="001D7CF9">
        <w:rPr>
          <w:b/>
        </w:rPr>
        <w:t>he full achievement of this outcome has been constrained by</w:t>
      </w:r>
      <w:r w:rsidRPr="001D7CF9">
        <w:rPr>
          <w:b/>
        </w:rPr>
        <w:t xml:space="preserve"> factors including</w:t>
      </w:r>
      <w:r w:rsidR="0075704D">
        <w:t>:</w:t>
      </w:r>
    </w:p>
    <w:p w14:paraId="212BD1A7" w14:textId="77777777" w:rsidR="0075704D" w:rsidRDefault="00697523" w:rsidP="006C24B0">
      <w:pPr>
        <w:pStyle w:val="SDAbulletpoints"/>
      </w:pPr>
      <w:r>
        <w:t>A</w:t>
      </w:r>
      <w:r w:rsidR="005E09E9">
        <w:t xml:space="preserve"> lack of a clarit</w:t>
      </w:r>
      <w:r w:rsidR="0075704D">
        <w:t>y around the purpose, or purposes, of the partnership</w:t>
      </w:r>
    </w:p>
    <w:p w14:paraId="2916A845" w14:textId="094FB998" w:rsidR="000D2338" w:rsidRDefault="00697523" w:rsidP="006C24B0">
      <w:pPr>
        <w:pStyle w:val="SDAbulletpoints"/>
      </w:pPr>
      <w:r>
        <w:t>A</w:t>
      </w:r>
      <w:r w:rsidR="0075704D">
        <w:t xml:space="preserve"> </w:t>
      </w:r>
      <w:r w:rsidR="000D2338">
        <w:t xml:space="preserve">lack of clarity around the strategic dialogue functions of the HPA </w:t>
      </w:r>
      <w:r w:rsidR="00A40CF2">
        <w:t>in relation to</w:t>
      </w:r>
      <w:r w:rsidR="000D2338">
        <w:t xml:space="preserve"> ACFID and HRG</w:t>
      </w:r>
      <w:r w:rsidR="00035C3F">
        <w:t xml:space="preserve"> </w:t>
      </w:r>
    </w:p>
    <w:p w14:paraId="6542262C" w14:textId="70F98926" w:rsidR="000D2338" w:rsidRDefault="000D2338" w:rsidP="006C24B0">
      <w:pPr>
        <w:pStyle w:val="SDAbulletpoints"/>
      </w:pPr>
      <w:r>
        <w:t xml:space="preserve">The competitive nature </w:t>
      </w:r>
      <w:r w:rsidR="004D7659">
        <w:t>of</w:t>
      </w:r>
      <w:r>
        <w:t xml:space="preserve"> the peer review which </w:t>
      </w:r>
      <w:r w:rsidR="007B4491">
        <w:t>can</w:t>
      </w:r>
      <w:r w:rsidR="00F2646D">
        <w:t xml:space="preserve"> </w:t>
      </w:r>
      <w:r>
        <w:t>undermine</w:t>
      </w:r>
      <w:r w:rsidR="00A439DC">
        <w:t xml:space="preserve"> relationships</w:t>
      </w:r>
      <w:r>
        <w:t xml:space="preserve"> </w:t>
      </w:r>
    </w:p>
    <w:p w14:paraId="31333090" w14:textId="77777777" w:rsidR="00D67173" w:rsidRDefault="001D7CF9" w:rsidP="006C24B0">
      <w:pPr>
        <w:pStyle w:val="SDAbulletpoints"/>
      </w:pPr>
      <w:r>
        <w:t>T</w:t>
      </w:r>
      <w:r w:rsidR="00F2646D">
        <w:t>he d</w:t>
      </w:r>
      <w:r w:rsidR="009D5069">
        <w:t xml:space="preserve">ialogue </w:t>
      </w:r>
      <w:r w:rsidR="0031540D">
        <w:t>amongst</w:t>
      </w:r>
      <w:r w:rsidR="00F2646D">
        <w:t xml:space="preserve"> HPA </w:t>
      </w:r>
      <w:r w:rsidR="009D5069">
        <w:t>NGO</w:t>
      </w:r>
      <w:r w:rsidR="00F2646D">
        <w:t xml:space="preserve">s </w:t>
      </w:r>
      <w:r w:rsidR="007B4491">
        <w:t>being largely</w:t>
      </w:r>
      <w:r w:rsidR="00F2646D">
        <w:t xml:space="preserve"> on ho</w:t>
      </w:r>
      <w:r w:rsidR="009D5069">
        <w:t xml:space="preserve">w to advocate </w:t>
      </w:r>
      <w:r w:rsidR="00F2646D">
        <w:t xml:space="preserve">to DFAT for the greater use of </w:t>
      </w:r>
      <w:r w:rsidR="00395524">
        <w:t xml:space="preserve">the </w:t>
      </w:r>
      <w:r w:rsidR="00F2646D">
        <w:t>HPA</w:t>
      </w:r>
      <w:r w:rsidR="00395524">
        <w:t xml:space="preserve"> as a funding mechanism</w:t>
      </w:r>
    </w:p>
    <w:p w14:paraId="35BF4E49" w14:textId="1AAD7A0E" w:rsidR="009D5069" w:rsidRDefault="00035C3F" w:rsidP="006C24B0">
      <w:pPr>
        <w:pStyle w:val="SDAbulletpoints"/>
      </w:pPr>
      <w:r>
        <w:t>Limited examples of dialogue on strategic issues</w:t>
      </w:r>
    </w:p>
    <w:p w14:paraId="072B1A5E" w14:textId="604CF3FC" w:rsidR="0075704D" w:rsidRPr="000D2338" w:rsidRDefault="000D2338" w:rsidP="006C24B0">
      <w:pPr>
        <w:pStyle w:val="SDAbulletpoints"/>
      </w:pPr>
      <w:r w:rsidRPr="000D2338">
        <w:t xml:space="preserve">The </w:t>
      </w:r>
      <w:r w:rsidR="00A40CF2">
        <w:t xml:space="preserve">high </w:t>
      </w:r>
      <w:r w:rsidRPr="000D2338">
        <w:t>tu</w:t>
      </w:r>
      <w:r w:rsidR="0075704D" w:rsidRPr="000D2338">
        <w:t xml:space="preserve">rnover of DFAT </w:t>
      </w:r>
      <w:r w:rsidR="000019E4">
        <w:t>with</w:t>
      </w:r>
      <w:r w:rsidR="00035C3F">
        <w:t xml:space="preserve"> different</w:t>
      </w:r>
      <w:r w:rsidR="0075704D" w:rsidRPr="000D2338">
        <w:t xml:space="preserve"> individuals </w:t>
      </w:r>
      <w:r w:rsidR="00035C3F">
        <w:t>bring</w:t>
      </w:r>
      <w:r w:rsidR="000019E4">
        <w:t>ing</w:t>
      </w:r>
      <w:r w:rsidR="0075704D" w:rsidRPr="000D2338">
        <w:t xml:space="preserve"> different understandings </w:t>
      </w:r>
      <w:r w:rsidR="007B3BC3">
        <w:t>of</w:t>
      </w:r>
      <w:r w:rsidR="0075704D" w:rsidRPr="000D2338">
        <w:t xml:space="preserve"> the </w:t>
      </w:r>
      <w:r w:rsidR="004D7659">
        <w:t>partnership</w:t>
      </w:r>
      <w:r w:rsidR="00D67173">
        <w:t xml:space="preserve"> </w:t>
      </w:r>
    </w:p>
    <w:p w14:paraId="1B9F4571" w14:textId="4E19DAB6" w:rsidR="000D2338" w:rsidRDefault="007B4491" w:rsidP="006C24B0">
      <w:pPr>
        <w:pStyle w:val="SDAbulletpoints"/>
      </w:pPr>
      <w:r>
        <w:t xml:space="preserve">The lack </w:t>
      </w:r>
      <w:r w:rsidR="000D2338">
        <w:t xml:space="preserve">of a visibility plan, which </w:t>
      </w:r>
      <w:r w:rsidR="005B6F42">
        <w:t>may have</w:t>
      </w:r>
      <w:r w:rsidR="000D2338">
        <w:t xml:space="preserve"> limited </w:t>
      </w:r>
      <w:r w:rsidR="009D5069">
        <w:t>the</w:t>
      </w:r>
      <w:r w:rsidR="000D2338">
        <w:t xml:space="preserve"> achievement of the shared objective to build public awareness of the HPA, its work and its achievements </w:t>
      </w:r>
    </w:p>
    <w:p w14:paraId="4837C9DB" w14:textId="77777777" w:rsidR="00A40CF2" w:rsidRDefault="00CB6C43" w:rsidP="006C24B0">
      <w:pPr>
        <w:pStyle w:val="SDAbulletpoints"/>
      </w:pPr>
      <w:r>
        <w:t xml:space="preserve">No </w:t>
      </w:r>
      <w:r w:rsidR="00A40CF2">
        <w:t xml:space="preserve">clear </w:t>
      </w:r>
      <w:r>
        <w:t>learning agenda</w:t>
      </w:r>
      <w:r w:rsidR="00A40CF2">
        <w:t xml:space="preserve"> </w:t>
      </w:r>
    </w:p>
    <w:p w14:paraId="1F47AD2E" w14:textId="77777777" w:rsidR="000D2338" w:rsidRDefault="00A40CF2" w:rsidP="006C24B0">
      <w:pPr>
        <w:pStyle w:val="SDAbulletpoints"/>
      </w:pPr>
      <w:r>
        <w:t>L</w:t>
      </w:r>
      <w:r w:rsidR="0033561C">
        <w:t xml:space="preserve">earning </w:t>
      </w:r>
      <w:r w:rsidR="00395524">
        <w:t>events, which</w:t>
      </w:r>
      <w:r w:rsidR="0033561C">
        <w:t xml:space="preserve"> are not always inclusive of the broader HRG membership, and have tended to focus more on process rather than quality of response and/or thematic </w:t>
      </w:r>
      <w:r w:rsidR="004D7659">
        <w:t>learnings.</w:t>
      </w:r>
    </w:p>
    <w:p w14:paraId="1BCB704A" w14:textId="77777777" w:rsidR="00745496" w:rsidRDefault="00745496" w:rsidP="00745496">
      <w:pPr>
        <w:pStyle w:val="SDAbodytext"/>
        <w:ind w:left="1440"/>
      </w:pPr>
    </w:p>
    <w:p w14:paraId="669F91A9" w14:textId="77777777" w:rsidR="00767BE5" w:rsidRDefault="00767BE5" w:rsidP="00565770">
      <w:pPr>
        <w:pStyle w:val="SDANumberedheading2"/>
        <w:ind w:left="709" w:hanging="709"/>
      </w:pPr>
      <w:bookmarkStart w:id="14" w:name="_Toc423711130"/>
      <w:r>
        <w:t>Monitoring</w:t>
      </w:r>
      <w:r w:rsidR="00A439DC">
        <w:t xml:space="preserve">, </w:t>
      </w:r>
      <w:r>
        <w:t>Evaluation</w:t>
      </w:r>
      <w:r w:rsidR="00A439DC">
        <w:t xml:space="preserve"> and Learning</w:t>
      </w:r>
      <w:bookmarkEnd w:id="14"/>
    </w:p>
    <w:p w14:paraId="12A3E4E0" w14:textId="6E022DF4" w:rsidR="002B12A3" w:rsidRDefault="006C24B0" w:rsidP="006C24B0">
      <w:pPr>
        <w:pStyle w:val="SDAbodytext"/>
      </w:pPr>
      <w:r w:rsidRPr="006C24B0">
        <w:t xml:space="preserve">A </w:t>
      </w:r>
      <w:r w:rsidR="00FF311C">
        <w:t>lot</w:t>
      </w:r>
      <w:r w:rsidRPr="006C24B0">
        <w:t xml:space="preserve"> of time and effort has been invested by HPA partners in MEL. There has been a willingness and interest among </w:t>
      </w:r>
      <w:r w:rsidR="00A439DC">
        <w:t>all</w:t>
      </w:r>
      <w:r w:rsidRPr="006C24B0">
        <w:t xml:space="preserve"> partners to contri</w:t>
      </w:r>
      <w:r w:rsidR="00A439DC">
        <w:t>bute to learning processes and to i</w:t>
      </w:r>
      <w:r w:rsidRPr="006C24B0">
        <w:t xml:space="preserve">mprove the </w:t>
      </w:r>
      <w:r w:rsidR="002B12A3">
        <w:t xml:space="preserve">HPA </w:t>
      </w:r>
      <w:r w:rsidRPr="006C24B0">
        <w:t xml:space="preserve">mechanism. </w:t>
      </w:r>
    </w:p>
    <w:p w14:paraId="34902F1B" w14:textId="77777777" w:rsidR="002B12A3" w:rsidRDefault="006C24B0" w:rsidP="006C24B0">
      <w:pPr>
        <w:pStyle w:val="SDAbodytext"/>
      </w:pPr>
      <w:r w:rsidRPr="006C24B0">
        <w:t xml:space="preserve">Some key features of the HPA MEL approach that have been instrumental in facilitating peer learning include: </w:t>
      </w:r>
    </w:p>
    <w:p w14:paraId="1A6BEE76" w14:textId="77777777" w:rsidR="002B12A3" w:rsidRDefault="006C24B0" w:rsidP="002B12A3">
      <w:pPr>
        <w:pStyle w:val="SDAbulletpoints"/>
      </w:pPr>
      <w:r w:rsidRPr="006C24B0">
        <w:t>the development of lessons learned and activation reports</w:t>
      </w:r>
    </w:p>
    <w:p w14:paraId="39A7DB91" w14:textId="77777777" w:rsidR="002B12A3" w:rsidRDefault="006C24B0" w:rsidP="002B12A3">
      <w:pPr>
        <w:pStyle w:val="SDAbulletpoints"/>
      </w:pPr>
      <w:r w:rsidRPr="006C24B0">
        <w:t>joint field visits by DFAT and NGOs</w:t>
      </w:r>
      <w:r w:rsidR="002B12A3">
        <w:t>,</w:t>
      </w:r>
      <w:r w:rsidRPr="006C24B0">
        <w:t xml:space="preserve"> and </w:t>
      </w:r>
    </w:p>
    <w:p w14:paraId="779F1414" w14:textId="65013AB3" w:rsidR="006C24B0" w:rsidRPr="006C24B0" w:rsidRDefault="006C24B0" w:rsidP="002B12A3">
      <w:pPr>
        <w:pStyle w:val="SDAbulletpoints"/>
      </w:pPr>
      <w:proofErr w:type="gramStart"/>
      <w:r w:rsidRPr="006C24B0">
        <w:t>the</w:t>
      </w:r>
      <w:proofErr w:type="gramEnd"/>
      <w:r w:rsidRPr="006C24B0">
        <w:t xml:space="preserve"> </w:t>
      </w:r>
      <w:r w:rsidR="007B3BC3">
        <w:t>Response Committee</w:t>
      </w:r>
      <w:r w:rsidR="00FF311C">
        <w:t>.</w:t>
      </w:r>
      <w:r>
        <w:t xml:space="preserve"> </w:t>
      </w:r>
    </w:p>
    <w:p w14:paraId="2CD22B45" w14:textId="0D9330F2" w:rsidR="00A56DB2" w:rsidRDefault="006C24B0" w:rsidP="006C24B0">
      <w:pPr>
        <w:pStyle w:val="SDAbodytext"/>
      </w:pPr>
      <w:r w:rsidRPr="006C24B0">
        <w:t xml:space="preserve">HPA activations </w:t>
      </w:r>
      <w:r w:rsidR="00A439DC">
        <w:t>are subject to</w:t>
      </w:r>
      <w:r w:rsidRPr="006C24B0">
        <w:t xml:space="preserve"> lessons learned activities, individual and collective reports of partner responses, and</w:t>
      </w:r>
      <w:r w:rsidR="00A439DC">
        <w:t>, on occasion,</w:t>
      </w:r>
      <w:r w:rsidRPr="006C24B0">
        <w:t xml:space="preserve"> whole of response evaluations. </w:t>
      </w:r>
      <w:r w:rsidR="00A439DC">
        <w:t>These review activities have</w:t>
      </w:r>
      <w:r w:rsidRPr="006C24B0">
        <w:t xml:space="preserve"> supported accountability and generated evidence </w:t>
      </w:r>
      <w:r w:rsidR="00D67173">
        <w:t>on</w:t>
      </w:r>
      <w:r w:rsidRPr="006C24B0">
        <w:t xml:space="preserve"> the extent to which responses have achieved their stated objectives and targets. </w:t>
      </w:r>
    </w:p>
    <w:p w14:paraId="15D2AE0A" w14:textId="77777777" w:rsidR="00A56DB2" w:rsidRPr="006C24B0" w:rsidRDefault="00A56DB2" w:rsidP="00A56DB2">
      <w:pPr>
        <w:pStyle w:val="SDAbodytext"/>
        <w:rPr>
          <w:b/>
        </w:rPr>
      </w:pPr>
      <w:r w:rsidRPr="006C24B0">
        <w:rPr>
          <w:b/>
        </w:rPr>
        <w:t>Key achievements under this outcome include, but are not limited to:</w:t>
      </w:r>
    </w:p>
    <w:p w14:paraId="4E6B8368" w14:textId="7609B4DD" w:rsidR="00A56DB2" w:rsidRDefault="00D67173" w:rsidP="00A56DB2">
      <w:pPr>
        <w:pStyle w:val="SDAbulletpoints"/>
      </w:pPr>
      <w:r>
        <w:t>T</w:t>
      </w:r>
      <w:r w:rsidRPr="00A801F2">
        <w:t xml:space="preserve">he </w:t>
      </w:r>
      <w:r>
        <w:t>‘informal</w:t>
      </w:r>
      <w:r w:rsidRPr="00A801F2">
        <w:t>’ learning that</w:t>
      </w:r>
      <w:r>
        <w:t xml:space="preserve"> takes place as partners review each other’s proposals prior to</w:t>
      </w:r>
      <w:r w:rsidR="007B3BC3">
        <w:t xml:space="preserve"> the Response Committee meeting</w:t>
      </w:r>
      <w:r>
        <w:t xml:space="preserve"> has benefitted </w:t>
      </w:r>
      <w:r w:rsidR="00A56DB2">
        <w:t>HPA NGO</w:t>
      </w:r>
      <w:r w:rsidR="00C43B80">
        <w:t>s</w:t>
      </w:r>
      <w:r w:rsidR="00A56DB2">
        <w:t xml:space="preserve"> and </w:t>
      </w:r>
      <w:r w:rsidR="00A439DC">
        <w:t xml:space="preserve">their </w:t>
      </w:r>
      <w:r w:rsidR="00A56DB2">
        <w:t>in-country partners</w:t>
      </w:r>
    </w:p>
    <w:p w14:paraId="3815320A" w14:textId="77777777" w:rsidR="000019E4" w:rsidRPr="00C43B80" w:rsidRDefault="00D67173" w:rsidP="000019E4">
      <w:pPr>
        <w:pStyle w:val="SDAbulletpoints"/>
        <w:rPr>
          <w:rStyle w:val="FootnoteReference"/>
        </w:rPr>
      </w:pPr>
      <w:r w:rsidRPr="00AB0840">
        <w:t>Lessons learned exercises after</w:t>
      </w:r>
      <w:r>
        <w:t xml:space="preserve"> each</w:t>
      </w:r>
      <w:r w:rsidRPr="00AB0840">
        <w:t xml:space="preserve"> HPA activation </w:t>
      </w:r>
      <w:r>
        <w:t>that</w:t>
      </w:r>
      <w:r w:rsidRPr="00AB0840">
        <w:t xml:space="preserve"> improved the mechanism</w:t>
      </w:r>
      <w:r w:rsidRPr="0084699B">
        <w:t>. Specific improvements include</w:t>
      </w:r>
      <w:r>
        <w:t>:</w:t>
      </w:r>
      <w:r w:rsidRPr="0084699B">
        <w:t xml:space="preserve"> combining all information related to the </w:t>
      </w:r>
      <w:r w:rsidR="004D33B5">
        <w:t>R</w:t>
      </w:r>
      <w:r w:rsidRPr="0084699B">
        <w:t>es</w:t>
      </w:r>
      <w:r>
        <w:t xml:space="preserve">ponse </w:t>
      </w:r>
      <w:r w:rsidR="004D33B5">
        <w:t>C</w:t>
      </w:r>
      <w:r>
        <w:t>ommittee in one document;</w:t>
      </w:r>
      <w:r w:rsidRPr="0084699B">
        <w:t xml:space="preserve"> having a standard agenda with standard timings for every meeting</w:t>
      </w:r>
      <w:r>
        <w:t>;</w:t>
      </w:r>
      <w:r w:rsidRPr="0084699B">
        <w:t xml:space="preserve"> and reducing the time and cost of lessons learned meetings</w:t>
      </w:r>
      <w:r w:rsidR="000019E4" w:rsidRPr="00C43B80">
        <w:rPr>
          <w:rStyle w:val="FootnoteReference"/>
        </w:rPr>
        <w:footnoteReference w:id="38"/>
      </w:r>
    </w:p>
    <w:p w14:paraId="5F32EF7B" w14:textId="76B448B5" w:rsidR="00A439DC" w:rsidRDefault="00D67173" w:rsidP="00A56DB2">
      <w:pPr>
        <w:pStyle w:val="SDAbulletpoints"/>
      </w:pPr>
      <w:r>
        <w:t xml:space="preserve">Development of </w:t>
      </w:r>
      <w:r w:rsidR="00A56DB2">
        <w:t xml:space="preserve">shorter, </w:t>
      </w:r>
      <w:r>
        <w:t>clearer</w:t>
      </w:r>
      <w:r w:rsidR="00A56DB2" w:rsidRPr="0084699B">
        <w:t xml:space="preserve"> </w:t>
      </w:r>
      <w:r w:rsidR="00A56DB2">
        <w:t>collective report summaries</w:t>
      </w:r>
      <w:r w:rsidR="00035C3F">
        <w:t xml:space="preserve"> (although </w:t>
      </w:r>
      <w:r w:rsidR="007F51B8">
        <w:t>there is scope for further improvements</w:t>
      </w:r>
      <w:r w:rsidR="007B3BC3">
        <w:t xml:space="preserve"> in reporting</w:t>
      </w:r>
      <w:r>
        <w:t>)</w:t>
      </w:r>
      <w:r w:rsidR="00A439DC">
        <w:t xml:space="preserve"> </w:t>
      </w:r>
    </w:p>
    <w:p w14:paraId="401A2051" w14:textId="1131FF8F" w:rsidR="00A56DB2" w:rsidRDefault="00A439DC" w:rsidP="00A56DB2">
      <w:pPr>
        <w:pStyle w:val="SDAbulletpoints"/>
      </w:pPr>
      <w:r>
        <w:t xml:space="preserve">The recent development of a recommendations tracking system </w:t>
      </w:r>
      <w:r w:rsidR="00D67173">
        <w:t xml:space="preserve">which </w:t>
      </w:r>
      <w:r>
        <w:t>will help to</w:t>
      </w:r>
      <w:r w:rsidR="00A56DB2">
        <w:t xml:space="preserve"> ensure evaluation and review findings are systematically followed up.</w:t>
      </w:r>
    </w:p>
    <w:p w14:paraId="4556AD13" w14:textId="6EF9F771" w:rsidR="00FF311C" w:rsidRDefault="00C43B80" w:rsidP="006C24B0">
      <w:pPr>
        <w:pStyle w:val="SDAbodytext"/>
      </w:pPr>
      <w:r>
        <w:t>L</w:t>
      </w:r>
      <w:r w:rsidR="006C24B0">
        <w:t>earning has been a focus of the HPA</w:t>
      </w:r>
      <w:r>
        <w:t xml:space="preserve">. </w:t>
      </w:r>
      <w:r w:rsidR="00A439DC">
        <w:t>The HPA brings together key humanitarian players and whole-of-government stakeholders with considerable</w:t>
      </w:r>
      <w:r w:rsidR="00A439DC" w:rsidRPr="006C24B0">
        <w:t xml:space="preserve"> analytical and experiential expertise. As such</w:t>
      </w:r>
      <w:r w:rsidR="002058B0">
        <w:t>,</w:t>
      </w:r>
      <w:r w:rsidR="00A439DC" w:rsidRPr="006C24B0">
        <w:t xml:space="preserve"> it is </w:t>
      </w:r>
      <w:r w:rsidR="00A439DC">
        <w:t>well positioned to coordinate strategic/meta</w:t>
      </w:r>
      <w:r w:rsidR="00D67173">
        <w:t>-</w:t>
      </w:r>
      <w:r w:rsidR="00A439DC">
        <w:t>evaluations in important areas (</w:t>
      </w:r>
      <w:r w:rsidR="00D67173">
        <w:t>e.g.</w:t>
      </w:r>
      <w:r w:rsidR="00A439DC">
        <w:t xml:space="preserve"> whole-of-government involvement in responses, analysis of thematic and technical aspects of responses, or linkages </w:t>
      </w:r>
      <w:r w:rsidR="007B3BC3">
        <w:t>bewteen</w:t>
      </w:r>
      <w:r w:rsidR="00A439DC">
        <w:t xml:space="preserve"> HPA humanitarian responses with long term development programs). </w:t>
      </w:r>
      <w:r>
        <w:t xml:space="preserve">However, </w:t>
      </w:r>
      <w:r w:rsidR="002058B0">
        <w:t>the HPA does not have</w:t>
      </w:r>
      <w:r w:rsidR="005B282F">
        <w:t xml:space="preserve"> a</w:t>
      </w:r>
      <w:r w:rsidR="006C24B0">
        <w:t xml:space="preserve"> clearly defined learning agenda</w:t>
      </w:r>
      <w:r w:rsidR="002058B0">
        <w:t>,</w:t>
      </w:r>
      <w:r w:rsidR="006C24B0">
        <w:t xml:space="preserve"> </w:t>
      </w:r>
      <w:r w:rsidR="00D67173">
        <w:t>or</w:t>
      </w:r>
      <w:r w:rsidR="006C24B0">
        <w:t xml:space="preserve"> </w:t>
      </w:r>
      <w:r w:rsidR="00D67173">
        <w:t>dedicated</w:t>
      </w:r>
      <w:r w:rsidR="006C24B0">
        <w:t xml:space="preserve"> resources to support learning</w:t>
      </w:r>
      <w:r w:rsidR="002058B0">
        <w:t xml:space="preserve">. </w:t>
      </w:r>
    </w:p>
    <w:p w14:paraId="293A9017" w14:textId="33085755" w:rsidR="006C24B0" w:rsidRPr="00FF311C" w:rsidRDefault="00D67173" w:rsidP="006C24B0">
      <w:pPr>
        <w:pStyle w:val="SDAbodytext"/>
      </w:pPr>
      <w:r>
        <w:t>T</w:t>
      </w:r>
      <w:r w:rsidR="006C24B0" w:rsidRPr="006C24B0">
        <w:t xml:space="preserve">he HPA </w:t>
      </w:r>
      <w:r w:rsidR="006C24B0" w:rsidRPr="00D67173">
        <w:rPr>
          <w:i/>
        </w:rPr>
        <w:t>has</w:t>
      </w:r>
      <w:r w:rsidR="006C24B0" w:rsidRPr="006C24B0">
        <w:t xml:space="preserve"> facilitated learning among stakeholders and some valuable information has been generated</w:t>
      </w:r>
      <w:r w:rsidR="00FF311C">
        <w:t>. However,</w:t>
      </w:r>
      <w:r w:rsidR="00A56DB2">
        <w:t xml:space="preserve"> </w:t>
      </w:r>
      <w:r w:rsidR="006C24B0" w:rsidRPr="006C24B0">
        <w:t xml:space="preserve">a lack of investment </w:t>
      </w:r>
      <w:r w:rsidR="00FF311C">
        <w:t>in</w:t>
      </w:r>
      <w:r w:rsidR="006C24B0" w:rsidRPr="006C24B0">
        <w:t xml:space="preserve"> ensuring learnings are taken forward has limited </w:t>
      </w:r>
      <w:r w:rsidR="00FF311C">
        <w:t xml:space="preserve">the </w:t>
      </w:r>
      <w:r w:rsidR="006C24B0" w:rsidRPr="006C24B0">
        <w:t>effectiveness</w:t>
      </w:r>
      <w:r w:rsidR="00FF311C">
        <w:t xml:space="preserve"> of </w:t>
      </w:r>
      <w:r w:rsidR="002058B0">
        <w:t>some</w:t>
      </w:r>
      <w:r w:rsidR="00FF311C">
        <w:t xml:space="preserve"> MEL activities</w:t>
      </w:r>
      <w:r w:rsidR="006C24B0" w:rsidRPr="006C24B0">
        <w:t xml:space="preserve">. </w:t>
      </w:r>
      <w:r w:rsidR="006C24B0" w:rsidRPr="00FF311C">
        <w:t xml:space="preserve">The collective learnings of the HPA </w:t>
      </w:r>
      <w:r w:rsidR="00A56DB2">
        <w:t>do not appear to have</w:t>
      </w:r>
      <w:r w:rsidR="006C24B0" w:rsidRPr="00FF311C">
        <w:t xml:space="preserve"> been used for advocacy </w:t>
      </w:r>
      <w:r w:rsidR="00A56DB2">
        <w:t>or for</w:t>
      </w:r>
      <w:r w:rsidR="006C24B0" w:rsidRPr="00FF311C">
        <w:t xml:space="preserve"> influencing in-country </w:t>
      </w:r>
      <w:r w:rsidR="00A56DB2">
        <w:t xml:space="preserve">operations </w:t>
      </w:r>
      <w:r w:rsidR="006C24B0" w:rsidRPr="00FF311C">
        <w:t>and</w:t>
      </w:r>
      <w:r w:rsidR="00A56DB2">
        <w:t>/or</w:t>
      </w:r>
      <w:r w:rsidR="006C24B0" w:rsidRPr="00FF311C">
        <w:t xml:space="preserve"> in wider policy forums. </w:t>
      </w:r>
    </w:p>
    <w:p w14:paraId="678F9E4F" w14:textId="77777777" w:rsidR="00FD7550" w:rsidRDefault="006C24B0" w:rsidP="006C24B0">
      <w:pPr>
        <w:pStyle w:val="SDAbodytext"/>
      </w:pPr>
      <w:r w:rsidRPr="006C24B0">
        <w:t>Challenges and gaps in MEL stem largely from the lack of a</w:t>
      </w:r>
      <w:r w:rsidR="00D67173">
        <w:t>n</w:t>
      </w:r>
      <w:r w:rsidRPr="006C24B0">
        <w:t xml:space="preserve"> overarching HPA MEL framework</w:t>
      </w:r>
      <w:r w:rsidR="00A56DB2">
        <w:t xml:space="preserve">. Such a framework </w:t>
      </w:r>
      <w:r w:rsidR="00D67173">
        <w:t>c</w:t>
      </w:r>
      <w:r w:rsidR="00A56DB2">
        <w:t xml:space="preserve">ould have helped </w:t>
      </w:r>
      <w:r w:rsidRPr="006C24B0">
        <w:t xml:space="preserve">to lay the foundations for data collection, analysis, learning and </w:t>
      </w:r>
      <w:r w:rsidR="002058B0">
        <w:t xml:space="preserve">the </w:t>
      </w:r>
      <w:r w:rsidRPr="006C24B0">
        <w:t xml:space="preserve">use of information generated </w:t>
      </w:r>
      <w:r w:rsidR="00D67173">
        <w:t>by the partnership arrangements</w:t>
      </w:r>
      <w:r w:rsidRPr="006C24B0">
        <w:t xml:space="preserve">. The HPA has missed an opportunity to capture and use critical learnings to contribute to broader sectoral knowledge and </w:t>
      </w:r>
      <w:r w:rsidR="00A56DB2">
        <w:t xml:space="preserve">to </w:t>
      </w:r>
      <w:r w:rsidRPr="006C24B0">
        <w:t xml:space="preserve">communicate the results of the HPA partnership to different audiences. </w:t>
      </w:r>
    </w:p>
    <w:p w14:paraId="62AD88B6" w14:textId="1E46AFC5" w:rsidR="006C24B0" w:rsidRPr="006C24B0" w:rsidRDefault="00A069DC" w:rsidP="006C24B0">
      <w:pPr>
        <w:pStyle w:val="SDAbodytext"/>
      </w:pPr>
      <w:r>
        <w:t>P</w:t>
      </w:r>
      <w:r w:rsidRPr="006C24B0">
        <w:t xml:space="preserve">artnership </w:t>
      </w:r>
      <w:r>
        <w:t xml:space="preserve">performance </w:t>
      </w:r>
      <w:r w:rsidRPr="006C24B0">
        <w:t xml:space="preserve">indicators were </w:t>
      </w:r>
      <w:r>
        <w:t>outlined in the Head Agreement</w:t>
      </w:r>
      <w:r w:rsidR="00FD7550">
        <w:t>,</w:t>
      </w:r>
      <w:r>
        <w:t xml:space="preserve"> and</w:t>
      </w:r>
      <w:r w:rsidRPr="006C24B0">
        <w:t xml:space="preserve"> NGO partner collaboration </w:t>
      </w:r>
      <w:r w:rsidR="005D23A9">
        <w:t>(</w:t>
      </w:r>
      <w:r w:rsidRPr="006C24B0">
        <w:t>around planning, assessment, policy development, coordination and visibility</w:t>
      </w:r>
      <w:r w:rsidR="005D23A9">
        <w:t>)</w:t>
      </w:r>
      <w:r w:rsidRPr="006C24B0">
        <w:t xml:space="preserve"> </w:t>
      </w:r>
      <w:r w:rsidR="005D23A9">
        <w:t>was</w:t>
      </w:r>
      <w:r w:rsidRPr="006C24B0">
        <w:t xml:space="preserve"> </w:t>
      </w:r>
      <w:r>
        <w:t xml:space="preserve">routinely </w:t>
      </w:r>
      <w:r w:rsidRPr="006C24B0">
        <w:t xml:space="preserve">reported on </w:t>
      </w:r>
      <w:r w:rsidR="00FD7550">
        <w:t>in collective evaluations</w:t>
      </w:r>
      <w:r w:rsidR="00A56DB2">
        <w:t>. However,</w:t>
      </w:r>
      <w:r w:rsidR="006C24B0" w:rsidRPr="006C24B0">
        <w:t xml:space="preserve"> </w:t>
      </w:r>
      <w:r w:rsidR="00A56DB2">
        <w:t xml:space="preserve">clear </w:t>
      </w:r>
      <w:r w:rsidR="006C24B0" w:rsidRPr="006C24B0">
        <w:t>partnership outcomes and measures of success were not developed, making it difficult to demonstrate, communicate and assess the collective value of the partnership.</w:t>
      </w:r>
    </w:p>
    <w:p w14:paraId="36629213" w14:textId="680608D6" w:rsidR="006C24B0" w:rsidRPr="006C24B0" w:rsidRDefault="00A56DB2" w:rsidP="006C24B0">
      <w:pPr>
        <w:pStyle w:val="SDAbodytext"/>
      </w:pPr>
      <w:r>
        <w:t>The</w:t>
      </w:r>
      <w:r w:rsidR="006C24B0" w:rsidRPr="006C24B0">
        <w:t xml:space="preserve"> </w:t>
      </w:r>
      <w:r w:rsidR="00C627D9">
        <w:t xml:space="preserve">review team was unable to determine the </w:t>
      </w:r>
      <w:r w:rsidR="006C24B0" w:rsidRPr="006C24B0">
        <w:t>budget allocation and expenditure for HPA MEL</w:t>
      </w:r>
      <w:r w:rsidR="00C627D9">
        <w:t>. It</w:t>
      </w:r>
      <w:r w:rsidR="006C24B0" w:rsidRPr="006C24B0">
        <w:t xml:space="preserve"> appears </w:t>
      </w:r>
      <w:r w:rsidR="00C627D9">
        <w:t xml:space="preserve">probable that </w:t>
      </w:r>
      <w:r w:rsidR="006C24B0" w:rsidRPr="006C24B0">
        <w:t>most of the HPA MEL costs have been absorbed by NGO partners</w:t>
      </w:r>
      <w:r w:rsidR="00ED017F">
        <w:t>.</w:t>
      </w:r>
      <w:r w:rsidR="006C24B0" w:rsidRPr="002058B0">
        <w:rPr>
          <w:rStyle w:val="FootnoteReference"/>
        </w:rPr>
        <w:footnoteReference w:id="39"/>
      </w:r>
      <w:r w:rsidRPr="002058B0">
        <w:rPr>
          <w:rStyle w:val="FootnoteReference"/>
        </w:rPr>
        <w:t xml:space="preserve"> </w:t>
      </w:r>
      <w:r w:rsidR="00ED017F" w:rsidRPr="002058B0">
        <w:rPr>
          <w:rStyle w:val="FootnoteReference"/>
        </w:rPr>
        <w:t xml:space="preserve"> </w:t>
      </w:r>
      <w:r w:rsidR="007B3BC3">
        <w:rPr>
          <w:rStyle w:val="FootnoteReference"/>
        </w:rPr>
        <w:t xml:space="preserve"> </w:t>
      </w:r>
      <w:r w:rsidR="002058B0" w:rsidRPr="002058B0">
        <w:t xml:space="preserve">The HPA Director holds responsibility for producing aggregated </w:t>
      </w:r>
      <w:r w:rsidR="00C627D9">
        <w:t xml:space="preserve">monitoring and evaluation </w:t>
      </w:r>
      <w:r w:rsidR="002058B0" w:rsidRPr="002058B0">
        <w:t>reports</w:t>
      </w:r>
      <w:r w:rsidR="002058B0">
        <w:t>. This</w:t>
      </w:r>
      <w:r w:rsidR="002058B0" w:rsidRPr="002058B0">
        <w:t xml:space="preserve"> process is currently supported by a volunteer from Plan </w:t>
      </w:r>
      <w:r w:rsidR="002058B0">
        <w:t xml:space="preserve">International </w:t>
      </w:r>
      <w:r w:rsidR="002058B0" w:rsidRPr="002058B0">
        <w:t xml:space="preserve">Australia, </w:t>
      </w:r>
      <w:r w:rsidR="002058B0">
        <w:t xml:space="preserve">which would suggest that </w:t>
      </w:r>
      <w:r w:rsidR="006C24B0" w:rsidRPr="006C24B0">
        <w:t>resourc</w:t>
      </w:r>
      <w:r w:rsidR="00ED017F">
        <w:t>ing of the MEL functions</w:t>
      </w:r>
      <w:r w:rsidR="006C24B0" w:rsidRPr="006C24B0">
        <w:t xml:space="preserve"> </w:t>
      </w:r>
      <w:r w:rsidR="00ED017F">
        <w:t xml:space="preserve">under the HPA </w:t>
      </w:r>
      <w:r w:rsidR="002058B0">
        <w:t>is</w:t>
      </w:r>
      <w:r w:rsidR="00ED017F">
        <w:t xml:space="preserve"> </w:t>
      </w:r>
      <w:r w:rsidR="006C24B0" w:rsidRPr="006C24B0">
        <w:t>not sufficient</w:t>
      </w:r>
      <w:r w:rsidR="00ED017F">
        <w:t>.</w:t>
      </w:r>
      <w:r w:rsidR="006C24B0" w:rsidRPr="002058B0">
        <w:t xml:space="preserve"> </w:t>
      </w:r>
    </w:p>
    <w:p w14:paraId="0CE6B33B" w14:textId="77777777" w:rsidR="00A06A48" w:rsidRDefault="00A06A48" w:rsidP="006C24B0">
      <w:pPr>
        <w:pStyle w:val="SDAbodytext"/>
        <w:rPr>
          <w:b/>
        </w:rPr>
      </w:pPr>
    </w:p>
    <w:p w14:paraId="09768699" w14:textId="77777777" w:rsidR="00A06A48" w:rsidRDefault="00A06A48" w:rsidP="006C24B0">
      <w:pPr>
        <w:pStyle w:val="SDAbodytext"/>
        <w:rPr>
          <w:b/>
        </w:rPr>
      </w:pPr>
    </w:p>
    <w:p w14:paraId="7E8AA237" w14:textId="77777777" w:rsidR="006C24B0" w:rsidRPr="006C24B0" w:rsidRDefault="006C24B0" w:rsidP="006C24B0">
      <w:pPr>
        <w:pStyle w:val="SDAbodytext"/>
        <w:rPr>
          <w:b/>
        </w:rPr>
      </w:pPr>
      <w:r w:rsidRPr="006C24B0">
        <w:rPr>
          <w:b/>
        </w:rPr>
        <w:t xml:space="preserve">The full achievement of this outcome has been constrained by factors including: </w:t>
      </w:r>
    </w:p>
    <w:p w14:paraId="277E047A" w14:textId="2ED0DA83" w:rsidR="006C24B0" w:rsidRDefault="00C627D9" w:rsidP="006C24B0">
      <w:pPr>
        <w:pStyle w:val="SDAbulletpoints"/>
      </w:pPr>
      <w:r>
        <w:t>Im</w:t>
      </w:r>
      <w:r w:rsidR="006C24B0" w:rsidRPr="00351832">
        <w:t xml:space="preserve">portant </w:t>
      </w:r>
      <w:r w:rsidR="006C24B0">
        <w:t>learnings</w:t>
      </w:r>
      <w:r>
        <w:t xml:space="preserve"> generated by the MEL</w:t>
      </w:r>
      <w:r w:rsidR="006C24B0">
        <w:t xml:space="preserve"> </w:t>
      </w:r>
      <w:r w:rsidR="006C24B0" w:rsidRPr="00351832">
        <w:t xml:space="preserve">have not been </w:t>
      </w:r>
      <w:r w:rsidR="006C24B0">
        <w:t>taken forward</w:t>
      </w:r>
      <w:r>
        <w:t xml:space="preserve"> (i.e. the</w:t>
      </w:r>
      <w:r w:rsidR="006C24B0" w:rsidRPr="00351832">
        <w:t xml:space="preserve"> ‘so what?’ dimension </w:t>
      </w:r>
      <w:r w:rsidR="006C24B0">
        <w:t xml:space="preserve">of MEL </w:t>
      </w:r>
      <w:r>
        <w:t>appears to be lacking)</w:t>
      </w:r>
    </w:p>
    <w:p w14:paraId="287E96C3" w14:textId="5516DCB9" w:rsidR="006C24B0" w:rsidRDefault="006C24B0" w:rsidP="006C24B0">
      <w:pPr>
        <w:pStyle w:val="SDAbulletpoints"/>
      </w:pPr>
      <w:r>
        <w:t xml:space="preserve">Protection and </w:t>
      </w:r>
      <w:r w:rsidR="00C627D9">
        <w:t xml:space="preserve">other </w:t>
      </w:r>
      <w:r>
        <w:t>cross</w:t>
      </w:r>
      <w:r w:rsidR="00A56DB2">
        <w:t>-</w:t>
      </w:r>
      <w:r>
        <w:t xml:space="preserve">cutting issues (i.e. </w:t>
      </w:r>
      <w:r w:rsidR="007B3BC3">
        <w:t>disability i</w:t>
      </w:r>
      <w:r>
        <w:t xml:space="preserve">nclusion and </w:t>
      </w:r>
      <w:r w:rsidR="007B3BC3">
        <w:t>child p</w:t>
      </w:r>
      <w:r>
        <w:t>rotection) have not been adequately integrated in</w:t>
      </w:r>
      <w:r w:rsidR="00C627D9">
        <w:t xml:space="preserve"> the MEL</w:t>
      </w:r>
    </w:p>
    <w:p w14:paraId="1B6A7389" w14:textId="0BD993FF" w:rsidR="0012491C" w:rsidRPr="006C24B0" w:rsidRDefault="006C24B0" w:rsidP="006C24B0">
      <w:pPr>
        <w:pStyle w:val="SDAbulletpoints"/>
      </w:pPr>
      <w:r>
        <w:t xml:space="preserve">The </w:t>
      </w:r>
      <w:r w:rsidR="00C627D9">
        <w:t>inclusion</w:t>
      </w:r>
      <w:r>
        <w:t xml:space="preserve"> of different stakeholders in HPA learning processes (including non-HPA NGOs and HPA implementing partners) has not been sufficiently considered, resulting in missed</w:t>
      </w:r>
      <w:r w:rsidR="00C627D9">
        <w:t xml:space="preserve"> </w:t>
      </w:r>
      <w:r>
        <w:t>opportunities for these actors to contribute to</w:t>
      </w:r>
      <w:r w:rsidR="00C627D9">
        <w:t>,</w:t>
      </w:r>
      <w:r>
        <w:t xml:space="preserve"> and benefit from</w:t>
      </w:r>
      <w:r w:rsidR="00C627D9">
        <w:t>,</w:t>
      </w:r>
      <w:r>
        <w:t xml:space="preserve"> HPA learning.</w:t>
      </w:r>
      <w:r w:rsidR="004B684F">
        <w:rPr>
          <w:rStyle w:val="FootnoteReference"/>
        </w:rPr>
        <w:footnoteReference w:id="40"/>
      </w:r>
      <w:r>
        <w:t xml:space="preserve"> </w:t>
      </w:r>
    </w:p>
    <w:p w14:paraId="5DDF0730" w14:textId="77777777" w:rsidR="004B684F" w:rsidRDefault="004B684F" w:rsidP="004B684F">
      <w:pPr>
        <w:pStyle w:val="SDANumberedheading2"/>
        <w:numPr>
          <w:ilvl w:val="0"/>
          <w:numId w:val="0"/>
        </w:numPr>
        <w:ind w:left="709"/>
      </w:pPr>
    </w:p>
    <w:p w14:paraId="5023B406" w14:textId="77777777" w:rsidR="00767BE5" w:rsidRDefault="006C50DD" w:rsidP="00565770">
      <w:pPr>
        <w:pStyle w:val="SDANumberedheading2"/>
        <w:ind w:left="709" w:hanging="709"/>
      </w:pPr>
      <w:bookmarkStart w:id="15" w:name="_Toc423711131"/>
      <w:r>
        <w:t>Summary</w:t>
      </w:r>
      <w:bookmarkEnd w:id="15"/>
    </w:p>
    <w:p w14:paraId="04BE2020" w14:textId="25267AC7" w:rsidR="00F917D1" w:rsidRDefault="005B282F" w:rsidP="005B282F">
      <w:pPr>
        <w:pStyle w:val="SDAbodytext"/>
      </w:pPr>
      <w:r>
        <w:t xml:space="preserve">Overall, the HPA has </w:t>
      </w:r>
      <w:r w:rsidR="00C627D9">
        <w:t>been</w:t>
      </w:r>
      <w:r>
        <w:t xml:space="preserve"> an effective mechanism for the Australian Government</w:t>
      </w:r>
      <w:r w:rsidR="00C627D9">
        <w:t>,</w:t>
      </w:r>
      <w:r>
        <w:t xml:space="preserve"> </w:t>
      </w:r>
      <w:r w:rsidR="00C627D9">
        <w:t>with</w:t>
      </w:r>
      <w:r w:rsidRPr="00D5702C">
        <w:t xml:space="preserve"> Australian NGOs</w:t>
      </w:r>
      <w:r w:rsidR="00C627D9">
        <w:t>,</w:t>
      </w:r>
      <w:r w:rsidRPr="00D5702C">
        <w:t xml:space="preserve"> to respond </w:t>
      </w:r>
      <w:r w:rsidR="00C627D9">
        <w:t xml:space="preserve">quickly </w:t>
      </w:r>
      <w:r w:rsidRPr="00D5702C">
        <w:t>to disasters and to strengthen community resilience and preparedness</w:t>
      </w:r>
      <w:r>
        <w:t xml:space="preserve">. </w:t>
      </w:r>
      <w:r w:rsidRPr="0010322C">
        <w:t xml:space="preserve"> </w:t>
      </w:r>
      <w:r>
        <w:t xml:space="preserve"> </w:t>
      </w:r>
    </w:p>
    <w:p w14:paraId="0CE32C37" w14:textId="231E28C0" w:rsidR="005B282F" w:rsidRPr="0010322C" w:rsidRDefault="005B282F" w:rsidP="005B282F">
      <w:pPr>
        <w:pStyle w:val="SDAbodytext"/>
      </w:pPr>
      <w:r>
        <w:t>The HPA</w:t>
      </w:r>
      <w:r w:rsidRPr="0010322C">
        <w:t xml:space="preserve"> has </w:t>
      </w:r>
      <w:r>
        <w:t>improved</w:t>
      </w:r>
      <w:r w:rsidRPr="0010322C">
        <w:t xml:space="preserve"> the DFAT-NGO relationship to a point where there is </w:t>
      </w:r>
      <w:r>
        <w:t xml:space="preserve">a </w:t>
      </w:r>
      <w:r w:rsidRPr="0010322C">
        <w:t xml:space="preserve">deeper </w:t>
      </w:r>
      <w:r w:rsidR="00215929">
        <w:t xml:space="preserve">level of </w:t>
      </w:r>
      <w:r w:rsidRPr="0010322C">
        <w:t>collaboration between all partners in the area of humanitarian respon</w:t>
      </w:r>
      <w:r>
        <w:t>s</w:t>
      </w:r>
      <w:r w:rsidRPr="0010322C">
        <w:t>e than has ever previously existed.   The HPA has</w:t>
      </w:r>
      <w:r w:rsidRPr="009C6AD6">
        <w:t xml:space="preserve"> consistently delivered fas</w:t>
      </w:r>
      <w:r w:rsidRPr="0010322C">
        <w:t>t emergency response funding</w:t>
      </w:r>
      <w:r>
        <w:t>. In</w:t>
      </w:r>
      <w:r w:rsidRPr="0010322C">
        <w:t xml:space="preserve"> many instances this has enabled Australia to </w:t>
      </w:r>
      <w:r>
        <w:t xml:space="preserve">be </w:t>
      </w:r>
      <w:r w:rsidR="00C627D9">
        <w:t xml:space="preserve">one of </w:t>
      </w:r>
      <w:r w:rsidRPr="0010322C">
        <w:t>the first donor</w:t>
      </w:r>
      <w:r w:rsidR="00C627D9">
        <w:t>s</w:t>
      </w:r>
      <w:r w:rsidRPr="0010322C">
        <w:t xml:space="preserve"> to get money on the ground after a humanitarian crisis. This is an impressive achievement.</w:t>
      </w:r>
      <w:r w:rsidRPr="00F917D1">
        <w:rPr>
          <w:rStyle w:val="FootnoteReference"/>
        </w:rPr>
        <w:footnoteReference w:id="41"/>
      </w:r>
      <w:r w:rsidRPr="00F917D1">
        <w:rPr>
          <w:rStyle w:val="FootnoteReference"/>
        </w:rPr>
        <w:t xml:space="preserve">  </w:t>
      </w:r>
      <w:r w:rsidRPr="0010322C">
        <w:t xml:space="preserve">The HPA has also </w:t>
      </w:r>
      <w:r>
        <w:t>demonstrated a strong</w:t>
      </w:r>
      <w:r w:rsidRPr="009C6AD6">
        <w:t xml:space="preserve"> focus on sharing and implementing lessons, and seen</w:t>
      </w:r>
      <w:r w:rsidRPr="0010322C">
        <w:t>, over time,</w:t>
      </w:r>
      <w:r w:rsidRPr="009C6AD6">
        <w:t xml:space="preserve"> </w:t>
      </w:r>
      <w:r>
        <w:t>good</w:t>
      </w:r>
      <w:r w:rsidRPr="009C6AD6">
        <w:t xml:space="preserve"> coordination of DRR and DRM activities.  </w:t>
      </w:r>
    </w:p>
    <w:p w14:paraId="08BCC5F0" w14:textId="77777777" w:rsidR="00351BFE" w:rsidRDefault="005B282F" w:rsidP="00351BFE">
      <w:pPr>
        <w:pStyle w:val="SDAbodytext"/>
      </w:pPr>
      <w:r w:rsidRPr="009C6AD6">
        <w:t>However, while the HPA</w:t>
      </w:r>
      <w:r w:rsidRPr="0010322C">
        <w:t xml:space="preserve"> has, and </w:t>
      </w:r>
      <w:r w:rsidRPr="009C6AD6">
        <w:t>is</w:t>
      </w:r>
      <w:r w:rsidRPr="0010322C">
        <w:t>,</w:t>
      </w:r>
      <w:r w:rsidRPr="009C6AD6">
        <w:t xml:space="preserve"> functioning well, there are some </w:t>
      </w:r>
      <w:r>
        <w:t>issues</w:t>
      </w:r>
      <w:r w:rsidRPr="009C6AD6">
        <w:t xml:space="preserve"> which </w:t>
      </w:r>
      <w:r w:rsidR="00C627D9">
        <w:t>are</w:t>
      </w:r>
      <w:r w:rsidRPr="009C6AD6">
        <w:t xml:space="preserve"> constraining the ability of the HPA to achieve its full potential. </w:t>
      </w:r>
      <w:r w:rsidR="00351BFE" w:rsidRPr="0010322C">
        <w:t xml:space="preserve">These </w:t>
      </w:r>
      <w:r w:rsidR="00351BFE">
        <w:t xml:space="preserve">include: the competitiveness of the peer review; the appropriateness of the mechanism for protracted crises; the purpose of the partnership and of the strategic dialogue; the lack of public awareness and visibility; and some aspects of monitoring, evaluation and learning.  </w:t>
      </w:r>
    </w:p>
    <w:p w14:paraId="3AA68D28" w14:textId="7584F520" w:rsidR="0012491C" w:rsidRPr="0012491C" w:rsidRDefault="00C627D9" w:rsidP="005B282F">
      <w:pPr>
        <w:pStyle w:val="SDAbodytext"/>
        <w:rPr>
          <w:b/>
        </w:rPr>
      </w:pPr>
      <w:r>
        <w:t>A</w:t>
      </w:r>
      <w:r w:rsidR="005B282F" w:rsidRPr="009C6AD6">
        <w:t xml:space="preserve">ll partners have invested heavily in </w:t>
      </w:r>
      <w:r w:rsidR="005B282F">
        <w:t xml:space="preserve">making the mechanism work, with time, resources and goodwill. We have </w:t>
      </w:r>
      <w:r w:rsidR="005B282F" w:rsidRPr="009C6AD6">
        <w:t>therefore assess</w:t>
      </w:r>
      <w:r w:rsidR="005B282F">
        <w:t>ed</w:t>
      </w:r>
      <w:r w:rsidR="005B282F" w:rsidRPr="009C6AD6">
        <w:t xml:space="preserve"> that there is a strong base from which to </w:t>
      </w:r>
      <w:r w:rsidR="005B282F">
        <w:t xml:space="preserve">learn from, and </w:t>
      </w:r>
      <w:r w:rsidR="00307B78">
        <w:t xml:space="preserve">from which to </w:t>
      </w:r>
      <w:r w:rsidR="005B282F" w:rsidRPr="009C6AD6">
        <w:t xml:space="preserve">build </w:t>
      </w:r>
      <w:r w:rsidR="005B282F">
        <w:t>a subsequent mechanism</w:t>
      </w:r>
      <w:r w:rsidR="005B282F" w:rsidRPr="009C6AD6">
        <w:t>.</w:t>
      </w:r>
    </w:p>
    <w:p w14:paraId="2281FA99" w14:textId="77777777" w:rsidR="00E40F69" w:rsidRPr="00E40F69" w:rsidRDefault="00767BE5" w:rsidP="00565770">
      <w:pPr>
        <w:pStyle w:val="Heading2"/>
      </w:pPr>
      <w:r>
        <w:t xml:space="preserve"> </w:t>
      </w:r>
      <w:bookmarkStart w:id="16" w:name="_Toc423711132"/>
      <w:r>
        <w:t xml:space="preserve">Lessons </w:t>
      </w:r>
      <w:r w:rsidR="0012491C">
        <w:t>to</w:t>
      </w:r>
      <w:r>
        <w:t xml:space="preserve"> Inform a Future Design</w:t>
      </w:r>
      <w:bookmarkEnd w:id="16"/>
      <w:r>
        <w:t xml:space="preserve"> </w:t>
      </w:r>
    </w:p>
    <w:p w14:paraId="6F777980" w14:textId="77777777" w:rsidR="00767BE5" w:rsidRDefault="00767BE5" w:rsidP="00565770">
      <w:pPr>
        <w:pStyle w:val="SDANumberedheading2"/>
        <w:ind w:left="709" w:hanging="709"/>
      </w:pPr>
      <w:bookmarkStart w:id="17" w:name="_Toc423711133"/>
      <w:r>
        <w:t>Introduction</w:t>
      </w:r>
      <w:bookmarkEnd w:id="17"/>
    </w:p>
    <w:p w14:paraId="557D0D00" w14:textId="124C7B4C" w:rsidR="006C24B0" w:rsidRPr="006C24B0" w:rsidRDefault="00215929" w:rsidP="006C24B0">
      <w:pPr>
        <w:pStyle w:val="SDAbodytext"/>
      </w:pPr>
      <w:r>
        <w:t xml:space="preserve">An important </w:t>
      </w:r>
      <w:r w:rsidR="006C24B0" w:rsidRPr="006C24B0">
        <w:t xml:space="preserve">aim of </w:t>
      </w:r>
      <w:r w:rsidR="00307B78">
        <w:t>this</w:t>
      </w:r>
      <w:r w:rsidR="006C24B0" w:rsidRPr="006C24B0">
        <w:t xml:space="preserve"> review is to collect lessons relevant to the design of the next mechanism. As part of the review methodology, a </w:t>
      </w:r>
      <w:r w:rsidR="006C24B0" w:rsidRPr="004B684F">
        <w:rPr>
          <w:i/>
        </w:rPr>
        <w:t xml:space="preserve">lesson learned </w:t>
      </w:r>
      <w:r w:rsidR="004B684F" w:rsidRPr="004B684F">
        <w:rPr>
          <w:i/>
        </w:rPr>
        <w:t xml:space="preserve">working </w:t>
      </w:r>
      <w:r w:rsidR="006C24B0" w:rsidRPr="004B684F">
        <w:rPr>
          <w:i/>
        </w:rPr>
        <w:t>document</w:t>
      </w:r>
      <w:r w:rsidR="006C24B0" w:rsidRPr="006C24B0">
        <w:t xml:space="preserve"> was drafted </w:t>
      </w:r>
      <w:r>
        <w:t xml:space="preserve">by the review team </w:t>
      </w:r>
      <w:r w:rsidR="006C24B0" w:rsidRPr="006C24B0">
        <w:t xml:space="preserve">and shared with key stakeholders to test and refine </w:t>
      </w:r>
      <w:r w:rsidR="004B684F">
        <w:t xml:space="preserve">the </w:t>
      </w:r>
      <w:r w:rsidR="006C24B0" w:rsidRPr="006C24B0">
        <w:t xml:space="preserve">lessons. </w:t>
      </w:r>
      <w:r w:rsidR="002058B0">
        <w:t xml:space="preserve">In addition, the review team conducted two case studies of two recent </w:t>
      </w:r>
      <w:r>
        <w:t xml:space="preserve">HPA </w:t>
      </w:r>
      <w:r w:rsidR="002058B0">
        <w:t xml:space="preserve">activations </w:t>
      </w:r>
      <w:r>
        <w:t>in order to assess</w:t>
      </w:r>
      <w:r w:rsidR="00E75BA4">
        <w:t xml:space="preserve"> what is working well and what elements could be improved</w:t>
      </w:r>
      <w:r>
        <w:t xml:space="preserve"> at the activation level</w:t>
      </w:r>
      <w:r w:rsidR="00E75BA4">
        <w:t xml:space="preserve">. </w:t>
      </w:r>
      <w:r w:rsidR="006C24B0" w:rsidRPr="006C24B0">
        <w:t>This section presents the key lessons</w:t>
      </w:r>
      <w:r w:rsidRPr="00215929">
        <w:t xml:space="preserve"> </w:t>
      </w:r>
      <w:r>
        <w:t>considered relevant to a future design</w:t>
      </w:r>
      <w:r w:rsidR="004B684F">
        <w:t xml:space="preserve">. </w:t>
      </w:r>
      <w:r w:rsidR="006C24B0" w:rsidRPr="006C24B0">
        <w:t xml:space="preserve">  </w:t>
      </w:r>
    </w:p>
    <w:p w14:paraId="39688940" w14:textId="77777777" w:rsidR="00767BE5" w:rsidRDefault="00767BE5" w:rsidP="00565770">
      <w:pPr>
        <w:pStyle w:val="SDANumberedheading2"/>
        <w:ind w:left="709" w:hanging="709"/>
      </w:pPr>
      <w:bookmarkStart w:id="18" w:name="_Toc423711134"/>
      <w:r>
        <w:t>The Partnership Approach</w:t>
      </w:r>
      <w:bookmarkEnd w:id="18"/>
    </w:p>
    <w:p w14:paraId="7A662454" w14:textId="19889AA1" w:rsidR="00CA0F56" w:rsidRDefault="0055410E" w:rsidP="00FD28CD">
      <w:pPr>
        <w:pStyle w:val="SDAbulletpoints"/>
      </w:pPr>
      <w:r w:rsidRPr="00FD28CD">
        <w:rPr>
          <w:b/>
        </w:rPr>
        <w:t xml:space="preserve">The </w:t>
      </w:r>
      <w:r w:rsidR="000A2326" w:rsidRPr="00FD28CD">
        <w:rPr>
          <w:b/>
        </w:rPr>
        <w:t xml:space="preserve">HPA </w:t>
      </w:r>
      <w:r w:rsidRPr="00FD28CD">
        <w:rPr>
          <w:b/>
        </w:rPr>
        <w:t>emphasis on collaborative relationships between trusted and respected partners</w:t>
      </w:r>
      <w:r w:rsidR="00CA0F56" w:rsidRPr="00FD28CD">
        <w:rPr>
          <w:b/>
        </w:rPr>
        <w:t xml:space="preserve"> </w:t>
      </w:r>
      <w:r w:rsidRPr="00FD28CD">
        <w:rPr>
          <w:b/>
        </w:rPr>
        <w:t xml:space="preserve">has </w:t>
      </w:r>
      <w:r w:rsidRPr="00307B78">
        <w:rPr>
          <w:b/>
        </w:rPr>
        <w:t>delivered good outcomes</w:t>
      </w:r>
      <w:r>
        <w:t>. The partnership has matured over the life of the HPA</w:t>
      </w:r>
      <w:r w:rsidR="000A2326">
        <w:t>. The HPA experience</w:t>
      </w:r>
      <w:r>
        <w:t xml:space="preserve"> should be seen as a basis on which to build</w:t>
      </w:r>
      <w:r w:rsidR="006F4F0B">
        <w:t>.</w:t>
      </w:r>
      <w:r w:rsidR="004B684F" w:rsidRPr="00FD28CD">
        <w:t xml:space="preserve"> </w:t>
      </w:r>
    </w:p>
    <w:p w14:paraId="3B8CA0AE" w14:textId="77777777" w:rsidR="00E75BA4" w:rsidRDefault="00E75BA4" w:rsidP="00E75BA4">
      <w:pPr>
        <w:pStyle w:val="SDAbulletpoints"/>
      </w:pPr>
      <w:r w:rsidRPr="00FD28CD">
        <w:rPr>
          <w:b/>
        </w:rPr>
        <w:t>Clarity of purpose is critical to effective partnerships</w:t>
      </w:r>
      <w:r w:rsidRPr="007108DA">
        <w:t>.</w:t>
      </w:r>
      <w:r>
        <w:t xml:space="preserve"> It is important that all partners share a common understanding of the partnership’s purpose, its collective value, and the roles, responsibilities and accountabilities of each partner.  </w:t>
      </w:r>
    </w:p>
    <w:p w14:paraId="1CFCF7EC" w14:textId="77777777" w:rsidR="007108DA" w:rsidRPr="007108DA" w:rsidRDefault="0055410E" w:rsidP="00FD28CD">
      <w:pPr>
        <w:pStyle w:val="SDAbulletpoints"/>
      </w:pPr>
      <w:r w:rsidRPr="00FD28CD">
        <w:rPr>
          <w:b/>
        </w:rPr>
        <w:t>Effective partnerships take time</w:t>
      </w:r>
      <w:r w:rsidR="007108DA" w:rsidRPr="00FD28CD">
        <w:t xml:space="preserve">, </w:t>
      </w:r>
      <w:r w:rsidR="007108DA" w:rsidRPr="007108DA">
        <w:t>and require</w:t>
      </w:r>
      <w:r w:rsidR="00E75BA4">
        <w:t>:</w:t>
      </w:r>
      <w:r w:rsidR="007108DA">
        <w:t xml:space="preserve"> </w:t>
      </w:r>
      <w:r w:rsidR="007108DA" w:rsidRPr="007108DA">
        <w:t>shared objectives</w:t>
      </w:r>
      <w:r w:rsidR="007108DA">
        <w:t xml:space="preserve"> but also</w:t>
      </w:r>
      <w:r w:rsidR="007108DA" w:rsidRPr="007108DA">
        <w:t xml:space="preserve"> an understanding of those objectives which are not shared; positive relationships; risk sharing; and a commitment to </w:t>
      </w:r>
      <w:r w:rsidR="007108DA">
        <w:t>trust</w:t>
      </w:r>
      <w:r w:rsidR="007108DA" w:rsidRPr="007108DA">
        <w:t xml:space="preserve"> and equity</w:t>
      </w:r>
      <w:r w:rsidR="007108DA">
        <w:t xml:space="preserve"> within the partnership</w:t>
      </w:r>
      <w:r w:rsidR="007108DA" w:rsidRPr="007108DA">
        <w:t>.</w:t>
      </w:r>
    </w:p>
    <w:p w14:paraId="2FBFE1DE" w14:textId="3C0538D3" w:rsidR="00A01FEA" w:rsidRDefault="00A01FEA" w:rsidP="00FD28CD">
      <w:pPr>
        <w:pStyle w:val="SDAbulletpoints"/>
      </w:pPr>
      <w:r w:rsidRPr="00FD28CD">
        <w:rPr>
          <w:b/>
        </w:rPr>
        <w:t>Ongoing care must be taken in balancing relationships between HPA partners, the broader HRG and ACFID</w:t>
      </w:r>
      <w:r w:rsidR="000A2326" w:rsidRPr="007108DA">
        <w:t xml:space="preserve">. </w:t>
      </w:r>
      <w:r w:rsidR="00FD28CD">
        <w:t xml:space="preserve">There is need to clarify the appropriate </w:t>
      </w:r>
      <w:r w:rsidR="00E75BA4">
        <w:t xml:space="preserve">channels for, and objectives of, </w:t>
      </w:r>
      <w:r w:rsidR="00FC6762">
        <w:t>the strategic</w:t>
      </w:r>
      <w:r w:rsidR="00E75BA4">
        <w:t xml:space="preserve"> dialogue. </w:t>
      </w:r>
      <w:r>
        <w:t>An overarching document that gives clarity on roles, responsibilities and communication between these various stakeholders would be valuable.</w:t>
      </w:r>
      <w:r w:rsidRPr="008768A9">
        <w:rPr>
          <w:rStyle w:val="FootnoteReference"/>
        </w:rPr>
        <w:footnoteReference w:id="42"/>
      </w:r>
    </w:p>
    <w:p w14:paraId="6F48BFE9" w14:textId="1B22DA51" w:rsidR="005A7390" w:rsidRDefault="005A7390" w:rsidP="00FD28CD">
      <w:pPr>
        <w:pStyle w:val="SDAbulletpoints"/>
      </w:pPr>
      <w:r w:rsidRPr="00FD28CD">
        <w:rPr>
          <w:b/>
        </w:rPr>
        <w:t>Regular and transparent communication between partners is important</w:t>
      </w:r>
      <w:r>
        <w:t xml:space="preserve"> for maintaining effectiveness and efficiency.</w:t>
      </w:r>
    </w:p>
    <w:p w14:paraId="54F74BAC" w14:textId="6D34DD95" w:rsidR="00A01FEA" w:rsidRDefault="00A01FEA" w:rsidP="00FC6762">
      <w:pPr>
        <w:pStyle w:val="SDAbulletpoints"/>
      </w:pPr>
      <w:r w:rsidRPr="00FD28CD">
        <w:rPr>
          <w:b/>
        </w:rPr>
        <w:t>The HPA fosters competition as well as collaboration</w:t>
      </w:r>
      <w:r w:rsidR="000A2326">
        <w:t>.</w:t>
      </w:r>
      <w:r w:rsidR="000A2326" w:rsidRPr="008768A9">
        <w:rPr>
          <w:rStyle w:val="FootnoteReference"/>
        </w:rPr>
        <w:t xml:space="preserve"> </w:t>
      </w:r>
      <w:r w:rsidR="000A2326">
        <w:t>T</w:t>
      </w:r>
      <w:r>
        <w:t xml:space="preserve">he peer review makes use of partner expertise to </w:t>
      </w:r>
      <w:r w:rsidR="00FC6762">
        <w:t xml:space="preserve">improve the </w:t>
      </w:r>
      <w:r>
        <w:t xml:space="preserve">quality of response designs. However, it also places partners in a position where they are expected to be objective while they are under pressure to secure funding, compromising the integrity of the process and quality of </w:t>
      </w:r>
      <w:r w:rsidR="00FC6762">
        <w:t xml:space="preserve">the </w:t>
      </w:r>
      <w:r>
        <w:t>relationships.</w:t>
      </w:r>
    </w:p>
    <w:p w14:paraId="2E1EF368" w14:textId="32EBB539" w:rsidR="00A01FEA" w:rsidRPr="008768A9" w:rsidRDefault="00A01FEA" w:rsidP="00D2380E">
      <w:pPr>
        <w:pStyle w:val="SDAbulletpoints"/>
        <w:rPr>
          <w:rStyle w:val="FootnoteReference"/>
        </w:rPr>
      </w:pPr>
      <w:r w:rsidRPr="00FD28CD">
        <w:rPr>
          <w:b/>
        </w:rPr>
        <w:t>The level of awareness of the HPA among the various sections of DFAT</w:t>
      </w:r>
      <w:r w:rsidRPr="00A01FEA">
        <w:t xml:space="preserve"> </w:t>
      </w:r>
      <w:r>
        <w:t>(including posts) impacts (positively and negatively) on the effectiveness and efficiency of the mechanism.</w:t>
      </w:r>
      <w:r w:rsidRPr="008768A9">
        <w:rPr>
          <w:rStyle w:val="FootnoteReference"/>
        </w:rPr>
        <w:footnoteReference w:id="43"/>
      </w:r>
      <w:r>
        <w:t xml:space="preserve"> Deployment of DFAT Rapid Response Team members assisted in mitigating this issue</w:t>
      </w:r>
      <w:r w:rsidR="00E75BA4">
        <w:t>.</w:t>
      </w:r>
      <w:r w:rsidRPr="008768A9">
        <w:rPr>
          <w:rStyle w:val="FootnoteReference"/>
        </w:rPr>
        <w:footnoteReference w:id="44"/>
      </w:r>
      <w:r w:rsidR="00D2380E">
        <w:t xml:space="preserve"> </w:t>
      </w:r>
    </w:p>
    <w:p w14:paraId="746CA229" w14:textId="77777777" w:rsidR="004B684F" w:rsidRDefault="000A2326" w:rsidP="00FD28CD">
      <w:pPr>
        <w:pStyle w:val="SDAbulletpoints"/>
      </w:pPr>
      <w:r w:rsidRPr="00FD28CD">
        <w:rPr>
          <w:b/>
        </w:rPr>
        <w:t>T</w:t>
      </w:r>
      <w:r w:rsidR="00A01FEA" w:rsidRPr="00FD28CD">
        <w:rPr>
          <w:b/>
        </w:rPr>
        <w:t xml:space="preserve">here are often large, capable non-HPA partners working on the ground that </w:t>
      </w:r>
      <w:r w:rsidR="00730581" w:rsidRPr="00FD28CD">
        <w:rPr>
          <w:b/>
        </w:rPr>
        <w:t>c</w:t>
      </w:r>
      <w:r w:rsidR="00A01FEA" w:rsidRPr="00FD28CD">
        <w:rPr>
          <w:b/>
        </w:rPr>
        <w:t>ould be consulted with</w:t>
      </w:r>
      <w:r w:rsidR="00A01FEA">
        <w:t>, and may be in a position to add-value to Australia’s collective humanitarian response.</w:t>
      </w:r>
      <w:r w:rsidR="004B684F">
        <w:t xml:space="preserve"> </w:t>
      </w:r>
      <w:r w:rsidR="004B684F" w:rsidRPr="004B684F">
        <w:t xml:space="preserve">Non-HPA NGOs note that they are also partners of DFAT. </w:t>
      </w:r>
    </w:p>
    <w:p w14:paraId="069606BE" w14:textId="5C3E2F20" w:rsidR="00E75BA4" w:rsidRPr="00A01FEA" w:rsidRDefault="00E75BA4" w:rsidP="00E75BA4">
      <w:pPr>
        <w:pStyle w:val="SDAbulletpoints"/>
      </w:pPr>
      <w:r w:rsidRPr="00FD28CD">
        <w:rPr>
          <w:b/>
        </w:rPr>
        <w:t xml:space="preserve">Shared learning events </w:t>
      </w:r>
      <w:r w:rsidR="00307B78">
        <w:rPr>
          <w:b/>
        </w:rPr>
        <w:t>work well when they</w:t>
      </w:r>
      <w:r w:rsidRPr="00FD28CD">
        <w:rPr>
          <w:b/>
        </w:rPr>
        <w:t xml:space="preserve"> focus on the quality</w:t>
      </w:r>
      <w:r w:rsidRPr="00FD28CD">
        <w:t xml:space="preserve"> of the response and</w:t>
      </w:r>
      <w:r>
        <w:t xml:space="preserve">/or </w:t>
      </w:r>
      <w:r w:rsidRPr="00FD28CD">
        <w:t>programming</w:t>
      </w:r>
      <w:r>
        <w:t xml:space="preserve"> (</w:t>
      </w:r>
      <w:r w:rsidR="00FE77FE">
        <w:t xml:space="preserve">in addition to </w:t>
      </w:r>
      <w:r>
        <w:t xml:space="preserve">the process), and </w:t>
      </w:r>
      <w:r w:rsidR="00307B78">
        <w:t>are</w:t>
      </w:r>
      <w:r>
        <w:t xml:space="preserve"> inclusive of the full sector as represented by the HRG. </w:t>
      </w:r>
    </w:p>
    <w:p w14:paraId="448D66A3" w14:textId="77777777" w:rsidR="006C24B0" w:rsidRPr="00413585" w:rsidRDefault="006C24B0" w:rsidP="006C24B0">
      <w:pPr>
        <w:pStyle w:val="SDAbodytext"/>
        <w:ind w:left="720"/>
      </w:pPr>
    </w:p>
    <w:p w14:paraId="7FA75D38" w14:textId="77777777" w:rsidR="00767BE5" w:rsidRDefault="00767BE5" w:rsidP="00565770">
      <w:pPr>
        <w:pStyle w:val="SDANumberedheading2"/>
        <w:ind w:left="709" w:hanging="709"/>
      </w:pPr>
      <w:bookmarkStart w:id="19" w:name="_Toc423711135"/>
      <w:r>
        <w:t xml:space="preserve">Efficiency and Effectiveness of the </w:t>
      </w:r>
      <w:r w:rsidR="0009416D">
        <w:t xml:space="preserve">HPA </w:t>
      </w:r>
      <w:r>
        <w:t>Mechansim</w:t>
      </w:r>
      <w:bookmarkEnd w:id="19"/>
    </w:p>
    <w:p w14:paraId="52B01DA9" w14:textId="1AEFE5F5" w:rsidR="006C24B0" w:rsidRPr="00091C83" w:rsidRDefault="006C24B0" w:rsidP="00FD28CD">
      <w:pPr>
        <w:pStyle w:val="SDAbulletpoints"/>
      </w:pPr>
      <w:r w:rsidRPr="00FD28CD">
        <w:rPr>
          <w:b/>
        </w:rPr>
        <w:t>The mechanism is best suited to rapid onset crises</w:t>
      </w:r>
      <w:r w:rsidR="00307B78">
        <w:rPr>
          <w:b/>
        </w:rPr>
        <w:t>. I</w:t>
      </w:r>
      <w:r w:rsidRPr="00091C83">
        <w:t xml:space="preserve">nitial distributions </w:t>
      </w:r>
      <w:r w:rsidR="00307B78">
        <w:t xml:space="preserve">based </w:t>
      </w:r>
      <w:r w:rsidRPr="00091C83">
        <w:t>on 'coarse' needs assessment data (largely informed by prior expe</w:t>
      </w:r>
      <w:r w:rsidR="00FC6762">
        <w:t>rience)</w:t>
      </w:r>
      <w:r w:rsidRPr="00091C83">
        <w:t xml:space="preserve"> </w:t>
      </w:r>
      <w:r w:rsidR="00307B78">
        <w:t xml:space="preserve">enable </w:t>
      </w:r>
      <w:r w:rsidRPr="00091C83">
        <w:t xml:space="preserve">essential items </w:t>
      </w:r>
      <w:r w:rsidR="00307B78">
        <w:t>to be provided quickly. U</w:t>
      </w:r>
      <w:r w:rsidRPr="00091C83">
        <w:t xml:space="preserve">sing this contact with affected communities to enable </w:t>
      </w:r>
      <w:r w:rsidR="00307B78">
        <w:t xml:space="preserve">a </w:t>
      </w:r>
      <w:r w:rsidRPr="00091C83">
        <w:t>more detailed needs assessment proved an effective approach.</w:t>
      </w:r>
      <w:r w:rsidRPr="008768A9">
        <w:rPr>
          <w:rStyle w:val="FootnoteReference"/>
        </w:rPr>
        <w:footnoteReference w:id="45"/>
      </w:r>
    </w:p>
    <w:p w14:paraId="496EC106" w14:textId="77777777" w:rsidR="00E75BA4" w:rsidRDefault="00E75BA4" w:rsidP="00E75BA4">
      <w:pPr>
        <w:pStyle w:val="SDAbulletpoints"/>
      </w:pPr>
      <w:r w:rsidRPr="00571751">
        <w:rPr>
          <w:b/>
        </w:rPr>
        <w:t>The eight week window built into the HPA enhances the planning process</w:t>
      </w:r>
      <w:r>
        <w:t>. This enables in-country partners to collect substantive information in the start-up phase.</w:t>
      </w:r>
    </w:p>
    <w:p w14:paraId="38EFDAD9" w14:textId="17D85AA9" w:rsidR="006C24B0" w:rsidRDefault="006C24B0" w:rsidP="00FD28CD">
      <w:pPr>
        <w:pStyle w:val="SDAbulletpoints"/>
      </w:pPr>
      <w:r w:rsidRPr="00FD28CD">
        <w:rPr>
          <w:b/>
        </w:rPr>
        <w:t xml:space="preserve">The HPA was not </w:t>
      </w:r>
      <w:r w:rsidR="00FD28CD">
        <w:rPr>
          <w:b/>
        </w:rPr>
        <w:t>designed</w:t>
      </w:r>
      <w:r w:rsidRPr="00FD28CD">
        <w:rPr>
          <w:b/>
        </w:rPr>
        <w:t xml:space="preserve"> for slow onset and protracted crises, yet adaptations have occurred</w:t>
      </w:r>
      <w:r>
        <w:t xml:space="preserve"> over the course of the partnership making it more </w:t>
      </w:r>
      <w:r w:rsidR="006E4490">
        <w:t>‘</w:t>
      </w:r>
      <w:r>
        <w:t>fit</w:t>
      </w:r>
      <w:r w:rsidR="00FC6762">
        <w:t>-</w:t>
      </w:r>
      <w:r>
        <w:t>for</w:t>
      </w:r>
      <w:r w:rsidR="00FC6762">
        <w:t>-</w:t>
      </w:r>
      <w:r>
        <w:t>purpose</w:t>
      </w:r>
      <w:r w:rsidR="006E4490">
        <w:t>’</w:t>
      </w:r>
      <w:r>
        <w:t>.</w:t>
      </w:r>
      <w:r w:rsidR="00FD28CD">
        <w:rPr>
          <w:rStyle w:val="FootnoteReference"/>
        </w:rPr>
        <w:footnoteReference w:id="46"/>
      </w:r>
      <w:r>
        <w:t xml:space="preserve"> </w:t>
      </w:r>
    </w:p>
    <w:p w14:paraId="64AB7E3D" w14:textId="1F01EBD1" w:rsidR="00921D7F" w:rsidRPr="00661731" w:rsidRDefault="00921D7F" w:rsidP="00921D7F">
      <w:pPr>
        <w:pStyle w:val="SDAbulletpoints"/>
      </w:pPr>
      <w:r w:rsidRPr="00921D7F">
        <w:rPr>
          <w:b/>
        </w:rPr>
        <w:t xml:space="preserve">In protracted crises, DFAT country programs </w:t>
      </w:r>
      <w:r w:rsidR="00307B78">
        <w:rPr>
          <w:b/>
        </w:rPr>
        <w:t>can usefully</w:t>
      </w:r>
      <w:r w:rsidRPr="00921D7F">
        <w:rPr>
          <w:b/>
        </w:rPr>
        <w:t xml:space="preserve"> be involved in decision-making</w:t>
      </w:r>
      <w:r w:rsidRPr="00661731">
        <w:t xml:space="preserve"> </w:t>
      </w:r>
      <w:r w:rsidRPr="00921D7F">
        <w:rPr>
          <w:b/>
        </w:rPr>
        <w:t>from the beginning</w:t>
      </w:r>
      <w:r w:rsidRPr="00661731">
        <w:t xml:space="preserve">, and decision-making processes should be </w:t>
      </w:r>
      <w:r w:rsidR="00307B78">
        <w:t>appropriate to the timeframes</w:t>
      </w:r>
      <w:r w:rsidRPr="00661731">
        <w:t xml:space="preserve"> (</w:t>
      </w:r>
      <w:r w:rsidR="00307B78">
        <w:t>e.g.</w:t>
      </w:r>
      <w:r w:rsidRPr="00661731">
        <w:t xml:space="preserve"> through </w:t>
      </w:r>
      <w:r w:rsidR="00E75BA4">
        <w:t>including an independent</w:t>
      </w:r>
      <w:r w:rsidRPr="00661731">
        <w:t xml:space="preserve"> technical assessment of proposals). </w:t>
      </w:r>
    </w:p>
    <w:p w14:paraId="2216C7F9" w14:textId="1FAC9D7B" w:rsidR="00E75BA4" w:rsidRPr="008768A9" w:rsidRDefault="00E75BA4" w:rsidP="00E75BA4">
      <w:pPr>
        <w:pStyle w:val="SDAbulletpoints"/>
      </w:pPr>
      <w:r w:rsidRPr="008768A9">
        <w:rPr>
          <w:b/>
        </w:rPr>
        <w:t xml:space="preserve">A </w:t>
      </w:r>
      <w:r w:rsidR="00307B78">
        <w:rPr>
          <w:b/>
        </w:rPr>
        <w:t>separate</w:t>
      </w:r>
      <w:r w:rsidRPr="008768A9">
        <w:rPr>
          <w:b/>
        </w:rPr>
        <w:t xml:space="preserve"> mechanism (or funding window) for slow-onset and protracted crises </w:t>
      </w:r>
      <w:r w:rsidR="00FC6762">
        <w:rPr>
          <w:b/>
        </w:rPr>
        <w:t>c</w:t>
      </w:r>
      <w:r w:rsidRPr="008768A9">
        <w:rPr>
          <w:b/>
        </w:rPr>
        <w:t>ould allow for more appropriate decision-making</w:t>
      </w:r>
      <w:r w:rsidRPr="008768A9">
        <w:t xml:space="preserve"> and response timeframes, as well as targeted selection of the most appropriate partners for specific response types.</w:t>
      </w:r>
    </w:p>
    <w:p w14:paraId="5F025ED1" w14:textId="5DB28C9E" w:rsidR="00C43B80" w:rsidRPr="00DD33F1" w:rsidRDefault="00307B78" w:rsidP="00C43B80">
      <w:pPr>
        <w:pStyle w:val="SDAbulletpoints"/>
      </w:pPr>
      <w:r>
        <w:rPr>
          <w:b/>
        </w:rPr>
        <w:t>C</w:t>
      </w:r>
      <w:r w:rsidR="00C43B80" w:rsidRPr="008768A9">
        <w:rPr>
          <w:b/>
        </w:rPr>
        <w:t>apacity mapping procedures</w:t>
      </w:r>
      <w:r w:rsidR="00C43B80">
        <w:rPr>
          <w:b/>
        </w:rPr>
        <w:t xml:space="preserve">, </w:t>
      </w:r>
      <w:r w:rsidR="00C43B80" w:rsidRPr="00DD33F1">
        <w:t xml:space="preserve">presenting an up-to-date, verified picture of the nature of existing presence and capacity </w:t>
      </w:r>
      <w:r>
        <w:t>c</w:t>
      </w:r>
      <w:r w:rsidR="00C43B80" w:rsidRPr="00DD33F1">
        <w:t xml:space="preserve">ould </w:t>
      </w:r>
      <w:r w:rsidR="00C43B80">
        <w:t>support</w:t>
      </w:r>
      <w:r w:rsidR="00C43B80" w:rsidRPr="00DD33F1">
        <w:t xml:space="preserve"> </w:t>
      </w:r>
      <w:r w:rsidR="00C43B80">
        <w:t>better</w:t>
      </w:r>
      <w:r w:rsidR="00C43B80" w:rsidRPr="00DD33F1">
        <w:t xml:space="preserve"> decision-making.</w:t>
      </w:r>
    </w:p>
    <w:p w14:paraId="78FC5D13" w14:textId="77777777" w:rsidR="006C24B0" w:rsidRPr="00091C83" w:rsidRDefault="006C24B0" w:rsidP="00FD28CD">
      <w:pPr>
        <w:pStyle w:val="SDAbulletpoints"/>
      </w:pPr>
      <w:r w:rsidRPr="00FD28CD">
        <w:rPr>
          <w:b/>
        </w:rPr>
        <w:t>There is potential value in developing a system among partners to trigger discussions about early warning signs</w:t>
      </w:r>
      <w:r w:rsidRPr="00091C83">
        <w:t xml:space="preserve"> (such as the Ebola crisis) t</w:t>
      </w:r>
      <w:r>
        <w:t xml:space="preserve">o ensure timeliness of response. </w:t>
      </w:r>
    </w:p>
    <w:p w14:paraId="048BAA5A" w14:textId="057A7519" w:rsidR="006C24B0" w:rsidRPr="00091C83" w:rsidRDefault="006C24B0" w:rsidP="00FD28CD">
      <w:pPr>
        <w:pStyle w:val="SDAbulletpoints"/>
      </w:pPr>
      <w:r w:rsidRPr="00FD28CD">
        <w:rPr>
          <w:b/>
        </w:rPr>
        <w:t xml:space="preserve">HPA funding is </w:t>
      </w:r>
      <w:r w:rsidR="00307B78">
        <w:rPr>
          <w:b/>
        </w:rPr>
        <w:t>particularly</w:t>
      </w:r>
      <w:r w:rsidRPr="00FD28CD">
        <w:rPr>
          <w:b/>
        </w:rPr>
        <w:t xml:space="preserve"> valu</w:t>
      </w:r>
      <w:r w:rsidR="00307B78">
        <w:rPr>
          <w:b/>
        </w:rPr>
        <w:t>able to</w:t>
      </w:r>
      <w:r w:rsidRPr="00FD28CD">
        <w:rPr>
          <w:b/>
        </w:rPr>
        <w:t xml:space="preserve"> partners </w:t>
      </w:r>
      <w:r w:rsidR="00307B78">
        <w:rPr>
          <w:b/>
        </w:rPr>
        <w:t>in</w:t>
      </w:r>
      <w:r w:rsidRPr="00FD28CD">
        <w:rPr>
          <w:b/>
        </w:rPr>
        <w:t xml:space="preserve"> crises in which it is difficult to secure public funding</w:t>
      </w:r>
      <w:r w:rsidR="00C43B80">
        <w:t>. T</w:t>
      </w:r>
      <w:r w:rsidRPr="00091C83">
        <w:t>he transaction costs are more acceptable to partners in cases where other funding is difficult to obtain (i.e. Horn of Africa</w:t>
      </w:r>
      <w:r>
        <w:t xml:space="preserve"> and Syrian crise</w:t>
      </w:r>
      <w:r w:rsidRPr="00091C83">
        <w:t>s).</w:t>
      </w:r>
    </w:p>
    <w:p w14:paraId="7D12E953" w14:textId="64406795" w:rsidR="008768A9" w:rsidRPr="00DD33F1" w:rsidRDefault="008768A9" w:rsidP="008768A9">
      <w:pPr>
        <w:pStyle w:val="SDAbulletpoints"/>
      </w:pPr>
      <w:r w:rsidRPr="008768A9">
        <w:rPr>
          <w:b/>
        </w:rPr>
        <w:t xml:space="preserve">Efficiency </w:t>
      </w:r>
      <w:r w:rsidR="00307B78">
        <w:rPr>
          <w:b/>
        </w:rPr>
        <w:t>c</w:t>
      </w:r>
      <w:r w:rsidRPr="008768A9">
        <w:rPr>
          <w:b/>
        </w:rPr>
        <w:t>ould be improved by increasing the volume of funding through the mechanism.</w:t>
      </w:r>
      <w:r w:rsidRPr="00DD33F1">
        <w:t xml:space="preserve"> Conversely, if there is no appetite to increase </w:t>
      </w:r>
      <w:r>
        <w:t xml:space="preserve">the </w:t>
      </w:r>
      <w:r w:rsidRPr="00DD33F1">
        <w:t>funding through HPA, then governance arrangements should be made less time- and resource-intensive.</w:t>
      </w:r>
    </w:p>
    <w:p w14:paraId="598E22EA" w14:textId="69E8DB99" w:rsidR="006C24B0" w:rsidRDefault="006C24B0" w:rsidP="00FD28CD">
      <w:pPr>
        <w:pStyle w:val="SDAbulletpoints"/>
      </w:pPr>
      <w:r w:rsidRPr="00FD28CD">
        <w:rPr>
          <w:b/>
        </w:rPr>
        <w:t>Implementing partners have appreciated the flexibility of funding</w:t>
      </w:r>
      <w:r w:rsidR="00E75BA4">
        <w:rPr>
          <w:b/>
        </w:rPr>
        <w:t xml:space="preserve">, </w:t>
      </w:r>
      <w:r w:rsidR="00E75BA4" w:rsidRPr="00E75BA4">
        <w:t>which they have</w:t>
      </w:r>
      <w:r w:rsidRPr="00E75BA4">
        <w:t xml:space="preserve"> used</w:t>
      </w:r>
      <w:r>
        <w:t xml:space="preserve"> on ‘softer’ activities such as capacity building in MEL, and </w:t>
      </w:r>
      <w:r w:rsidR="00307B78">
        <w:t>trialling</w:t>
      </w:r>
      <w:r>
        <w:t xml:space="preserve"> new approaches to protection. </w:t>
      </w:r>
    </w:p>
    <w:p w14:paraId="3CDE5E53" w14:textId="77777777" w:rsidR="003911FC" w:rsidRPr="002108DE" w:rsidRDefault="003911FC" w:rsidP="002108DE">
      <w:pPr>
        <w:pStyle w:val="SDAbodytext"/>
      </w:pPr>
    </w:p>
    <w:p w14:paraId="39D55E89" w14:textId="77777777" w:rsidR="00E40F69" w:rsidRDefault="006C50DD" w:rsidP="00565770">
      <w:pPr>
        <w:pStyle w:val="SDANumberedheading2"/>
        <w:ind w:left="709" w:hanging="709"/>
      </w:pPr>
      <w:bookmarkStart w:id="20" w:name="_Toc423711136"/>
      <w:r>
        <w:t>DRR</w:t>
      </w:r>
      <w:r w:rsidR="00767BE5">
        <w:t xml:space="preserve"> and </w:t>
      </w:r>
      <w:r>
        <w:t>DRM</w:t>
      </w:r>
      <w:r w:rsidR="00F62177">
        <w:t xml:space="preserve"> Activities</w:t>
      </w:r>
      <w:bookmarkEnd w:id="20"/>
    </w:p>
    <w:p w14:paraId="49987314" w14:textId="17D2CE14" w:rsidR="006C24B0" w:rsidRPr="00921D7F" w:rsidRDefault="006C24B0" w:rsidP="00921D7F">
      <w:pPr>
        <w:pStyle w:val="SDAbulletpoints"/>
      </w:pPr>
      <w:r w:rsidRPr="00921D7F">
        <w:rPr>
          <w:b/>
        </w:rPr>
        <w:t>Long term</w:t>
      </w:r>
      <w:r w:rsidR="006E4490">
        <w:rPr>
          <w:b/>
        </w:rPr>
        <w:t>,</w:t>
      </w:r>
      <w:r w:rsidRPr="00921D7F">
        <w:rPr>
          <w:b/>
        </w:rPr>
        <w:t xml:space="preserve"> predictable funding has supported partners to evolve and deepen their DRR and DRM strategies</w:t>
      </w:r>
      <w:r w:rsidRPr="00921D7F">
        <w:t xml:space="preserve"> over the four year period and has supported them to build and maintain valuable expertise in these areas. Clearer parameters around DRR and DRM funding (i.e. geographic, thematic) </w:t>
      </w:r>
      <w:r w:rsidR="00E6524F">
        <w:t>could</w:t>
      </w:r>
      <w:r w:rsidRPr="00921D7F">
        <w:t xml:space="preserve"> help to focus activities in the </w:t>
      </w:r>
      <w:r w:rsidR="00E6524F">
        <w:t>future</w:t>
      </w:r>
      <w:r w:rsidRPr="00921D7F">
        <w:t xml:space="preserve">.  </w:t>
      </w:r>
    </w:p>
    <w:p w14:paraId="7883A0C7" w14:textId="77777777" w:rsidR="00921D7F" w:rsidRDefault="006C24B0" w:rsidP="00921D7F">
      <w:pPr>
        <w:pStyle w:val="SDAbulletpoints"/>
      </w:pPr>
      <w:r w:rsidRPr="00921D7F">
        <w:rPr>
          <w:b/>
        </w:rPr>
        <w:t>NGOs are uniquely placed to implement disaster risk reduction work</w:t>
      </w:r>
      <w:r w:rsidRPr="00921D7F">
        <w:t xml:space="preserve"> across these various levels due to their relationships with communities, district and provincial level officials and national government agencies.</w:t>
      </w:r>
      <w:r w:rsidRPr="00E75BA4">
        <w:rPr>
          <w:rStyle w:val="FootnoteReference"/>
        </w:rPr>
        <w:footnoteReference w:id="47"/>
      </w:r>
      <w:r w:rsidRPr="00E75BA4">
        <w:rPr>
          <w:rStyle w:val="FootnoteReference"/>
        </w:rPr>
        <w:t xml:space="preserve"> </w:t>
      </w:r>
    </w:p>
    <w:p w14:paraId="6CBBDC50" w14:textId="0A7360CE" w:rsidR="006C24B0" w:rsidRPr="00921D7F" w:rsidRDefault="006C24B0" w:rsidP="00921D7F">
      <w:pPr>
        <w:pStyle w:val="SDAbulletpoints"/>
      </w:pPr>
      <w:r w:rsidRPr="00921D7F">
        <w:rPr>
          <w:b/>
        </w:rPr>
        <w:t>HPA learning around DRR and DRM has been particularly valuable</w:t>
      </w:r>
      <w:r w:rsidRPr="00921D7F">
        <w:t xml:space="preserve"> as it has allowed partners to build and share expertise in a particular area over a long timeframe</w:t>
      </w:r>
      <w:r w:rsidR="00921D7F">
        <w:t>. However,</w:t>
      </w:r>
      <w:r w:rsidRPr="00921D7F">
        <w:t xml:space="preserve"> these learnings </w:t>
      </w:r>
      <w:r w:rsidR="00E6524F">
        <w:t xml:space="preserve">could be used </w:t>
      </w:r>
      <w:r w:rsidRPr="00921D7F">
        <w:t xml:space="preserve">more </w:t>
      </w:r>
      <w:r w:rsidR="00FC6762">
        <w:t>effectively</w:t>
      </w:r>
      <w:r w:rsidRPr="00921D7F">
        <w:t xml:space="preserve"> in programming and advocacy.</w:t>
      </w:r>
    </w:p>
    <w:p w14:paraId="7DFFEA29" w14:textId="77777777" w:rsidR="006C24B0" w:rsidRPr="00921D7F" w:rsidRDefault="006C24B0" w:rsidP="00921D7F">
      <w:pPr>
        <w:pStyle w:val="SDAbulletpoints"/>
      </w:pPr>
      <w:r w:rsidRPr="00921D7F">
        <w:rPr>
          <w:b/>
        </w:rPr>
        <w:t>The DRR component could be strengthened</w:t>
      </w:r>
      <w:r w:rsidRPr="00921D7F">
        <w:t xml:space="preserve"> </w:t>
      </w:r>
      <w:r w:rsidRPr="00E75BA4">
        <w:rPr>
          <w:b/>
        </w:rPr>
        <w:t xml:space="preserve">by </w:t>
      </w:r>
      <w:r w:rsidR="00E75BA4" w:rsidRPr="00E75BA4">
        <w:rPr>
          <w:b/>
        </w:rPr>
        <w:t>dialogue with development-focused NGO</w:t>
      </w:r>
      <w:r w:rsidR="00E75BA4">
        <w:t xml:space="preserve"> </w:t>
      </w:r>
      <w:r w:rsidR="00E75BA4" w:rsidRPr="00921D7F">
        <w:t xml:space="preserve">colleagues </w:t>
      </w:r>
      <w:r w:rsidR="00E75BA4">
        <w:t>on</w:t>
      </w:r>
      <w:r w:rsidRPr="00921D7F">
        <w:t xml:space="preserve"> the importance of mainstreaming DRR into development programming.</w:t>
      </w:r>
    </w:p>
    <w:p w14:paraId="5DC725E6" w14:textId="77777777" w:rsidR="006C24B0" w:rsidRPr="00921D7F" w:rsidRDefault="006C24B0" w:rsidP="00921D7F">
      <w:pPr>
        <w:pStyle w:val="SDAbulletpoints"/>
      </w:pPr>
      <w:r w:rsidRPr="00921D7F">
        <w:rPr>
          <w:b/>
        </w:rPr>
        <w:t xml:space="preserve">The emphasis on DRR and DRM learning needs to support </w:t>
      </w:r>
      <w:r w:rsidR="00921D7F" w:rsidRPr="00921D7F">
        <w:rPr>
          <w:b/>
        </w:rPr>
        <w:t>sector-wide</w:t>
      </w:r>
      <w:r w:rsidRPr="00921D7F">
        <w:rPr>
          <w:b/>
        </w:rPr>
        <w:t xml:space="preserve"> learning</w:t>
      </w:r>
      <w:r w:rsidRPr="00921D7F">
        <w:t xml:space="preserve"> (rather than</w:t>
      </w:r>
      <w:r w:rsidR="00921D7F">
        <w:t xml:space="preserve"> simply</w:t>
      </w:r>
      <w:r w:rsidRPr="00921D7F">
        <w:t xml:space="preserve"> aim to bring others into HPA DRR</w:t>
      </w:r>
      <w:r w:rsidR="00E6524F">
        <w:t>/</w:t>
      </w:r>
      <w:r w:rsidRPr="00921D7F">
        <w:t xml:space="preserve">DRM learning </w:t>
      </w:r>
      <w:r w:rsidR="00921D7F">
        <w:t>events</w:t>
      </w:r>
      <w:r w:rsidRPr="00921D7F">
        <w:t xml:space="preserve">). </w:t>
      </w:r>
    </w:p>
    <w:p w14:paraId="3C05BDE6" w14:textId="77777777" w:rsidR="006C24B0" w:rsidRPr="00921D7F" w:rsidRDefault="006C24B0" w:rsidP="00921D7F">
      <w:pPr>
        <w:pStyle w:val="SDAbulletpoints"/>
      </w:pPr>
      <w:r w:rsidRPr="00921D7F">
        <w:rPr>
          <w:b/>
        </w:rPr>
        <w:t xml:space="preserve">The HPA definition </w:t>
      </w:r>
      <w:r w:rsidR="00E75BA4">
        <w:rPr>
          <w:b/>
        </w:rPr>
        <w:t xml:space="preserve">of DRM </w:t>
      </w:r>
      <w:r w:rsidRPr="00921D7F">
        <w:rPr>
          <w:b/>
        </w:rPr>
        <w:t>is different to the shared (UN) definition</w:t>
      </w:r>
      <w:r w:rsidRPr="00921D7F">
        <w:t xml:space="preserve">. This has created </w:t>
      </w:r>
      <w:r w:rsidR="00921D7F">
        <w:t xml:space="preserve">some confusion as to the focus of funding. </w:t>
      </w:r>
    </w:p>
    <w:p w14:paraId="4352F61F" w14:textId="77777777" w:rsidR="008768A9" w:rsidRPr="00E75BA4" w:rsidRDefault="008768A9" w:rsidP="008768A9">
      <w:pPr>
        <w:pStyle w:val="SDAbulletpoints"/>
      </w:pPr>
      <w:r w:rsidRPr="00E75BA4">
        <w:t>There would be value in ensuring that the</w:t>
      </w:r>
      <w:r w:rsidRPr="00E6524F">
        <w:rPr>
          <w:b/>
        </w:rPr>
        <w:t xml:space="preserve"> DRR funding within the HPA forms part of a coordinated, strategic approach </w:t>
      </w:r>
      <w:r w:rsidRPr="00E75BA4">
        <w:t>to DRR by DFAT.</w:t>
      </w:r>
    </w:p>
    <w:p w14:paraId="60B8EDBC" w14:textId="77777777" w:rsidR="00E6524F" w:rsidRPr="00E6524F" w:rsidRDefault="00E6524F" w:rsidP="008768A9">
      <w:pPr>
        <w:pStyle w:val="SDAbulletpoints"/>
      </w:pPr>
      <w:r>
        <w:rPr>
          <w:b/>
        </w:rPr>
        <w:t xml:space="preserve">It is important to promote and strengthen links </w:t>
      </w:r>
      <w:r w:rsidRPr="00E6524F">
        <w:t>between DRR, DRM and response.</w:t>
      </w:r>
      <w:r>
        <w:rPr>
          <w:rStyle w:val="FootnoteReference"/>
        </w:rPr>
        <w:footnoteReference w:id="48"/>
      </w:r>
    </w:p>
    <w:p w14:paraId="31852368" w14:textId="77777777" w:rsidR="006C24B0" w:rsidRDefault="006C24B0" w:rsidP="00921D7F">
      <w:pPr>
        <w:pStyle w:val="ListParagraph"/>
        <w:spacing w:after="0" w:line="240" w:lineRule="auto"/>
        <w:ind w:left="360"/>
        <w:jc w:val="both"/>
      </w:pPr>
    </w:p>
    <w:p w14:paraId="5BAC2C04" w14:textId="77777777" w:rsidR="00F62177" w:rsidRDefault="00F62177" w:rsidP="00565770">
      <w:pPr>
        <w:pStyle w:val="SDANumberedheading2"/>
        <w:ind w:left="709" w:hanging="709"/>
      </w:pPr>
      <w:bookmarkStart w:id="21" w:name="_Toc423711137"/>
      <w:r>
        <w:t>Monitoring, Evaluation and Learning</w:t>
      </w:r>
      <w:bookmarkEnd w:id="21"/>
      <w:r>
        <w:t xml:space="preserve"> </w:t>
      </w:r>
    </w:p>
    <w:p w14:paraId="77216A1E" w14:textId="74FAEE20" w:rsidR="002C3AE2" w:rsidRDefault="002C3AE2" w:rsidP="002C3AE2">
      <w:pPr>
        <w:pStyle w:val="SDAbulletpoints"/>
      </w:pPr>
      <w:r>
        <w:rPr>
          <w:b/>
        </w:rPr>
        <w:t>The lack of a</w:t>
      </w:r>
      <w:r w:rsidRPr="002C3AE2">
        <w:rPr>
          <w:b/>
        </w:rPr>
        <w:t xml:space="preserve"> clear overarching monitoring, evaluation and learning framework</w:t>
      </w:r>
      <w:r>
        <w:t xml:space="preserve"> for the HPA has constrained its ability to articulate the value of the partnership. </w:t>
      </w:r>
    </w:p>
    <w:p w14:paraId="57F10AD7" w14:textId="3E0A763B" w:rsidR="002C3AE2" w:rsidRPr="006C24B0" w:rsidRDefault="002C3AE2" w:rsidP="002C3AE2">
      <w:pPr>
        <w:pStyle w:val="SDAbulletpoints"/>
      </w:pPr>
      <w:r w:rsidRPr="00A16353">
        <w:rPr>
          <w:b/>
        </w:rPr>
        <w:t xml:space="preserve">A future mechanism </w:t>
      </w:r>
      <w:r w:rsidR="00E75BA4">
        <w:rPr>
          <w:b/>
        </w:rPr>
        <w:t xml:space="preserve">would benefit from </w:t>
      </w:r>
      <w:r w:rsidRPr="00A16353">
        <w:rPr>
          <w:b/>
        </w:rPr>
        <w:t xml:space="preserve">a clear MEL framework with </w:t>
      </w:r>
      <w:r w:rsidR="00E75BA4">
        <w:rPr>
          <w:b/>
        </w:rPr>
        <w:t xml:space="preserve">defined </w:t>
      </w:r>
      <w:r w:rsidRPr="00A16353">
        <w:rPr>
          <w:b/>
        </w:rPr>
        <w:t>partnership outcomes</w:t>
      </w:r>
      <w:r w:rsidR="00C065CD">
        <w:rPr>
          <w:b/>
        </w:rPr>
        <w:t xml:space="preserve"> </w:t>
      </w:r>
      <w:r w:rsidR="00C065CD" w:rsidRPr="00C065CD">
        <w:t>and</w:t>
      </w:r>
      <w:r>
        <w:t xml:space="preserve"> </w:t>
      </w:r>
      <w:r w:rsidR="00C065CD">
        <w:t xml:space="preserve">partner </w:t>
      </w:r>
      <w:r>
        <w:t>roles</w:t>
      </w:r>
      <w:r w:rsidR="00DE184E">
        <w:t xml:space="preserve"> </w:t>
      </w:r>
      <w:r w:rsidR="00C065CD">
        <w:t>in MEL</w:t>
      </w:r>
      <w:r w:rsidRPr="006C24B0">
        <w:t xml:space="preserve">, </w:t>
      </w:r>
      <w:r w:rsidR="00C065CD">
        <w:t xml:space="preserve">as well as </w:t>
      </w:r>
      <w:r w:rsidRPr="006C24B0">
        <w:t xml:space="preserve">sufficient budget allocation. </w:t>
      </w:r>
    </w:p>
    <w:p w14:paraId="5539C361" w14:textId="638E0EED" w:rsidR="006C24B0" w:rsidRDefault="006C24B0" w:rsidP="00571751">
      <w:pPr>
        <w:pStyle w:val="SDAbulletpoints"/>
      </w:pPr>
      <w:r w:rsidRPr="00571751">
        <w:rPr>
          <w:b/>
        </w:rPr>
        <w:t xml:space="preserve">The HPA has </w:t>
      </w:r>
      <w:r w:rsidR="00E75BA4">
        <w:rPr>
          <w:b/>
        </w:rPr>
        <w:t xml:space="preserve">been valuable in </w:t>
      </w:r>
      <w:r w:rsidRPr="00571751">
        <w:rPr>
          <w:b/>
        </w:rPr>
        <w:t>support</w:t>
      </w:r>
      <w:r w:rsidR="00E75BA4">
        <w:rPr>
          <w:b/>
        </w:rPr>
        <w:t>ing</w:t>
      </w:r>
      <w:r w:rsidRPr="00571751">
        <w:rPr>
          <w:b/>
        </w:rPr>
        <w:t xml:space="preserve"> partners to </w:t>
      </w:r>
      <w:r w:rsidR="00571751" w:rsidRPr="00571751">
        <w:rPr>
          <w:b/>
        </w:rPr>
        <w:t>improve</w:t>
      </w:r>
      <w:r w:rsidRPr="00571751">
        <w:rPr>
          <w:b/>
        </w:rPr>
        <w:t xml:space="preserve"> their MEL of responses</w:t>
      </w:r>
      <w:r>
        <w:t xml:space="preserve"> by funding implementing partners’ in-country learning events and staff training in MEL. </w:t>
      </w:r>
    </w:p>
    <w:p w14:paraId="240941F2" w14:textId="6D646BD7" w:rsidR="00E6524F" w:rsidRPr="00DE184E" w:rsidRDefault="00E6524F" w:rsidP="00E6524F">
      <w:pPr>
        <w:pStyle w:val="SDAbulletpoints"/>
      </w:pPr>
      <w:r w:rsidRPr="00DE184E">
        <w:rPr>
          <w:b/>
        </w:rPr>
        <w:t>Partners have benefitted from formal and informal learning</w:t>
      </w:r>
      <w:r>
        <w:t xml:space="preserve"> that has taken place under the framework of the HPA.  Non-HPA partners have sometime</w:t>
      </w:r>
      <w:r w:rsidR="00C065CD">
        <w:t>s</w:t>
      </w:r>
      <w:r>
        <w:t xml:space="preserve"> been excluded from this learning, </w:t>
      </w:r>
      <w:r w:rsidR="006E4490">
        <w:t>in which</w:t>
      </w:r>
      <w:r>
        <w:t xml:space="preserve"> they could have both added value </w:t>
      </w:r>
      <w:r w:rsidR="006E4490">
        <w:t xml:space="preserve">to, </w:t>
      </w:r>
      <w:r>
        <w:t>and benefited</w:t>
      </w:r>
      <w:r w:rsidR="006E4490">
        <w:t xml:space="preserve"> from</w:t>
      </w:r>
      <w:r>
        <w:t xml:space="preserve">. </w:t>
      </w:r>
    </w:p>
    <w:p w14:paraId="449E9980" w14:textId="46E9C6F5" w:rsidR="00307B78" w:rsidRDefault="00FC6762" w:rsidP="00307B78">
      <w:pPr>
        <w:pStyle w:val="SDAbulletpoints"/>
      </w:pPr>
      <w:r>
        <w:rPr>
          <w:rStyle w:val="Strong"/>
        </w:rPr>
        <w:t>‘</w:t>
      </w:r>
      <w:r w:rsidR="00307B78">
        <w:rPr>
          <w:rStyle w:val="Strong"/>
        </w:rPr>
        <w:t>Value for Money</w:t>
      </w:r>
      <w:r>
        <w:rPr>
          <w:rStyle w:val="Strong"/>
        </w:rPr>
        <w:t>’</w:t>
      </w:r>
      <w:r w:rsidR="00307B78">
        <w:rPr>
          <w:rStyle w:val="Strong"/>
        </w:rPr>
        <w:t xml:space="preserve"> considerations </w:t>
      </w:r>
      <w:r w:rsidR="00293752">
        <w:rPr>
          <w:rStyle w:val="Strong"/>
        </w:rPr>
        <w:t>have not been integrated</w:t>
      </w:r>
      <w:r>
        <w:rPr>
          <w:rStyle w:val="Strong"/>
        </w:rPr>
        <w:t xml:space="preserve"> in the </w:t>
      </w:r>
      <w:r w:rsidR="006E4490">
        <w:rPr>
          <w:rStyle w:val="Strong"/>
        </w:rPr>
        <w:t>HPA MEL</w:t>
      </w:r>
      <w:r>
        <w:rPr>
          <w:rStyle w:val="Strong"/>
        </w:rPr>
        <w:t xml:space="preserve"> making it</w:t>
      </w:r>
      <w:r w:rsidR="00307B78">
        <w:rPr>
          <w:rStyle w:val="Strong"/>
        </w:rPr>
        <w:t xml:space="preserve"> difficult to assess </w:t>
      </w:r>
      <w:r>
        <w:rPr>
          <w:rStyle w:val="Strong"/>
        </w:rPr>
        <w:t>t</w:t>
      </w:r>
      <w:r w:rsidR="00307B78">
        <w:rPr>
          <w:rStyle w:val="Strong"/>
        </w:rPr>
        <w:t>his issue</w:t>
      </w:r>
      <w:r w:rsidR="00307B78">
        <w:t xml:space="preserve">. This is particularly problematic given concerns </w:t>
      </w:r>
      <w:r>
        <w:t>around</w:t>
      </w:r>
      <w:r w:rsidR="00307B78">
        <w:t xml:space="preserve"> high transaction costs.</w:t>
      </w:r>
      <w:r w:rsidR="00307B78">
        <w:rPr>
          <w:rStyle w:val="FootnoteReference"/>
        </w:rPr>
        <w:footnoteReference w:id="49"/>
      </w:r>
    </w:p>
    <w:p w14:paraId="64C15918" w14:textId="6E885AAC" w:rsidR="00E6524F" w:rsidRPr="00D837E3" w:rsidRDefault="00DE184E" w:rsidP="00E6524F">
      <w:pPr>
        <w:pStyle w:val="SDAbulletpoints"/>
      </w:pPr>
      <w:r>
        <w:t xml:space="preserve"> </w:t>
      </w:r>
      <w:r w:rsidR="00E6524F" w:rsidRPr="00307B78">
        <w:rPr>
          <w:b/>
        </w:rPr>
        <w:t>A lack of technical/sectoral ‘global’ indicators has hindered simple aggregated reporting</w:t>
      </w:r>
      <w:r w:rsidR="00E6524F" w:rsidRPr="006C24B0">
        <w:t xml:space="preserve"> which would allow DFAT and NGO partners to feed into global reporting, and </w:t>
      </w:r>
      <w:r w:rsidR="00FC6762">
        <w:t xml:space="preserve">also </w:t>
      </w:r>
      <w:r w:rsidR="00E6524F">
        <w:t>provide</w:t>
      </w:r>
      <w:r w:rsidR="00E6524F" w:rsidRPr="006C24B0">
        <w:t xml:space="preserve"> clearer messaging of impact to the Australian public.</w:t>
      </w:r>
    </w:p>
    <w:p w14:paraId="6883E347" w14:textId="77777777" w:rsidR="006C24B0" w:rsidRDefault="006C24B0" w:rsidP="00571751">
      <w:pPr>
        <w:pStyle w:val="SDAbulletpoints"/>
      </w:pPr>
      <w:r w:rsidRPr="00571751">
        <w:rPr>
          <w:b/>
        </w:rPr>
        <w:t xml:space="preserve">Reporting processes have been cumbersome </w:t>
      </w:r>
      <w:r w:rsidRPr="00321B32">
        <w:t>with</w:t>
      </w:r>
      <w:r>
        <w:t xml:space="preserve"> NGO</w:t>
      </w:r>
      <w:r w:rsidRPr="00321B32">
        <w:t xml:space="preserve"> partner</w:t>
      </w:r>
      <w:r>
        <w:t>s and the HPA D</w:t>
      </w:r>
      <w:r w:rsidRPr="00321B32">
        <w:t xml:space="preserve">irector </w:t>
      </w:r>
      <w:r>
        <w:t>spending significant amounts of time compiling</w:t>
      </w:r>
      <w:r w:rsidRPr="0084699B">
        <w:t xml:space="preserve"> set</w:t>
      </w:r>
      <w:r>
        <w:t>s</w:t>
      </w:r>
      <w:r w:rsidRPr="0084699B">
        <w:t xml:space="preserve"> of </w:t>
      </w:r>
      <w:r>
        <w:t>data to produce collective repo</w:t>
      </w:r>
      <w:r w:rsidR="00571751">
        <w:t>rts.</w:t>
      </w:r>
      <w:r>
        <w:t xml:space="preserve"> The use of online systems such as ANCPs ‘Smarty Grants’ may be appropriate for the HPA. </w:t>
      </w:r>
    </w:p>
    <w:p w14:paraId="26B31AC6" w14:textId="2160A38D" w:rsidR="006C24B0" w:rsidRDefault="006C24B0" w:rsidP="00571751">
      <w:pPr>
        <w:pStyle w:val="SDAbulletpoints"/>
      </w:pPr>
      <w:r w:rsidRPr="00DE184E">
        <w:rPr>
          <w:b/>
        </w:rPr>
        <w:t>Much of the HPA learning has occurred in relation to DRR/DRM</w:t>
      </w:r>
      <w:r>
        <w:t xml:space="preserve"> which encompasses a relatively stable set of ongoing activities. </w:t>
      </w:r>
      <w:r w:rsidRPr="00DE184E">
        <w:rPr>
          <w:b/>
        </w:rPr>
        <w:t xml:space="preserve">Facilitating learning in relation to crisis contexts requires different MEL </w:t>
      </w:r>
      <w:r>
        <w:t>that take</w:t>
      </w:r>
      <w:r w:rsidR="00293752">
        <w:t>s</w:t>
      </w:r>
      <w:r>
        <w:t xml:space="preserve"> into account the nature of working in these contexts. </w:t>
      </w:r>
    </w:p>
    <w:p w14:paraId="4016DAB2" w14:textId="77777777" w:rsidR="006C24B0" w:rsidRDefault="006C24B0" w:rsidP="00571751">
      <w:pPr>
        <w:pStyle w:val="SDAbulletpoints"/>
      </w:pPr>
      <w:r>
        <w:t xml:space="preserve">The proposal and reporting formats are activity focused which is </w:t>
      </w:r>
      <w:r w:rsidRPr="00A16353">
        <w:rPr>
          <w:b/>
        </w:rPr>
        <w:t>appropriate for a rapid onset response</w:t>
      </w:r>
      <w:r>
        <w:t xml:space="preserve">. </w:t>
      </w:r>
      <w:r w:rsidR="00A16353">
        <w:t xml:space="preserve"> </w:t>
      </w:r>
      <w:r w:rsidR="00A16353" w:rsidRPr="00A16353">
        <w:rPr>
          <w:b/>
        </w:rPr>
        <w:t>P</w:t>
      </w:r>
      <w:r w:rsidRPr="00A16353">
        <w:rPr>
          <w:b/>
        </w:rPr>
        <w:t>rotracted crises warrant a more sophisticated design</w:t>
      </w:r>
      <w:r>
        <w:t xml:space="preserve"> which includes a Theory of Change, program s</w:t>
      </w:r>
      <w:r w:rsidR="00A16353">
        <w:t xml:space="preserve">trategies and expected outcomes. </w:t>
      </w:r>
      <w:r>
        <w:t xml:space="preserve"> </w:t>
      </w:r>
    </w:p>
    <w:p w14:paraId="47D0C46B" w14:textId="71B2F492" w:rsidR="00535EA6" w:rsidRPr="00ED2094" w:rsidRDefault="007F51B8" w:rsidP="00571751">
      <w:pPr>
        <w:pStyle w:val="SDAbulletpoints"/>
      </w:pPr>
      <w:r>
        <w:t>It would be valuable to</w:t>
      </w:r>
      <w:r w:rsidRPr="007F51B8">
        <w:rPr>
          <w:b/>
        </w:rPr>
        <w:t xml:space="preserve"> </w:t>
      </w:r>
      <w:r w:rsidRPr="00051FF6">
        <w:rPr>
          <w:b/>
        </w:rPr>
        <w:t>share the r</w:t>
      </w:r>
      <w:r w:rsidR="008B5DC5" w:rsidRPr="00051FF6">
        <w:rPr>
          <w:b/>
        </w:rPr>
        <w:t xml:space="preserve">esults and learnings </w:t>
      </w:r>
      <w:r w:rsidR="002826F3" w:rsidRPr="00051FF6">
        <w:rPr>
          <w:b/>
        </w:rPr>
        <w:t>of collective activations</w:t>
      </w:r>
      <w:r w:rsidR="00051FF6">
        <w:t>,</w:t>
      </w:r>
      <w:r w:rsidR="002826F3">
        <w:t xml:space="preserve"> as </w:t>
      </w:r>
      <w:r w:rsidR="008B5DC5">
        <w:t>outlined in HPA reports and evaluations</w:t>
      </w:r>
      <w:r w:rsidR="00051FF6">
        <w:t>,</w:t>
      </w:r>
      <w:r w:rsidR="008B5DC5">
        <w:t xml:space="preserve"> </w:t>
      </w:r>
      <w:r>
        <w:rPr>
          <w:b/>
        </w:rPr>
        <w:t>with</w:t>
      </w:r>
      <w:r w:rsidR="002826F3" w:rsidRPr="002826F3">
        <w:rPr>
          <w:b/>
        </w:rPr>
        <w:t xml:space="preserve"> HPA implementing</w:t>
      </w:r>
      <w:r w:rsidR="008B5DC5" w:rsidRPr="002826F3">
        <w:rPr>
          <w:b/>
        </w:rPr>
        <w:t xml:space="preserve"> partners</w:t>
      </w:r>
      <w:r w:rsidR="005A3BA2">
        <w:rPr>
          <w:b/>
        </w:rPr>
        <w:t>.</w:t>
      </w:r>
    </w:p>
    <w:p w14:paraId="2F0C09F9" w14:textId="77777777" w:rsidR="00FD1BD7" w:rsidRDefault="00FD1BD7" w:rsidP="00FD1BD7">
      <w:pPr>
        <w:pStyle w:val="SDAbodytext"/>
      </w:pPr>
    </w:p>
    <w:p w14:paraId="7BE76BC5" w14:textId="77777777" w:rsidR="00F62177" w:rsidRDefault="00F62177" w:rsidP="00565770">
      <w:pPr>
        <w:pStyle w:val="SDANumberedheading2"/>
        <w:ind w:left="709" w:hanging="709"/>
      </w:pPr>
      <w:bookmarkStart w:id="22" w:name="_Toc423711138"/>
      <w:r>
        <w:t xml:space="preserve">Management </w:t>
      </w:r>
      <w:r w:rsidR="0012491C">
        <w:t xml:space="preserve">and Governance </w:t>
      </w:r>
      <w:r>
        <w:t>Arrangements</w:t>
      </w:r>
      <w:bookmarkEnd w:id="22"/>
    </w:p>
    <w:p w14:paraId="781E6E5B" w14:textId="1A688299" w:rsidR="00EF52BF" w:rsidRPr="00E6524F" w:rsidRDefault="008768A9" w:rsidP="00EF52BF">
      <w:pPr>
        <w:pStyle w:val="SDAbulletpoints"/>
      </w:pPr>
      <w:r w:rsidRPr="00E6524F">
        <w:rPr>
          <w:b/>
        </w:rPr>
        <w:t>The</w:t>
      </w:r>
      <w:r w:rsidR="00E6524F" w:rsidRPr="00E6524F">
        <w:rPr>
          <w:b/>
        </w:rPr>
        <w:t>re</w:t>
      </w:r>
      <w:r w:rsidRPr="00E6524F">
        <w:rPr>
          <w:b/>
        </w:rPr>
        <w:t xml:space="preserve"> </w:t>
      </w:r>
      <w:r w:rsidR="00EF52BF" w:rsidRPr="00E6524F">
        <w:rPr>
          <w:b/>
        </w:rPr>
        <w:t xml:space="preserve">are </w:t>
      </w:r>
      <w:r w:rsidR="00E75BA4">
        <w:rPr>
          <w:b/>
        </w:rPr>
        <w:t xml:space="preserve">many </w:t>
      </w:r>
      <w:r w:rsidR="00EF52BF" w:rsidRPr="00E6524F">
        <w:rPr>
          <w:b/>
        </w:rPr>
        <w:t>benefits of NGO peer-based decision making</w:t>
      </w:r>
      <w:r w:rsidR="00E75BA4">
        <w:rPr>
          <w:b/>
        </w:rPr>
        <w:t xml:space="preserve">, </w:t>
      </w:r>
      <w:r w:rsidR="00E75BA4" w:rsidRPr="00E75BA4">
        <w:t xml:space="preserve">such as </w:t>
      </w:r>
      <w:r w:rsidR="00EF52BF" w:rsidRPr="00E75BA4">
        <w:t>access</w:t>
      </w:r>
      <w:r w:rsidR="00EF52BF">
        <w:t xml:space="preserve"> to operational expertise</w:t>
      </w:r>
      <w:r w:rsidR="00E6524F">
        <w:t xml:space="preserve">. </w:t>
      </w:r>
      <w:r w:rsidR="00E6524F" w:rsidRPr="00E6524F">
        <w:t>However i</w:t>
      </w:r>
      <w:r w:rsidR="00EF52BF" w:rsidRPr="00E6524F">
        <w:t>t is</w:t>
      </w:r>
      <w:r w:rsidR="00E6524F" w:rsidRPr="00E6524F">
        <w:t xml:space="preserve"> often</w:t>
      </w:r>
      <w:r w:rsidR="00EF52BF" w:rsidRPr="00E6524F">
        <w:t xml:space="preserve"> the anticipation of the peer review which improves the quality of proposals, rather than the peer review </w:t>
      </w:r>
      <w:r w:rsidR="00E75BA4">
        <w:t xml:space="preserve">itself </w:t>
      </w:r>
      <w:r w:rsidR="00EF52BF" w:rsidRPr="00E6524F">
        <w:t xml:space="preserve">(i.e. scoring </w:t>
      </w:r>
      <w:r w:rsidR="00E75BA4">
        <w:t xml:space="preserve">processes </w:t>
      </w:r>
      <w:r w:rsidR="00EF52BF" w:rsidRPr="00E6524F">
        <w:t>and the question and answer session).</w:t>
      </w:r>
    </w:p>
    <w:p w14:paraId="427C9AC2" w14:textId="3666EACB" w:rsidR="008768A9" w:rsidRDefault="00EF52BF" w:rsidP="008768A9">
      <w:pPr>
        <w:pStyle w:val="SDAbulletpoints"/>
      </w:pPr>
      <w:r>
        <w:rPr>
          <w:b/>
        </w:rPr>
        <w:t xml:space="preserve">In certain circumstances, the peer review </w:t>
      </w:r>
      <w:r w:rsidR="008768A9" w:rsidRPr="00A16353">
        <w:rPr>
          <w:b/>
        </w:rPr>
        <w:t xml:space="preserve">would benefit from involving </w:t>
      </w:r>
      <w:r>
        <w:rPr>
          <w:b/>
        </w:rPr>
        <w:t xml:space="preserve">an independent </w:t>
      </w:r>
      <w:r w:rsidR="008768A9" w:rsidRPr="00A16353">
        <w:rPr>
          <w:b/>
        </w:rPr>
        <w:t>technical appraisal</w:t>
      </w:r>
      <w:r>
        <w:rPr>
          <w:b/>
        </w:rPr>
        <w:t xml:space="preserve"> </w:t>
      </w:r>
      <w:r w:rsidRPr="00EF52BF">
        <w:t>of individual proposals</w:t>
      </w:r>
      <w:r w:rsidR="008768A9" w:rsidRPr="00EF52BF">
        <w:t>.</w:t>
      </w:r>
      <w:r w:rsidR="008768A9" w:rsidRPr="00CA07A1">
        <w:t xml:space="preserve"> </w:t>
      </w:r>
      <w:r>
        <w:t xml:space="preserve">This would be particularly relevant for </w:t>
      </w:r>
      <w:r w:rsidR="008768A9">
        <w:t xml:space="preserve">slow onset and protracted crises (e.g. Lebanon GBV sector). </w:t>
      </w:r>
    </w:p>
    <w:p w14:paraId="4149EE80" w14:textId="77777777" w:rsidR="00EF52BF" w:rsidRDefault="00EF52BF" w:rsidP="00EF52BF">
      <w:pPr>
        <w:pStyle w:val="SDAbulletpoints"/>
      </w:pPr>
      <w:r w:rsidRPr="00CA07A1">
        <w:t xml:space="preserve">Partners </w:t>
      </w:r>
      <w:r>
        <w:t>experience</w:t>
      </w:r>
      <w:r w:rsidRPr="00CA07A1">
        <w:t xml:space="preserve"> a range of pressures durin</w:t>
      </w:r>
      <w:r>
        <w:t>g the first phase of a crisis</w:t>
      </w:r>
      <w:r w:rsidR="00366DCD">
        <w:t>.</w:t>
      </w:r>
      <w:r>
        <w:t xml:space="preserve"> </w:t>
      </w:r>
      <w:r w:rsidRPr="00A16353">
        <w:rPr>
          <w:b/>
        </w:rPr>
        <w:t>NGO participation in scoring and decision making may not be the best use of their time</w:t>
      </w:r>
      <w:r w:rsidRPr="00CA07A1">
        <w:t>.</w:t>
      </w:r>
    </w:p>
    <w:p w14:paraId="4C4F7F2A" w14:textId="343C43CF" w:rsidR="00EF52BF" w:rsidRDefault="00EF52BF" w:rsidP="00A16353">
      <w:pPr>
        <w:pStyle w:val="SDAbulletpoints"/>
      </w:pPr>
      <w:r w:rsidRPr="00EF52BF">
        <w:rPr>
          <w:b/>
        </w:rPr>
        <w:t>In certain circumstances, a decision to distribute available funds evenly among NGO partners may be appropriate</w:t>
      </w:r>
      <w:r w:rsidR="00C065CD">
        <w:rPr>
          <w:b/>
        </w:rPr>
        <w:t xml:space="preserve"> to the response context. </w:t>
      </w:r>
      <w:r w:rsidR="00C065CD" w:rsidRPr="00C065CD">
        <w:t>It may a</w:t>
      </w:r>
      <w:r w:rsidR="00366DCD" w:rsidRPr="00C065CD">
        <w:t>lso</w:t>
      </w:r>
      <w:r w:rsidR="00366DCD">
        <w:t xml:space="preserve"> </w:t>
      </w:r>
      <w:r w:rsidR="00C065CD">
        <w:t xml:space="preserve">be </w:t>
      </w:r>
      <w:r>
        <w:t>an effective way to minimise transaction costs and foster more effective collaboration.</w:t>
      </w:r>
    </w:p>
    <w:p w14:paraId="20CE3FDB" w14:textId="77777777" w:rsidR="006C24B0" w:rsidRPr="00CA07A1" w:rsidRDefault="006C24B0" w:rsidP="00A16353">
      <w:pPr>
        <w:pStyle w:val="SDAbulletpoints"/>
      </w:pPr>
      <w:r w:rsidRPr="00A16353">
        <w:rPr>
          <w:b/>
        </w:rPr>
        <w:t xml:space="preserve">There is no need to establish an HPA-specific coordination mechanism </w:t>
      </w:r>
      <w:r w:rsidR="00A16353" w:rsidRPr="00A16353">
        <w:rPr>
          <w:b/>
        </w:rPr>
        <w:t>at the country level</w:t>
      </w:r>
      <w:r w:rsidR="00A16353">
        <w:t xml:space="preserve"> </w:t>
      </w:r>
      <w:r w:rsidRPr="00CA07A1">
        <w:t>for emergency responses additional to existing coordination mechanisms.</w:t>
      </w:r>
      <w:r w:rsidRPr="008C2B30">
        <w:rPr>
          <w:rStyle w:val="FootnoteReference"/>
        </w:rPr>
        <w:footnoteReference w:id="50"/>
      </w:r>
    </w:p>
    <w:p w14:paraId="237486FB" w14:textId="78678BC1" w:rsidR="006C24B0" w:rsidRDefault="006C24B0" w:rsidP="00A16353">
      <w:pPr>
        <w:pStyle w:val="SDAbulletpoints"/>
      </w:pPr>
      <w:r w:rsidRPr="00A16353">
        <w:rPr>
          <w:b/>
        </w:rPr>
        <w:t>Additional staffing resources</w:t>
      </w:r>
      <w:r w:rsidR="00A16353" w:rsidRPr="00A16353">
        <w:rPr>
          <w:b/>
        </w:rPr>
        <w:t xml:space="preserve">, </w:t>
      </w:r>
      <w:r w:rsidRPr="00A16353">
        <w:rPr>
          <w:b/>
        </w:rPr>
        <w:t xml:space="preserve">contributed by </w:t>
      </w:r>
      <w:r w:rsidR="00C065CD">
        <w:rPr>
          <w:b/>
        </w:rPr>
        <w:t xml:space="preserve">the </w:t>
      </w:r>
      <w:r w:rsidRPr="00A16353">
        <w:rPr>
          <w:b/>
        </w:rPr>
        <w:t>NGO hosting the HPA Director</w:t>
      </w:r>
      <w:r w:rsidR="00A16353" w:rsidRPr="00A16353">
        <w:rPr>
          <w:b/>
        </w:rPr>
        <w:t xml:space="preserve">, </w:t>
      </w:r>
      <w:r w:rsidRPr="00A16353">
        <w:rPr>
          <w:b/>
        </w:rPr>
        <w:t>have been central</w:t>
      </w:r>
      <w:r w:rsidRPr="00CA07A1">
        <w:t xml:space="preserve"> to ensuring the </w:t>
      </w:r>
      <w:r w:rsidR="00A16353">
        <w:t xml:space="preserve">effective and efficient </w:t>
      </w:r>
      <w:r w:rsidRPr="00CA07A1">
        <w:t>operation of the HPA</w:t>
      </w:r>
      <w:r w:rsidR="00A16353">
        <w:t xml:space="preserve">. </w:t>
      </w:r>
      <w:r w:rsidRPr="00CA07A1">
        <w:t xml:space="preserve"> </w:t>
      </w:r>
    </w:p>
    <w:p w14:paraId="486B1D88" w14:textId="77777777" w:rsidR="00366DCD" w:rsidRDefault="00366DCD" w:rsidP="00366DCD">
      <w:pPr>
        <w:pStyle w:val="SDAbulletpoints"/>
        <w:numPr>
          <w:ilvl w:val="0"/>
          <w:numId w:val="0"/>
        </w:numPr>
        <w:ind w:left="720"/>
      </w:pPr>
    </w:p>
    <w:p w14:paraId="5058B5C9" w14:textId="77777777" w:rsidR="008768A9" w:rsidRDefault="008768A9" w:rsidP="008768A9">
      <w:pPr>
        <w:pStyle w:val="SDANumberedheading2"/>
        <w:ind w:left="709" w:hanging="709"/>
      </w:pPr>
      <w:bookmarkStart w:id="23" w:name="_Toc423711139"/>
      <w:r>
        <w:t>Gender Equality, Disability-</w:t>
      </w:r>
      <w:r w:rsidR="00366DCD">
        <w:t>I</w:t>
      </w:r>
      <w:r>
        <w:t>nclusi</w:t>
      </w:r>
      <w:r w:rsidR="00366DCD">
        <w:t>on</w:t>
      </w:r>
      <w:r>
        <w:t xml:space="preserve"> and Protection</w:t>
      </w:r>
      <w:bookmarkEnd w:id="23"/>
      <w:r>
        <w:t xml:space="preserve"> </w:t>
      </w:r>
    </w:p>
    <w:p w14:paraId="7642AF84" w14:textId="77777777" w:rsidR="008768A9" w:rsidRDefault="008768A9" w:rsidP="008768A9">
      <w:pPr>
        <w:pStyle w:val="SDAbulletpoints"/>
      </w:pPr>
      <w:r w:rsidRPr="00BE154D">
        <w:rPr>
          <w:b/>
        </w:rPr>
        <w:t>The focus on gender equality within the HPA was improved by the introduction of the Gender Action Plans</w:t>
      </w:r>
      <w:r w:rsidRPr="00BE154D">
        <w:t>, and gender-related lessons from early HPA reviews were successfully applied in future activations, such as in the Typhoon Haiyan response.</w:t>
      </w:r>
      <w:r w:rsidRPr="00DE4AA8">
        <w:t xml:space="preserve"> </w:t>
      </w:r>
      <w:r>
        <w:t xml:space="preserve">There </w:t>
      </w:r>
      <w:r w:rsidRPr="00BE154D">
        <w:t>is a</w:t>
      </w:r>
      <w:r>
        <w:t>n opportunity with a new mechanism t</w:t>
      </w:r>
      <w:r w:rsidRPr="00BE154D">
        <w:t xml:space="preserve">o take this work to a higher level. </w:t>
      </w:r>
    </w:p>
    <w:p w14:paraId="77545070" w14:textId="254A44F7" w:rsidR="008768A9" w:rsidRPr="00BE154D" w:rsidRDefault="008768A9" w:rsidP="008768A9">
      <w:pPr>
        <w:pStyle w:val="SDAbulletpoints"/>
      </w:pPr>
      <w:r w:rsidRPr="00DE4AA8">
        <w:rPr>
          <w:b/>
        </w:rPr>
        <w:t>The HPA has supported a focus on protection mainstreaming</w:t>
      </w:r>
      <w:r w:rsidR="00366DCD">
        <w:rPr>
          <w:b/>
        </w:rPr>
        <w:t xml:space="preserve">. </w:t>
      </w:r>
      <w:r w:rsidR="00366DCD" w:rsidRPr="00366DCD">
        <w:t>A</w:t>
      </w:r>
      <w:r w:rsidRPr="00366DCD">
        <w:t xml:space="preserve">n </w:t>
      </w:r>
      <w:r w:rsidRPr="00DE4AA8">
        <w:t>implementing partner not</w:t>
      </w:r>
      <w:r w:rsidR="00366DCD">
        <w:t>ed</w:t>
      </w:r>
      <w:r w:rsidRPr="00DE4AA8">
        <w:t xml:space="preserve"> that this was</w:t>
      </w:r>
      <w:r w:rsidRPr="00BE154D">
        <w:t xml:space="preserve"> highly beneficial and rare compared with other donors. </w:t>
      </w:r>
    </w:p>
    <w:p w14:paraId="789ED1B2" w14:textId="2DC0DA6F" w:rsidR="008768A9" w:rsidRPr="00BE154D" w:rsidRDefault="008768A9" w:rsidP="008768A9">
      <w:pPr>
        <w:pStyle w:val="SDAbulletpoints"/>
      </w:pPr>
      <w:r w:rsidRPr="00BE154D">
        <w:rPr>
          <w:b/>
        </w:rPr>
        <w:t xml:space="preserve">Protection and </w:t>
      </w:r>
      <w:r w:rsidR="00051FF6">
        <w:rPr>
          <w:b/>
        </w:rPr>
        <w:t xml:space="preserve">other </w:t>
      </w:r>
      <w:r w:rsidRPr="00BE154D">
        <w:rPr>
          <w:b/>
        </w:rPr>
        <w:t>cross</w:t>
      </w:r>
      <w:r w:rsidR="00366DCD">
        <w:rPr>
          <w:b/>
        </w:rPr>
        <w:t>-</w:t>
      </w:r>
      <w:r w:rsidRPr="00BE154D">
        <w:rPr>
          <w:b/>
        </w:rPr>
        <w:t xml:space="preserve">cutting issues (i.e. </w:t>
      </w:r>
      <w:r w:rsidR="00366DCD">
        <w:rPr>
          <w:b/>
        </w:rPr>
        <w:t>disability i</w:t>
      </w:r>
      <w:r w:rsidRPr="00BE154D">
        <w:rPr>
          <w:b/>
        </w:rPr>
        <w:t xml:space="preserve">nclusion and </w:t>
      </w:r>
      <w:r w:rsidR="00366DCD">
        <w:rPr>
          <w:b/>
        </w:rPr>
        <w:t>c</w:t>
      </w:r>
      <w:r w:rsidRPr="00BE154D">
        <w:rPr>
          <w:b/>
        </w:rPr>
        <w:t xml:space="preserve">hild </w:t>
      </w:r>
      <w:r w:rsidR="00366DCD">
        <w:rPr>
          <w:b/>
        </w:rPr>
        <w:t>p</w:t>
      </w:r>
      <w:r w:rsidRPr="00BE154D">
        <w:rPr>
          <w:b/>
        </w:rPr>
        <w:t>rotection) have not been adequately integrated into HPA MEL</w:t>
      </w:r>
      <w:r>
        <w:rPr>
          <w:b/>
        </w:rPr>
        <w:t xml:space="preserve">, </w:t>
      </w:r>
      <w:r w:rsidRPr="00DE4AA8">
        <w:t>making it difficult to assess</w:t>
      </w:r>
      <w:r w:rsidRPr="00BE154D">
        <w:t xml:space="preserve"> partner achievements and challenges in relation to </w:t>
      </w:r>
      <w:r w:rsidR="00366DCD">
        <w:t>these issues</w:t>
      </w:r>
      <w:r w:rsidRPr="00BE154D">
        <w:t xml:space="preserve">.   </w:t>
      </w:r>
    </w:p>
    <w:p w14:paraId="7FDF80FD" w14:textId="01F5EA73" w:rsidR="008768A9" w:rsidRPr="00BE154D" w:rsidRDefault="008768A9" w:rsidP="008768A9">
      <w:pPr>
        <w:pStyle w:val="SDAbulletpoints"/>
      </w:pPr>
      <w:r w:rsidRPr="00DE4AA8">
        <w:rPr>
          <w:b/>
        </w:rPr>
        <w:t xml:space="preserve">It would be </w:t>
      </w:r>
      <w:r w:rsidR="00051FF6">
        <w:rPr>
          <w:b/>
        </w:rPr>
        <w:t>helpful</w:t>
      </w:r>
      <w:r w:rsidRPr="00DE4AA8">
        <w:rPr>
          <w:b/>
        </w:rPr>
        <w:t xml:space="preserve"> if DFAT clarified i</w:t>
      </w:r>
      <w:r>
        <w:rPr>
          <w:b/>
        </w:rPr>
        <w:t>t</w:t>
      </w:r>
      <w:r w:rsidRPr="00DE4AA8">
        <w:rPr>
          <w:b/>
        </w:rPr>
        <w:t>s position on protection within HPA activations</w:t>
      </w:r>
      <w:r>
        <w:t>, as some partners noted that dedicated p</w:t>
      </w:r>
      <w:r w:rsidRPr="00BE154D">
        <w:t xml:space="preserve">rotection activities </w:t>
      </w:r>
      <w:r w:rsidR="00366DCD">
        <w:t>were often</w:t>
      </w:r>
      <w:r w:rsidRPr="00BE154D">
        <w:t xml:space="preserve"> </w:t>
      </w:r>
      <w:r>
        <w:t>removed from</w:t>
      </w:r>
      <w:r w:rsidRPr="00BE154D">
        <w:t xml:space="preserve"> proposals in favour of 'harder-edged' frontline responses</w:t>
      </w:r>
      <w:r>
        <w:t xml:space="preserve">. </w:t>
      </w:r>
      <w:r w:rsidRPr="00BE154D">
        <w:t xml:space="preserve"> </w:t>
      </w:r>
      <w:r>
        <w:t xml:space="preserve">As a result, HPA NGO partners have </w:t>
      </w:r>
      <w:r w:rsidR="00366DCD">
        <w:t>appeared to mainly focus</w:t>
      </w:r>
      <w:r>
        <w:t xml:space="preserve"> </w:t>
      </w:r>
      <w:r w:rsidR="00C065CD">
        <w:t xml:space="preserve">on </w:t>
      </w:r>
      <w:r>
        <w:t>mainstreaming protection into humanitarian responses.</w:t>
      </w:r>
    </w:p>
    <w:p w14:paraId="3C645655" w14:textId="77777777" w:rsidR="006C24B0" w:rsidRDefault="006C24B0" w:rsidP="00A16353">
      <w:pPr>
        <w:pStyle w:val="ListParagraph"/>
        <w:spacing w:after="0" w:line="240" w:lineRule="auto"/>
        <w:ind w:left="360"/>
        <w:jc w:val="both"/>
      </w:pPr>
    </w:p>
    <w:p w14:paraId="7050CE6C" w14:textId="77777777" w:rsidR="00F62177" w:rsidRDefault="00F62177" w:rsidP="00565770">
      <w:pPr>
        <w:pStyle w:val="SDANumberedheading2"/>
        <w:ind w:left="709" w:hanging="709"/>
      </w:pPr>
      <w:bookmarkStart w:id="24" w:name="_Toc423711140"/>
      <w:r>
        <w:t>Public Awareness and Visibility</w:t>
      </w:r>
      <w:bookmarkEnd w:id="24"/>
    </w:p>
    <w:p w14:paraId="670BF360" w14:textId="77777777" w:rsidR="00C25AB3" w:rsidRPr="00C25AB3" w:rsidRDefault="00C25AB3" w:rsidP="00C25AB3">
      <w:pPr>
        <w:pStyle w:val="SDAbulletpoints"/>
      </w:pPr>
      <w:r>
        <w:rPr>
          <w:b/>
        </w:rPr>
        <w:t>The r</w:t>
      </w:r>
      <w:r w:rsidRPr="00C25AB3">
        <w:rPr>
          <w:b/>
        </w:rPr>
        <w:t>apid release of funds is an important contributor to visibility</w:t>
      </w:r>
      <w:r w:rsidRPr="00C25AB3">
        <w:t xml:space="preserve"> of the Australian response to a humanitarian emergency.</w:t>
      </w:r>
      <w:r w:rsidRPr="00DE128A">
        <w:rPr>
          <w:rStyle w:val="FootnoteReference"/>
        </w:rPr>
        <w:footnoteReference w:id="51"/>
      </w:r>
      <w:r w:rsidRPr="00DE128A">
        <w:rPr>
          <w:rStyle w:val="FootnoteReference"/>
        </w:rPr>
        <w:t xml:space="preserve"> </w:t>
      </w:r>
      <w:r>
        <w:t xml:space="preserve"> </w:t>
      </w:r>
      <w:r w:rsidRPr="00C25AB3">
        <w:t xml:space="preserve"> </w:t>
      </w:r>
    </w:p>
    <w:p w14:paraId="5084AAAD" w14:textId="40C96447" w:rsidR="00BD01A9" w:rsidRPr="00C25AB3" w:rsidRDefault="00DE128A" w:rsidP="00C25AB3">
      <w:pPr>
        <w:pStyle w:val="SDAbulletpoints"/>
      </w:pPr>
      <w:r>
        <w:rPr>
          <w:b/>
        </w:rPr>
        <w:t xml:space="preserve">A </w:t>
      </w:r>
      <w:r w:rsidR="00C25AB3" w:rsidRPr="00C25AB3">
        <w:rPr>
          <w:b/>
        </w:rPr>
        <w:t>lack of clarity on what to promote</w:t>
      </w:r>
      <w:r>
        <w:rPr>
          <w:b/>
        </w:rPr>
        <w:t xml:space="preserve"> (</w:t>
      </w:r>
      <w:r w:rsidR="00C25AB3" w:rsidRPr="00C25AB3">
        <w:rPr>
          <w:b/>
        </w:rPr>
        <w:t>to who and how</w:t>
      </w:r>
      <w:r>
        <w:rPr>
          <w:b/>
        </w:rPr>
        <w:t>),</w:t>
      </w:r>
      <w:r w:rsidR="00C25AB3" w:rsidRPr="00C25AB3">
        <w:t xml:space="preserve"> </w:t>
      </w:r>
      <w:r w:rsidR="00BD01A9" w:rsidRPr="00DE128A">
        <w:rPr>
          <w:b/>
        </w:rPr>
        <w:t xml:space="preserve">has </w:t>
      </w:r>
      <w:r w:rsidR="00C25AB3" w:rsidRPr="00DE128A">
        <w:rPr>
          <w:b/>
        </w:rPr>
        <w:t>led to</w:t>
      </w:r>
      <w:r w:rsidR="00BD01A9" w:rsidRPr="00DE128A">
        <w:rPr>
          <w:b/>
        </w:rPr>
        <w:t xml:space="preserve"> missed opportunit</w:t>
      </w:r>
      <w:r w:rsidR="00C25AB3" w:rsidRPr="00DE128A">
        <w:rPr>
          <w:b/>
        </w:rPr>
        <w:t>ies</w:t>
      </w:r>
      <w:r w:rsidR="00BD01A9" w:rsidRPr="00C25AB3">
        <w:t xml:space="preserve"> to </w:t>
      </w:r>
      <w:r w:rsidR="00366DCD">
        <w:t>showcase</w:t>
      </w:r>
      <w:r w:rsidR="00BD01A9" w:rsidRPr="00C25AB3">
        <w:t xml:space="preserve"> the collective </w:t>
      </w:r>
      <w:r>
        <w:t>achievements of the HP</w:t>
      </w:r>
      <w:r w:rsidR="00051FF6">
        <w:t>A</w:t>
      </w:r>
      <w:r w:rsidR="00C25AB3">
        <w:t>.</w:t>
      </w:r>
      <w:r w:rsidR="00BD01A9" w:rsidRPr="00C25AB3">
        <w:t xml:space="preserve"> </w:t>
      </w:r>
    </w:p>
    <w:p w14:paraId="0C9491E8" w14:textId="77777777" w:rsidR="00BD01A9" w:rsidRPr="00C25AB3" w:rsidRDefault="00BD01A9" w:rsidP="00C25AB3">
      <w:pPr>
        <w:pStyle w:val="SDAbulletpoints"/>
      </w:pPr>
      <w:r w:rsidRPr="00C25AB3">
        <w:rPr>
          <w:b/>
        </w:rPr>
        <w:t>There is a conceptual distinction between in-country visibility as a donor (i.e. stickers and signage) and visibility recognition as a global player</w:t>
      </w:r>
      <w:r w:rsidR="00C25AB3">
        <w:rPr>
          <w:b/>
        </w:rPr>
        <w:t xml:space="preserve">. </w:t>
      </w:r>
      <w:r w:rsidR="00C25AB3" w:rsidRPr="00C25AB3">
        <w:t>T</w:t>
      </w:r>
      <w:r w:rsidRPr="00C25AB3">
        <w:t>hese have not been appropriately distinguished in the implementation of the HPA.</w:t>
      </w:r>
    </w:p>
    <w:p w14:paraId="3AAE29B4" w14:textId="0918DE26" w:rsidR="00BD01A9" w:rsidRPr="00C25AB3" w:rsidRDefault="00BD01A9" w:rsidP="00C25AB3">
      <w:pPr>
        <w:pStyle w:val="SDAbulletpoints"/>
      </w:pPr>
      <w:r w:rsidRPr="00C25AB3">
        <w:rPr>
          <w:b/>
        </w:rPr>
        <w:t>The amount of funding that flows through the HPA</w:t>
      </w:r>
      <w:r w:rsidR="00C25AB3" w:rsidRPr="00C25AB3">
        <w:rPr>
          <w:b/>
        </w:rPr>
        <w:t xml:space="preserve"> poses challenges to promoting public awareness and visibility</w:t>
      </w:r>
      <w:r w:rsidR="00DE128A">
        <w:t xml:space="preserve">. In </w:t>
      </w:r>
      <w:r w:rsidR="00BE154D">
        <w:t>some instance, HPA</w:t>
      </w:r>
      <w:r w:rsidRPr="00C25AB3">
        <w:t xml:space="preserve"> funding is small relative to public donations; </w:t>
      </w:r>
      <w:r w:rsidR="00BE154D">
        <w:t>and</w:t>
      </w:r>
      <w:r w:rsidRPr="00C25AB3">
        <w:t xml:space="preserve"> in some countries</w:t>
      </w:r>
      <w:r w:rsidR="00BE154D">
        <w:t>, the</w:t>
      </w:r>
      <w:r w:rsidRPr="00C25AB3">
        <w:t xml:space="preserve"> total Australian funding is a small percentage of </w:t>
      </w:r>
      <w:r w:rsidR="00BE154D">
        <w:t>the global</w:t>
      </w:r>
      <w:r w:rsidRPr="00C25AB3">
        <w:t xml:space="preserve"> response. </w:t>
      </w:r>
    </w:p>
    <w:p w14:paraId="4682AF9D" w14:textId="77777777" w:rsidR="00DE128A" w:rsidRPr="00DE128A" w:rsidRDefault="00DE128A" w:rsidP="00C25AB3">
      <w:pPr>
        <w:pStyle w:val="SDAbulletpoints"/>
      </w:pPr>
      <w:r w:rsidRPr="00DE128A">
        <w:rPr>
          <w:b/>
        </w:rPr>
        <w:t>The absence of a visibility plan has negatively impacted on public awareness</w:t>
      </w:r>
      <w:r>
        <w:t xml:space="preserve"> of the HPA’s achievements.</w:t>
      </w:r>
      <w:r>
        <w:rPr>
          <w:rStyle w:val="FootnoteReference"/>
        </w:rPr>
        <w:footnoteReference w:id="52"/>
      </w:r>
      <w:r>
        <w:t xml:space="preserve"> </w:t>
      </w:r>
    </w:p>
    <w:p w14:paraId="1E97EFFB" w14:textId="78B1E2C5" w:rsidR="006C24B0" w:rsidRDefault="00DE128A" w:rsidP="00DE128A">
      <w:pPr>
        <w:pStyle w:val="SDAbulletpoints"/>
      </w:pPr>
      <w:r>
        <w:rPr>
          <w:b/>
        </w:rPr>
        <w:t xml:space="preserve">A shared understanding on branding </w:t>
      </w:r>
      <w:r w:rsidRPr="00DE128A">
        <w:t xml:space="preserve">(i.e. </w:t>
      </w:r>
      <w:r w:rsidR="00EB2E86">
        <w:t>should</w:t>
      </w:r>
      <w:r w:rsidR="00EB2E86" w:rsidRPr="00DE128A">
        <w:t xml:space="preserve"> </w:t>
      </w:r>
      <w:r w:rsidRPr="00DE128A">
        <w:t xml:space="preserve">the HPA have a brand of its own?) and target audiences (to assist with </w:t>
      </w:r>
      <w:r w:rsidR="00366DCD">
        <w:t>generating</w:t>
      </w:r>
      <w:r w:rsidRPr="00DE128A">
        <w:t xml:space="preserve"> case studies) would be beneficial.</w:t>
      </w:r>
      <w:r>
        <w:rPr>
          <w:b/>
        </w:rPr>
        <w:t xml:space="preserve"> </w:t>
      </w:r>
    </w:p>
    <w:p w14:paraId="45DE30C6" w14:textId="77777777" w:rsidR="006C24B0" w:rsidRDefault="006C24B0" w:rsidP="00DE4AA8">
      <w:pPr>
        <w:pStyle w:val="ListParagraph"/>
        <w:spacing w:after="0" w:line="240" w:lineRule="auto"/>
        <w:ind w:left="360"/>
        <w:jc w:val="both"/>
      </w:pPr>
    </w:p>
    <w:p w14:paraId="7801E56E" w14:textId="77777777" w:rsidR="00217CF0" w:rsidRDefault="00217CF0" w:rsidP="00565770">
      <w:pPr>
        <w:pStyle w:val="SDANumberedheading2"/>
        <w:ind w:left="709" w:hanging="709"/>
      </w:pPr>
      <w:bookmarkStart w:id="25" w:name="_Toc423711141"/>
      <w:r>
        <w:t>Case Study 1: Vanuatu</w:t>
      </w:r>
      <w:bookmarkEnd w:id="25"/>
    </w:p>
    <w:p w14:paraId="7BCBB46E" w14:textId="77777777" w:rsidR="00217CF0" w:rsidRPr="00217CF0" w:rsidRDefault="00217CF0" w:rsidP="00217CF0">
      <w:pPr>
        <w:pStyle w:val="SDAbodytext"/>
      </w:pPr>
      <w:r w:rsidRPr="00217CF0">
        <w:t>On 13 March 2015, the Category 5 Cyclone Pam struck Vanuatu. The HPA was activated on 15 March, as follows:</w:t>
      </w:r>
    </w:p>
    <w:tbl>
      <w:tblPr>
        <w:tblpPr w:leftFromText="180" w:rightFromText="180" w:vertAnchor="text" w:tblpX="108" w:tblpY="213"/>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3"/>
        <w:gridCol w:w="2467"/>
      </w:tblGrid>
      <w:tr w:rsidR="00217CF0" w14:paraId="51FBB0F5" w14:textId="77777777" w:rsidTr="00051FF6">
        <w:tc>
          <w:tcPr>
            <w:tcW w:w="5613" w:type="dxa"/>
            <w:tcMar>
              <w:top w:w="140" w:type="nil"/>
              <w:right w:w="140" w:type="nil"/>
            </w:tcMar>
          </w:tcPr>
          <w:p w14:paraId="50D5C962" w14:textId="77777777" w:rsidR="00217CF0" w:rsidRPr="00217CF0" w:rsidRDefault="00217CF0" w:rsidP="007D1603">
            <w:pPr>
              <w:pStyle w:val="SDAbodytext"/>
            </w:pPr>
            <w:r w:rsidRPr="00217CF0">
              <w:t>Activation</w:t>
            </w:r>
          </w:p>
        </w:tc>
        <w:tc>
          <w:tcPr>
            <w:tcW w:w="2467" w:type="dxa"/>
            <w:tcMar>
              <w:top w:w="140" w:type="nil"/>
              <w:right w:w="140" w:type="nil"/>
            </w:tcMar>
          </w:tcPr>
          <w:p w14:paraId="349BA452" w14:textId="77777777" w:rsidR="00217CF0" w:rsidRPr="00217CF0" w:rsidRDefault="00217CF0" w:rsidP="007D1603">
            <w:pPr>
              <w:pStyle w:val="SDAbodytext"/>
            </w:pPr>
            <w:r w:rsidRPr="00217CF0">
              <w:t>15 March 2015</w:t>
            </w:r>
          </w:p>
        </w:tc>
      </w:tr>
      <w:tr w:rsidR="00217CF0" w14:paraId="57B8B7B3" w14:textId="77777777" w:rsidTr="00051FF6">
        <w:tc>
          <w:tcPr>
            <w:tcW w:w="5613" w:type="dxa"/>
            <w:tcMar>
              <w:top w:w="140" w:type="nil"/>
              <w:right w:w="140" w:type="nil"/>
            </w:tcMar>
          </w:tcPr>
          <w:p w14:paraId="3FC098AC" w14:textId="77777777" w:rsidR="00217CF0" w:rsidRPr="00217CF0" w:rsidRDefault="00217CF0" w:rsidP="007D1603">
            <w:pPr>
              <w:pStyle w:val="SDAbodytext"/>
            </w:pPr>
            <w:r w:rsidRPr="00217CF0">
              <w:t>Response Committee</w:t>
            </w:r>
          </w:p>
        </w:tc>
        <w:tc>
          <w:tcPr>
            <w:tcW w:w="2467" w:type="dxa"/>
            <w:tcMar>
              <w:top w:w="140" w:type="nil"/>
              <w:right w:w="140" w:type="nil"/>
            </w:tcMar>
          </w:tcPr>
          <w:p w14:paraId="5AADC703" w14:textId="77777777" w:rsidR="00217CF0" w:rsidRPr="00217CF0" w:rsidRDefault="00217CF0" w:rsidP="007D1603">
            <w:pPr>
              <w:pStyle w:val="SDAbodytext"/>
            </w:pPr>
            <w:r w:rsidRPr="00217CF0">
              <w:t xml:space="preserve">18 March </w:t>
            </w:r>
          </w:p>
        </w:tc>
      </w:tr>
      <w:tr w:rsidR="00217CF0" w14:paraId="1B08F939" w14:textId="77777777" w:rsidTr="00051FF6">
        <w:tc>
          <w:tcPr>
            <w:tcW w:w="5613" w:type="dxa"/>
            <w:tcMar>
              <w:top w:w="140" w:type="nil"/>
              <w:right w:w="140" w:type="nil"/>
            </w:tcMar>
          </w:tcPr>
          <w:p w14:paraId="646C204C" w14:textId="77777777" w:rsidR="00217CF0" w:rsidRPr="00217CF0" w:rsidRDefault="00217CF0" w:rsidP="007D1603">
            <w:pPr>
              <w:pStyle w:val="SDAbodytext"/>
            </w:pPr>
            <w:r w:rsidRPr="00217CF0">
              <w:t>JERCP Submitted</w:t>
            </w:r>
          </w:p>
        </w:tc>
        <w:tc>
          <w:tcPr>
            <w:tcW w:w="2467" w:type="dxa"/>
            <w:tcMar>
              <w:top w:w="140" w:type="nil"/>
              <w:right w:w="140" w:type="nil"/>
            </w:tcMar>
          </w:tcPr>
          <w:p w14:paraId="231FEE62" w14:textId="77777777" w:rsidR="00217CF0" w:rsidRPr="00217CF0" w:rsidRDefault="00217CF0" w:rsidP="007D1603">
            <w:pPr>
              <w:pStyle w:val="SDAbodytext"/>
            </w:pPr>
            <w:r w:rsidRPr="00217CF0">
              <w:t xml:space="preserve">18 March </w:t>
            </w:r>
          </w:p>
        </w:tc>
      </w:tr>
      <w:tr w:rsidR="00217CF0" w14:paraId="294F7FFB" w14:textId="77777777" w:rsidTr="00051FF6">
        <w:tc>
          <w:tcPr>
            <w:tcW w:w="5613" w:type="dxa"/>
            <w:tcMar>
              <w:top w:w="140" w:type="nil"/>
              <w:right w:w="140" w:type="nil"/>
            </w:tcMar>
          </w:tcPr>
          <w:p w14:paraId="424DCE75" w14:textId="77777777" w:rsidR="00217CF0" w:rsidRPr="00217CF0" w:rsidRDefault="00217CF0" w:rsidP="007D1603">
            <w:pPr>
              <w:pStyle w:val="SDAbodytext"/>
            </w:pPr>
            <w:r w:rsidRPr="00217CF0">
              <w:t>JERCP Approved</w:t>
            </w:r>
          </w:p>
        </w:tc>
        <w:tc>
          <w:tcPr>
            <w:tcW w:w="2467" w:type="dxa"/>
            <w:tcMar>
              <w:top w:w="140" w:type="nil"/>
              <w:right w:w="140" w:type="nil"/>
            </w:tcMar>
          </w:tcPr>
          <w:p w14:paraId="3DF634AC" w14:textId="77777777" w:rsidR="00217CF0" w:rsidRPr="00217CF0" w:rsidRDefault="00217CF0" w:rsidP="007D1603">
            <w:pPr>
              <w:pStyle w:val="SDAbodytext"/>
            </w:pPr>
            <w:r w:rsidRPr="00217CF0">
              <w:t xml:space="preserve">22 March </w:t>
            </w:r>
          </w:p>
        </w:tc>
      </w:tr>
      <w:tr w:rsidR="00217CF0" w14:paraId="793A7D75" w14:textId="77777777" w:rsidTr="00051FF6">
        <w:tc>
          <w:tcPr>
            <w:tcW w:w="5613" w:type="dxa"/>
            <w:tcMar>
              <w:top w:w="140" w:type="nil"/>
              <w:right w:w="140" w:type="nil"/>
            </w:tcMar>
          </w:tcPr>
          <w:p w14:paraId="69ED7D53" w14:textId="77777777" w:rsidR="00217CF0" w:rsidRPr="00217CF0" w:rsidRDefault="00217CF0" w:rsidP="007D1603">
            <w:pPr>
              <w:pStyle w:val="SDAbodytext"/>
            </w:pPr>
            <w:r w:rsidRPr="00217CF0">
              <w:t>Grant Order Signed by DFAT</w:t>
            </w:r>
          </w:p>
        </w:tc>
        <w:tc>
          <w:tcPr>
            <w:tcW w:w="2467" w:type="dxa"/>
            <w:tcMar>
              <w:top w:w="140" w:type="nil"/>
              <w:right w:w="140" w:type="nil"/>
            </w:tcMar>
          </w:tcPr>
          <w:p w14:paraId="56EDBB62" w14:textId="77777777" w:rsidR="00217CF0" w:rsidRPr="00217CF0" w:rsidRDefault="00217CF0" w:rsidP="007D1603">
            <w:pPr>
              <w:pStyle w:val="SDAbodytext"/>
            </w:pPr>
            <w:r w:rsidRPr="00217CF0">
              <w:t>24 March</w:t>
            </w:r>
          </w:p>
        </w:tc>
      </w:tr>
      <w:tr w:rsidR="00217CF0" w14:paraId="5088BB43" w14:textId="77777777" w:rsidTr="00051FF6">
        <w:tc>
          <w:tcPr>
            <w:tcW w:w="5613" w:type="dxa"/>
            <w:tcMar>
              <w:top w:w="140" w:type="nil"/>
              <w:right w:w="140" w:type="nil"/>
            </w:tcMar>
          </w:tcPr>
          <w:p w14:paraId="53EBF00F" w14:textId="77777777" w:rsidR="00217CF0" w:rsidRPr="00217CF0" w:rsidRDefault="00217CF0" w:rsidP="007D1603">
            <w:pPr>
              <w:pStyle w:val="SDAbodytext"/>
            </w:pPr>
            <w:r w:rsidRPr="00217CF0">
              <w:t>Funds received by Lead Agency</w:t>
            </w:r>
          </w:p>
        </w:tc>
        <w:tc>
          <w:tcPr>
            <w:tcW w:w="2467" w:type="dxa"/>
            <w:tcMar>
              <w:top w:w="140" w:type="nil"/>
              <w:right w:w="140" w:type="nil"/>
            </w:tcMar>
          </w:tcPr>
          <w:p w14:paraId="1D654159" w14:textId="77777777" w:rsidR="00217CF0" w:rsidRPr="00217CF0" w:rsidRDefault="00217CF0" w:rsidP="007D1603">
            <w:pPr>
              <w:pStyle w:val="SDAbodytext"/>
            </w:pPr>
            <w:r w:rsidRPr="00217CF0">
              <w:t>31 March</w:t>
            </w:r>
          </w:p>
        </w:tc>
      </w:tr>
      <w:tr w:rsidR="00217CF0" w14:paraId="6028BCFF" w14:textId="77777777" w:rsidTr="00051FF6">
        <w:tc>
          <w:tcPr>
            <w:tcW w:w="5613" w:type="dxa"/>
            <w:tcMar>
              <w:top w:w="140" w:type="nil"/>
              <w:right w:w="140" w:type="nil"/>
            </w:tcMar>
          </w:tcPr>
          <w:p w14:paraId="2884E191" w14:textId="6C32AF53" w:rsidR="00217CF0" w:rsidRPr="00217CF0" w:rsidRDefault="00217CF0" w:rsidP="007D1603">
            <w:pPr>
              <w:pStyle w:val="SDAbodytext"/>
            </w:pPr>
            <w:r w:rsidRPr="00217CF0">
              <w:t xml:space="preserve">Sub-grant agreement signed </w:t>
            </w:r>
            <w:r w:rsidR="009F14FC">
              <w:t xml:space="preserve">between </w:t>
            </w:r>
            <w:r w:rsidRPr="00217CF0">
              <w:t>Lead Agency and sub-recipient</w:t>
            </w:r>
          </w:p>
        </w:tc>
        <w:tc>
          <w:tcPr>
            <w:tcW w:w="2467" w:type="dxa"/>
            <w:tcMar>
              <w:top w:w="140" w:type="nil"/>
              <w:right w:w="140" w:type="nil"/>
            </w:tcMar>
          </w:tcPr>
          <w:p w14:paraId="0CCE448E" w14:textId="77777777" w:rsidR="00217CF0" w:rsidRPr="00217CF0" w:rsidRDefault="00217CF0" w:rsidP="007D1603">
            <w:pPr>
              <w:pStyle w:val="SDAbodytext"/>
            </w:pPr>
            <w:r w:rsidRPr="00217CF0">
              <w:t>10 April</w:t>
            </w:r>
          </w:p>
        </w:tc>
      </w:tr>
      <w:tr w:rsidR="00217CF0" w14:paraId="6F5F6CA0" w14:textId="77777777" w:rsidTr="00051FF6">
        <w:trPr>
          <w:trHeight w:val="796"/>
        </w:trPr>
        <w:tc>
          <w:tcPr>
            <w:tcW w:w="5613" w:type="dxa"/>
            <w:tcMar>
              <w:top w:w="140" w:type="nil"/>
              <w:right w:w="140" w:type="nil"/>
            </w:tcMar>
          </w:tcPr>
          <w:p w14:paraId="15E7726F" w14:textId="77777777" w:rsidR="00217CF0" w:rsidRPr="00217CF0" w:rsidRDefault="00217CF0" w:rsidP="007D1603">
            <w:pPr>
              <w:pStyle w:val="SDAbodytext"/>
            </w:pPr>
            <w:r w:rsidRPr="00217CF0">
              <w:t>Date first NGO country partner received funds</w:t>
            </w:r>
          </w:p>
        </w:tc>
        <w:tc>
          <w:tcPr>
            <w:tcW w:w="2467" w:type="dxa"/>
            <w:tcMar>
              <w:top w:w="140" w:type="nil"/>
              <w:right w:w="140" w:type="nil"/>
            </w:tcMar>
          </w:tcPr>
          <w:p w14:paraId="6B1DC019" w14:textId="77777777" w:rsidR="00217CF0" w:rsidRPr="00217CF0" w:rsidRDefault="00217CF0" w:rsidP="007D1603">
            <w:pPr>
              <w:pStyle w:val="SDAbodytext"/>
            </w:pPr>
            <w:r w:rsidRPr="00217CF0">
              <w:t xml:space="preserve">13 April </w:t>
            </w:r>
          </w:p>
        </w:tc>
      </w:tr>
      <w:tr w:rsidR="00217CF0" w14:paraId="1AFC7131" w14:textId="77777777" w:rsidTr="00051FF6">
        <w:tc>
          <w:tcPr>
            <w:tcW w:w="5613" w:type="dxa"/>
            <w:tcMar>
              <w:top w:w="140" w:type="nil"/>
              <w:right w:w="140" w:type="nil"/>
            </w:tcMar>
          </w:tcPr>
          <w:p w14:paraId="3AD7258B" w14:textId="77777777" w:rsidR="00217CF0" w:rsidRPr="00217CF0" w:rsidRDefault="00217CF0" w:rsidP="007D1603">
            <w:pPr>
              <w:pStyle w:val="SDAbodytext"/>
            </w:pPr>
            <w:r w:rsidRPr="00217CF0">
              <w:t>Lessons learnt exercise</w:t>
            </w:r>
          </w:p>
        </w:tc>
        <w:tc>
          <w:tcPr>
            <w:tcW w:w="2467" w:type="dxa"/>
            <w:tcMar>
              <w:top w:w="140" w:type="nil"/>
              <w:right w:w="140" w:type="nil"/>
            </w:tcMar>
          </w:tcPr>
          <w:p w14:paraId="6AC8233B" w14:textId="77777777" w:rsidR="00217CF0" w:rsidRPr="00217CF0" w:rsidRDefault="00217CF0" w:rsidP="007D1603">
            <w:pPr>
              <w:pStyle w:val="SDAbodytext"/>
            </w:pPr>
            <w:r w:rsidRPr="00217CF0">
              <w:t>24 June 2015</w:t>
            </w:r>
          </w:p>
        </w:tc>
      </w:tr>
    </w:tbl>
    <w:p w14:paraId="618F27DC" w14:textId="77777777" w:rsidR="00217CF0" w:rsidRPr="00217CF0" w:rsidRDefault="00217CF0" w:rsidP="00217CF0">
      <w:pPr>
        <w:pStyle w:val="SDAbodytext"/>
      </w:pPr>
    </w:p>
    <w:p w14:paraId="4BF91291" w14:textId="77777777" w:rsidR="00217CF0" w:rsidRDefault="00217CF0" w:rsidP="00217CF0">
      <w:pPr>
        <w:pStyle w:val="SDAbodytext"/>
      </w:pPr>
    </w:p>
    <w:p w14:paraId="31E445A0" w14:textId="77777777" w:rsidR="007F51B8" w:rsidRDefault="007F51B8" w:rsidP="00217CF0">
      <w:pPr>
        <w:pStyle w:val="SDAbodytext"/>
        <w:rPr>
          <w:b/>
        </w:rPr>
      </w:pPr>
    </w:p>
    <w:p w14:paraId="1D4FD2D5" w14:textId="77777777" w:rsidR="007F51B8" w:rsidRDefault="007F51B8" w:rsidP="00217CF0">
      <w:pPr>
        <w:pStyle w:val="SDAbodytext"/>
        <w:rPr>
          <w:b/>
        </w:rPr>
      </w:pPr>
    </w:p>
    <w:p w14:paraId="1A5808B4" w14:textId="77777777" w:rsidR="007F51B8" w:rsidRDefault="007F51B8" w:rsidP="00217CF0">
      <w:pPr>
        <w:pStyle w:val="SDAbodytext"/>
        <w:rPr>
          <w:b/>
        </w:rPr>
      </w:pPr>
    </w:p>
    <w:p w14:paraId="3E529444" w14:textId="77777777" w:rsidR="007F51B8" w:rsidRDefault="007F51B8" w:rsidP="00217CF0">
      <w:pPr>
        <w:pStyle w:val="SDAbodytext"/>
        <w:rPr>
          <w:b/>
        </w:rPr>
      </w:pPr>
    </w:p>
    <w:p w14:paraId="1A0F0FEE" w14:textId="77777777" w:rsidR="00051FF6" w:rsidRDefault="00051FF6" w:rsidP="00217CF0">
      <w:pPr>
        <w:pStyle w:val="SDAbodytext"/>
        <w:rPr>
          <w:b/>
        </w:rPr>
      </w:pPr>
    </w:p>
    <w:p w14:paraId="4EE2D2CF" w14:textId="77777777" w:rsidR="00051FF6" w:rsidRDefault="00051FF6" w:rsidP="00217CF0">
      <w:pPr>
        <w:pStyle w:val="SDAbodytext"/>
        <w:rPr>
          <w:b/>
        </w:rPr>
      </w:pPr>
    </w:p>
    <w:p w14:paraId="6EBE35A0" w14:textId="77777777" w:rsidR="00051FF6" w:rsidRDefault="00051FF6" w:rsidP="00217CF0">
      <w:pPr>
        <w:pStyle w:val="SDAbodytext"/>
        <w:rPr>
          <w:b/>
        </w:rPr>
      </w:pPr>
    </w:p>
    <w:p w14:paraId="121C2095" w14:textId="77777777" w:rsidR="00051FF6" w:rsidRDefault="00051FF6" w:rsidP="00217CF0">
      <w:pPr>
        <w:pStyle w:val="SDAbodytext"/>
        <w:rPr>
          <w:b/>
        </w:rPr>
      </w:pPr>
    </w:p>
    <w:p w14:paraId="5C1AA55B" w14:textId="77777777" w:rsidR="00051FF6" w:rsidRDefault="00051FF6" w:rsidP="00217CF0">
      <w:pPr>
        <w:pStyle w:val="SDAbodytext"/>
        <w:rPr>
          <w:b/>
        </w:rPr>
      </w:pPr>
    </w:p>
    <w:p w14:paraId="05467ADD" w14:textId="77777777" w:rsidR="00051FF6" w:rsidRDefault="00051FF6" w:rsidP="00217CF0">
      <w:pPr>
        <w:pStyle w:val="SDAbodytext"/>
        <w:rPr>
          <w:b/>
        </w:rPr>
      </w:pPr>
    </w:p>
    <w:p w14:paraId="7BE42BDA" w14:textId="77777777" w:rsidR="00051FF6" w:rsidRDefault="00051FF6" w:rsidP="00217CF0">
      <w:pPr>
        <w:pStyle w:val="SDAbodytext"/>
        <w:rPr>
          <w:b/>
        </w:rPr>
      </w:pPr>
    </w:p>
    <w:p w14:paraId="7B73338B" w14:textId="77777777" w:rsidR="00051FF6" w:rsidRDefault="00051FF6" w:rsidP="00217CF0">
      <w:pPr>
        <w:pStyle w:val="SDAbodytext"/>
        <w:rPr>
          <w:b/>
        </w:rPr>
      </w:pPr>
    </w:p>
    <w:p w14:paraId="2D4A10E1" w14:textId="7DB6B19E" w:rsidR="00217CF0" w:rsidRPr="00217CF0" w:rsidRDefault="00217CF0" w:rsidP="00217CF0">
      <w:pPr>
        <w:pStyle w:val="SDAbodytext"/>
        <w:rPr>
          <w:b/>
        </w:rPr>
      </w:pPr>
      <w:r w:rsidRPr="00217CF0">
        <w:rPr>
          <w:b/>
        </w:rPr>
        <w:t xml:space="preserve">The Vanuatu activation of the HPA highlighted the following lessons learned: </w:t>
      </w:r>
    </w:p>
    <w:p w14:paraId="0D76572A" w14:textId="42E5793E" w:rsidR="00217CF0" w:rsidRPr="00217CF0" w:rsidRDefault="00217CF0" w:rsidP="00217CF0">
      <w:pPr>
        <w:pStyle w:val="SDAbulletpoints"/>
      </w:pPr>
      <w:r w:rsidRPr="00217CF0">
        <w:rPr>
          <w:b/>
        </w:rPr>
        <w:t>The consortium approach was a worthy experiment, demonstra</w:t>
      </w:r>
      <w:r w:rsidR="009F14FC">
        <w:rPr>
          <w:b/>
        </w:rPr>
        <w:t xml:space="preserve">ting </w:t>
      </w:r>
      <w:r w:rsidRPr="00217CF0">
        <w:rPr>
          <w:b/>
        </w:rPr>
        <w:t xml:space="preserve">advantages as well as </w:t>
      </w:r>
      <w:r w:rsidR="009F14FC">
        <w:rPr>
          <w:b/>
        </w:rPr>
        <w:t>dis</w:t>
      </w:r>
      <w:r w:rsidRPr="00217CF0">
        <w:rPr>
          <w:b/>
        </w:rPr>
        <w:t>advantages</w:t>
      </w:r>
      <w:r w:rsidRPr="00217CF0">
        <w:t xml:space="preserve">. DFAT appreciated the reduced administrative workload of contracting and liaison, and sub-contracted partners were positive about the arrangement. In this case, pre-existing in-country </w:t>
      </w:r>
      <w:r w:rsidR="00051FF6">
        <w:t>structures</w:t>
      </w:r>
      <w:r w:rsidRPr="00217CF0">
        <w:t xml:space="preserve"> (with Oxfam as chair of the Vanuatu Humanitarian Team) presented an obvious consortium </w:t>
      </w:r>
      <w:r w:rsidR="00051FF6">
        <w:t>lead</w:t>
      </w:r>
      <w:r w:rsidRPr="00217CF0">
        <w:t xml:space="preserve">. However, sub-contracting is not </w:t>
      </w:r>
      <w:proofErr w:type="gramStart"/>
      <w:r w:rsidRPr="00217CF0">
        <w:t>an</w:t>
      </w:r>
      <w:proofErr w:type="gramEnd"/>
      <w:r w:rsidRPr="00217CF0">
        <w:t xml:space="preserve"> NGOs' core business, and pre-arranged agreements were not in place, resulting in some delays. If sub-contracting is to be done by an NGO partner, the pre-arrangement of agreements is necessary. There </w:t>
      </w:r>
      <w:r w:rsidR="009F14FC">
        <w:t xml:space="preserve">remain some </w:t>
      </w:r>
      <w:r w:rsidRPr="00217CF0">
        <w:t>outstanding questions</w:t>
      </w:r>
      <w:r w:rsidR="00366DCD">
        <w:t>, including around</w:t>
      </w:r>
      <w:r w:rsidRPr="00217CF0">
        <w:t xml:space="preserve"> resou</w:t>
      </w:r>
      <w:r w:rsidR="00366DCD">
        <w:t>rcing for the consortium lead, and responsibilities related to c</w:t>
      </w:r>
      <w:r w:rsidRPr="00217CF0">
        <w:t xml:space="preserve">oordination of reporting. </w:t>
      </w:r>
    </w:p>
    <w:p w14:paraId="0FFAAE6B" w14:textId="44A05B57" w:rsidR="00217CF0" w:rsidRPr="00217CF0" w:rsidRDefault="00217CF0" w:rsidP="00217CF0">
      <w:pPr>
        <w:pStyle w:val="SDAbulletpoints"/>
      </w:pPr>
      <w:r w:rsidRPr="00217CF0">
        <w:rPr>
          <w:b/>
        </w:rPr>
        <w:t>Capacity mapping should be strengthened by including consideration of all relevant agreements with partner governments</w:t>
      </w:r>
      <w:r w:rsidRPr="00217CF0">
        <w:t>, as well as through scenario planning. Instances of requisite agreements with the Government of Vanuatu not being in place resulted in some delay</w:t>
      </w:r>
      <w:r w:rsidR="00366DCD">
        <w:t xml:space="preserve">, </w:t>
      </w:r>
      <w:r w:rsidRPr="00217CF0">
        <w:t xml:space="preserve">and tension with the </w:t>
      </w:r>
      <w:r w:rsidR="00366DCD">
        <w:t xml:space="preserve">Vanuatu </w:t>
      </w:r>
      <w:r w:rsidRPr="00217CF0">
        <w:t xml:space="preserve">Government. Relatively predictable disasters (such as cyclones striking Vanuatu) present an opportunity for scenario planning </w:t>
      </w:r>
      <w:r w:rsidR="00366DCD" w:rsidRPr="00217CF0">
        <w:t xml:space="preserve">removed from </w:t>
      </w:r>
      <w:r w:rsidR="00366DCD">
        <w:t>the</w:t>
      </w:r>
      <w:r w:rsidR="00366DCD" w:rsidRPr="00217CF0">
        <w:t xml:space="preserve"> high-pressure </w:t>
      </w:r>
      <w:r w:rsidR="00366DCD">
        <w:t xml:space="preserve">response </w:t>
      </w:r>
      <w:r w:rsidR="00366DCD" w:rsidRPr="00217CF0">
        <w:t>environment</w:t>
      </w:r>
      <w:r w:rsidR="00366DCD">
        <w:t>, which could include a</w:t>
      </w:r>
      <w:r w:rsidRPr="00217CF0">
        <w:t xml:space="preserve"> </w:t>
      </w:r>
      <w:r w:rsidR="00366DCD">
        <w:t>c</w:t>
      </w:r>
      <w:r w:rsidRPr="00217CF0">
        <w:t xml:space="preserve">omprehensive mapping of </w:t>
      </w:r>
      <w:r w:rsidR="00366DCD">
        <w:t xml:space="preserve">NGO </w:t>
      </w:r>
      <w:r w:rsidRPr="00217CF0">
        <w:t>capacity</w:t>
      </w:r>
      <w:r w:rsidR="00366DCD">
        <w:t>.</w:t>
      </w:r>
      <w:r w:rsidRPr="00217CF0">
        <w:t xml:space="preserve"> </w:t>
      </w:r>
    </w:p>
    <w:p w14:paraId="1F01EF47" w14:textId="31B1BE81" w:rsidR="00217CF0" w:rsidRPr="00217CF0" w:rsidRDefault="00217CF0" w:rsidP="00217CF0">
      <w:pPr>
        <w:pStyle w:val="SDAbulletpoints"/>
      </w:pPr>
      <w:r w:rsidRPr="00217CF0">
        <w:rPr>
          <w:b/>
        </w:rPr>
        <w:t xml:space="preserve">DFAT staff turnover impacts on </w:t>
      </w:r>
      <w:r w:rsidR="00366DCD">
        <w:rPr>
          <w:b/>
        </w:rPr>
        <w:t xml:space="preserve">the </w:t>
      </w:r>
      <w:r w:rsidRPr="00217CF0">
        <w:rPr>
          <w:b/>
        </w:rPr>
        <w:t>efficient operation of the HPA mechanism</w:t>
      </w:r>
      <w:r w:rsidRPr="00217CF0">
        <w:t xml:space="preserve">. NGO partners report that DFAT's processes for induction, training and rotating staff have led to improved engagement in the latter years of the HPA. Nonetheless, well-intentioned but unexplained deviations from standard procedures – such as DFAT providing scoring and requesting submission of a revised JERCP, and altering dates for spending commencement – led to some confusion. The negative impact of these was </w:t>
      </w:r>
      <w:r w:rsidR="00366DCD">
        <w:t xml:space="preserve">reported to be </w:t>
      </w:r>
      <w:r w:rsidRPr="00217CF0">
        <w:t>minimal</w:t>
      </w:r>
      <w:r w:rsidR="00366DCD">
        <w:t>,</w:t>
      </w:r>
      <w:r w:rsidR="00366DCD">
        <w:rPr>
          <w:rStyle w:val="FootnoteReference"/>
        </w:rPr>
        <w:footnoteReference w:id="53"/>
      </w:r>
      <w:r w:rsidRPr="00217CF0">
        <w:t xml:space="preserve"> but they highlight the importance of procedures to deal with the frequency of DFAT staff turnover.</w:t>
      </w:r>
    </w:p>
    <w:p w14:paraId="2845374F" w14:textId="257483ED" w:rsidR="00217CF0" w:rsidRPr="00217CF0" w:rsidRDefault="00217CF0" w:rsidP="00217CF0">
      <w:pPr>
        <w:pStyle w:val="SDAbulletpoints"/>
      </w:pPr>
      <w:r w:rsidRPr="00217CF0">
        <w:rPr>
          <w:b/>
        </w:rPr>
        <w:t>Collaboration on distribution of supplies is a promising new development, but processes need improving.</w:t>
      </w:r>
      <w:r w:rsidRPr="00217CF0">
        <w:t xml:space="preserve"> Use of </w:t>
      </w:r>
      <w:r w:rsidR="00366DCD">
        <w:t>Australian Defence Force (</w:t>
      </w:r>
      <w:r w:rsidRPr="00217CF0">
        <w:t>ADF</w:t>
      </w:r>
      <w:r w:rsidR="00366DCD">
        <w:t>)</w:t>
      </w:r>
      <w:r w:rsidRPr="00217CF0">
        <w:t xml:space="preserve"> assets to get supplies into the recipient country and use of NGO systems to distribute them to beneficiaries represent a logical development in a partnership of mutual trust. However, clarity is needed on a range of procedural issues including: standard operating procedures (agreed with whole-of-government partners)</w:t>
      </w:r>
      <w:r w:rsidR="00C065CD">
        <w:t>;</w:t>
      </w:r>
      <w:r w:rsidRPr="00217CF0">
        <w:t xml:space="preserve"> which agencies ADF assets are available to</w:t>
      </w:r>
      <w:r w:rsidR="00C065CD">
        <w:t>;</w:t>
      </w:r>
      <w:r w:rsidRPr="00217CF0">
        <w:t xml:space="preserve"> the terms on which supplies are gifted</w:t>
      </w:r>
      <w:r w:rsidR="00C065CD">
        <w:t>;</w:t>
      </w:r>
      <w:r w:rsidRPr="00217CF0">
        <w:t xml:space="preserve"> and coordination with the logistics cluster.</w:t>
      </w:r>
    </w:p>
    <w:p w14:paraId="0267943D" w14:textId="77777777" w:rsidR="00217CF0" w:rsidRDefault="00217CF0" w:rsidP="00217CF0">
      <w:pPr>
        <w:pStyle w:val="SDANumberedheading2"/>
        <w:numPr>
          <w:ilvl w:val="0"/>
          <w:numId w:val="0"/>
        </w:numPr>
        <w:ind w:left="709"/>
      </w:pPr>
    </w:p>
    <w:p w14:paraId="5AAEA706" w14:textId="77777777" w:rsidR="00217CF0" w:rsidRDefault="00217CF0" w:rsidP="00565770">
      <w:pPr>
        <w:pStyle w:val="SDANumberedheading2"/>
        <w:ind w:left="709" w:hanging="709"/>
      </w:pPr>
      <w:bookmarkStart w:id="26" w:name="_Toc423711142"/>
      <w:r>
        <w:t>Case Study</w:t>
      </w:r>
      <w:r w:rsidR="00366DCD">
        <w:t xml:space="preserve"> 2</w:t>
      </w:r>
      <w:r>
        <w:t>: Lebanon</w:t>
      </w:r>
      <w:bookmarkEnd w:id="26"/>
    </w:p>
    <w:p w14:paraId="794A7A3A" w14:textId="466A5C52" w:rsidR="00217CF0" w:rsidRPr="00217CF0" w:rsidRDefault="00217CF0" w:rsidP="00217CF0">
      <w:pPr>
        <w:pStyle w:val="SDAbodytext"/>
      </w:pPr>
      <w:r w:rsidRPr="00217CF0">
        <w:t>On 31 March 2015</w:t>
      </w:r>
      <w:r w:rsidR="009F14FC">
        <w:t>,</w:t>
      </w:r>
      <w:r w:rsidRPr="00217CF0">
        <w:t xml:space="preserve"> DFAT activated the HPA to respond to the refugee crisis in Lebanon resulting from conflict in Syria. This was the third activation of the HPA related to the conflict in Syria.</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410"/>
      </w:tblGrid>
      <w:tr w:rsidR="00217CF0" w14:paraId="2550D04B" w14:textId="77777777" w:rsidTr="00051FF6">
        <w:tc>
          <w:tcPr>
            <w:tcW w:w="5670" w:type="dxa"/>
            <w:tcMar>
              <w:top w:w="140" w:type="nil"/>
              <w:right w:w="140" w:type="nil"/>
            </w:tcMar>
          </w:tcPr>
          <w:p w14:paraId="39400D3D" w14:textId="77777777" w:rsidR="00217CF0" w:rsidRPr="00217CF0" w:rsidRDefault="00217CF0" w:rsidP="00217CF0">
            <w:pPr>
              <w:pStyle w:val="SDAbodytext"/>
            </w:pPr>
            <w:r w:rsidRPr="00217CF0">
              <w:t>Activation</w:t>
            </w:r>
          </w:p>
        </w:tc>
        <w:tc>
          <w:tcPr>
            <w:tcW w:w="2410" w:type="dxa"/>
            <w:tcMar>
              <w:top w:w="140" w:type="nil"/>
              <w:right w:w="140" w:type="nil"/>
            </w:tcMar>
          </w:tcPr>
          <w:p w14:paraId="6948B4E6" w14:textId="77777777" w:rsidR="00217CF0" w:rsidRPr="00217CF0" w:rsidRDefault="00217CF0" w:rsidP="00217CF0">
            <w:pPr>
              <w:pStyle w:val="SDAbodytext"/>
            </w:pPr>
            <w:r w:rsidRPr="00217CF0">
              <w:t>31 March 2015</w:t>
            </w:r>
          </w:p>
        </w:tc>
      </w:tr>
      <w:tr w:rsidR="00217CF0" w14:paraId="7CBB275D" w14:textId="77777777" w:rsidTr="00051FF6">
        <w:tc>
          <w:tcPr>
            <w:tcW w:w="5670" w:type="dxa"/>
            <w:tcMar>
              <w:top w:w="140" w:type="nil"/>
              <w:right w:w="140" w:type="nil"/>
            </w:tcMar>
          </w:tcPr>
          <w:p w14:paraId="2853A6F0" w14:textId="77777777" w:rsidR="00217CF0" w:rsidRPr="00217CF0" w:rsidRDefault="00217CF0" w:rsidP="00217CF0">
            <w:pPr>
              <w:pStyle w:val="SDAbodytext"/>
            </w:pPr>
            <w:r w:rsidRPr="00217CF0">
              <w:t>Response Committee</w:t>
            </w:r>
          </w:p>
        </w:tc>
        <w:tc>
          <w:tcPr>
            <w:tcW w:w="2410" w:type="dxa"/>
            <w:tcMar>
              <w:top w:w="140" w:type="nil"/>
              <w:right w:w="140" w:type="nil"/>
            </w:tcMar>
          </w:tcPr>
          <w:p w14:paraId="2C3808ED" w14:textId="77777777" w:rsidR="00217CF0" w:rsidRPr="00217CF0" w:rsidRDefault="00217CF0" w:rsidP="00217CF0">
            <w:pPr>
              <w:pStyle w:val="SDAbodytext"/>
            </w:pPr>
            <w:r w:rsidRPr="00217CF0">
              <w:t xml:space="preserve">23 April </w:t>
            </w:r>
          </w:p>
        </w:tc>
      </w:tr>
      <w:tr w:rsidR="00217CF0" w14:paraId="37AF064D" w14:textId="77777777" w:rsidTr="00051FF6">
        <w:tc>
          <w:tcPr>
            <w:tcW w:w="5670" w:type="dxa"/>
            <w:tcMar>
              <w:top w:w="140" w:type="nil"/>
              <w:right w:w="140" w:type="nil"/>
            </w:tcMar>
          </w:tcPr>
          <w:p w14:paraId="32E20EA0" w14:textId="77777777" w:rsidR="00217CF0" w:rsidRPr="00217CF0" w:rsidRDefault="00217CF0" w:rsidP="00217CF0">
            <w:pPr>
              <w:pStyle w:val="SDAbodytext"/>
            </w:pPr>
            <w:r w:rsidRPr="00217CF0">
              <w:t>JERCP Submitted</w:t>
            </w:r>
          </w:p>
        </w:tc>
        <w:tc>
          <w:tcPr>
            <w:tcW w:w="2410" w:type="dxa"/>
            <w:tcMar>
              <w:top w:w="140" w:type="nil"/>
              <w:right w:w="140" w:type="nil"/>
            </w:tcMar>
          </w:tcPr>
          <w:p w14:paraId="2557E313" w14:textId="77777777" w:rsidR="00217CF0" w:rsidRPr="00217CF0" w:rsidRDefault="00217CF0" w:rsidP="00217CF0">
            <w:pPr>
              <w:pStyle w:val="SDAbodytext"/>
            </w:pPr>
            <w:r w:rsidRPr="00217CF0">
              <w:t xml:space="preserve">24 April </w:t>
            </w:r>
          </w:p>
        </w:tc>
      </w:tr>
      <w:tr w:rsidR="00217CF0" w14:paraId="7CCF4C66" w14:textId="77777777" w:rsidTr="00051FF6">
        <w:tc>
          <w:tcPr>
            <w:tcW w:w="5670" w:type="dxa"/>
            <w:tcMar>
              <w:top w:w="140" w:type="nil"/>
              <w:right w:w="140" w:type="nil"/>
            </w:tcMar>
          </w:tcPr>
          <w:p w14:paraId="50918CDE" w14:textId="77777777" w:rsidR="00217CF0" w:rsidRPr="00217CF0" w:rsidRDefault="00217CF0" w:rsidP="00217CF0">
            <w:pPr>
              <w:pStyle w:val="SDAbodytext"/>
            </w:pPr>
            <w:r w:rsidRPr="00217CF0">
              <w:t>JERCP Approved</w:t>
            </w:r>
          </w:p>
        </w:tc>
        <w:tc>
          <w:tcPr>
            <w:tcW w:w="2410" w:type="dxa"/>
            <w:tcMar>
              <w:top w:w="140" w:type="nil"/>
              <w:right w:w="140" w:type="nil"/>
            </w:tcMar>
          </w:tcPr>
          <w:p w14:paraId="7AD5F2C4" w14:textId="77777777" w:rsidR="00217CF0" w:rsidRPr="00217CF0" w:rsidRDefault="00217CF0" w:rsidP="00217CF0">
            <w:pPr>
              <w:pStyle w:val="SDAbodytext"/>
            </w:pPr>
            <w:r w:rsidRPr="00217CF0">
              <w:t xml:space="preserve">4 May </w:t>
            </w:r>
          </w:p>
        </w:tc>
      </w:tr>
      <w:tr w:rsidR="00217CF0" w14:paraId="0A80BC82" w14:textId="77777777" w:rsidTr="00051FF6">
        <w:tc>
          <w:tcPr>
            <w:tcW w:w="5670" w:type="dxa"/>
            <w:tcMar>
              <w:top w:w="140" w:type="nil"/>
              <w:right w:w="140" w:type="nil"/>
            </w:tcMar>
          </w:tcPr>
          <w:p w14:paraId="37B2E75B" w14:textId="77777777" w:rsidR="00217CF0" w:rsidRPr="00217CF0" w:rsidRDefault="00217CF0" w:rsidP="00217CF0">
            <w:pPr>
              <w:pStyle w:val="SDAbodytext"/>
            </w:pPr>
            <w:r w:rsidRPr="00217CF0">
              <w:t>Fund received by NGOs</w:t>
            </w:r>
          </w:p>
        </w:tc>
        <w:tc>
          <w:tcPr>
            <w:tcW w:w="2410" w:type="dxa"/>
            <w:tcMar>
              <w:top w:w="140" w:type="nil"/>
              <w:right w:w="140" w:type="nil"/>
            </w:tcMar>
          </w:tcPr>
          <w:p w14:paraId="6562631A" w14:textId="0B798842" w:rsidR="00217CF0" w:rsidRPr="00307B78" w:rsidRDefault="00217CF0" w:rsidP="00307B78">
            <w:pPr>
              <w:pStyle w:val="SDAbodytext"/>
            </w:pPr>
            <w:r w:rsidRPr="00307B78">
              <w:t> </w:t>
            </w:r>
            <w:r w:rsidR="00307B78" w:rsidRPr="00307B78">
              <w:t>23 May</w:t>
            </w:r>
          </w:p>
        </w:tc>
      </w:tr>
      <w:tr w:rsidR="00217CF0" w14:paraId="5502D3DB" w14:textId="77777777" w:rsidTr="00051FF6">
        <w:tc>
          <w:tcPr>
            <w:tcW w:w="5670" w:type="dxa"/>
            <w:tcMar>
              <w:top w:w="140" w:type="nil"/>
              <w:right w:w="140" w:type="nil"/>
            </w:tcMar>
          </w:tcPr>
          <w:p w14:paraId="07CC7576" w14:textId="77777777" w:rsidR="00217CF0" w:rsidRPr="00217CF0" w:rsidRDefault="00217CF0" w:rsidP="00217CF0">
            <w:pPr>
              <w:pStyle w:val="SDAbodytext"/>
            </w:pPr>
            <w:r w:rsidRPr="00217CF0">
              <w:t>Date NGO country partner received funds</w:t>
            </w:r>
          </w:p>
        </w:tc>
        <w:tc>
          <w:tcPr>
            <w:tcW w:w="2410" w:type="dxa"/>
            <w:tcMar>
              <w:top w:w="140" w:type="nil"/>
              <w:right w:w="140" w:type="nil"/>
            </w:tcMar>
          </w:tcPr>
          <w:p w14:paraId="49C2E61D" w14:textId="0020BBDC" w:rsidR="00217CF0" w:rsidRPr="00307B78" w:rsidRDefault="00217CF0" w:rsidP="00307B78">
            <w:pPr>
              <w:pStyle w:val="SDAbodytext"/>
            </w:pPr>
            <w:r w:rsidRPr="00307B78">
              <w:t> </w:t>
            </w:r>
            <w:r w:rsidR="00307B78" w:rsidRPr="00307B78">
              <w:t>2 June</w:t>
            </w:r>
          </w:p>
        </w:tc>
      </w:tr>
      <w:tr w:rsidR="00217CF0" w14:paraId="0E277233" w14:textId="77777777" w:rsidTr="00051FF6">
        <w:tc>
          <w:tcPr>
            <w:tcW w:w="5670" w:type="dxa"/>
            <w:tcMar>
              <w:top w:w="140" w:type="nil"/>
              <w:right w:w="140" w:type="nil"/>
            </w:tcMar>
          </w:tcPr>
          <w:p w14:paraId="688652EC" w14:textId="77777777" w:rsidR="00217CF0" w:rsidRPr="00217CF0" w:rsidRDefault="00217CF0" w:rsidP="00217CF0">
            <w:pPr>
              <w:pStyle w:val="SDAbodytext"/>
            </w:pPr>
            <w:r w:rsidRPr="00217CF0">
              <w:t>Lessons learnt exercise</w:t>
            </w:r>
          </w:p>
        </w:tc>
        <w:tc>
          <w:tcPr>
            <w:tcW w:w="2410" w:type="dxa"/>
            <w:tcMar>
              <w:top w:w="140" w:type="nil"/>
              <w:right w:w="140" w:type="nil"/>
            </w:tcMar>
          </w:tcPr>
          <w:p w14:paraId="042803D3" w14:textId="77777777" w:rsidR="00217CF0" w:rsidRPr="00217CF0" w:rsidRDefault="00217CF0" w:rsidP="00217CF0">
            <w:pPr>
              <w:pStyle w:val="SDAbodytext"/>
            </w:pPr>
            <w:r w:rsidRPr="00217CF0">
              <w:t>4 June 2015</w:t>
            </w:r>
          </w:p>
        </w:tc>
      </w:tr>
    </w:tbl>
    <w:p w14:paraId="1A54B904" w14:textId="0AE630F6" w:rsidR="00217CF0" w:rsidRPr="00217CF0" w:rsidRDefault="00217CF0" w:rsidP="00217CF0">
      <w:pPr>
        <w:pStyle w:val="SDAbodytext"/>
        <w:rPr>
          <w:b/>
        </w:rPr>
      </w:pPr>
      <w:r w:rsidRPr="00217CF0">
        <w:rPr>
          <w:b/>
        </w:rPr>
        <w:t xml:space="preserve">The Lebanon activation of the HPA highlighted the following lessons learned: </w:t>
      </w:r>
    </w:p>
    <w:p w14:paraId="3F4A818E" w14:textId="3BF0F588" w:rsidR="00217CF0" w:rsidRPr="00217CF0" w:rsidRDefault="00366DCD" w:rsidP="00217CF0">
      <w:pPr>
        <w:pStyle w:val="SDAbulletpoints"/>
      </w:pPr>
      <w:r>
        <w:rPr>
          <w:b/>
        </w:rPr>
        <w:t xml:space="preserve">DFAT country programs have an important </w:t>
      </w:r>
      <w:r w:rsidR="00217CF0" w:rsidRPr="00217CF0">
        <w:rPr>
          <w:b/>
        </w:rPr>
        <w:t>role to play in design and implementation of responses to protracted crises</w:t>
      </w:r>
      <w:r w:rsidR="00217CF0" w:rsidRPr="00217CF0">
        <w:t xml:space="preserve">. HPA processes (including timeframes) should facilitate input at the beginning of </w:t>
      </w:r>
      <w:proofErr w:type="gramStart"/>
      <w:r w:rsidR="00217CF0" w:rsidRPr="00217CF0">
        <w:t>an activation</w:t>
      </w:r>
      <w:proofErr w:type="gramEnd"/>
      <w:r w:rsidR="00217CF0" w:rsidRPr="00217CF0">
        <w:t>, including mandating parameters such as location, sectors, number of partners and depth of on-the-ground experience required. Those issues, among others, should be the subject of ongoing dialogue between the DFAT country program and NGO partners. This would draw on DFAT's contextual knowledge, and ensure closer alignment with other DFAT programming strategies.</w:t>
      </w:r>
    </w:p>
    <w:p w14:paraId="2858F9C8" w14:textId="753498A9" w:rsidR="00217CF0" w:rsidRPr="00217CF0" w:rsidRDefault="00217CF0" w:rsidP="00217CF0">
      <w:pPr>
        <w:pStyle w:val="SDAbulletpoints"/>
      </w:pPr>
      <w:r w:rsidRPr="00217CF0">
        <w:rPr>
          <w:b/>
        </w:rPr>
        <w:t>Capacity mapping processes should be strengthened by verifying the nature and extent of partner capacity</w:t>
      </w:r>
      <w:r w:rsidRPr="00217CF0">
        <w:t xml:space="preserve">. NGO reporting, partner government statements and DFAT staff views from several HPA activations in the Middle East, along with views expressed </w:t>
      </w:r>
      <w:r w:rsidR="004D33B5">
        <w:t>by NGO partners in the Lebanon Response C</w:t>
      </w:r>
      <w:r w:rsidRPr="00217CF0">
        <w:t xml:space="preserve">ommittee, suggest that the nature and extent of different NGO partners' presence varies. A more detailed capacity mapping exercise, including </w:t>
      </w:r>
      <w:r w:rsidR="009F14FC">
        <w:t xml:space="preserve">steps to </w:t>
      </w:r>
      <w:r w:rsidRPr="00217CF0">
        <w:t>verif</w:t>
      </w:r>
      <w:r w:rsidR="009F14FC">
        <w:t>y</w:t>
      </w:r>
      <w:r w:rsidRPr="00217CF0">
        <w:t xml:space="preserve"> claimed capa</w:t>
      </w:r>
      <w:r w:rsidR="00051FF6">
        <w:t>bilities, c</w:t>
      </w:r>
      <w:r w:rsidRPr="00217CF0">
        <w:t xml:space="preserve">ould lead to better-informed decision-making and more effective responses. </w:t>
      </w:r>
    </w:p>
    <w:p w14:paraId="78733549" w14:textId="61B8E7BC" w:rsidR="00217CF0" w:rsidRPr="00217CF0" w:rsidRDefault="00217CF0" w:rsidP="00217CF0">
      <w:pPr>
        <w:pStyle w:val="SDAbulletpoints"/>
      </w:pPr>
      <w:r w:rsidRPr="00217CF0">
        <w:rPr>
          <w:b/>
        </w:rPr>
        <w:t xml:space="preserve">HPA </w:t>
      </w:r>
      <w:r w:rsidR="00051FF6">
        <w:rPr>
          <w:b/>
        </w:rPr>
        <w:t>R</w:t>
      </w:r>
      <w:r w:rsidRPr="00217CF0">
        <w:rPr>
          <w:b/>
        </w:rPr>
        <w:t xml:space="preserve">esponse </w:t>
      </w:r>
      <w:r w:rsidR="00051FF6">
        <w:rPr>
          <w:b/>
        </w:rPr>
        <w:t>C</w:t>
      </w:r>
      <w:r w:rsidRPr="00217CF0">
        <w:rPr>
          <w:b/>
        </w:rPr>
        <w:t>ommittee processes need to be adjusted to maximise collaboration and mitigate overly competitive behaviour of participants</w:t>
      </w:r>
      <w:r w:rsidRPr="00217CF0">
        <w:t xml:space="preserve">. Specifically, NGO partners agreed in the Lebanon </w:t>
      </w:r>
      <w:r w:rsidR="00366DCD">
        <w:t>l</w:t>
      </w:r>
      <w:r w:rsidRPr="00217CF0">
        <w:t xml:space="preserve">essons </w:t>
      </w:r>
      <w:r w:rsidR="00366DCD">
        <w:t>l</w:t>
      </w:r>
      <w:r w:rsidRPr="00217CF0">
        <w:t xml:space="preserve">earned exercise to submit questioning of proposals through the HPA </w:t>
      </w:r>
      <w:r w:rsidR="00366DCD">
        <w:t>D</w:t>
      </w:r>
      <w:r w:rsidRPr="00217CF0">
        <w:t xml:space="preserve">irector </w:t>
      </w:r>
      <w:r w:rsidR="00366DCD">
        <w:t>prior to the Response Committee meeting. The HPA Director was then</w:t>
      </w:r>
      <w:r w:rsidR="007343EE">
        <w:t xml:space="preserve"> charged with delivering the questions in an </w:t>
      </w:r>
      <w:r w:rsidRPr="00217CF0">
        <w:t xml:space="preserve">appropriate tone and style </w:t>
      </w:r>
      <w:r w:rsidR="007343EE">
        <w:t>that supports the focus on</w:t>
      </w:r>
      <w:r w:rsidRPr="00217CF0">
        <w:t xml:space="preserve"> strengthening proposals rather than interrogating them for weaknesses.</w:t>
      </w:r>
    </w:p>
    <w:p w14:paraId="76D0243B" w14:textId="77777777" w:rsidR="00217CF0" w:rsidRDefault="00217CF0" w:rsidP="00217CF0">
      <w:pPr>
        <w:pStyle w:val="ListParagraph"/>
      </w:pPr>
    </w:p>
    <w:p w14:paraId="2A0AEF3C" w14:textId="77777777" w:rsidR="00F62177" w:rsidRPr="00565770" w:rsidRDefault="006C50DD" w:rsidP="00565770">
      <w:pPr>
        <w:pStyle w:val="SDANumberedheading2"/>
        <w:ind w:left="709" w:hanging="709"/>
      </w:pPr>
      <w:bookmarkStart w:id="27" w:name="_Toc423711143"/>
      <w:r>
        <w:t>Summary</w:t>
      </w:r>
      <w:bookmarkEnd w:id="27"/>
    </w:p>
    <w:p w14:paraId="3A4A2151" w14:textId="7DD19449" w:rsidR="00F37277" w:rsidRPr="00050AD2" w:rsidRDefault="007343EE" w:rsidP="00F37277">
      <w:pPr>
        <w:pStyle w:val="SDAbodytext"/>
      </w:pPr>
      <w:r w:rsidRPr="00F37277">
        <w:t xml:space="preserve">The experience of the HPA has provided many rich lessons to inform the design of </w:t>
      </w:r>
      <w:r w:rsidR="00ED017F" w:rsidRPr="00F37277">
        <w:t xml:space="preserve">a future mechanism. These lessons identify both aspects of the HPA that have worked well, </w:t>
      </w:r>
      <w:r w:rsidR="00217CF0" w:rsidRPr="00F37277">
        <w:t>and</w:t>
      </w:r>
      <w:r w:rsidR="00ED017F" w:rsidRPr="00F37277">
        <w:t xml:space="preserve"> areas that could be improved.  In many ways, the HPA </w:t>
      </w:r>
      <w:r w:rsidRPr="00F37277">
        <w:t xml:space="preserve">can be seen as </w:t>
      </w:r>
      <w:r w:rsidR="00ED017F" w:rsidRPr="00F37277">
        <w:t xml:space="preserve">a pilot program that has trialled </w:t>
      </w:r>
      <w:r w:rsidRPr="00F37277">
        <w:t>an innovative</w:t>
      </w:r>
      <w:r w:rsidR="00ED017F" w:rsidRPr="00F37277">
        <w:t xml:space="preserve"> approach to supporting cross-sector collaboration </w:t>
      </w:r>
      <w:r w:rsidR="00217CF0" w:rsidRPr="00F37277">
        <w:t>around</w:t>
      </w:r>
      <w:r w:rsidR="00ED017F" w:rsidRPr="00F37277">
        <w:t xml:space="preserve"> humanitarian </w:t>
      </w:r>
      <w:r w:rsidR="00217CF0" w:rsidRPr="00F37277">
        <w:t>response</w:t>
      </w:r>
      <w:r w:rsidR="00ED017F" w:rsidRPr="00F37277">
        <w:t xml:space="preserve">. </w:t>
      </w:r>
      <w:r w:rsidR="00F37277" w:rsidRPr="00F37277">
        <w:t>The HPA provides a good basis on which to develop a future mechanism that will allow DFAT and Australian NGOs to jointly add value to Australia’s collective humanitarian efforts</w:t>
      </w:r>
      <w:r w:rsidR="00F37277" w:rsidRPr="00351BFE">
        <w:t xml:space="preserve">.  </w:t>
      </w:r>
      <w:r w:rsidR="00F37277">
        <w:t xml:space="preserve"> </w:t>
      </w:r>
    </w:p>
    <w:p w14:paraId="1332A17B" w14:textId="1FEB22AD" w:rsidR="00F62177" w:rsidRDefault="00F62177" w:rsidP="00F37277">
      <w:pPr>
        <w:pStyle w:val="SDAbodytext"/>
        <w:sectPr w:rsidR="00F62177" w:rsidSect="004B7EE7">
          <w:footerReference w:type="default" r:id="rId17"/>
          <w:pgSz w:w="11906" w:h="16838"/>
          <w:pgMar w:top="1440" w:right="1440" w:bottom="1440" w:left="1440" w:header="708" w:footer="708" w:gutter="0"/>
          <w:cols w:space="708"/>
          <w:docGrid w:linePitch="360"/>
        </w:sectPr>
      </w:pPr>
    </w:p>
    <w:p w14:paraId="40C1828F" w14:textId="77777777" w:rsidR="00A06A48" w:rsidRDefault="00A06A48">
      <w:pPr>
        <w:rPr>
          <w:rFonts w:ascii="Calibri" w:eastAsiaTheme="majorEastAsia" w:hAnsi="Calibri" w:cstheme="majorBidi"/>
          <w:b/>
          <w:bCs/>
          <w:color w:val="757575"/>
          <w:sz w:val="50"/>
          <w:szCs w:val="26"/>
        </w:rPr>
      </w:pPr>
      <w:r>
        <w:br w:type="page"/>
      </w:r>
    </w:p>
    <w:p w14:paraId="1869A169" w14:textId="681D2280" w:rsidR="00E40F69" w:rsidRDefault="00F62177" w:rsidP="00A15602">
      <w:pPr>
        <w:pStyle w:val="Heading2"/>
      </w:pPr>
      <w:bookmarkStart w:id="28" w:name="_Toc423711144"/>
      <w:r>
        <w:t>Recommendations</w:t>
      </w:r>
      <w:bookmarkEnd w:id="28"/>
    </w:p>
    <w:p w14:paraId="0860461D" w14:textId="77777777" w:rsidR="00F37277" w:rsidRPr="00E72904" w:rsidRDefault="00F37277" w:rsidP="00F37277">
      <w:pPr>
        <w:pStyle w:val="SDAbodytext"/>
        <w:rPr>
          <w:b/>
        </w:rPr>
      </w:pPr>
      <w:r w:rsidRPr="00E72904">
        <w:rPr>
          <w:b/>
        </w:rPr>
        <w:t>The Review Team recommends that the design process:</w:t>
      </w:r>
    </w:p>
    <w:p w14:paraId="706E76B6" w14:textId="77777777" w:rsidR="00F37277" w:rsidRDefault="00F37277" w:rsidP="00326690">
      <w:pPr>
        <w:pStyle w:val="SDAbodytext"/>
        <w:numPr>
          <w:ilvl w:val="1"/>
          <w:numId w:val="19"/>
        </w:numPr>
      </w:pPr>
      <w:r>
        <w:t xml:space="preserve">Builds on the achievements of the HPA, and all the lessons that have been learned as identified in section 4 of this report </w:t>
      </w:r>
    </w:p>
    <w:p w14:paraId="58CD1C73" w14:textId="77777777" w:rsidR="00F37277" w:rsidRDefault="00F37277" w:rsidP="00326690">
      <w:pPr>
        <w:pStyle w:val="SDAbodytext"/>
        <w:numPr>
          <w:ilvl w:val="1"/>
          <w:numId w:val="19"/>
        </w:numPr>
      </w:pPr>
      <w:r>
        <w:t>Analyses other comparable donor mechanisms and other comparable DFAT partnerships to identify best practice in partnering for effective humanitarian action</w:t>
      </w:r>
    </w:p>
    <w:p w14:paraId="4FC95D0A" w14:textId="77777777" w:rsidR="00F37277" w:rsidRDefault="00F37277" w:rsidP="00326690">
      <w:pPr>
        <w:pStyle w:val="SDAbodytext"/>
        <w:numPr>
          <w:ilvl w:val="1"/>
          <w:numId w:val="19"/>
        </w:numPr>
      </w:pPr>
      <w:r>
        <w:t>Reviews the recommendations from the Office of Development Effectiveness’ evaluation of the ANCP program for their relevance to a future mechanism</w:t>
      </w:r>
    </w:p>
    <w:p w14:paraId="7B032CBC" w14:textId="77777777" w:rsidR="00F37277" w:rsidRPr="007C4275" w:rsidRDefault="00F37277" w:rsidP="00326690">
      <w:pPr>
        <w:pStyle w:val="SDAbulletpoints"/>
        <w:numPr>
          <w:ilvl w:val="1"/>
          <w:numId w:val="19"/>
        </w:numPr>
      </w:pPr>
      <w:r>
        <w:t xml:space="preserve">Considers adaptations to the peer review in order to remove the divisive aspects while maintaining the positive elements of NGO collaboration </w:t>
      </w:r>
    </w:p>
    <w:p w14:paraId="43D81BE9" w14:textId="77777777" w:rsidR="00F37277" w:rsidRDefault="00F37277" w:rsidP="00326690">
      <w:pPr>
        <w:pStyle w:val="SDAbodytext"/>
        <w:numPr>
          <w:ilvl w:val="1"/>
          <w:numId w:val="19"/>
        </w:numPr>
      </w:pPr>
      <w:r>
        <w:t>Assesses funding models that include both a narrow and broad NGO supplier base (or a combination of both), giving prominence to considerations around capacity to respond to different crises, established local capability, access to specialisation and value for money.</w:t>
      </w:r>
    </w:p>
    <w:p w14:paraId="54B39DF9" w14:textId="77777777" w:rsidR="00F37277" w:rsidRDefault="00F37277" w:rsidP="00F37277">
      <w:pPr>
        <w:pStyle w:val="SDAbodytext"/>
      </w:pPr>
    </w:p>
    <w:p w14:paraId="09C03B9E" w14:textId="77777777" w:rsidR="00F37277" w:rsidRPr="00E72904" w:rsidRDefault="00F37277" w:rsidP="00F37277">
      <w:pPr>
        <w:pStyle w:val="SDAbodytext"/>
        <w:rPr>
          <w:b/>
        </w:rPr>
      </w:pPr>
      <w:r w:rsidRPr="00E72904">
        <w:rPr>
          <w:b/>
        </w:rPr>
        <w:t>The Review Team recommends that DFAT use the design process to:</w:t>
      </w:r>
    </w:p>
    <w:p w14:paraId="2EBBCDED" w14:textId="77777777" w:rsidR="00F37277" w:rsidRDefault="00F37277" w:rsidP="00326690">
      <w:pPr>
        <w:pStyle w:val="SDAbodytext"/>
        <w:numPr>
          <w:ilvl w:val="1"/>
          <w:numId w:val="19"/>
        </w:numPr>
      </w:pPr>
      <w:r>
        <w:t xml:space="preserve">Articulate its expectations around the purpose (or purposes) of a future mechanism </w:t>
      </w:r>
    </w:p>
    <w:p w14:paraId="75D7D968" w14:textId="77777777" w:rsidR="00F37277" w:rsidRDefault="00F37277" w:rsidP="00326690">
      <w:pPr>
        <w:pStyle w:val="SDAbodytext"/>
        <w:numPr>
          <w:ilvl w:val="1"/>
          <w:numId w:val="19"/>
        </w:numPr>
      </w:pPr>
      <w:r>
        <w:t>Define the role it expects to play, as both a partner and as a donor, acknowledging that a future mechanism must remain effective in the context of DFAT staff turnover</w:t>
      </w:r>
    </w:p>
    <w:p w14:paraId="74BC6297" w14:textId="77777777" w:rsidR="00F37277" w:rsidRDefault="00F37277" w:rsidP="00326690">
      <w:pPr>
        <w:pStyle w:val="SDAbodytext"/>
        <w:numPr>
          <w:ilvl w:val="1"/>
          <w:numId w:val="19"/>
        </w:numPr>
      </w:pPr>
      <w:r>
        <w:t>Consider funding arrangements that continue to be flexible and adaptive but are also more predictable and long-term</w:t>
      </w:r>
    </w:p>
    <w:p w14:paraId="7A1F25C6" w14:textId="77777777" w:rsidR="00F37277" w:rsidRDefault="00F37277" w:rsidP="00326690">
      <w:pPr>
        <w:pStyle w:val="SDAbodytext"/>
        <w:numPr>
          <w:ilvl w:val="1"/>
          <w:numId w:val="19"/>
        </w:numPr>
      </w:pPr>
      <w:r>
        <w:t>Estimate a minimum level of annual funding to be channelled through a future mechanism to enable the design of an appropriately resourced governance and management structure.</w:t>
      </w:r>
    </w:p>
    <w:p w14:paraId="17F924ED" w14:textId="77777777" w:rsidR="00F37277" w:rsidRDefault="00F37277" w:rsidP="00F37277">
      <w:pPr>
        <w:pStyle w:val="SDAbodytext"/>
        <w:ind w:left="360"/>
      </w:pPr>
    </w:p>
    <w:p w14:paraId="4C0A65A6" w14:textId="77777777" w:rsidR="00F37277" w:rsidRPr="00E72904" w:rsidRDefault="00F37277" w:rsidP="00F37277">
      <w:pPr>
        <w:pStyle w:val="SDAbodytext"/>
        <w:rPr>
          <w:b/>
        </w:rPr>
      </w:pPr>
      <w:r w:rsidRPr="00E72904">
        <w:rPr>
          <w:b/>
        </w:rPr>
        <w:t>The Review Team recommends that during the current phase</w:t>
      </w:r>
      <w:r>
        <w:rPr>
          <w:b/>
        </w:rPr>
        <w:t xml:space="preserve"> of the HPA,</w:t>
      </w:r>
      <w:r w:rsidRPr="00E72904">
        <w:rPr>
          <w:b/>
        </w:rPr>
        <w:t xml:space="preserve"> DFAT together with </w:t>
      </w:r>
      <w:r>
        <w:rPr>
          <w:b/>
        </w:rPr>
        <w:t>HPA NGO partners and ACFID,</w:t>
      </w:r>
      <w:r w:rsidRPr="00E72904">
        <w:rPr>
          <w:b/>
        </w:rPr>
        <w:t xml:space="preserve"> implement the following:</w:t>
      </w:r>
    </w:p>
    <w:p w14:paraId="45EA6B12" w14:textId="77777777" w:rsidR="00F37277" w:rsidRDefault="00F37277" w:rsidP="00326690">
      <w:pPr>
        <w:pStyle w:val="SDAbodytext"/>
        <w:numPr>
          <w:ilvl w:val="1"/>
          <w:numId w:val="20"/>
        </w:numPr>
      </w:pPr>
      <w:r>
        <w:t xml:space="preserve">In the event that the HPA is activated for a </w:t>
      </w:r>
      <w:r w:rsidRPr="00644C05">
        <w:rPr>
          <w:u w:val="single"/>
        </w:rPr>
        <w:t>major rapid onset emergency</w:t>
      </w:r>
      <w:r w:rsidRPr="00BB5B56">
        <w:t>, HPA</w:t>
      </w:r>
      <w:r>
        <w:t xml:space="preserve"> funding will be evenly split between all partners </w:t>
      </w:r>
      <w:r w:rsidRPr="009F14FC">
        <w:t>with</w:t>
      </w:r>
      <w:r>
        <w:t xml:space="preserve"> established local capacity to respond. The Response Committee would still operate, and have a stronger focus on coordination of quality responses, and collaboration around monitoring and learning. </w:t>
      </w:r>
      <w:r w:rsidDel="00652064">
        <w:t xml:space="preserve"> </w:t>
      </w:r>
    </w:p>
    <w:p w14:paraId="4D1A5C3E" w14:textId="77777777" w:rsidR="00F37277" w:rsidRDefault="00F37277" w:rsidP="00326690">
      <w:pPr>
        <w:pStyle w:val="SDAbodytext"/>
        <w:numPr>
          <w:ilvl w:val="1"/>
          <w:numId w:val="20"/>
        </w:numPr>
      </w:pPr>
      <w:r>
        <w:t xml:space="preserve">In the event that the HPA is activated for a response to a </w:t>
      </w:r>
      <w:r w:rsidRPr="00644C05">
        <w:rPr>
          <w:u w:val="single"/>
        </w:rPr>
        <w:t>protracted crisis</w:t>
      </w:r>
      <w:r w:rsidRPr="00BB5B56">
        <w:t xml:space="preserve">, </w:t>
      </w:r>
      <w:r>
        <w:t xml:space="preserve">the Response Committee’s peer review process will be supported by an independent technical assessment of NGO proposals. </w:t>
      </w:r>
    </w:p>
    <w:p w14:paraId="0751940A" w14:textId="77777777" w:rsidR="00F37277" w:rsidRDefault="00F37277" w:rsidP="00326690">
      <w:pPr>
        <w:pStyle w:val="SDAbodytext"/>
        <w:numPr>
          <w:ilvl w:val="1"/>
          <w:numId w:val="20"/>
        </w:numPr>
      </w:pPr>
      <w:r>
        <w:t>Partners will review and debate the benefits and costs of the consortium approach that has been used in the Vanuatu and Nepal responses at an HPA/HRG quarterly meeting.</w:t>
      </w:r>
    </w:p>
    <w:p w14:paraId="5FA8EB1E" w14:textId="77777777" w:rsidR="00F37277" w:rsidRDefault="00F37277" w:rsidP="00326690">
      <w:pPr>
        <w:pStyle w:val="SDAbodytext"/>
        <w:numPr>
          <w:ilvl w:val="1"/>
          <w:numId w:val="20"/>
        </w:numPr>
      </w:pPr>
      <w:r>
        <w:t>Partners will design future HPA learning events to encourage sector-wide learning, be inclusive of HRG members, have a thematic/sectoral focus, and draw in outside agencies (such as academic institutes and/or private sector organisations) as relevant.</w:t>
      </w:r>
    </w:p>
    <w:p w14:paraId="07D07B34" w14:textId="690751C5" w:rsidR="00580D31" w:rsidRDefault="00F37277" w:rsidP="00326690">
      <w:pPr>
        <w:pStyle w:val="SDAbodytext"/>
        <w:numPr>
          <w:ilvl w:val="1"/>
          <w:numId w:val="20"/>
        </w:numPr>
      </w:pPr>
      <w:r>
        <w:t xml:space="preserve">Partners will review current procedures around capacity mapping of HPA (and non-HPA) NGOs, with the aim of removing any duplication of effort, and improving the accuracy and utility of the information provided to all parties. </w:t>
      </w:r>
    </w:p>
    <w:p w14:paraId="4E4D45FE" w14:textId="77777777" w:rsidR="001C4E36" w:rsidRDefault="001C4E36" w:rsidP="001C4E36">
      <w:pPr>
        <w:pStyle w:val="Heading2"/>
        <w:numPr>
          <w:ilvl w:val="0"/>
          <w:numId w:val="0"/>
        </w:numPr>
        <w:ind w:left="432" w:hanging="432"/>
      </w:pPr>
      <w:bookmarkStart w:id="29" w:name="_Toc423711145"/>
      <w:r>
        <w:t>Annex 1: Terms of Reference</w:t>
      </w:r>
      <w:bookmarkEnd w:id="29"/>
      <w:r>
        <w:t xml:space="preserve"> </w:t>
      </w:r>
    </w:p>
    <w:p w14:paraId="0583060E" w14:textId="77777777" w:rsidR="004B7D4C" w:rsidRPr="009217AA" w:rsidRDefault="004B7D4C" w:rsidP="00326690">
      <w:pPr>
        <w:pStyle w:val="ListParagraph"/>
        <w:keepNext/>
        <w:numPr>
          <w:ilvl w:val="0"/>
          <w:numId w:val="7"/>
        </w:numPr>
        <w:spacing w:before="120" w:after="120" w:line="240" w:lineRule="auto"/>
        <w:ind w:left="357" w:hanging="357"/>
        <w:rPr>
          <w:rFonts w:cstheme="minorHAnsi"/>
          <w:b/>
        </w:rPr>
      </w:pPr>
      <w:r>
        <w:rPr>
          <w:rFonts w:cstheme="minorHAnsi"/>
          <w:b/>
        </w:rPr>
        <w:t>Background</w:t>
      </w:r>
    </w:p>
    <w:p w14:paraId="0E8C0654" w14:textId="77777777" w:rsidR="004B7D4C" w:rsidRDefault="004B7D4C" w:rsidP="004B7D4C">
      <w:pPr>
        <w:pStyle w:val="AfterFirstPara"/>
        <w:numPr>
          <w:ilvl w:val="0"/>
          <w:numId w:val="0"/>
        </w:numPr>
        <w:jc w:val="both"/>
        <w:rPr>
          <w:rFonts w:asciiTheme="minorHAnsi" w:hAnsiTheme="minorHAnsi" w:cstheme="minorHAnsi"/>
          <w:lang w:val="en-AU"/>
        </w:rPr>
      </w:pPr>
      <w:r w:rsidRPr="00782DEE">
        <w:rPr>
          <w:rFonts w:asciiTheme="minorHAnsi" w:hAnsiTheme="minorHAnsi" w:cstheme="minorHAnsi"/>
          <w:lang w:val="en-AU"/>
        </w:rPr>
        <w:t xml:space="preserve">The existing Humanitarian Partnership Agreement (HPA) was established in 2011 </w:t>
      </w:r>
      <w:r>
        <w:rPr>
          <w:rFonts w:asciiTheme="minorHAnsi" w:hAnsiTheme="minorHAnsi" w:cstheme="minorHAnsi"/>
          <w:lang w:val="en-AU"/>
        </w:rPr>
        <w:t>as a partnership between six pre-selected NGOs (CARE Australia, Caritas Australia, Oxfam Australia, Plan International Australia, Save the Children Australia and World Vision Australia) and the Australian Government. The vision of the HPA is:</w:t>
      </w:r>
    </w:p>
    <w:p w14:paraId="2CDB83AF" w14:textId="77777777" w:rsidR="004B7D4C" w:rsidRPr="00F53407" w:rsidRDefault="004B7D4C" w:rsidP="004B7D4C">
      <w:pPr>
        <w:pStyle w:val="AfterFirstPara"/>
        <w:numPr>
          <w:ilvl w:val="0"/>
          <w:numId w:val="0"/>
        </w:numPr>
        <w:jc w:val="both"/>
        <w:rPr>
          <w:rFonts w:asciiTheme="minorHAnsi" w:hAnsiTheme="minorHAnsi" w:cstheme="minorHAnsi"/>
          <w:i/>
          <w:lang w:val="en-AU"/>
        </w:rPr>
      </w:pPr>
      <w:r w:rsidRPr="00F53407">
        <w:rPr>
          <w:rFonts w:asciiTheme="minorHAnsi" w:hAnsiTheme="minorHAnsi" w:cstheme="minorHAnsi"/>
          <w:i/>
          <w:lang w:val="en-AU"/>
        </w:rPr>
        <w:t xml:space="preserve">That DFAT (then AusAID) humanitarian partners will deliver better outcomes for people affected by disasters around the world by enhancing inter-agency collaboration, upholding the highest standards of accountability and ensuring rapid release of funds during crises. </w:t>
      </w:r>
    </w:p>
    <w:p w14:paraId="7C5788C4" w14:textId="77777777" w:rsidR="004B7D4C" w:rsidRDefault="004B7D4C" w:rsidP="004B7D4C">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 xml:space="preserve">In relation to </w:t>
      </w:r>
      <w:r w:rsidRPr="00782DEE">
        <w:rPr>
          <w:rFonts w:asciiTheme="minorHAnsi" w:hAnsiTheme="minorHAnsi" w:cstheme="minorHAnsi"/>
          <w:lang w:val="en-AU"/>
        </w:rPr>
        <w:t>emergenc</w:t>
      </w:r>
      <w:r>
        <w:rPr>
          <w:rFonts w:asciiTheme="minorHAnsi" w:hAnsiTheme="minorHAnsi" w:cstheme="minorHAnsi"/>
          <w:lang w:val="en-AU"/>
        </w:rPr>
        <w:t xml:space="preserve">ies, partners agreed </w:t>
      </w:r>
      <w:r w:rsidRPr="00782DEE">
        <w:rPr>
          <w:rFonts w:asciiTheme="minorHAnsi" w:hAnsiTheme="minorHAnsi" w:cstheme="minorHAnsi"/>
        </w:rPr>
        <w:t>a 72-hour turn-around from activation to approval of funding</w:t>
      </w:r>
      <w:r w:rsidRPr="00782DEE">
        <w:rPr>
          <w:rFonts w:asciiTheme="minorHAnsi" w:hAnsiTheme="minorHAnsi" w:cstheme="minorHAnsi"/>
          <w:lang w:val="en-AU"/>
        </w:rPr>
        <w:t xml:space="preserve"> to enable </w:t>
      </w:r>
      <w:r>
        <w:rPr>
          <w:rFonts w:asciiTheme="minorHAnsi" w:hAnsiTheme="minorHAnsi" w:cstheme="minorHAnsi"/>
          <w:lang w:val="en-AU"/>
        </w:rPr>
        <w:t xml:space="preserve">a </w:t>
      </w:r>
      <w:r w:rsidRPr="00782DEE">
        <w:rPr>
          <w:rFonts w:asciiTheme="minorHAnsi" w:hAnsiTheme="minorHAnsi" w:cstheme="minorHAnsi"/>
          <w:lang w:val="en-AU"/>
        </w:rPr>
        <w:t>rapid</w:t>
      </w:r>
      <w:r>
        <w:rPr>
          <w:rFonts w:asciiTheme="minorHAnsi" w:hAnsiTheme="minorHAnsi" w:cstheme="minorHAnsi"/>
        </w:rPr>
        <w:t xml:space="preserve"> response. </w:t>
      </w:r>
      <w:r>
        <w:rPr>
          <w:rFonts w:asciiTheme="minorHAnsi" w:hAnsiTheme="minorHAnsi" w:cstheme="minorHAnsi"/>
          <w:lang w:val="en-AU"/>
        </w:rPr>
        <w:t xml:space="preserve"> This has</w:t>
      </w:r>
      <w:r w:rsidRPr="007C695D">
        <w:rPr>
          <w:rFonts w:asciiTheme="minorHAnsi" w:hAnsiTheme="minorHAnsi" w:cstheme="minorHAnsi"/>
          <w:lang w:val="en-AU"/>
        </w:rPr>
        <w:t xml:space="preserve"> enable</w:t>
      </w:r>
      <w:r>
        <w:rPr>
          <w:rFonts w:asciiTheme="minorHAnsi" w:hAnsiTheme="minorHAnsi" w:cstheme="minorHAnsi"/>
          <w:lang w:val="en-AU"/>
        </w:rPr>
        <w:t>d</w:t>
      </w:r>
      <w:r w:rsidRPr="007C695D">
        <w:rPr>
          <w:rFonts w:asciiTheme="minorHAnsi" w:hAnsiTheme="minorHAnsi" w:cstheme="minorHAnsi"/>
          <w:lang w:val="en-AU"/>
        </w:rPr>
        <w:t xml:space="preserve"> timely mobilisation of life-saving assistance. </w:t>
      </w:r>
      <w:r>
        <w:rPr>
          <w:rFonts w:asciiTheme="minorHAnsi" w:hAnsiTheme="minorHAnsi" w:cstheme="minorHAnsi"/>
          <w:lang w:val="en-AU"/>
        </w:rPr>
        <w:t>To complement this, the HPA also provides a mechanism for collaboration on programmed Disaster Risk Reduction (DRR) and Disaster Risk Management (DRM) capacity building initiatives.</w:t>
      </w:r>
      <w:r w:rsidRPr="00B84882">
        <w:rPr>
          <w:rFonts w:asciiTheme="minorHAnsi" w:hAnsiTheme="minorHAnsi" w:cstheme="minorHAnsi"/>
          <w:lang w:val="en-AU"/>
        </w:rPr>
        <w:t xml:space="preserve"> </w:t>
      </w:r>
      <w:r>
        <w:rPr>
          <w:rFonts w:asciiTheme="minorHAnsi" w:hAnsiTheme="minorHAnsi" w:cstheme="minorHAnsi"/>
          <w:lang w:val="en-AU"/>
        </w:rPr>
        <w:t>As a partnership the HPA was also developed with a view to improve strategic dialogue on policy issues of mutual interest between DFAT (then AusAID) and NGOs.</w:t>
      </w:r>
    </w:p>
    <w:p w14:paraId="4526D03F" w14:textId="77777777" w:rsidR="004B7D4C" w:rsidRPr="00782DEE" w:rsidRDefault="004B7D4C" w:rsidP="004B7D4C">
      <w:pPr>
        <w:pStyle w:val="AfterFirstPara"/>
        <w:numPr>
          <w:ilvl w:val="0"/>
          <w:numId w:val="0"/>
        </w:numPr>
        <w:jc w:val="both"/>
        <w:rPr>
          <w:rFonts w:asciiTheme="minorHAnsi" w:hAnsiTheme="minorHAnsi" w:cstheme="minorHAnsi"/>
          <w:lang w:val="en-AU"/>
        </w:rPr>
      </w:pPr>
      <w:r w:rsidRPr="007C695D">
        <w:rPr>
          <w:rFonts w:asciiTheme="minorHAnsi" w:hAnsiTheme="minorHAnsi" w:cstheme="minorHAnsi"/>
          <w:lang w:val="en-AU"/>
        </w:rPr>
        <w:t>Thr</w:t>
      </w:r>
      <w:r w:rsidRPr="00782DEE">
        <w:rPr>
          <w:rFonts w:asciiTheme="minorHAnsi" w:hAnsiTheme="minorHAnsi" w:cstheme="minorHAnsi"/>
          <w:lang w:val="en-AU"/>
        </w:rPr>
        <w:t xml:space="preserve">ough the HPA the six NGO partners have received a total of </w:t>
      </w:r>
      <w:r>
        <w:rPr>
          <w:rFonts w:asciiTheme="minorHAnsi" w:hAnsiTheme="minorHAnsi" w:cstheme="minorHAnsi"/>
          <w:lang w:val="en-AU"/>
        </w:rPr>
        <w:t>AU</w:t>
      </w:r>
      <w:r w:rsidRPr="00782DEE">
        <w:rPr>
          <w:rFonts w:asciiTheme="minorHAnsi" w:hAnsiTheme="minorHAnsi" w:cstheme="minorHAnsi"/>
          <w:lang w:val="en-AU"/>
        </w:rPr>
        <w:t>$31</w:t>
      </w:r>
      <w:r>
        <w:rPr>
          <w:rFonts w:asciiTheme="minorHAnsi" w:hAnsiTheme="minorHAnsi" w:cstheme="minorHAnsi"/>
          <w:lang w:val="en-AU"/>
        </w:rPr>
        <w:t>.</w:t>
      </w:r>
      <w:r w:rsidRPr="00782DEE">
        <w:rPr>
          <w:rFonts w:asciiTheme="minorHAnsi" w:hAnsiTheme="minorHAnsi" w:cstheme="minorHAnsi"/>
          <w:lang w:val="en-AU"/>
        </w:rPr>
        <w:t>5</w:t>
      </w:r>
      <w:r>
        <w:rPr>
          <w:rFonts w:asciiTheme="minorHAnsi" w:hAnsiTheme="minorHAnsi" w:cstheme="minorHAnsi"/>
          <w:lang w:val="en-AU"/>
        </w:rPr>
        <w:t> million</w:t>
      </w:r>
      <w:r w:rsidRPr="00782DEE">
        <w:rPr>
          <w:rFonts w:asciiTheme="minorHAnsi" w:hAnsiTheme="minorHAnsi" w:cstheme="minorHAnsi"/>
          <w:lang w:val="en-AU"/>
        </w:rPr>
        <w:t xml:space="preserve"> in emergency funding (via nine activations).  </w:t>
      </w:r>
      <w:r>
        <w:rPr>
          <w:rFonts w:asciiTheme="minorHAnsi" w:hAnsiTheme="minorHAnsi" w:cstheme="minorHAnsi"/>
          <w:lang w:val="en-AU"/>
        </w:rPr>
        <w:t>This is in addition to AU$12 million in DRR and DRM funding.</w:t>
      </w:r>
      <w:r>
        <w:rPr>
          <w:rStyle w:val="FootnoteReference"/>
          <w:rFonts w:asciiTheme="minorHAnsi" w:hAnsiTheme="minorHAnsi" w:cstheme="minorHAnsi"/>
          <w:lang w:val="en-AU"/>
        </w:rPr>
        <w:footnoteReference w:id="54"/>
      </w:r>
      <w:r>
        <w:rPr>
          <w:rFonts w:asciiTheme="minorHAnsi" w:hAnsiTheme="minorHAnsi" w:cstheme="minorHAnsi"/>
          <w:lang w:val="en-AU"/>
        </w:rPr>
        <w:t xml:space="preserve">  T</w:t>
      </w:r>
      <w:r w:rsidRPr="00782DEE">
        <w:rPr>
          <w:rFonts w:asciiTheme="minorHAnsi" w:hAnsiTheme="minorHAnsi" w:cstheme="minorHAnsi"/>
          <w:lang w:val="en-AU"/>
        </w:rPr>
        <w:t xml:space="preserve">he current HPA mechanism </w:t>
      </w:r>
      <w:r>
        <w:rPr>
          <w:rFonts w:asciiTheme="minorHAnsi" w:hAnsiTheme="minorHAnsi" w:cstheme="minorHAnsi"/>
          <w:lang w:val="en-AU"/>
        </w:rPr>
        <w:t xml:space="preserve">has been extended and is now </w:t>
      </w:r>
      <w:r w:rsidRPr="00782DEE">
        <w:rPr>
          <w:rFonts w:asciiTheme="minorHAnsi" w:hAnsiTheme="minorHAnsi" w:cstheme="minorHAnsi"/>
          <w:lang w:val="en-AU"/>
        </w:rPr>
        <w:t xml:space="preserve">set to expire in </w:t>
      </w:r>
      <w:r>
        <w:rPr>
          <w:rFonts w:asciiTheme="minorHAnsi" w:hAnsiTheme="minorHAnsi" w:cstheme="minorHAnsi"/>
          <w:lang w:val="en-AU"/>
        </w:rPr>
        <w:t xml:space="preserve">March </w:t>
      </w:r>
      <w:r w:rsidRPr="00782DEE">
        <w:rPr>
          <w:rFonts w:asciiTheme="minorHAnsi" w:hAnsiTheme="minorHAnsi" w:cstheme="minorHAnsi"/>
          <w:lang w:val="en-AU"/>
        </w:rPr>
        <w:t>201</w:t>
      </w:r>
      <w:r>
        <w:rPr>
          <w:rFonts w:asciiTheme="minorHAnsi" w:hAnsiTheme="minorHAnsi" w:cstheme="minorHAnsi"/>
          <w:lang w:val="en-AU"/>
        </w:rPr>
        <w:t>6</w:t>
      </w:r>
      <w:r w:rsidRPr="00782DEE">
        <w:rPr>
          <w:rFonts w:asciiTheme="minorHAnsi" w:hAnsiTheme="minorHAnsi" w:cstheme="minorHAnsi"/>
          <w:lang w:val="en-AU"/>
        </w:rPr>
        <w:t>.</w:t>
      </w:r>
    </w:p>
    <w:p w14:paraId="7D0FE344" w14:textId="77777777" w:rsidR="004B7D4C" w:rsidRPr="00A1302C" w:rsidRDefault="004B7D4C" w:rsidP="004B7D4C">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 xml:space="preserve">Humanitarian response is an important responsibility of DFAT as part of the Australian aid program.  It </w:t>
      </w:r>
      <w:r w:rsidRPr="00A1302C">
        <w:rPr>
          <w:rFonts w:asciiTheme="minorHAnsi" w:hAnsiTheme="minorHAnsi" w:cstheme="minorHAnsi"/>
          <w:lang w:val="en-AU"/>
        </w:rPr>
        <w:t xml:space="preserve">is reflected </w:t>
      </w:r>
      <w:r>
        <w:rPr>
          <w:rFonts w:asciiTheme="minorHAnsi" w:hAnsiTheme="minorHAnsi" w:cstheme="minorHAnsi"/>
          <w:lang w:val="en-AU"/>
        </w:rPr>
        <w:t xml:space="preserve">in the Government’s aid policy </w:t>
      </w:r>
      <w:r w:rsidRPr="00A1302C">
        <w:rPr>
          <w:rFonts w:asciiTheme="minorHAnsi" w:hAnsiTheme="minorHAnsi" w:cstheme="minorHAnsi"/>
          <w:lang w:val="en-AU"/>
        </w:rPr>
        <w:t>under the i</w:t>
      </w:r>
      <w:r w:rsidRPr="00A1302C">
        <w:rPr>
          <w:rFonts w:asciiTheme="minorHAnsi" w:hAnsiTheme="minorHAnsi" w:cstheme="minorHAnsi"/>
          <w:bCs/>
          <w:lang w:val="en-AU"/>
        </w:rPr>
        <w:t>nvestment priority ‘Building Resilience: Humanitarian Assistance, Disaster Risk Reduction and Social Protection’.</w:t>
      </w:r>
      <w:r w:rsidRPr="00A1302C">
        <w:rPr>
          <w:rFonts w:asciiTheme="minorHAnsi" w:hAnsiTheme="minorHAnsi" w:cstheme="minorHAnsi"/>
          <w:lang w:val="en-AU"/>
        </w:rPr>
        <w:t xml:space="preserve">  </w:t>
      </w:r>
      <w:r>
        <w:rPr>
          <w:rFonts w:asciiTheme="minorHAnsi" w:hAnsiTheme="minorHAnsi" w:cstheme="minorHAnsi"/>
          <w:lang w:val="en-AU"/>
        </w:rPr>
        <w:t xml:space="preserve">The HPA is an important part of the Government’s humanitarian response options and </w:t>
      </w:r>
      <w:r w:rsidRPr="00782DEE">
        <w:rPr>
          <w:rFonts w:asciiTheme="minorHAnsi" w:hAnsiTheme="minorHAnsi" w:cstheme="minorHAnsi"/>
          <w:lang w:val="en-AU"/>
        </w:rPr>
        <w:t xml:space="preserve">has provided timely </w:t>
      </w:r>
      <w:r>
        <w:rPr>
          <w:rFonts w:asciiTheme="minorHAnsi" w:hAnsiTheme="minorHAnsi" w:cstheme="minorHAnsi"/>
          <w:lang w:val="en-AU"/>
        </w:rPr>
        <w:t>and streamlined funding for</w:t>
      </w:r>
      <w:r w:rsidRPr="00782DEE">
        <w:rPr>
          <w:rFonts w:asciiTheme="minorHAnsi" w:hAnsiTheme="minorHAnsi" w:cstheme="minorHAnsi"/>
          <w:lang w:val="en-AU"/>
        </w:rPr>
        <w:t xml:space="preserve"> humanitarian emergencies.</w:t>
      </w:r>
      <w:r>
        <w:rPr>
          <w:rFonts w:asciiTheme="minorHAnsi" w:hAnsiTheme="minorHAnsi" w:cstheme="minorHAnsi"/>
          <w:lang w:val="en-AU"/>
        </w:rPr>
        <w:t xml:space="preserve"> </w:t>
      </w:r>
      <w:r w:rsidRPr="00782DEE">
        <w:rPr>
          <w:rFonts w:asciiTheme="minorHAnsi" w:hAnsiTheme="minorHAnsi" w:cstheme="minorHAnsi"/>
          <w:lang w:val="en-AU"/>
        </w:rPr>
        <w:t xml:space="preserve"> The </w:t>
      </w:r>
      <w:r>
        <w:rPr>
          <w:rFonts w:asciiTheme="minorHAnsi" w:hAnsiTheme="minorHAnsi" w:cstheme="minorHAnsi"/>
          <w:lang w:val="en-AU"/>
        </w:rPr>
        <w:t>NGOs under HPA have</w:t>
      </w:r>
      <w:r w:rsidRPr="00782DEE">
        <w:rPr>
          <w:rFonts w:asciiTheme="minorHAnsi" w:hAnsiTheme="minorHAnsi" w:cstheme="minorHAnsi"/>
          <w:lang w:val="en-AU"/>
        </w:rPr>
        <w:t xml:space="preserve"> added value to Australian humanitarian responses, through effective and well-targeted </w:t>
      </w:r>
      <w:r>
        <w:rPr>
          <w:rFonts w:asciiTheme="minorHAnsi" w:hAnsiTheme="minorHAnsi" w:cstheme="minorHAnsi"/>
          <w:lang w:val="en-AU"/>
        </w:rPr>
        <w:t>emergency assistance</w:t>
      </w:r>
      <w:r w:rsidRPr="00782DEE">
        <w:rPr>
          <w:rFonts w:asciiTheme="minorHAnsi" w:hAnsiTheme="minorHAnsi" w:cstheme="minorHAnsi"/>
          <w:lang w:val="en-AU"/>
        </w:rPr>
        <w:t xml:space="preserve">.  </w:t>
      </w:r>
    </w:p>
    <w:p w14:paraId="658E947F" w14:textId="77777777" w:rsidR="004B7D4C" w:rsidRPr="00C6147B" w:rsidRDefault="004B7D4C" w:rsidP="004B7D4C">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 xml:space="preserve">A </w:t>
      </w:r>
      <w:r w:rsidRPr="00C6147B">
        <w:rPr>
          <w:rFonts w:asciiTheme="minorHAnsi" w:hAnsiTheme="minorHAnsi" w:cstheme="minorHAnsi"/>
          <w:lang w:val="en-AU"/>
        </w:rPr>
        <w:t xml:space="preserve">Mid-Term Review (MTR) </w:t>
      </w:r>
      <w:r>
        <w:rPr>
          <w:rFonts w:asciiTheme="minorHAnsi" w:hAnsiTheme="minorHAnsi" w:cstheme="minorHAnsi"/>
          <w:lang w:val="en-AU"/>
        </w:rPr>
        <w:t xml:space="preserve">of HPA </w:t>
      </w:r>
      <w:r w:rsidRPr="00C6147B">
        <w:rPr>
          <w:rFonts w:asciiTheme="minorHAnsi" w:hAnsiTheme="minorHAnsi" w:cstheme="minorHAnsi"/>
          <w:lang w:val="en-AU"/>
        </w:rPr>
        <w:t>was conducted in 2013.  The re</w:t>
      </w:r>
      <w:r>
        <w:rPr>
          <w:rFonts w:asciiTheme="minorHAnsi" w:hAnsiTheme="minorHAnsi" w:cstheme="minorHAnsi"/>
          <w:lang w:val="en-AU"/>
        </w:rPr>
        <w:t>view</w:t>
      </w:r>
      <w:r w:rsidRPr="00C6147B">
        <w:rPr>
          <w:rFonts w:asciiTheme="minorHAnsi" w:hAnsiTheme="minorHAnsi" w:cstheme="minorHAnsi"/>
          <w:lang w:val="en-AU"/>
        </w:rPr>
        <w:t xml:space="preserve"> found that </w:t>
      </w:r>
      <w:r>
        <w:rPr>
          <w:rFonts w:asciiTheme="minorHAnsi" w:hAnsiTheme="minorHAnsi" w:cstheme="minorHAnsi"/>
          <w:lang w:val="en-AU"/>
        </w:rPr>
        <w:t>HPA</w:t>
      </w:r>
      <w:r w:rsidRPr="00C6147B">
        <w:rPr>
          <w:rFonts w:asciiTheme="minorHAnsi" w:hAnsiTheme="minorHAnsi" w:cstheme="minorHAnsi"/>
          <w:lang w:val="en-AU"/>
        </w:rPr>
        <w:t xml:space="preserve"> enable</w:t>
      </w:r>
      <w:r>
        <w:rPr>
          <w:rFonts w:asciiTheme="minorHAnsi" w:hAnsiTheme="minorHAnsi" w:cstheme="minorHAnsi"/>
          <w:lang w:val="en-AU"/>
        </w:rPr>
        <w:t>d</w:t>
      </w:r>
      <w:r w:rsidRPr="00C6147B">
        <w:rPr>
          <w:rFonts w:asciiTheme="minorHAnsi" w:hAnsiTheme="minorHAnsi" w:cstheme="minorHAnsi"/>
          <w:lang w:val="en-AU"/>
        </w:rPr>
        <w:t xml:space="preserve"> life-saving assistance faster than previous arrangements and that </w:t>
      </w:r>
      <w:r>
        <w:rPr>
          <w:rFonts w:asciiTheme="minorHAnsi" w:hAnsiTheme="minorHAnsi" w:cstheme="minorHAnsi"/>
          <w:lang w:val="en-AU"/>
        </w:rPr>
        <w:t xml:space="preserve">it </w:t>
      </w:r>
      <w:r w:rsidRPr="00C6147B">
        <w:rPr>
          <w:rFonts w:asciiTheme="minorHAnsi" w:hAnsiTheme="minorHAnsi" w:cstheme="minorHAnsi"/>
          <w:lang w:val="en-AU"/>
        </w:rPr>
        <w:t>is evolving into a strong response mechanism providing well targeted and appropriate relief.  Areas for improvement included the need to reduce transaction costs and to improve reporting format</w:t>
      </w:r>
      <w:r>
        <w:rPr>
          <w:rFonts w:asciiTheme="minorHAnsi" w:hAnsiTheme="minorHAnsi" w:cstheme="minorHAnsi"/>
          <w:lang w:val="en-AU"/>
        </w:rPr>
        <w:t>s</w:t>
      </w:r>
      <w:r w:rsidRPr="00C6147B">
        <w:rPr>
          <w:rFonts w:asciiTheme="minorHAnsi" w:hAnsiTheme="minorHAnsi" w:cstheme="minorHAnsi"/>
          <w:lang w:val="en-AU"/>
        </w:rPr>
        <w:t xml:space="preserve"> and processes.</w:t>
      </w:r>
      <w:r w:rsidRPr="00BB6753">
        <w:rPr>
          <w:rFonts w:asciiTheme="minorHAnsi" w:hAnsiTheme="minorHAnsi" w:cstheme="minorHAnsi"/>
          <w:lang w:val="en-AU"/>
        </w:rPr>
        <w:t xml:space="preserve"> </w:t>
      </w:r>
      <w:r>
        <w:rPr>
          <w:rFonts w:asciiTheme="minorHAnsi" w:hAnsiTheme="minorHAnsi" w:cstheme="minorHAnsi"/>
          <w:lang w:val="en-AU"/>
        </w:rPr>
        <w:t>As we near completion of the HPA there is a need to conduct a</w:t>
      </w:r>
      <w:r w:rsidRPr="00F53407">
        <w:rPr>
          <w:rFonts w:asciiTheme="minorHAnsi" w:hAnsiTheme="minorHAnsi" w:cstheme="minorHAnsi"/>
          <w:i/>
          <w:lang w:val="en-AU"/>
        </w:rPr>
        <w:t xml:space="preserve"> </w:t>
      </w:r>
      <w:r>
        <w:rPr>
          <w:rFonts w:asciiTheme="minorHAnsi" w:hAnsiTheme="minorHAnsi" w:cstheme="minorHAnsi"/>
          <w:lang w:val="en-AU"/>
        </w:rPr>
        <w:t xml:space="preserve">review of the engagement to assess the success of the mechanism in meeting agreed outcomes. This review and </w:t>
      </w:r>
      <w:r w:rsidRPr="00782DEE">
        <w:rPr>
          <w:rFonts w:asciiTheme="minorHAnsi" w:hAnsiTheme="minorHAnsi" w:cstheme="minorHAnsi"/>
          <w:lang w:val="en-AU"/>
        </w:rPr>
        <w:t xml:space="preserve">lessons from </w:t>
      </w:r>
      <w:r>
        <w:rPr>
          <w:rFonts w:asciiTheme="minorHAnsi" w:hAnsiTheme="minorHAnsi" w:cstheme="minorHAnsi"/>
          <w:lang w:val="en-AU"/>
        </w:rPr>
        <w:t xml:space="preserve">international donor experience will then inform a design to </w:t>
      </w:r>
      <w:r w:rsidRPr="00782DEE">
        <w:rPr>
          <w:rFonts w:asciiTheme="minorHAnsi" w:hAnsiTheme="minorHAnsi" w:cstheme="minorHAnsi"/>
          <w:lang w:val="en-AU"/>
        </w:rPr>
        <w:t xml:space="preserve">shape the most appropriate </w:t>
      </w:r>
      <w:r>
        <w:rPr>
          <w:rFonts w:asciiTheme="minorHAnsi" w:hAnsiTheme="minorHAnsi" w:cstheme="minorHAnsi"/>
          <w:lang w:val="en-AU"/>
        </w:rPr>
        <w:t>way</w:t>
      </w:r>
      <w:r w:rsidRPr="00782DEE">
        <w:rPr>
          <w:rFonts w:asciiTheme="minorHAnsi" w:hAnsiTheme="minorHAnsi" w:cstheme="minorHAnsi"/>
          <w:lang w:val="en-AU"/>
        </w:rPr>
        <w:t xml:space="preserve"> to </w:t>
      </w:r>
      <w:r>
        <w:rPr>
          <w:rFonts w:asciiTheme="minorHAnsi" w:hAnsiTheme="minorHAnsi" w:cstheme="minorHAnsi"/>
          <w:lang w:val="en-AU"/>
        </w:rPr>
        <w:t>engage partners in humanitarian responses after the HPA ends</w:t>
      </w:r>
      <w:r w:rsidRPr="00A1302C">
        <w:rPr>
          <w:rFonts w:asciiTheme="minorHAnsi" w:hAnsiTheme="minorHAnsi" w:cstheme="minorHAnsi"/>
          <w:lang w:val="en-AU"/>
        </w:rPr>
        <w:t>.</w:t>
      </w:r>
    </w:p>
    <w:p w14:paraId="29E3C273" w14:textId="77777777" w:rsidR="004B7D4C" w:rsidRDefault="004B7D4C" w:rsidP="00326690">
      <w:pPr>
        <w:pStyle w:val="ListParagraph"/>
        <w:keepNext/>
        <w:numPr>
          <w:ilvl w:val="0"/>
          <w:numId w:val="7"/>
        </w:numPr>
        <w:spacing w:before="120" w:after="120" w:line="240" w:lineRule="auto"/>
        <w:ind w:left="357" w:hanging="357"/>
        <w:rPr>
          <w:rFonts w:cstheme="minorHAnsi"/>
          <w:b/>
        </w:rPr>
      </w:pPr>
      <w:r>
        <w:rPr>
          <w:rFonts w:cstheme="minorHAnsi"/>
          <w:b/>
        </w:rPr>
        <w:t>Overview</w:t>
      </w:r>
    </w:p>
    <w:p w14:paraId="21A7885A" w14:textId="77777777" w:rsidR="004B7D4C" w:rsidRDefault="004B7D4C" w:rsidP="004B7D4C">
      <w:pPr>
        <w:pStyle w:val="AfterFirstPara"/>
        <w:numPr>
          <w:ilvl w:val="0"/>
          <w:numId w:val="0"/>
        </w:numPr>
        <w:jc w:val="both"/>
        <w:rPr>
          <w:rFonts w:asciiTheme="minorHAnsi" w:hAnsiTheme="minorHAnsi" w:cstheme="minorHAnsi"/>
        </w:rPr>
      </w:pPr>
      <w:r>
        <w:rPr>
          <w:rFonts w:asciiTheme="minorHAnsi" w:hAnsiTheme="minorHAnsi" w:cstheme="minorHAnsi"/>
        </w:rPr>
        <w:t>The</w:t>
      </w:r>
      <w:r w:rsidRPr="005A309C">
        <w:rPr>
          <w:rFonts w:asciiTheme="minorHAnsi" w:hAnsiTheme="minorHAnsi" w:cstheme="minorHAnsi"/>
        </w:rPr>
        <w:t xml:space="preserve"> </w:t>
      </w:r>
      <w:r w:rsidRPr="005A309C">
        <w:rPr>
          <w:rFonts w:asciiTheme="minorHAnsi" w:hAnsiTheme="minorHAnsi" w:cstheme="minorHAnsi"/>
          <w:i/>
        </w:rPr>
        <w:t>review</w:t>
      </w:r>
      <w:r w:rsidRPr="00C6147B">
        <w:rPr>
          <w:rFonts w:asciiTheme="minorHAnsi" w:hAnsiTheme="minorHAnsi" w:cstheme="minorHAnsi"/>
        </w:rPr>
        <w:t xml:space="preserve"> of the current HPA </w:t>
      </w:r>
      <w:r>
        <w:rPr>
          <w:rFonts w:asciiTheme="minorHAnsi" w:hAnsiTheme="minorHAnsi" w:cstheme="minorHAnsi"/>
        </w:rPr>
        <w:t xml:space="preserve">is </w:t>
      </w:r>
      <w:r w:rsidRPr="00C6147B">
        <w:rPr>
          <w:rFonts w:asciiTheme="minorHAnsi" w:hAnsiTheme="minorHAnsi" w:cstheme="minorHAnsi"/>
        </w:rPr>
        <w:t xml:space="preserve">to </w:t>
      </w:r>
      <w:r>
        <w:rPr>
          <w:rFonts w:asciiTheme="minorHAnsi" w:hAnsiTheme="minorHAnsi" w:cstheme="minorHAnsi"/>
        </w:rPr>
        <w:t>determine:</w:t>
      </w:r>
    </w:p>
    <w:p w14:paraId="33269E9E" w14:textId="77777777" w:rsidR="004B7D4C" w:rsidRDefault="004B7D4C" w:rsidP="00326690">
      <w:pPr>
        <w:pStyle w:val="AfterFirstPara"/>
        <w:numPr>
          <w:ilvl w:val="1"/>
          <w:numId w:val="9"/>
        </w:numPr>
        <w:jc w:val="both"/>
        <w:rPr>
          <w:rFonts w:asciiTheme="minorHAnsi" w:hAnsiTheme="minorHAnsi" w:cstheme="minorHAnsi"/>
        </w:rPr>
      </w:pPr>
      <w:r>
        <w:rPr>
          <w:rFonts w:asciiTheme="minorHAnsi" w:hAnsiTheme="minorHAnsi" w:cstheme="minorHAnsi"/>
        </w:rPr>
        <w:t xml:space="preserve">whether the outcomes of delivering rapid emergency assistance, collaborative DRR and DRM activities and strategic dialogue were achieved; and </w:t>
      </w:r>
    </w:p>
    <w:p w14:paraId="6B9FD688" w14:textId="77777777" w:rsidR="004B7D4C" w:rsidRPr="001858E5" w:rsidRDefault="004B7D4C" w:rsidP="00326690">
      <w:pPr>
        <w:pStyle w:val="AfterFirstPara"/>
        <w:numPr>
          <w:ilvl w:val="1"/>
          <w:numId w:val="9"/>
        </w:numPr>
        <w:jc w:val="both"/>
        <w:rPr>
          <w:rFonts w:asciiTheme="minorHAnsi" w:hAnsiTheme="minorHAnsi" w:cstheme="minorHAnsi"/>
        </w:rPr>
      </w:pPr>
      <w:r w:rsidRPr="001858E5">
        <w:rPr>
          <w:rFonts w:asciiTheme="minorHAnsi" w:hAnsiTheme="minorHAnsi" w:cstheme="minorHAnsi"/>
        </w:rPr>
        <w:t xml:space="preserve">to identify lessons learned </w:t>
      </w:r>
      <w:r>
        <w:rPr>
          <w:rFonts w:asciiTheme="minorHAnsi" w:hAnsiTheme="minorHAnsi" w:cstheme="minorHAnsi"/>
        </w:rPr>
        <w:t xml:space="preserve">from the HPA </w:t>
      </w:r>
      <w:r w:rsidRPr="001858E5">
        <w:rPr>
          <w:rFonts w:asciiTheme="minorHAnsi" w:hAnsiTheme="minorHAnsi" w:cstheme="minorHAnsi"/>
        </w:rPr>
        <w:t>to inform a design process for emergency response and DRR and DRM.</w:t>
      </w:r>
    </w:p>
    <w:p w14:paraId="6DF61604" w14:textId="77777777" w:rsidR="004B7D4C" w:rsidRPr="00DC35C4" w:rsidRDefault="004B7D4C" w:rsidP="004B7D4C">
      <w:pPr>
        <w:pStyle w:val="AfterFirstPara"/>
        <w:numPr>
          <w:ilvl w:val="0"/>
          <w:numId w:val="0"/>
        </w:numPr>
        <w:jc w:val="both"/>
        <w:rPr>
          <w:rFonts w:asciiTheme="minorHAnsi" w:hAnsiTheme="minorHAnsi" w:cstheme="minorHAnsi"/>
        </w:rPr>
      </w:pPr>
      <w:r>
        <w:rPr>
          <w:rFonts w:asciiTheme="minorHAnsi" w:hAnsiTheme="minorHAnsi" w:cstheme="minorHAnsi"/>
        </w:rPr>
        <w:t xml:space="preserve">The HPA, as a humanitarian response mechanism, has been reviewed on numerous occasions over the past 4 years including a Mid-Term Review 2013, annual Quality at Implementation reports, and through specific response reviews and evaluations. This review will synthesise this existing information to assess the success of the partnership approach; the efficiency and effectiveness of the mechanism and how appropriate it has been for emergency response and DRR and DRM. </w:t>
      </w:r>
      <w:r w:rsidRPr="00DC35C4">
        <w:rPr>
          <w:rFonts w:asciiTheme="minorHAnsi" w:hAnsiTheme="minorHAnsi" w:cstheme="minorHAnsi"/>
        </w:rPr>
        <w:t xml:space="preserve">This will be complemented </w:t>
      </w:r>
      <w:r>
        <w:rPr>
          <w:rFonts w:asciiTheme="minorHAnsi" w:hAnsiTheme="minorHAnsi" w:cstheme="minorHAnsi"/>
        </w:rPr>
        <w:t xml:space="preserve">by </w:t>
      </w:r>
      <w:r w:rsidRPr="00DC35C4">
        <w:rPr>
          <w:rFonts w:asciiTheme="minorHAnsi" w:hAnsiTheme="minorHAnsi" w:cstheme="minorHAnsi"/>
        </w:rPr>
        <w:t>consultation with stakeholders</w:t>
      </w:r>
      <w:r>
        <w:rPr>
          <w:rFonts w:asciiTheme="minorHAnsi" w:hAnsiTheme="minorHAnsi" w:cstheme="minorHAnsi"/>
        </w:rPr>
        <w:t xml:space="preserve"> involved in the use and management of the HPA. Further information is contained in </w:t>
      </w:r>
      <w:r w:rsidRPr="00DC35C4">
        <w:rPr>
          <w:rFonts w:asciiTheme="minorHAnsi" w:hAnsiTheme="minorHAnsi" w:cstheme="minorHAnsi"/>
          <w:i/>
        </w:rPr>
        <w:t>Attachment A.</w:t>
      </w:r>
    </w:p>
    <w:p w14:paraId="14B785FA" w14:textId="77777777" w:rsidR="004B7D4C" w:rsidRPr="002F007B" w:rsidRDefault="004B7D4C" w:rsidP="004B7D4C">
      <w:pPr>
        <w:pStyle w:val="AfterFirstPara"/>
        <w:numPr>
          <w:ilvl w:val="0"/>
          <w:numId w:val="0"/>
        </w:numPr>
        <w:jc w:val="both"/>
        <w:rPr>
          <w:rFonts w:asciiTheme="minorHAnsi" w:hAnsiTheme="minorHAnsi" w:cstheme="minorHAnsi"/>
        </w:rPr>
      </w:pPr>
      <w:r>
        <w:rPr>
          <w:rFonts w:asciiTheme="minorHAnsi" w:hAnsiTheme="minorHAnsi" w:cstheme="minorHAnsi"/>
        </w:rPr>
        <w:t>Following the review, DFAT will commission a</w:t>
      </w:r>
      <w:r w:rsidRPr="002F007B">
        <w:rPr>
          <w:rFonts w:asciiTheme="minorHAnsi" w:hAnsiTheme="minorHAnsi" w:cstheme="minorHAnsi"/>
        </w:rPr>
        <w:t xml:space="preserve"> </w:t>
      </w:r>
      <w:r w:rsidRPr="002F007B">
        <w:rPr>
          <w:rFonts w:asciiTheme="minorHAnsi" w:hAnsiTheme="minorHAnsi" w:cstheme="minorHAnsi"/>
          <w:i/>
        </w:rPr>
        <w:t>design</w:t>
      </w:r>
      <w:r w:rsidRPr="002F007B">
        <w:rPr>
          <w:rFonts w:asciiTheme="minorHAnsi" w:hAnsiTheme="minorHAnsi" w:cstheme="minorHAnsi"/>
        </w:rPr>
        <w:t xml:space="preserve"> of a mechanism</w:t>
      </w:r>
      <w:r>
        <w:rPr>
          <w:rFonts w:asciiTheme="minorHAnsi" w:hAnsiTheme="minorHAnsi" w:cstheme="minorHAnsi"/>
        </w:rPr>
        <w:t xml:space="preserve"> to enable the delivery of effective, efficient and accountable support to crisis affected people, that contributes to more resilient communities.</w:t>
      </w:r>
    </w:p>
    <w:p w14:paraId="5F9B784C" w14:textId="77777777" w:rsidR="004B7D4C" w:rsidRDefault="004B7D4C" w:rsidP="004B7D4C">
      <w:pPr>
        <w:pStyle w:val="AfterFirstPara"/>
        <w:numPr>
          <w:ilvl w:val="0"/>
          <w:numId w:val="0"/>
        </w:numPr>
        <w:jc w:val="both"/>
        <w:rPr>
          <w:rFonts w:asciiTheme="minorHAnsi" w:hAnsiTheme="minorHAnsi" w:cstheme="minorHAnsi"/>
        </w:rPr>
      </w:pPr>
      <w:r w:rsidRPr="00B50EA8">
        <w:rPr>
          <w:rFonts w:asciiTheme="minorHAnsi" w:hAnsiTheme="minorHAnsi" w:cstheme="minorHAnsi"/>
        </w:rPr>
        <w:t xml:space="preserve">The design will be informed by the review and </w:t>
      </w:r>
      <w:r>
        <w:rPr>
          <w:rFonts w:asciiTheme="minorHAnsi" w:hAnsiTheme="minorHAnsi" w:cstheme="minorHAnsi"/>
        </w:rPr>
        <w:t xml:space="preserve">associated ACFID </w:t>
      </w:r>
      <w:r w:rsidRPr="00B50EA8">
        <w:rPr>
          <w:rFonts w:asciiTheme="minorHAnsi" w:hAnsiTheme="minorHAnsi" w:cstheme="minorHAnsi"/>
        </w:rPr>
        <w:t>H</w:t>
      </w:r>
      <w:r>
        <w:rPr>
          <w:rFonts w:asciiTheme="minorHAnsi" w:hAnsiTheme="minorHAnsi" w:cstheme="minorHAnsi"/>
        </w:rPr>
        <w:t>umanitarian Reference Group</w:t>
      </w:r>
      <w:r w:rsidRPr="00B50EA8">
        <w:rPr>
          <w:rFonts w:asciiTheme="minorHAnsi" w:hAnsiTheme="minorHAnsi" w:cstheme="minorHAnsi"/>
        </w:rPr>
        <w:t xml:space="preserve"> </w:t>
      </w:r>
      <w:r>
        <w:rPr>
          <w:rFonts w:asciiTheme="minorHAnsi" w:hAnsiTheme="minorHAnsi" w:cstheme="minorHAnsi"/>
        </w:rPr>
        <w:t xml:space="preserve">(HRG) and DFAT responses to the review, consultation with stakeholders, </w:t>
      </w:r>
      <w:r w:rsidRPr="00B50EA8">
        <w:rPr>
          <w:rFonts w:asciiTheme="minorHAnsi" w:hAnsiTheme="minorHAnsi" w:cstheme="minorHAnsi"/>
        </w:rPr>
        <w:t>experience of other donors</w:t>
      </w:r>
      <w:r>
        <w:rPr>
          <w:rFonts w:asciiTheme="minorHAnsi" w:hAnsiTheme="minorHAnsi" w:cstheme="minorHAnsi"/>
        </w:rPr>
        <w:t xml:space="preserve"> and </w:t>
      </w:r>
      <w:r w:rsidRPr="00B50EA8">
        <w:rPr>
          <w:rFonts w:asciiTheme="minorHAnsi" w:hAnsiTheme="minorHAnsi" w:cstheme="minorHAnsi"/>
        </w:rPr>
        <w:t>DFAT policies</w:t>
      </w:r>
      <w:r>
        <w:rPr>
          <w:rFonts w:asciiTheme="minorHAnsi" w:hAnsiTheme="minorHAnsi" w:cstheme="minorHAnsi"/>
        </w:rPr>
        <w:t>.</w:t>
      </w:r>
    </w:p>
    <w:p w14:paraId="6A62E974" w14:textId="77777777" w:rsidR="004B7D4C" w:rsidRPr="00AE2A5E" w:rsidRDefault="004B7D4C" w:rsidP="00326690">
      <w:pPr>
        <w:pStyle w:val="ListParagraph"/>
        <w:keepNext/>
        <w:numPr>
          <w:ilvl w:val="0"/>
          <w:numId w:val="7"/>
        </w:numPr>
        <w:spacing w:before="120" w:after="120" w:line="240" w:lineRule="auto"/>
        <w:ind w:left="357" w:hanging="357"/>
        <w:rPr>
          <w:rFonts w:cstheme="minorHAnsi"/>
          <w:b/>
          <w:i/>
        </w:rPr>
      </w:pPr>
      <w:r w:rsidRPr="00AE2A5E">
        <w:rPr>
          <w:rFonts w:cstheme="minorHAnsi"/>
          <w:b/>
        </w:rPr>
        <w:t>Coordination and Direction</w:t>
      </w:r>
    </w:p>
    <w:p w14:paraId="6FA2EBEB" w14:textId="77777777" w:rsidR="004B7D4C" w:rsidRDefault="004B7D4C" w:rsidP="004B7D4C">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The involvement of DFAT and the HRG will be as follows:</w:t>
      </w:r>
    </w:p>
    <w:p w14:paraId="58417BF9" w14:textId="77777777" w:rsidR="004B7D4C" w:rsidRPr="00AE2A5E" w:rsidRDefault="004B7D4C" w:rsidP="00326690">
      <w:pPr>
        <w:pStyle w:val="AfterFirstPara"/>
        <w:numPr>
          <w:ilvl w:val="0"/>
          <w:numId w:val="10"/>
        </w:numPr>
        <w:jc w:val="both"/>
        <w:rPr>
          <w:rFonts w:asciiTheme="minorHAnsi" w:hAnsiTheme="minorHAnsi" w:cstheme="minorHAnsi"/>
          <w:lang w:val="en-AU"/>
        </w:rPr>
      </w:pPr>
      <w:r w:rsidRPr="00AE2A5E">
        <w:rPr>
          <w:rFonts w:asciiTheme="minorHAnsi" w:hAnsiTheme="minorHAnsi" w:cstheme="minorHAnsi"/>
          <w:lang w:val="en-AU"/>
        </w:rPr>
        <w:t xml:space="preserve">The DFAT HPA Manager will be responsible for the direction and supervision of the </w:t>
      </w:r>
      <w:r>
        <w:rPr>
          <w:rFonts w:asciiTheme="minorHAnsi" w:hAnsiTheme="minorHAnsi" w:cstheme="minorHAnsi"/>
          <w:lang w:val="en-AU"/>
        </w:rPr>
        <w:t xml:space="preserve">review and </w:t>
      </w:r>
      <w:r w:rsidRPr="00AE2A5E">
        <w:rPr>
          <w:rFonts w:asciiTheme="minorHAnsi" w:hAnsiTheme="minorHAnsi" w:cstheme="minorHAnsi"/>
          <w:lang w:val="en-AU"/>
        </w:rPr>
        <w:t xml:space="preserve">design team. </w:t>
      </w:r>
    </w:p>
    <w:p w14:paraId="633DE4FC" w14:textId="77777777" w:rsidR="004B7D4C" w:rsidRPr="00AE2A5E" w:rsidRDefault="004B7D4C" w:rsidP="00326690">
      <w:pPr>
        <w:pStyle w:val="AfterFirstPara"/>
        <w:numPr>
          <w:ilvl w:val="0"/>
          <w:numId w:val="10"/>
        </w:numPr>
        <w:jc w:val="both"/>
        <w:rPr>
          <w:rFonts w:asciiTheme="minorHAnsi" w:hAnsiTheme="minorHAnsi" w:cstheme="minorHAnsi"/>
          <w:lang w:val="en-AU"/>
        </w:rPr>
      </w:pPr>
      <w:r>
        <w:rPr>
          <w:rFonts w:asciiTheme="minorHAnsi" w:hAnsiTheme="minorHAnsi" w:cstheme="minorHAnsi"/>
          <w:lang w:val="en-AU"/>
        </w:rPr>
        <w:t>A</w:t>
      </w:r>
      <w:r w:rsidRPr="00AE2A5E">
        <w:rPr>
          <w:rFonts w:asciiTheme="minorHAnsi" w:hAnsiTheme="minorHAnsi" w:cstheme="minorHAnsi"/>
          <w:lang w:val="en-AU"/>
        </w:rPr>
        <w:t xml:space="preserve"> HRG representative will </w:t>
      </w:r>
      <w:r>
        <w:rPr>
          <w:rFonts w:asciiTheme="minorHAnsi" w:hAnsiTheme="minorHAnsi" w:cstheme="minorHAnsi"/>
          <w:lang w:val="en-AU"/>
        </w:rPr>
        <w:t xml:space="preserve">be nominated to support </w:t>
      </w:r>
      <w:r w:rsidRPr="00AE2A5E">
        <w:rPr>
          <w:rFonts w:asciiTheme="minorHAnsi" w:hAnsiTheme="minorHAnsi" w:cstheme="minorHAnsi"/>
          <w:lang w:val="en-AU"/>
        </w:rPr>
        <w:t>DFAT in organising meetings with stakeholders during the consultation phases</w:t>
      </w:r>
      <w:r>
        <w:rPr>
          <w:rFonts w:asciiTheme="minorHAnsi" w:hAnsiTheme="minorHAnsi" w:cstheme="minorHAnsi"/>
          <w:lang w:val="en-AU"/>
        </w:rPr>
        <w:t xml:space="preserve"> for the review and design</w:t>
      </w:r>
      <w:r w:rsidRPr="00AE2A5E">
        <w:rPr>
          <w:rFonts w:asciiTheme="minorHAnsi" w:hAnsiTheme="minorHAnsi" w:cstheme="minorHAnsi"/>
          <w:lang w:val="en-AU"/>
        </w:rPr>
        <w:t xml:space="preserve">. </w:t>
      </w:r>
    </w:p>
    <w:p w14:paraId="5886761B" w14:textId="77777777" w:rsidR="004B7D4C" w:rsidRDefault="004B7D4C" w:rsidP="00326690">
      <w:pPr>
        <w:pStyle w:val="AfterFirstPara"/>
        <w:numPr>
          <w:ilvl w:val="0"/>
          <w:numId w:val="10"/>
        </w:numPr>
        <w:jc w:val="both"/>
        <w:rPr>
          <w:rFonts w:asciiTheme="minorHAnsi" w:hAnsiTheme="minorHAnsi" w:cstheme="minorHAnsi"/>
          <w:lang w:val="en-AU"/>
        </w:rPr>
      </w:pPr>
      <w:r w:rsidRPr="00AE2A5E">
        <w:rPr>
          <w:rFonts w:asciiTheme="minorHAnsi" w:hAnsiTheme="minorHAnsi" w:cstheme="minorHAnsi"/>
          <w:lang w:val="en-AU"/>
        </w:rPr>
        <w:t>The HRG representative will be responsible for coordinating a consolidated formal HRG response to the review report.</w:t>
      </w:r>
    </w:p>
    <w:p w14:paraId="396DCC7D" w14:textId="77777777" w:rsidR="004B7D4C" w:rsidRDefault="004B7D4C" w:rsidP="00326690">
      <w:pPr>
        <w:pStyle w:val="AfterFirstPara"/>
        <w:numPr>
          <w:ilvl w:val="0"/>
          <w:numId w:val="10"/>
        </w:numPr>
        <w:jc w:val="both"/>
        <w:rPr>
          <w:rFonts w:asciiTheme="minorHAnsi" w:hAnsiTheme="minorHAnsi" w:cstheme="minorHAnsi"/>
          <w:lang w:val="en-AU"/>
        </w:rPr>
      </w:pPr>
      <w:r>
        <w:rPr>
          <w:rFonts w:asciiTheme="minorHAnsi" w:hAnsiTheme="minorHAnsi" w:cstheme="minorHAnsi"/>
          <w:lang w:val="en-AU"/>
        </w:rPr>
        <w:t xml:space="preserve">The Investment Concept and Design Document will inform a tender process and to ensure no conflict of interest ACFID HRG representative/members will not be provided copies of these documents in advance of their release to the market.  </w:t>
      </w:r>
    </w:p>
    <w:p w14:paraId="444AB9B7" w14:textId="77777777" w:rsidR="004B7D4C" w:rsidRDefault="004B7D4C" w:rsidP="004B7D4C">
      <w:pPr>
        <w:pStyle w:val="ListParagraph"/>
        <w:keepNext/>
        <w:spacing w:before="120" w:after="120"/>
        <w:ind w:left="357"/>
        <w:jc w:val="center"/>
        <w:rPr>
          <w:rFonts w:cstheme="minorHAnsi"/>
          <w:b/>
        </w:rPr>
      </w:pPr>
    </w:p>
    <w:p w14:paraId="01C38750" w14:textId="77777777" w:rsidR="004B7D4C" w:rsidRDefault="004B7D4C" w:rsidP="004B7D4C">
      <w:pPr>
        <w:pStyle w:val="ListParagraph"/>
        <w:keepNext/>
        <w:spacing w:before="120" w:after="120"/>
        <w:ind w:left="357"/>
        <w:jc w:val="center"/>
        <w:rPr>
          <w:rFonts w:cstheme="minorHAnsi"/>
          <w:b/>
        </w:rPr>
      </w:pPr>
      <w:r>
        <w:rPr>
          <w:rFonts w:cstheme="minorHAnsi"/>
          <w:b/>
        </w:rPr>
        <w:t>Part 1 – Review of HPA</w:t>
      </w:r>
    </w:p>
    <w:p w14:paraId="452AB5C5" w14:textId="77777777" w:rsidR="004B7D4C" w:rsidRDefault="004B7D4C" w:rsidP="004B7D4C">
      <w:pPr>
        <w:pStyle w:val="ListParagraph"/>
        <w:keepNext/>
        <w:spacing w:before="120" w:after="120"/>
        <w:ind w:left="357"/>
        <w:rPr>
          <w:rFonts w:cstheme="minorHAnsi"/>
          <w:b/>
        </w:rPr>
      </w:pPr>
    </w:p>
    <w:p w14:paraId="128C18C5" w14:textId="77777777" w:rsidR="004B7D4C" w:rsidRPr="002D069F" w:rsidRDefault="004B7D4C" w:rsidP="00326690">
      <w:pPr>
        <w:pStyle w:val="ListParagraph"/>
        <w:keepNext/>
        <w:numPr>
          <w:ilvl w:val="0"/>
          <w:numId w:val="15"/>
        </w:numPr>
        <w:spacing w:before="120" w:after="120" w:line="240" w:lineRule="auto"/>
        <w:rPr>
          <w:rFonts w:cstheme="minorHAnsi"/>
          <w:b/>
        </w:rPr>
      </w:pPr>
      <w:r w:rsidRPr="002D069F">
        <w:rPr>
          <w:rFonts w:cstheme="minorHAnsi"/>
          <w:b/>
        </w:rPr>
        <w:t>Scope and Methodology</w:t>
      </w:r>
    </w:p>
    <w:p w14:paraId="239EEBA6" w14:textId="77777777" w:rsidR="004B7D4C" w:rsidRDefault="004B7D4C" w:rsidP="004B7D4C">
      <w:pPr>
        <w:pStyle w:val="AfterFirstPara"/>
        <w:numPr>
          <w:ilvl w:val="0"/>
          <w:numId w:val="0"/>
        </w:numPr>
        <w:jc w:val="both"/>
        <w:rPr>
          <w:rFonts w:asciiTheme="minorHAnsi" w:hAnsiTheme="minorHAnsi" w:cstheme="minorHAnsi"/>
        </w:rPr>
      </w:pPr>
      <w:r>
        <w:rPr>
          <w:rFonts w:asciiTheme="minorHAnsi" w:hAnsiTheme="minorHAnsi" w:cstheme="minorHAnsi"/>
        </w:rPr>
        <w:t>To determine whether HPA outcomes have been achieved, the review team will address the following criteria:</w:t>
      </w:r>
    </w:p>
    <w:p w14:paraId="22C30DFB" w14:textId="77777777" w:rsidR="004B7D4C" w:rsidRDefault="004B7D4C" w:rsidP="00326690">
      <w:pPr>
        <w:pStyle w:val="AfterFirstPara"/>
        <w:numPr>
          <w:ilvl w:val="0"/>
          <w:numId w:val="18"/>
        </w:numPr>
        <w:jc w:val="both"/>
        <w:rPr>
          <w:rFonts w:asciiTheme="minorHAnsi" w:hAnsiTheme="minorHAnsi" w:cstheme="minorHAnsi"/>
        </w:rPr>
      </w:pPr>
      <w:r>
        <w:rPr>
          <w:rFonts w:asciiTheme="minorHAnsi" w:hAnsiTheme="minorHAnsi" w:cstheme="minorHAnsi"/>
        </w:rPr>
        <w:t>Effectiveness – have we achieved the results that we expected over the lifetime of the investment</w:t>
      </w:r>
    </w:p>
    <w:p w14:paraId="2FFC2562" w14:textId="77777777" w:rsidR="004B7D4C" w:rsidRDefault="004B7D4C" w:rsidP="00326690">
      <w:pPr>
        <w:pStyle w:val="AfterFirstPara"/>
        <w:numPr>
          <w:ilvl w:val="0"/>
          <w:numId w:val="18"/>
        </w:numPr>
        <w:jc w:val="both"/>
        <w:rPr>
          <w:rFonts w:asciiTheme="minorHAnsi" w:hAnsiTheme="minorHAnsi" w:cstheme="minorHAnsi"/>
        </w:rPr>
      </w:pPr>
      <w:r>
        <w:rPr>
          <w:rFonts w:asciiTheme="minorHAnsi" w:hAnsiTheme="minorHAnsi" w:cstheme="minorHAnsi"/>
        </w:rPr>
        <w:t xml:space="preserve">Efficiency – did the investment make efficient use of Australia’s and other partners’ time and resources to achieve investment outcomes? </w:t>
      </w:r>
    </w:p>
    <w:p w14:paraId="7732FA36" w14:textId="77777777" w:rsidR="004B7D4C" w:rsidRDefault="004B7D4C" w:rsidP="00326690">
      <w:pPr>
        <w:pStyle w:val="AfterFirstPara"/>
        <w:numPr>
          <w:ilvl w:val="0"/>
          <w:numId w:val="18"/>
        </w:numPr>
        <w:jc w:val="both"/>
        <w:rPr>
          <w:rFonts w:asciiTheme="minorHAnsi" w:hAnsiTheme="minorHAnsi" w:cstheme="minorHAnsi"/>
        </w:rPr>
      </w:pPr>
      <w:r>
        <w:rPr>
          <w:rFonts w:asciiTheme="minorHAnsi" w:hAnsiTheme="minorHAnsi" w:cstheme="minorHAnsi"/>
        </w:rPr>
        <w:t>Monitoring and Evaluation – was an M&amp;E system used to generate credible information which was used to monitor progress towards meeting outcomes and for program improvement, learning and accountability?</w:t>
      </w:r>
    </w:p>
    <w:p w14:paraId="79B5F31B" w14:textId="77777777" w:rsidR="004B7D4C" w:rsidRDefault="004B7D4C" w:rsidP="00326690">
      <w:pPr>
        <w:pStyle w:val="AfterFirstPara"/>
        <w:numPr>
          <w:ilvl w:val="0"/>
          <w:numId w:val="18"/>
        </w:numPr>
        <w:jc w:val="both"/>
        <w:rPr>
          <w:rFonts w:asciiTheme="minorHAnsi" w:hAnsiTheme="minorHAnsi" w:cstheme="minorHAnsi"/>
        </w:rPr>
      </w:pPr>
      <w:r>
        <w:rPr>
          <w:rFonts w:asciiTheme="minorHAnsi" w:hAnsiTheme="minorHAnsi" w:cstheme="minorHAnsi"/>
        </w:rPr>
        <w:t>Sustainability – did the investment deliver in a way which supports recovery, resilience and long term development?</w:t>
      </w:r>
    </w:p>
    <w:p w14:paraId="543C5F00" w14:textId="77777777" w:rsidR="004B7D4C" w:rsidRDefault="004B7D4C" w:rsidP="00326690">
      <w:pPr>
        <w:pStyle w:val="AfterFirstPara"/>
        <w:numPr>
          <w:ilvl w:val="0"/>
          <w:numId w:val="18"/>
        </w:numPr>
        <w:jc w:val="both"/>
        <w:rPr>
          <w:rFonts w:asciiTheme="minorHAnsi" w:hAnsiTheme="minorHAnsi" w:cstheme="minorHAnsi"/>
        </w:rPr>
      </w:pPr>
      <w:r>
        <w:rPr>
          <w:rFonts w:asciiTheme="minorHAnsi" w:hAnsiTheme="minorHAnsi" w:cstheme="minorHAnsi"/>
        </w:rPr>
        <w:t xml:space="preserve">Protection – did the investment protect the safety, dignity and rights of affected people? </w:t>
      </w:r>
    </w:p>
    <w:p w14:paraId="2B155725" w14:textId="77777777" w:rsidR="004B7D4C" w:rsidRDefault="004B7D4C" w:rsidP="00326690">
      <w:pPr>
        <w:pStyle w:val="AfterFirstPara"/>
        <w:numPr>
          <w:ilvl w:val="0"/>
          <w:numId w:val="18"/>
        </w:numPr>
        <w:jc w:val="both"/>
        <w:rPr>
          <w:rFonts w:asciiTheme="minorHAnsi" w:hAnsiTheme="minorHAnsi" w:cstheme="minorHAnsi"/>
        </w:rPr>
      </w:pPr>
      <w:r>
        <w:rPr>
          <w:rFonts w:asciiTheme="minorHAnsi" w:hAnsiTheme="minorHAnsi" w:cstheme="minorHAnsi"/>
        </w:rPr>
        <w:t xml:space="preserve">Gender equality – did the investment make a difference to gender equality and empowering women and girls? </w:t>
      </w:r>
    </w:p>
    <w:p w14:paraId="6CBCFF9B" w14:textId="77777777" w:rsidR="004B7D4C" w:rsidRDefault="004B7D4C" w:rsidP="00326690">
      <w:pPr>
        <w:pStyle w:val="AfterFirstPara"/>
        <w:numPr>
          <w:ilvl w:val="0"/>
          <w:numId w:val="18"/>
        </w:numPr>
        <w:jc w:val="both"/>
        <w:rPr>
          <w:rFonts w:asciiTheme="minorHAnsi" w:hAnsiTheme="minorHAnsi" w:cstheme="minorHAnsi"/>
        </w:rPr>
      </w:pPr>
      <w:r>
        <w:rPr>
          <w:rFonts w:asciiTheme="minorHAnsi" w:hAnsiTheme="minorHAnsi" w:cstheme="minorHAnsi"/>
        </w:rPr>
        <w:t>Risk Management and Fraud –how was risk managed and fraud addressed?</w:t>
      </w:r>
    </w:p>
    <w:p w14:paraId="29A6BCFE" w14:textId="77777777" w:rsidR="004B7D4C" w:rsidRDefault="004B7D4C" w:rsidP="00326690">
      <w:pPr>
        <w:pStyle w:val="AfterFirstPara"/>
        <w:numPr>
          <w:ilvl w:val="0"/>
          <w:numId w:val="18"/>
        </w:numPr>
        <w:jc w:val="both"/>
        <w:rPr>
          <w:rFonts w:asciiTheme="minorHAnsi" w:hAnsiTheme="minorHAnsi" w:cstheme="minorHAnsi"/>
        </w:rPr>
      </w:pPr>
      <w:r>
        <w:rPr>
          <w:rFonts w:asciiTheme="minorHAnsi" w:hAnsiTheme="minorHAnsi" w:cstheme="minorHAnsi"/>
        </w:rPr>
        <w:t xml:space="preserve">Innovation and Private Sector – are there any lessons that could inform future approaches to innovation and private sector engagement? </w:t>
      </w:r>
    </w:p>
    <w:p w14:paraId="7CAD3476" w14:textId="77777777" w:rsidR="004B7D4C" w:rsidRDefault="004B7D4C" w:rsidP="004B7D4C">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These criteria are based on DFAT’s Humanitarian Response Aid Quality Check.</w:t>
      </w:r>
    </w:p>
    <w:p w14:paraId="1BC28B0E" w14:textId="77777777" w:rsidR="004B7D4C" w:rsidRDefault="004B7D4C" w:rsidP="004B7D4C">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 xml:space="preserve">In order to respond to the criteria </w:t>
      </w:r>
      <w:r>
        <w:rPr>
          <w:rFonts w:asciiTheme="minorHAnsi" w:hAnsiTheme="minorHAnsi" w:cstheme="minorHAnsi"/>
        </w:rPr>
        <w:t xml:space="preserve">(further expanded in Annex 1), </w:t>
      </w:r>
      <w:r>
        <w:rPr>
          <w:rFonts w:asciiTheme="minorHAnsi" w:hAnsiTheme="minorHAnsi" w:cstheme="minorHAnsi"/>
          <w:lang w:val="en-AU"/>
        </w:rPr>
        <w:t xml:space="preserve">the review team will </w:t>
      </w:r>
      <w:r w:rsidRPr="002D069F">
        <w:rPr>
          <w:rFonts w:asciiTheme="minorHAnsi" w:hAnsiTheme="minorHAnsi" w:cstheme="minorHAnsi"/>
          <w:lang w:val="en-AU"/>
        </w:rPr>
        <w:t>conduct</w:t>
      </w:r>
      <w:r>
        <w:rPr>
          <w:rFonts w:asciiTheme="minorHAnsi" w:hAnsiTheme="minorHAnsi" w:cstheme="minorHAnsi"/>
          <w:lang w:val="en-AU"/>
        </w:rPr>
        <w:t xml:space="preserve"> </w:t>
      </w:r>
      <w:r w:rsidRPr="002D069F">
        <w:rPr>
          <w:rFonts w:asciiTheme="minorHAnsi" w:hAnsiTheme="minorHAnsi" w:cstheme="minorHAnsi"/>
          <w:lang w:val="en-AU"/>
        </w:rPr>
        <w:t xml:space="preserve">a desk based review of available documents (indicative list provided under Section </w:t>
      </w:r>
      <w:r>
        <w:rPr>
          <w:rFonts w:asciiTheme="minorHAnsi" w:hAnsiTheme="minorHAnsi" w:cstheme="minorHAnsi"/>
          <w:lang w:val="en-AU"/>
        </w:rPr>
        <w:t xml:space="preserve">2). </w:t>
      </w:r>
      <w:r>
        <w:rPr>
          <w:rFonts w:asciiTheme="minorHAnsi" w:hAnsiTheme="minorHAnsi" w:cstheme="minorHAnsi"/>
        </w:rPr>
        <w:t xml:space="preserve">The desk based review will inform a </w:t>
      </w:r>
      <w:r w:rsidRPr="00F53407">
        <w:rPr>
          <w:rFonts w:asciiTheme="minorHAnsi" w:hAnsiTheme="minorHAnsi" w:cstheme="minorHAnsi"/>
          <w:b/>
        </w:rPr>
        <w:t>brief discussion paper</w:t>
      </w:r>
      <w:r>
        <w:rPr>
          <w:rFonts w:asciiTheme="minorHAnsi" w:hAnsiTheme="minorHAnsi" w:cstheme="minorHAnsi"/>
        </w:rPr>
        <w:t xml:space="preserve"> (no more than 7 pages) which includes initial assessment of the HPA against the criteria and methodology for subsequent stakeholder consultations </w:t>
      </w:r>
      <w:r>
        <w:rPr>
          <w:rFonts w:asciiTheme="minorHAnsi" w:hAnsiTheme="minorHAnsi" w:cstheme="minorHAnsi"/>
          <w:lang w:val="en-AU"/>
        </w:rPr>
        <w:t>(suggested stakeholders</w:t>
      </w:r>
      <w:r w:rsidRPr="002D069F">
        <w:rPr>
          <w:rFonts w:asciiTheme="minorHAnsi" w:hAnsiTheme="minorHAnsi" w:cstheme="minorHAnsi"/>
          <w:lang w:val="en-AU"/>
        </w:rPr>
        <w:t xml:space="preserve"> provided in Section </w:t>
      </w:r>
      <w:r>
        <w:rPr>
          <w:rFonts w:asciiTheme="minorHAnsi" w:hAnsiTheme="minorHAnsi" w:cstheme="minorHAnsi"/>
          <w:lang w:val="en-AU"/>
        </w:rPr>
        <w:t xml:space="preserve">3).  </w:t>
      </w:r>
    </w:p>
    <w:p w14:paraId="115D590D" w14:textId="77777777" w:rsidR="004B7D4C" w:rsidRDefault="004B7D4C" w:rsidP="004B7D4C">
      <w:pPr>
        <w:pStyle w:val="AfterFirstPara"/>
        <w:numPr>
          <w:ilvl w:val="0"/>
          <w:numId w:val="0"/>
        </w:numPr>
        <w:jc w:val="both"/>
        <w:rPr>
          <w:rFonts w:asciiTheme="minorHAnsi" w:hAnsiTheme="minorHAnsi" w:cstheme="minorHAnsi"/>
        </w:rPr>
      </w:pPr>
      <w:r>
        <w:rPr>
          <w:rFonts w:asciiTheme="minorHAnsi" w:hAnsiTheme="minorHAnsi" w:cstheme="minorHAnsi"/>
        </w:rPr>
        <w:t xml:space="preserve">The discussion paper will be presented </w:t>
      </w:r>
      <w:r w:rsidRPr="00A548FA">
        <w:rPr>
          <w:rFonts w:asciiTheme="minorHAnsi" w:hAnsiTheme="minorHAnsi" w:cstheme="minorHAnsi"/>
        </w:rPr>
        <w:t xml:space="preserve">to DFAT and </w:t>
      </w:r>
      <w:r>
        <w:rPr>
          <w:rFonts w:asciiTheme="minorHAnsi" w:hAnsiTheme="minorHAnsi" w:cstheme="minorHAnsi"/>
        </w:rPr>
        <w:t xml:space="preserve">the </w:t>
      </w:r>
      <w:r w:rsidRPr="00A548FA">
        <w:rPr>
          <w:rFonts w:asciiTheme="minorHAnsi" w:hAnsiTheme="minorHAnsi" w:cstheme="minorHAnsi"/>
          <w:lang w:val="en-AU"/>
        </w:rPr>
        <w:t>HRG</w:t>
      </w:r>
      <w:r w:rsidRPr="00F53407">
        <w:rPr>
          <w:rFonts w:asciiTheme="minorHAnsi" w:hAnsiTheme="minorHAnsi" w:cstheme="minorHAnsi"/>
        </w:rPr>
        <w:t xml:space="preserve"> </w:t>
      </w:r>
      <w:r w:rsidRPr="00A548FA">
        <w:rPr>
          <w:rFonts w:asciiTheme="minorHAnsi" w:hAnsiTheme="minorHAnsi" w:cstheme="minorHAnsi"/>
        </w:rPr>
        <w:t>prior</w:t>
      </w:r>
      <w:r>
        <w:rPr>
          <w:rFonts w:asciiTheme="minorHAnsi" w:hAnsiTheme="minorHAnsi" w:cstheme="minorHAnsi"/>
        </w:rPr>
        <w:t xml:space="preserve"> to the commencement of the review consultation phase. The methodology for the consultation phase will be agreed by DFAT. DFAT agreement to the methodology will be informed by the views of the HRG members, coordinated and consolidated by the nominated HRG representative. </w:t>
      </w:r>
    </w:p>
    <w:p w14:paraId="452E0DB5" w14:textId="77777777" w:rsidR="004B7D4C" w:rsidRDefault="004B7D4C" w:rsidP="004B7D4C">
      <w:pPr>
        <w:pStyle w:val="AfterFirstPara"/>
        <w:numPr>
          <w:ilvl w:val="0"/>
          <w:numId w:val="0"/>
        </w:numPr>
        <w:jc w:val="both"/>
        <w:rPr>
          <w:rFonts w:asciiTheme="minorHAnsi" w:hAnsiTheme="minorHAnsi" w:cstheme="minorHAnsi"/>
        </w:rPr>
      </w:pPr>
      <w:r>
        <w:rPr>
          <w:rFonts w:asciiTheme="minorHAnsi" w:hAnsiTheme="minorHAnsi" w:cstheme="minorHAnsi"/>
        </w:rPr>
        <w:t xml:space="preserve">The consultation process will be flexible and involve face-to-face interviews, teleconferences and email with DFAT, HPA and HRG members. DFAT, the HPA Director and HRG representative will facilitate stakeholder consultation arrangements.  </w:t>
      </w:r>
    </w:p>
    <w:p w14:paraId="12D0A542" w14:textId="77777777" w:rsidR="004B7D4C" w:rsidRDefault="004B7D4C" w:rsidP="004B7D4C">
      <w:pPr>
        <w:pStyle w:val="AfterFirstPara"/>
        <w:numPr>
          <w:ilvl w:val="0"/>
          <w:numId w:val="0"/>
        </w:numPr>
        <w:jc w:val="both"/>
        <w:rPr>
          <w:rFonts w:asciiTheme="minorHAnsi" w:hAnsiTheme="minorHAnsi" w:cstheme="minorHAnsi"/>
          <w:lang w:val="en-AU"/>
        </w:rPr>
      </w:pPr>
      <w:r w:rsidRPr="002D069F">
        <w:rPr>
          <w:rFonts w:asciiTheme="minorHAnsi" w:hAnsiTheme="minorHAnsi" w:cstheme="minorHAnsi"/>
          <w:lang w:val="en-AU"/>
        </w:rPr>
        <w:t xml:space="preserve">Outcomes of the </w:t>
      </w:r>
      <w:r>
        <w:rPr>
          <w:rFonts w:asciiTheme="minorHAnsi" w:hAnsiTheme="minorHAnsi" w:cstheme="minorHAnsi"/>
          <w:lang w:val="en-AU"/>
        </w:rPr>
        <w:t>r</w:t>
      </w:r>
      <w:r w:rsidRPr="002D069F">
        <w:rPr>
          <w:rFonts w:asciiTheme="minorHAnsi" w:hAnsiTheme="minorHAnsi" w:cstheme="minorHAnsi"/>
          <w:lang w:val="en-AU"/>
        </w:rPr>
        <w:t>eview process</w:t>
      </w:r>
      <w:r>
        <w:rPr>
          <w:rFonts w:asciiTheme="minorHAnsi" w:hAnsiTheme="minorHAnsi" w:cstheme="minorHAnsi"/>
          <w:lang w:val="en-AU"/>
        </w:rPr>
        <w:t xml:space="preserve">, which includes synthesis of existing review reports and consultations, </w:t>
      </w:r>
      <w:r w:rsidRPr="002D069F">
        <w:rPr>
          <w:rFonts w:asciiTheme="minorHAnsi" w:hAnsiTheme="minorHAnsi" w:cstheme="minorHAnsi"/>
          <w:lang w:val="en-AU"/>
        </w:rPr>
        <w:t xml:space="preserve">will </w:t>
      </w:r>
      <w:r>
        <w:rPr>
          <w:rFonts w:asciiTheme="minorHAnsi" w:hAnsiTheme="minorHAnsi" w:cstheme="minorHAnsi"/>
          <w:lang w:val="en-AU"/>
        </w:rPr>
        <w:t xml:space="preserve">be detailed in </w:t>
      </w:r>
      <w:r w:rsidRPr="002D069F">
        <w:rPr>
          <w:rFonts w:asciiTheme="minorHAnsi" w:hAnsiTheme="minorHAnsi" w:cstheme="minorHAnsi"/>
          <w:lang w:val="en-AU"/>
        </w:rPr>
        <w:t xml:space="preserve">a </w:t>
      </w:r>
      <w:r w:rsidRPr="00A949AF">
        <w:rPr>
          <w:rFonts w:asciiTheme="minorHAnsi" w:hAnsiTheme="minorHAnsi" w:cstheme="minorHAnsi"/>
          <w:b/>
          <w:lang w:val="en-AU"/>
        </w:rPr>
        <w:t>review report</w:t>
      </w:r>
      <w:r>
        <w:rPr>
          <w:rFonts w:asciiTheme="minorHAnsi" w:hAnsiTheme="minorHAnsi" w:cstheme="minorHAnsi"/>
          <w:lang w:val="en-AU"/>
        </w:rPr>
        <w:t xml:space="preserve"> (no more than 25 pages)</w:t>
      </w:r>
      <w:r w:rsidRPr="002D069F">
        <w:rPr>
          <w:rFonts w:asciiTheme="minorHAnsi" w:hAnsiTheme="minorHAnsi" w:cstheme="minorHAnsi"/>
          <w:lang w:val="en-AU"/>
        </w:rPr>
        <w:t>.</w:t>
      </w:r>
      <w:r>
        <w:rPr>
          <w:rFonts w:asciiTheme="minorHAnsi" w:hAnsiTheme="minorHAnsi" w:cstheme="minorHAnsi"/>
          <w:lang w:val="en-AU"/>
        </w:rPr>
        <w:t xml:space="preserve"> The review report will provide an assessment on whether </w:t>
      </w:r>
      <w:r>
        <w:rPr>
          <w:rFonts w:asciiTheme="minorHAnsi" w:hAnsiTheme="minorHAnsi" w:cstheme="minorHAnsi"/>
        </w:rPr>
        <w:t>HPA has achieved agreed outcomes and identify lessons learned to inform a design process.</w:t>
      </w:r>
      <w:r w:rsidRPr="002D069F">
        <w:rPr>
          <w:rFonts w:asciiTheme="minorHAnsi" w:hAnsiTheme="minorHAnsi" w:cstheme="minorHAnsi"/>
          <w:lang w:val="en-AU"/>
        </w:rPr>
        <w:t xml:space="preserve"> The </w:t>
      </w:r>
      <w:r>
        <w:rPr>
          <w:rFonts w:asciiTheme="minorHAnsi" w:hAnsiTheme="minorHAnsi" w:cstheme="minorHAnsi"/>
          <w:lang w:val="en-AU"/>
        </w:rPr>
        <w:t>r</w:t>
      </w:r>
      <w:r w:rsidRPr="002D069F">
        <w:rPr>
          <w:rFonts w:asciiTheme="minorHAnsi" w:hAnsiTheme="minorHAnsi" w:cstheme="minorHAnsi"/>
          <w:lang w:val="en-AU"/>
        </w:rPr>
        <w:t xml:space="preserve">eview </w:t>
      </w:r>
      <w:r>
        <w:rPr>
          <w:rFonts w:asciiTheme="minorHAnsi" w:hAnsiTheme="minorHAnsi" w:cstheme="minorHAnsi"/>
          <w:lang w:val="en-AU"/>
        </w:rPr>
        <w:t>r</w:t>
      </w:r>
      <w:r w:rsidRPr="002D069F">
        <w:rPr>
          <w:rFonts w:asciiTheme="minorHAnsi" w:hAnsiTheme="minorHAnsi" w:cstheme="minorHAnsi"/>
          <w:lang w:val="en-AU"/>
        </w:rPr>
        <w:t>eport will be shared with</w:t>
      </w:r>
      <w:r>
        <w:rPr>
          <w:rFonts w:asciiTheme="minorHAnsi" w:hAnsiTheme="minorHAnsi" w:cstheme="minorHAnsi"/>
          <w:lang w:val="en-AU"/>
        </w:rPr>
        <w:t xml:space="preserve"> HRG members </w:t>
      </w:r>
      <w:r w:rsidRPr="002D069F">
        <w:rPr>
          <w:rFonts w:asciiTheme="minorHAnsi" w:hAnsiTheme="minorHAnsi" w:cstheme="minorHAnsi"/>
          <w:lang w:val="en-AU"/>
        </w:rPr>
        <w:t xml:space="preserve">who </w:t>
      </w:r>
      <w:r>
        <w:rPr>
          <w:rFonts w:asciiTheme="minorHAnsi" w:hAnsiTheme="minorHAnsi" w:cstheme="minorHAnsi"/>
          <w:lang w:val="en-AU"/>
        </w:rPr>
        <w:t>will be invited to</w:t>
      </w:r>
      <w:r w:rsidRPr="002D069F">
        <w:rPr>
          <w:rFonts w:asciiTheme="minorHAnsi" w:hAnsiTheme="minorHAnsi" w:cstheme="minorHAnsi"/>
          <w:lang w:val="en-AU"/>
        </w:rPr>
        <w:t xml:space="preserve"> provide a </w:t>
      </w:r>
      <w:r>
        <w:rPr>
          <w:rFonts w:asciiTheme="minorHAnsi" w:hAnsiTheme="minorHAnsi" w:cstheme="minorHAnsi"/>
          <w:lang w:val="en-AU"/>
        </w:rPr>
        <w:t xml:space="preserve">consolidated </w:t>
      </w:r>
      <w:r w:rsidRPr="002D069F">
        <w:rPr>
          <w:rFonts w:asciiTheme="minorHAnsi" w:hAnsiTheme="minorHAnsi" w:cstheme="minorHAnsi"/>
          <w:lang w:val="en-AU"/>
        </w:rPr>
        <w:t>formal response to the report.</w:t>
      </w:r>
      <w:r>
        <w:rPr>
          <w:rFonts w:asciiTheme="minorHAnsi" w:hAnsiTheme="minorHAnsi" w:cstheme="minorHAnsi"/>
          <w:lang w:val="en-AU"/>
        </w:rPr>
        <w:t xml:space="preserve">  The HRG representative will coordinate the consolidated response to this report. </w:t>
      </w:r>
      <w:r w:rsidRPr="002D069F">
        <w:rPr>
          <w:rFonts w:asciiTheme="minorHAnsi" w:hAnsiTheme="minorHAnsi" w:cstheme="minorHAnsi"/>
          <w:lang w:val="en-AU"/>
        </w:rPr>
        <w:t>DFAT will provide a formal management response to th</w:t>
      </w:r>
      <w:r>
        <w:rPr>
          <w:rFonts w:asciiTheme="minorHAnsi" w:hAnsiTheme="minorHAnsi" w:cstheme="minorHAnsi"/>
          <w:lang w:val="en-AU"/>
        </w:rPr>
        <w:t>e</w:t>
      </w:r>
      <w:r w:rsidRPr="002D069F">
        <w:rPr>
          <w:rFonts w:asciiTheme="minorHAnsi" w:hAnsiTheme="minorHAnsi" w:cstheme="minorHAnsi"/>
          <w:lang w:val="en-AU"/>
        </w:rPr>
        <w:t xml:space="preserve"> report</w:t>
      </w:r>
      <w:r>
        <w:rPr>
          <w:rFonts w:asciiTheme="minorHAnsi" w:hAnsiTheme="minorHAnsi" w:cstheme="minorHAnsi"/>
          <w:lang w:val="en-AU"/>
        </w:rPr>
        <w:t xml:space="preserve">. </w:t>
      </w:r>
    </w:p>
    <w:p w14:paraId="696099E9" w14:textId="77777777" w:rsidR="004B7D4C" w:rsidRPr="005A309C" w:rsidRDefault="004B7D4C" w:rsidP="004B7D4C">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 xml:space="preserve">The review report and management responses from HRG and DFAT will inform the </w:t>
      </w:r>
      <w:r w:rsidRPr="002D069F">
        <w:rPr>
          <w:rFonts w:asciiTheme="minorHAnsi" w:hAnsiTheme="minorHAnsi" w:cstheme="minorHAnsi"/>
          <w:lang w:val="en-AU"/>
        </w:rPr>
        <w:t>design process.</w:t>
      </w:r>
    </w:p>
    <w:p w14:paraId="39FD5DAE" w14:textId="77777777" w:rsidR="004B7D4C" w:rsidRDefault="004B7D4C" w:rsidP="004B7D4C">
      <w:pPr>
        <w:pStyle w:val="AfterFirstPara"/>
        <w:numPr>
          <w:ilvl w:val="0"/>
          <w:numId w:val="0"/>
        </w:numPr>
        <w:jc w:val="both"/>
        <w:rPr>
          <w:rFonts w:asciiTheme="minorHAnsi" w:hAnsiTheme="minorHAnsi" w:cstheme="minorHAnsi"/>
        </w:rPr>
      </w:pPr>
      <w:r>
        <w:rPr>
          <w:rFonts w:asciiTheme="minorHAnsi" w:hAnsiTheme="minorHAnsi" w:cstheme="minorHAnsi"/>
        </w:rPr>
        <w:t>It should be noted that the scope of the review does not include:</w:t>
      </w:r>
    </w:p>
    <w:p w14:paraId="47FFB47A" w14:textId="77777777" w:rsidR="004B7D4C" w:rsidRDefault="004B7D4C" w:rsidP="00326690">
      <w:pPr>
        <w:pStyle w:val="AfterFirstPara"/>
        <w:numPr>
          <w:ilvl w:val="0"/>
          <w:numId w:val="13"/>
        </w:numPr>
        <w:ind w:left="709" w:hanging="425"/>
        <w:jc w:val="both"/>
        <w:rPr>
          <w:rFonts w:asciiTheme="minorHAnsi" w:hAnsiTheme="minorHAnsi" w:cstheme="minorHAnsi"/>
        </w:rPr>
      </w:pPr>
      <w:r>
        <w:rPr>
          <w:rFonts w:asciiTheme="minorHAnsi" w:hAnsiTheme="minorHAnsi" w:cstheme="minorHAnsi"/>
        </w:rPr>
        <w:t xml:space="preserve">a comparison of the HPA with other delivery/funding mechanisms available to DFAT for emergency responses; </w:t>
      </w:r>
    </w:p>
    <w:p w14:paraId="37BB851C" w14:textId="77777777" w:rsidR="004B7D4C" w:rsidRDefault="004B7D4C" w:rsidP="00326690">
      <w:pPr>
        <w:pStyle w:val="AfterFirstPara"/>
        <w:numPr>
          <w:ilvl w:val="0"/>
          <w:numId w:val="13"/>
        </w:numPr>
        <w:ind w:left="709" w:hanging="425"/>
        <w:jc w:val="both"/>
        <w:rPr>
          <w:rFonts w:asciiTheme="minorHAnsi" w:hAnsiTheme="minorHAnsi" w:cstheme="minorHAnsi"/>
        </w:rPr>
      </w:pPr>
      <w:r>
        <w:rPr>
          <w:rFonts w:asciiTheme="minorHAnsi" w:hAnsiTheme="minorHAnsi" w:cstheme="minorHAnsi"/>
        </w:rPr>
        <w:t>a comparison of the HPA with other donor emergency response mechanisms; or</w:t>
      </w:r>
    </w:p>
    <w:p w14:paraId="2FEE6661" w14:textId="77777777" w:rsidR="004B7D4C" w:rsidRDefault="004B7D4C" w:rsidP="00326690">
      <w:pPr>
        <w:pStyle w:val="AfterFirstPara"/>
        <w:numPr>
          <w:ilvl w:val="0"/>
          <w:numId w:val="13"/>
        </w:numPr>
        <w:tabs>
          <w:tab w:val="left" w:pos="720"/>
        </w:tabs>
        <w:ind w:left="709" w:hanging="425"/>
        <w:jc w:val="both"/>
        <w:rPr>
          <w:rFonts w:asciiTheme="minorHAnsi" w:hAnsiTheme="minorHAnsi" w:cstheme="minorHAnsi"/>
          <w:lang w:val="en-AU"/>
        </w:rPr>
      </w:pPr>
      <w:r>
        <w:rPr>
          <w:rFonts w:asciiTheme="minorHAnsi" w:hAnsiTheme="minorHAnsi" w:cstheme="minorHAnsi"/>
          <w:lang w:val="en-AU"/>
        </w:rPr>
        <w:t>face-to-face/tele-based c</w:t>
      </w:r>
      <w:r w:rsidRPr="00E257CD">
        <w:rPr>
          <w:rFonts w:asciiTheme="minorHAnsi" w:hAnsiTheme="minorHAnsi" w:cstheme="minorHAnsi"/>
          <w:lang w:val="en-AU"/>
        </w:rPr>
        <w:t xml:space="preserve">onsultations with </w:t>
      </w:r>
      <w:r>
        <w:rPr>
          <w:rFonts w:asciiTheme="minorHAnsi" w:hAnsiTheme="minorHAnsi" w:cstheme="minorHAnsi"/>
          <w:lang w:val="en-AU"/>
        </w:rPr>
        <w:t>affected communities,</w:t>
      </w:r>
      <w:r w:rsidRPr="00E257CD">
        <w:rPr>
          <w:rFonts w:asciiTheme="minorHAnsi" w:hAnsiTheme="minorHAnsi" w:cstheme="minorHAnsi"/>
          <w:lang w:val="en-AU"/>
        </w:rPr>
        <w:t xml:space="preserve"> DRM authorities in partner countries where a</w:t>
      </w:r>
      <w:r>
        <w:rPr>
          <w:rFonts w:asciiTheme="minorHAnsi" w:hAnsiTheme="minorHAnsi" w:cstheme="minorHAnsi"/>
          <w:lang w:val="en-AU"/>
        </w:rPr>
        <w:t>ctivations have taken place or m</w:t>
      </w:r>
      <w:r w:rsidRPr="00E257CD">
        <w:rPr>
          <w:rFonts w:asciiTheme="minorHAnsi" w:hAnsiTheme="minorHAnsi" w:cstheme="minorHAnsi"/>
          <w:lang w:val="en-AU"/>
        </w:rPr>
        <w:t>ultilateral stakeholders</w:t>
      </w:r>
      <w:r>
        <w:rPr>
          <w:rFonts w:asciiTheme="minorHAnsi" w:hAnsiTheme="minorHAnsi" w:cstheme="minorHAnsi"/>
          <w:lang w:val="en-AU"/>
        </w:rPr>
        <w:t>, such as</w:t>
      </w:r>
      <w:r w:rsidRPr="00E257CD">
        <w:rPr>
          <w:rFonts w:asciiTheme="minorHAnsi" w:hAnsiTheme="minorHAnsi" w:cstheme="minorHAnsi"/>
          <w:lang w:val="en-AU"/>
        </w:rPr>
        <w:t xml:space="preserve"> UNICEF, UNOCHA, UNHCR</w:t>
      </w:r>
      <w:r>
        <w:rPr>
          <w:rFonts w:asciiTheme="minorHAnsi" w:hAnsiTheme="minorHAnsi" w:cstheme="minorHAnsi"/>
          <w:lang w:val="en-AU"/>
        </w:rPr>
        <w:t xml:space="preserve">. </w:t>
      </w:r>
    </w:p>
    <w:p w14:paraId="67DA5D98" w14:textId="77777777" w:rsidR="004B7D4C" w:rsidRDefault="004B7D4C" w:rsidP="004B7D4C">
      <w:pPr>
        <w:pStyle w:val="AfterFirstPara"/>
        <w:numPr>
          <w:ilvl w:val="0"/>
          <w:numId w:val="0"/>
        </w:numPr>
        <w:ind w:left="284"/>
        <w:jc w:val="both"/>
        <w:rPr>
          <w:rFonts w:asciiTheme="minorHAnsi" w:hAnsiTheme="minorHAnsi" w:cstheme="minorHAnsi"/>
          <w:lang w:val="en-AU"/>
        </w:rPr>
      </w:pPr>
      <w:r>
        <w:rPr>
          <w:rFonts w:asciiTheme="minorHAnsi" w:hAnsiTheme="minorHAnsi" w:cstheme="minorHAnsi"/>
          <w:lang w:val="en-AU"/>
        </w:rPr>
        <w:t>However it is noted that insights into stakeholder views listed above and comparison of other funding mechanisms is presented in existing review and evaluation reports listed in Section 2</w:t>
      </w:r>
      <w:r w:rsidRPr="00A548FA">
        <w:rPr>
          <w:rFonts w:asciiTheme="minorHAnsi" w:hAnsiTheme="minorHAnsi" w:cstheme="minorHAnsi"/>
          <w:lang w:val="en-AU"/>
        </w:rPr>
        <w:t xml:space="preserve">. </w:t>
      </w:r>
    </w:p>
    <w:p w14:paraId="3F457F90" w14:textId="77777777" w:rsidR="004B7D4C" w:rsidRPr="002624B2" w:rsidRDefault="004B7D4C" w:rsidP="00326690">
      <w:pPr>
        <w:pStyle w:val="ListParagraph"/>
        <w:keepNext/>
        <w:numPr>
          <w:ilvl w:val="0"/>
          <w:numId w:val="15"/>
        </w:numPr>
        <w:spacing w:before="120" w:after="120" w:line="240" w:lineRule="auto"/>
        <w:ind w:left="357" w:hanging="357"/>
        <w:rPr>
          <w:rFonts w:cstheme="minorHAnsi"/>
          <w:b/>
        </w:rPr>
      </w:pPr>
      <w:r w:rsidRPr="002624B2">
        <w:rPr>
          <w:rFonts w:cstheme="minorHAnsi"/>
          <w:b/>
        </w:rPr>
        <w:t>Existing Reports</w:t>
      </w:r>
    </w:p>
    <w:p w14:paraId="683B8E01" w14:textId="77777777" w:rsidR="004B7D4C" w:rsidRDefault="004B7D4C" w:rsidP="004B7D4C">
      <w:pPr>
        <w:pStyle w:val="AfterFirstPara"/>
        <w:numPr>
          <w:ilvl w:val="0"/>
          <w:numId w:val="0"/>
        </w:numPr>
        <w:jc w:val="both"/>
        <w:rPr>
          <w:rFonts w:asciiTheme="minorHAnsi" w:hAnsiTheme="minorHAnsi" w:cstheme="minorHAnsi"/>
          <w:lang w:val="en-AU"/>
        </w:rPr>
      </w:pPr>
      <w:r w:rsidRPr="005A309C">
        <w:rPr>
          <w:rFonts w:asciiTheme="minorHAnsi" w:hAnsiTheme="minorHAnsi" w:cstheme="minorHAnsi"/>
          <w:lang w:val="en-AU"/>
        </w:rPr>
        <w:t xml:space="preserve">The </w:t>
      </w:r>
      <w:r>
        <w:rPr>
          <w:rFonts w:asciiTheme="minorHAnsi" w:hAnsiTheme="minorHAnsi" w:cstheme="minorHAnsi"/>
          <w:lang w:val="en-AU"/>
        </w:rPr>
        <w:t>review</w:t>
      </w:r>
      <w:r w:rsidRPr="005A309C">
        <w:rPr>
          <w:rFonts w:asciiTheme="minorHAnsi" w:hAnsiTheme="minorHAnsi" w:cstheme="minorHAnsi"/>
          <w:lang w:val="en-AU"/>
        </w:rPr>
        <w:t xml:space="preserve"> team will review existing DFAT policies</w:t>
      </w:r>
      <w:r>
        <w:rPr>
          <w:rFonts w:asciiTheme="minorHAnsi" w:hAnsiTheme="minorHAnsi" w:cstheme="minorHAnsi"/>
          <w:lang w:val="en-AU"/>
        </w:rPr>
        <w:t xml:space="preserve"> and</w:t>
      </w:r>
      <w:r w:rsidRPr="005A309C">
        <w:rPr>
          <w:rFonts w:asciiTheme="minorHAnsi" w:hAnsiTheme="minorHAnsi" w:cstheme="minorHAnsi"/>
          <w:lang w:val="en-AU"/>
        </w:rPr>
        <w:t xml:space="preserve"> </w:t>
      </w:r>
      <w:r>
        <w:rPr>
          <w:rFonts w:asciiTheme="minorHAnsi" w:hAnsiTheme="minorHAnsi" w:cstheme="minorHAnsi"/>
          <w:lang w:val="en-AU"/>
        </w:rPr>
        <w:t>HPA reviews</w:t>
      </w:r>
      <w:r w:rsidRPr="005A309C">
        <w:rPr>
          <w:rFonts w:asciiTheme="minorHAnsi" w:hAnsiTheme="minorHAnsi" w:cstheme="minorHAnsi"/>
          <w:lang w:val="en-AU"/>
        </w:rPr>
        <w:t>, including but not limited to:</w:t>
      </w:r>
    </w:p>
    <w:p w14:paraId="4FC39C45" w14:textId="77777777" w:rsidR="004B7D4C" w:rsidRPr="00F53407" w:rsidRDefault="004B7D4C" w:rsidP="00326690">
      <w:pPr>
        <w:pStyle w:val="AfterFirstPara"/>
        <w:numPr>
          <w:ilvl w:val="0"/>
          <w:numId w:val="14"/>
        </w:numPr>
        <w:tabs>
          <w:tab w:val="left" w:pos="720"/>
        </w:tabs>
        <w:jc w:val="both"/>
        <w:rPr>
          <w:rFonts w:asciiTheme="minorHAnsi" w:hAnsiTheme="minorHAnsi" w:cstheme="minorHAnsi"/>
        </w:rPr>
      </w:pPr>
      <w:r w:rsidRPr="00F53407">
        <w:rPr>
          <w:rFonts w:asciiTheme="minorHAnsi" w:hAnsiTheme="minorHAnsi" w:cstheme="minorHAnsi"/>
        </w:rPr>
        <w:t>DFAT’s Humanitarian Action Policy</w:t>
      </w:r>
      <w:r>
        <w:rPr>
          <w:rFonts w:asciiTheme="minorHAnsi" w:hAnsiTheme="minorHAnsi" w:cstheme="minorHAnsi"/>
        </w:rPr>
        <w:t>*</w:t>
      </w:r>
    </w:p>
    <w:p w14:paraId="1E4EF017" w14:textId="77777777" w:rsidR="004B7D4C" w:rsidRPr="00F53407" w:rsidRDefault="004B7D4C" w:rsidP="00326690">
      <w:pPr>
        <w:pStyle w:val="AfterFirstPara"/>
        <w:numPr>
          <w:ilvl w:val="0"/>
          <w:numId w:val="14"/>
        </w:numPr>
        <w:tabs>
          <w:tab w:val="left" w:pos="720"/>
        </w:tabs>
        <w:jc w:val="both"/>
        <w:rPr>
          <w:rFonts w:asciiTheme="minorHAnsi" w:hAnsiTheme="minorHAnsi" w:cstheme="minorHAnsi"/>
        </w:rPr>
      </w:pPr>
      <w:r w:rsidRPr="00F53407">
        <w:rPr>
          <w:rFonts w:asciiTheme="minorHAnsi" w:hAnsiTheme="minorHAnsi" w:cstheme="minorHAnsi"/>
        </w:rPr>
        <w:t>DFAT’s Investing in a Safer Future: A Disaster Risk Reduction Policy for the Australian Aid Program</w:t>
      </w:r>
      <w:r>
        <w:rPr>
          <w:rFonts w:asciiTheme="minorHAnsi" w:hAnsiTheme="minorHAnsi" w:cstheme="minorHAnsi"/>
        </w:rPr>
        <w:t>*</w:t>
      </w:r>
    </w:p>
    <w:p w14:paraId="555D60D8" w14:textId="77777777" w:rsidR="004B7D4C" w:rsidRDefault="004B7D4C" w:rsidP="00326690">
      <w:pPr>
        <w:pStyle w:val="AfterFirstPara"/>
        <w:numPr>
          <w:ilvl w:val="0"/>
          <w:numId w:val="14"/>
        </w:numPr>
        <w:tabs>
          <w:tab w:val="left" w:pos="720"/>
        </w:tabs>
        <w:jc w:val="both"/>
        <w:rPr>
          <w:rFonts w:asciiTheme="minorHAnsi" w:hAnsiTheme="minorHAnsi" w:cstheme="minorHAnsi"/>
        </w:rPr>
      </w:pPr>
      <w:r w:rsidRPr="00902876">
        <w:rPr>
          <w:rFonts w:asciiTheme="minorHAnsi" w:hAnsiTheme="minorHAnsi" w:cstheme="minorHAnsi"/>
        </w:rPr>
        <w:t>DFAT’s Protection in Humanitarian Action Framework</w:t>
      </w:r>
    </w:p>
    <w:p w14:paraId="7A592B09" w14:textId="77777777" w:rsidR="004B7D4C" w:rsidRPr="00324096" w:rsidRDefault="004B7D4C" w:rsidP="00326690">
      <w:pPr>
        <w:pStyle w:val="AfterFirstPara"/>
        <w:numPr>
          <w:ilvl w:val="0"/>
          <w:numId w:val="14"/>
        </w:numPr>
        <w:tabs>
          <w:tab w:val="left" w:pos="720"/>
        </w:tabs>
        <w:jc w:val="both"/>
        <w:rPr>
          <w:rFonts w:asciiTheme="minorHAnsi" w:hAnsiTheme="minorHAnsi" w:cstheme="minorHAnsi"/>
        </w:rPr>
      </w:pPr>
      <w:r w:rsidRPr="00324096">
        <w:rPr>
          <w:rFonts w:asciiTheme="minorHAnsi" w:hAnsiTheme="minorHAnsi" w:cstheme="minorHAnsi"/>
        </w:rPr>
        <w:t>HPA operational documents, including Schedule 2 Head Agreement and HPA Vision document</w:t>
      </w:r>
      <w:r>
        <w:rPr>
          <w:rFonts w:asciiTheme="minorHAnsi" w:hAnsiTheme="minorHAnsi" w:cstheme="minorHAnsi"/>
        </w:rPr>
        <w:t xml:space="preserve"> </w:t>
      </w:r>
    </w:p>
    <w:p w14:paraId="49D5000A" w14:textId="77777777" w:rsidR="004B7D4C" w:rsidRDefault="004B7D4C" w:rsidP="00326690">
      <w:pPr>
        <w:pStyle w:val="AfterFirstPara"/>
        <w:numPr>
          <w:ilvl w:val="0"/>
          <w:numId w:val="14"/>
        </w:numPr>
        <w:jc w:val="both"/>
        <w:rPr>
          <w:rFonts w:asciiTheme="minorHAnsi" w:hAnsiTheme="minorHAnsi" w:cstheme="minorHAnsi"/>
        </w:rPr>
      </w:pPr>
      <w:r>
        <w:rPr>
          <w:rFonts w:asciiTheme="minorHAnsi" w:hAnsiTheme="minorHAnsi" w:cstheme="minorHAnsi"/>
        </w:rPr>
        <w:t>Quality at Implementation Reports for the HPA</w:t>
      </w:r>
    </w:p>
    <w:p w14:paraId="0B6F5E92" w14:textId="77777777" w:rsidR="004B7D4C" w:rsidRPr="00096681" w:rsidRDefault="004B7D4C" w:rsidP="00326690">
      <w:pPr>
        <w:pStyle w:val="AfterFirstPara"/>
        <w:numPr>
          <w:ilvl w:val="0"/>
          <w:numId w:val="14"/>
        </w:numPr>
        <w:tabs>
          <w:tab w:val="left" w:pos="720"/>
        </w:tabs>
        <w:jc w:val="both"/>
        <w:rPr>
          <w:rFonts w:asciiTheme="minorHAnsi" w:hAnsiTheme="minorHAnsi" w:cstheme="minorHAnsi"/>
        </w:rPr>
      </w:pPr>
      <w:r w:rsidRPr="00096681">
        <w:rPr>
          <w:rFonts w:asciiTheme="minorHAnsi" w:hAnsiTheme="minorHAnsi" w:cstheme="minorHAnsi"/>
        </w:rPr>
        <w:t xml:space="preserve">Evaluation of Australia’s response to the Horn of Africa humanitarian crises 2011 and </w:t>
      </w:r>
      <w:r w:rsidRPr="00096681">
        <w:rPr>
          <w:rFonts w:asciiTheme="minorHAnsi" w:hAnsiTheme="minorHAnsi" w:cstheme="minorHAnsi"/>
          <w:lang w:val="en-AU"/>
        </w:rPr>
        <w:t>Syria Crisis Evaluations</w:t>
      </w:r>
      <w:r w:rsidRPr="00096681">
        <w:rPr>
          <w:rFonts w:asciiTheme="minorHAnsi" w:hAnsiTheme="minorHAnsi" w:cstheme="minorHAnsi"/>
        </w:rPr>
        <w:t xml:space="preserve"> (ODE)</w:t>
      </w:r>
    </w:p>
    <w:p w14:paraId="4A8BBFD6" w14:textId="77777777" w:rsidR="004B7D4C" w:rsidRDefault="004B7D4C" w:rsidP="00326690">
      <w:pPr>
        <w:pStyle w:val="AfterFirstPara"/>
        <w:numPr>
          <w:ilvl w:val="0"/>
          <w:numId w:val="14"/>
        </w:numPr>
        <w:tabs>
          <w:tab w:val="left" w:pos="720"/>
        </w:tabs>
        <w:jc w:val="both"/>
        <w:rPr>
          <w:rFonts w:asciiTheme="minorHAnsi" w:hAnsiTheme="minorHAnsi" w:cstheme="minorHAnsi"/>
        </w:rPr>
      </w:pPr>
      <w:r>
        <w:rPr>
          <w:rFonts w:asciiTheme="minorHAnsi" w:hAnsiTheme="minorHAnsi" w:cstheme="minorHAnsi"/>
        </w:rPr>
        <w:t>HPA Mid-Term Review</w:t>
      </w:r>
    </w:p>
    <w:p w14:paraId="6E4B4271" w14:textId="77777777" w:rsidR="004B7D4C" w:rsidRDefault="004B7D4C" w:rsidP="00326690">
      <w:pPr>
        <w:pStyle w:val="AfterFirstPara"/>
        <w:numPr>
          <w:ilvl w:val="0"/>
          <w:numId w:val="14"/>
        </w:numPr>
        <w:tabs>
          <w:tab w:val="left" w:pos="720"/>
        </w:tabs>
        <w:jc w:val="both"/>
        <w:rPr>
          <w:rFonts w:asciiTheme="minorHAnsi" w:hAnsiTheme="minorHAnsi" w:cstheme="minorHAnsi"/>
        </w:rPr>
      </w:pPr>
      <w:r>
        <w:rPr>
          <w:rFonts w:asciiTheme="minorHAnsi" w:hAnsiTheme="minorHAnsi" w:cstheme="minorHAnsi"/>
        </w:rPr>
        <w:t>Review of the HPA Haiyan response</w:t>
      </w:r>
    </w:p>
    <w:p w14:paraId="5840D0C0" w14:textId="77777777" w:rsidR="004B7D4C" w:rsidRDefault="004B7D4C" w:rsidP="00326690">
      <w:pPr>
        <w:pStyle w:val="AfterFirstPara"/>
        <w:numPr>
          <w:ilvl w:val="0"/>
          <w:numId w:val="14"/>
        </w:numPr>
        <w:tabs>
          <w:tab w:val="left" w:pos="720"/>
        </w:tabs>
        <w:jc w:val="both"/>
        <w:rPr>
          <w:rFonts w:asciiTheme="minorHAnsi" w:hAnsiTheme="minorHAnsi" w:cstheme="minorHAnsi"/>
        </w:rPr>
      </w:pPr>
      <w:r>
        <w:rPr>
          <w:rFonts w:asciiTheme="minorHAnsi" w:hAnsiTheme="minorHAnsi" w:cstheme="minorHAnsi"/>
        </w:rPr>
        <w:t>Review of the HPA Bopha response</w:t>
      </w:r>
    </w:p>
    <w:p w14:paraId="49953E93" w14:textId="77777777" w:rsidR="004B7D4C" w:rsidRDefault="004B7D4C" w:rsidP="00326690">
      <w:pPr>
        <w:pStyle w:val="AfterFirstPara"/>
        <w:numPr>
          <w:ilvl w:val="0"/>
          <w:numId w:val="14"/>
        </w:numPr>
        <w:tabs>
          <w:tab w:val="left" w:pos="720"/>
        </w:tabs>
        <w:jc w:val="both"/>
        <w:rPr>
          <w:rFonts w:asciiTheme="minorHAnsi" w:hAnsiTheme="minorHAnsi" w:cstheme="minorHAnsi"/>
        </w:rPr>
      </w:pPr>
      <w:r>
        <w:rPr>
          <w:rFonts w:asciiTheme="minorHAnsi" w:hAnsiTheme="minorHAnsi" w:cstheme="minorHAnsi"/>
        </w:rPr>
        <w:t>Review of the HPA Syria response</w:t>
      </w:r>
    </w:p>
    <w:p w14:paraId="7D8E6BA9" w14:textId="77777777" w:rsidR="004B7D4C" w:rsidRDefault="004B7D4C" w:rsidP="00326690">
      <w:pPr>
        <w:pStyle w:val="AfterFirstPara"/>
        <w:numPr>
          <w:ilvl w:val="0"/>
          <w:numId w:val="14"/>
        </w:numPr>
        <w:tabs>
          <w:tab w:val="left" w:pos="720"/>
        </w:tabs>
        <w:jc w:val="both"/>
        <w:rPr>
          <w:rFonts w:asciiTheme="minorHAnsi" w:hAnsiTheme="minorHAnsi" w:cstheme="minorHAnsi"/>
        </w:rPr>
      </w:pPr>
      <w:r>
        <w:rPr>
          <w:rFonts w:asciiTheme="minorHAnsi" w:hAnsiTheme="minorHAnsi" w:cstheme="minorHAnsi"/>
        </w:rPr>
        <w:t>Review of the HPA Horn of Africa response</w:t>
      </w:r>
    </w:p>
    <w:p w14:paraId="5BC51F90" w14:textId="77777777" w:rsidR="004B7D4C" w:rsidRPr="00A75907" w:rsidRDefault="004B7D4C" w:rsidP="00326690">
      <w:pPr>
        <w:pStyle w:val="AfterFirstPara"/>
        <w:numPr>
          <w:ilvl w:val="0"/>
          <w:numId w:val="14"/>
        </w:numPr>
        <w:jc w:val="both"/>
        <w:rPr>
          <w:rFonts w:asciiTheme="minorHAnsi" w:hAnsiTheme="minorHAnsi" w:cstheme="minorHAnsi"/>
        </w:rPr>
      </w:pPr>
      <w:r w:rsidRPr="006A6A44">
        <w:rPr>
          <w:rFonts w:asciiTheme="minorHAnsi" w:hAnsiTheme="minorHAnsi" w:cstheme="minorHAnsi"/>
        </w:rPr>
        <w:t>Independent Review of the Period Funding Agreement for Disaster Risk Management</w:t>
      </w:r>
      <w:r>
        <w:rPr>
          <w:rFonts w:asciiTheme="minorHAnsi" w:hAnsiTheme="minorHAnsi" w:cstheme="minorHAnsi"/>
        </w:rPr>
        <w:t xml:space="preserve"> </w:t>
      </w:r>
      <w:r w:rsidRPr="006A6A44">
        <w:rPr>
          <w:rFonts w:asciiTheme="minorHAnsi" w:hAnsiTheme="minorHAnsi" w:cstheme="minorHAnsi"/>
        </w:rPr>
        <w:t>(PFA)</w:t>
      </w:r>
      <w:r>
        <w:rPr>
          <w:rFonts w:asciiTheme="minorHAnsi" w:hAnsiTheme="minorHAnsi" w:cstheme="minorHAnsi"/>
        </w:rPr>
        <w:t xml:space="preserve"> Final Report – </w:t>
      </w:r>
      <w:r w:rsidRPr="006A6A44">
        <w:rPr>
          <w:rFonts w:asciiTheme="minorHAnsi" w:hAnsiTheme="minorHAnsi" w:cstheme="minorHAnsi"/>
        </w:rPr>
        <w:t>December 2009</w:t>
      </w:r>
    </w:p>
    <w:p w14:paraId="3458CA2E" w14:textId="77777777" w:rsidR="004B7D4C" w:rsidRDefault="004B7D4C" w:rsidP="00326690">
      <w:pPr>
        <w:pStyle w:val="AfterFirstPara"/>
        <w:numPr>
          <w:ilvl w:val="0"/>
          <w:numId w:val="14"/>
        </w:numPr>
        <w:tabs>
          <w:tab w:val="left" w:pos="720"/>
        </w:tabs>
        <w:jc w:val="both"/>
        <w:rPr>
          <w:rFonts w:asciiTheme="minorHAnsi" w:hAnsiTheme="minorHAnsi" w:cstheme="minorHAnsi"/>
        </w:rPr>
      </w:pPr>
      <w:r>
        <w:rPr>
          <w:rFonts w:asciiTheme="minorHAnsi" w:hAnsiTheme="minorHAnsi" w:cstheme="minorHAnsi"/>
        </w:rPr>
        <w:t>HPA Joint Communique</w:t>
      </w:r>
      <w:r>
        <w:rPr>
          <w:rFonts w:asciiTheme="minorHAnsi" w:hAnsiTheme="minorHAnsi" w:cstheme="minorHAnsi"/>
          <w:lang w:val="en-AU"/>
        </w:rPr>
        <w:t>: Learning and Recommendations on Disaster Risk Reduction</w:t>
      </w:r>
    </w:p>
    <w:p w14:paraId="4D510BA5" w14:textId="77777777" w:rsidR="004B7D4C" w:rsidRDefault="004B7D4C" w:rsidP="00326690">
      <w:pPr>
        <w:pStyle w:val="AfterFirstPara"/>
        <w:numPr>
          <w:ilvl w:val="0"/>
          <w:numId w:val="14"/>
        </w:numPr>
        <w:tabs>
          <w:tab w:val="left" w:pos="720"/>
        </w:tabs>
        <w:jc w:val="both"/>
        <w:rPr>
          <w:rFonts w:asciiTheme="minorHAnsi" w:hAnsiTheme="minorHAnsi" w:cstheme="minorHAnsi"/>
        </w:rPr>
      </w:pPr>
      <w:r>
        <w:rPr>
          <w:rFonts w:asciiTheme="minorHAnsi" w:hAnsiTheme="minorHAnsi" w:cstheme="minorHAnsi"/>
        </w:rPr>
        <w:t xml:space="preserve">Relevant sector standards for NGOs: ACFID Code of Conduct, Red Cross and NGO Code of Conduct for humanitarian action, the Sphere Standards </w:t>
      </w:r>
    </w:p>
    <w:p w14:paraId="393896FA" w14:textId="77777777" w:rsidR="004B7D4C" w:rsidRPr="00324096" w:rsidRDefault="004B7D4C" w:rsidP="00326690">
      <w:pPr>
        <w:pStyle w:val="AfterFirstPara"/>
        <w:numPr>
          <w:ilvl w:val="0"/>
          <w:numId w:val="14"/>
        </w:numPr>
        <w:tabs>
          <w:tab w:val="left" w:pos="720"/>
        </w:tabs>
        <w:jc w:val="both"/>
        <w:rPr>
          <w:rFonts w:asciiTheme="minorHAnsi" w:hAnsiTheme="minorHAnsi" w:cstheme="minorHAnsi"/>
        </w:rPr>
      </w:pPr>
      <w:r w:rsidRPr="00324096">
        <w:rPr>
          <w:rFonts w:asciiTheme="minorHAnsi" w:hAnsiTheme="minorHAnsi" w:cstheme="minorHAnsi"/>
        </w:rPr>
        <w:t xml:space="preserve">HPA Level 1 DRR and DRM reports submitted in 2014 which provide an overview of Years 1, 2 and 3, and Level 2 reporting against joint activities. </w:t>
      </w:r>
    </w:p>
    <w:p w14:paraId="4B04CD16" w14:textId="77777777" w:rsidR="004B7D4C" w:rsidRDefault="004B7D4C" w:rsidP="00326690">
      <w:pPr>
        <w:pStyle w:val="AfterFirstPara"/>
        <w:numPr>
          <w:ilvl w:val="0"/>
          <w:numId w:val="14"/>
        </w:numPr>
        <w:tabs>
          <w:tab w:val="left" w:pos="720"/>
        </w:tabs>
        <w:jc w:val="both"/>
        <w:rPr>
          <w:rFonts w:asciiTheme="minorHAnsi" w:hAnsiTheme="minorHAnsi" w:cstheme="minorHAnsi"/>
        </w:rPr>
      </w:pPr>
      <w:r w:rsidRPr="00324096">
        <w:rPr>
          <w:rFonts w:asciiTheme="minorHAnsi" w:hAnsiTheme="minorHAnsi" w:cstheme="minorHAnsi"/>
        </w:rPr>
        <w:t>Level 2 joint agency reports on each HPA activation</w:t>
      </w:r>
    </w:p>
    <w:p w14:paraId="123C9DC9" w14:textId="77777777" w:rsidR="004B7D4C" w:rsidRPr="00F53407" w:rsidRDefault="004B7D4C" w:rsidP="004B7D4C">
      <w:pPr>
        <w:pStyle w:val="AfterFirstPara"/>
        <w:numPr>
          <w:ilvl w:val="0"/>
          <w:numId w:val="0"/>
        </w:numPr>
        <w:tabs>
          <w:tab w:val="left" w:pos="720"/>
        </w:tabs>
        <w:ind w:left="720"/>
        <w:jc w:val="both"/>
        <w:rPr>
          <w:rFonts w:asciiTheme="minorHAnsi" w:hAnsiTheme="minorHAnsi" w:cstheme="minorHAnsi"/>
        </w:rPr>
      </w:pPr>
    </w:p>
    <w:p w14:paraId="3A7DE4DD" w14:textId="77777777" w:rsidR="004B7D4C" w:rsidRPr="002624B2" w:rsidRDefault="004B7D4C" w:rsidP="00326690">
      <w:pPr>
        <w:pStyle w:val="ListParagraph"/>
        <w:keepNext/>
        <w:numPr>
          <w:ilvl w:val="0"/>
          <w:numId w:val="15"/>
        </w:numPr>
        <w:spacing w:before="120" w:after="120" w:line="240" w:lineRule="auto"/>
        <w:ind w:left="357" w:hanging="357"/>
        <w:rPr>
          <w:rFonts w:cstheme="minorHAnsi"/>
          <w:b/>
        </w:rPr>
      </w:pPr>
      <w:r w:rsidRPr="002624B2">
        <w:rPr>
          <w:rFonts w:cstheme="minorHAnsi"/>
          <w:b/>
        </w:rPr>
        <w:t>Key Stakeholders</w:t>
      </w:r>
    </w:p>
    <w:p w14:paraId="0AC1B8A5" w14:textId="77777777" w:rsidR="004B7D4C" w:rsidRDefault="004B7D4C" w:rsidP="004B7D4C">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T</w:t>
      </w:r>
      <w:r w:rsidRPr="001B5A9F">
        <w:rPr>
          <w:rFonts w:asciiTheme="minorHAnsi" w:hAnsiTheme="minorHAnsi" w:cstheme="minorHAnsi"/>
          <w:lang w:val="en-AU"/>
        </w:rPr>
        <w:t xml:space="preserve">he </w:t>
      </w:r>
      <w:r>
        <w:rPr>
          <w:rFonts w:asciiTheme="minorHAnsi" w:hAnsiTheme="minorHAnsi" w:cstheme="minorHAnsi"/>
          <w:lang w:val="en-AU"/>
        </w:rPr>
        <w:t>review team</w:t>
      </w:r>
      <w:r w:rsidRPr="001B5A9F">
        <w:rPr>
          <w:rFonts w:asciiTheme="minorHAnsi" w:hAnsiTheme="minorHAnsi" w:cstheme="minorHAnsi"/>
          <w:lang w:val="en-AU"/>
        </w:rPr>
        <w:t xml:space="preserve"> will meet with representatives from the following </w:t>
      </w:r>
      <w:r>
        <w:rPr>
          <w:rFonts w:asciiTheme="minorHAnsi" w:hAnsiTheme="minorHAnsi" w:cstheme="minorHAnsi"/>
          <w:lang w:val="en-AU"/>
        </w:rPr>
        <w:t xml:space="preserve">areas of DFAT to draw on their </w:t>
      </w:r>
      <w:r w:rsidRPr="001B5A9F">
        <w:rPr>
          <w:rFonts w:asciiTheme="minorHAnsi" w:hAnsiTheme="minorHAnsi" w:cstheme="minorHAnsi"/>
          <w:lang w:val="en-AU"/>
        </w:rPr>
        <w:t xml:space="preserve">experience activating and implementing agreements under the HPA. </w:t>
      </w:r>
      <w:r>
        <w:rPr>
          <w:rFonts w:asciiTheme="minorHAnsi" w:hAnsiTheme="minorHAnsi" w:cstheme="minorHAnsi"/>
          <w:lang w:val="en-AU"/>
        </w:rPr>
        <w:t xml:space="preserve"> </w:t>
      </w:r>
      <w:r w:rsidRPr="001B5A9F">
        <w:rPr>
          <w:rFonts w:asciiTheme="minorHAnsi" w:hAnsiTheme="minorHAnsi" w:cstheme="minorHAnsi"/>
          <w:lang w:val="en-AU"/>
        </w:rPr>
        <w:t>Where possible, roundtable meetings will be held with the areas listed</w:t>
      </w:r>
      <w:r>
        <w:rPr>
          <w:rFonts w:asciiTheme="minorHAnsi" w:hAnsiTheme="minorHAnsi" w:cstheme="minorHAnsi"/>
          <w:lang w:val="en-AU"/>
        </w:rPr>
        <w:t>.</w:t>
      </w:r>
    </w:p>
    <w:p w14:paraId="44D55AEC" w14:textId="77777777" w:rsidR="004B7D4C" w:rsidRPr="00F53407" w:rsidRDefault="004B7D4C" w:rsidP="00326690">
      <w:pPr>
        <w:pStyle w:val="AfterFirstPara"/>
        <w:numPr>
          <w:ilvl w:val="0"/>
          <w:numId w:val="16"/>
        </w:numPr>
        <w:tabs>
          <w:tab w:val="left" w:pos="720"/>
        </w:tabs>
        <w:jc w:val="both"/>
        <w:rPr>
          <w:rFonts w:asciiTheme="minorHAnsi" w:hAnsiTheme="minorHAnsi" w:cstheme="minorHAnsi"/>
        </w:rPr>
      </w:pPr>
      <w:r w:rsidRPr="00F53407">
        <w:rPr>
          <w:rFonts w:asciiTheme="minorHAnsi" w:hAnsiTheme="minorHAnsi" w:cstheme="minorHAnsi"/>
        </w:rPr>
        <w:t xml:space="preserve">Humanitarian Division, to discuss </w:t>
      </w:r>
      <w:r>
        <w:rPr>
          <w:rFonts w:asciiTheme="minorHAnsi" w:hAnsiTheme="minorHAnsi" w:cstheme="minorHAnsi"/>
        </w:rPr>
        <w:t xml:space="preserve">the partnership, </w:t>
      </w:r>
      <w:r w:rsidRPr="00F53407">
        <w:rPr>
          <w:rFonts w:asciiTheme="minorHAnsi" w:hAnsiTheme="minorHAnsi" w:cstheme="minorHAnsi"/>
        </w:rPr>
        <w:t>emergency responses, disaster risk reduction, protracted crises</w:t>
      </w:r>
      <w:r>
        <w:rPr>
          <w:rFonts w:asciiTheme="minorHAnsi" w:hAnsiTheme="minorHAnsi" w:cstheme="minorHAnsi"/>
        </w:rPr>
        <w:t>,</w:t>
      </w:r>
      <w:r w:rsidRPr="00F53407">
        <w:rPr>
          <w:rFonts w:asciiTheme="minorHAnsi" w:hAnsiTheme="minorHAnsi" w:cstheme="minorHAnsi"/>
        </w:rPr>
        <w:t xml:space="preserve"> </w:t>
      </w:r>
      <w:r>
        <w:rPr>
          <w:rFonts w:asciiTheme="minorHAnsi" w:hAnsiTheme="minorHAnsi" w:cstheme="minorHAnsi"/>
        </w:rPr>
        <w:t xml:space="preserve">early recovery, </w:t>
      </w:r>
      <w:r w:rsidRPr="00F53407">
        <w:rPr>
          <w:rFonts w:asciiTheme="minorHAnsi" w:hAnsiTheme="minorHAnsi" w:cstheme="minorHAnsi"/>
        </w:rPr>
        <w:t>gender and protection</w:t>
      </w:r>
      <w:r>
        <w:rPr>
          <w:rFonts w:asciiTheme="minorHAnsi" w:hAnsiTheme="minorHAnsi" w:cstheme="minorHAnsi"/>
        </w:rPr>
        <w:t xml:space="preserve"> issues</w:t>
      </w:r>
    </w:p>
    <w:p w14:paraId="480DE66D" w14:textId="77777777" w:rsidR="004B7D4C" w:rsidRDefault="004B7D4C" w:rsidP="00326690">
      <w:pPr>
        <w:pStyle w:val="AfterFirstPara"/>
        <w:numPr>
          <w:ilvl w:val="0"/>
          <w:numId w:val="16"/>
        </w:numPr>
        <w:tabs>
          <w:tab w:val="left" w:pos="720"/>
        </w:tabs>
        <w:jc w:val="both"/>
        <w:rPr>
          <w:rFonts w:asciiTheme="minorHAnsi" w:hAnsiTheme="minorHAnsi" w:cstheme="minorHAnsi"/>
        </w:rPr>
      </w:pPr>
      <w:r w:rsidRPr="00F53407">
        <w:rPr>
          <w:rFonts w:asciiTheme="minorHAnsi" w:hAnsiTheme="minorHAnsi" w:cstheme="minorHAnsi"/>
        </w:rPr>
        <w:t>Desk/Post where the HPA has been activated (Philippines, Solomon Islands, Syria, Africa and Pakistan)</w:t>
      </w:r>
    </w:p>
    <w:p w14:paraId="584DC381" w14:textId="77777777" w:rsidR="004B7D4C" w:rsidRDefault="004B7D4C" w:rsidP="00326690">
      <w:pPr>
        <w:pStyle w:val="AfterFirstPara"/>
        <w:numPr>
          <w:ilvl w:val="0"/>
          <w:numId w:val="16"/>
        </w:numPr>
        <w:tabs>
          <w:tab w:val="left" w:pos="720"/>
        </w:tabs>
        <w:jc w:val="both"/>
        <w:rPr>
          <w:rFonts w:asciiTheme="minorHAnsi" w:hAnsiTheme="minorHAnsi" w:cstheme="minorHAnsi"/>
        </w:rPr>
      </w:pPr>
      <w:r>
        <w:rPr>
          <w:rFonts w:asciiTheme="minorHAnsi" w:hAnsiTheme="minorHAnsi" w:cstheme="minorHAnsi"/>
        </w:rPr>
        <w:t>NGO and Volunteers Branch</w:t>
      </w:r>
    </w:p>
    <w:p w14:paraId="3A5218E2" w14:textId="77777777" w:rsidR="004B7D4C" w:rsidRPr="00F53407" w:rsidRDefault="004B7D4C" w:rsidP="00326690">
      <w:pPr>
        <w:pStyle w:val="AfterFirstPara"/>
        <w:numPr>
          <w:ilvl w:val="0"/>
          <w:numId w:val="16"/>
        </w:numPr>
        <w:tabs>
          <w:tab w:val="left" w:pos="720"/>
        </w:tabs>
        <w:jc w:val="both"/>
        <w:rPr>
          <w:rFonts w:asciiTheme="minorHAnsi" w:hAnsiTheme="minorHAnsi" w:cstheme="minorHAnsi"/>
        </w:rPr>
      </w:pPr>
      <w:r>
        <w:rPr>
          <w:rFonts w:asciiTheme="minorHAnsi" w:hAnsiTheme="minorHAnsi" w:cstheme="minorHAnsi"/>
        </w:rPr>
        <w:t>Office of Development Effectiveness</w:t>
      </w:r>
    </w:p>
    <w:p w14:paraId="7A917AF4" w14:textId="77777777" w:rsidR="004B7D4C" w:rsidRDefault="004B7D4C" w:rsidP="004B7D4C">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T</w:t>
      </w:r>
      <w:r w:rsidRPr="001B5A9F">
        <w:rPr>
          <w:rFonts w:asciiTheme="minorHAnsi" w:hAnsiTheme="minorHAnsi" w:cstheme="minorHAnsi"/>
          <w:lang w:val="en-AU"/>
        </w:rPr>
        <w:t xml:space="preserve">he </w:t>
      </w:r>
      <w:r>
        <w:rPr>
          <w:rFonts w:asciiTheme="minorHAnsi" w:hAnsiTheme="minorHAnsi" w:cstheme="minorHAnsi"/>
          <w:lang w:val="en-AU"/>
        </w:rPr>
        <w:t>review team</w:t>
      </w:r>
      <w:r w:rsidRPr="001B5A9F">
        <w:rPr>
          <w:rFonts w:asciiTheme="minorHAnsi" w:hAnsiTheme="minorHAnsi" w:cstheme="minorHAnsi"/>
          <w:lang w:val="en-AU"/>
        </w:rPr>
        <w:t xml:space="preserve"> will </w:t>
      </w:r>
      <w:r>
        <w:rPr>
          <w:rFonts w:asciiTheme="minorHAnsi" w:hAnsiTheme="minorHAnsi" w:cstheme="minorHAnsi"/>
          <w:lang w:val="en-AU"/>
        </w:rPr>
        <w:t xml:space="preserve">also </w:t>
      </w:r>
      <w:r w:rsidRPr="001B5A9F">
        <w:rPr>
          <w:rFonts w:asciiTheme="minorHAnsi" w:hAnsiTheme="minorHAnsi" w:cstheme="minorHAnsi"/>
          <w:lang w:val="en-AU"/>
        </w:rPr>
        <w:t xml:space="preserve">meet with representatives from </w:t>
      </w:r>
      <w:r>
        <w:rPr>
          <w:rFonts w:asciiTheme="minorHAnsi" w:hAnsiTheme="minorHAnsi" w:cstheme="minorHAnsi"/>
          <w:lang w:val="en-AU"/>
        </w:rPr>
        <w:t xml:space="preserve">HPA and HRG members to draw on their </w:t>
      </w:r>
      <w:r w:rsidRPr="001B5A9F">
        <w:rPr>
          <w:rFonts w:asciiTheme="minorHAnsi" w:hAnsiTheme="minorHAnsi" w:cstheme="minorHAnsi"/>
          <w:lang w:val="en-AU"/>
        </w:rPr>
        <w:t>experience activating and implementing agreements under the HPA</w:t>
      </w:r>
      <w:r>
        <w:rPr>
          <w:rFonts w:asciiTheme="minorHAnsi" w:hAnsiTheme="minorHAnsi" w:cstheme="minorHAnsi"/>
          <w:lang w:val="en-AU"/>
        </w:rPr>
        <w:t xml:space="preserve"> (listed below)</w:t>
      </w:r>
      <w:r w:rsidRPr="001B5A9F">
        <w:rPr>
          <w:rFonts w:asciiTheme="minorHAnsi" w:hAnsiTheme="minorHAnsi" w:cstheme="minorHAnsi"/>
          <w:lang w:val="en-AU"/>
        </w:rPr>
        <w:t xml:space="preserve">. </w:t>
      </w:r>
      <w:r>
        <w:rPr>
          <w:rFonts w:asciiTheme="minorHAnsi" w:hAnsiTheme="minorHAnsi" w:cstheme="minorHAnsi"/>
          <w:lang w:val="en-AU"/>
        </w:rPr>
        <w:t xml:space="preserve"> </w:t>
      </w:r>
      <w:r w:rsidRPr="001B5A9F">
        <w:rPr>
          <w:rFonts w:asciiTheme="minorHAnsi" w:hAnsiTheme="minorHAnsi" w:cstheme="minorHAnsi"/>
          <w:lang w:val="en-AU"/>
        </w:rPr>
        <w:t xml:space="preserve">Where possible, roundtable meetings will be held with the </w:t>
      </w:r>
      <w:r>
        <w:rPr>
          <w:rFonts w:asciiTheme="minorHAnsi" w:hAnsiTheme="minorHAnsi" w:cstheme="minorHAnsi"/>
          <w:lang w:val="en-AU"/>
        </w:rPr>
        <w:t>stakeholders</w:t>
      </w:r>
      <w:r w:rsidRPr="001B5A9F">
        <w:rPr>
          <w:rFonts w:asciiTheme="minorHAnsi" w:hAnsiTheme="minorHAnsi" w:cstheme="minorHAnsi"/>
          <w:lang w:val="en-AU"/>
        </w:rPr>
        <w:t xml:space="preserve"> listed</w:t>
      </w:r>
      <w:r>
        <w:rPr>
          <w:rFonts w:asciiTheme="minorHAnsi" w:hAnsiTheme="minorHAnsi" w:cstheme="minorHAnsi"/>
          <w:lang w:val="en-AU"/>
        </w:rPr>
        <w:t>.</w:t>
      </w:r>
    </w:p>
    <w:p w14:paraId="3A26CF36" w14:textId="77777777" w:rsidR="004B7D4C" w:rsidRDefault="004B7D4C" w:rsidP="00326690">
      <w:pPr>
        <w:pStyle w:val="AfterFirstPara"/>
        <w:numPr>
          <w:ilvl w:val="0"/>
          <w:numId w:val="17"/>
        </w:numPr>
        <w:tabs>
          <w:tab w:val="left" w:pos="720"/>
        </w:tabs>
        <w:jc w:val="both"/>
        <w:rPr>
          <w:rFonts w:asciiTheme="minorHAnsi" w:hAnsiTheme="minorHAnsi" w:cstheme="minorHAnsi"/>
          <w:lang w:val="en-AU"/>
        </w:rPr>
      </w:pPr>
      <w:r>
        <w:rPr>
          <w:rFonts w:asciiTheme="minorHAnsi" w:hAnsiTheme="minorHAnsi" w:cstheme="minorHAnsi"/>
          <w:lang w:val="en-AU"/>
        </w:rPr>
        <w:t>ACFID Humanitarian Reference Group members, including HPA and non HPA NGOs</w:t>
      </w:r>
    </w:p>
    <w:p w14:paraId="7DE82C18" w14:textId="77777777" w:rsidR="004B7D4C" w:rsidRDefault="004B7D4C" w:rsidP="00326690">
      <w:pPr>
        <w:pStyle w:val="AfterFirstPara"/>
        <w:numPr>
          <w:ilvl w:val="0"/>
          <w:numId w:val="17"/>
        </w:numPr>
        <w:tabs>
          <w:tab w:val="left" w:pos="720"/>
        </w:tabs>
        <w:jc w:val="both"/>
        <w:rPr>
          <w:rFonts w:asciiTheme="minorHAnsi" w:hAnsiTheme="minorHAnsi" w:cstheme="minorHAnsi"/>
          <w:lang w:val="en-AU"/>
        </w:rPr>
      </w:pPr>
      <w:r>
        <w:rPr>
          <w:rFonts w:asciiTheme="minorHAnsi" w:hAnsiTheme="minorHAnsi" w:cstheme="minorHAnsi"/>
          <w:lang w:val="en-AU"/>
        </w:rPr>
        <w:t>HPA members</w:t>
      </w:r>
    </w:p>
    <w:p w14:paraId="4EF0A0FC" w14:textId="77777777" w:rsidR="004B7D4C" w:rsidRDefault="004B7D4C" w:rsidP="00326690">
      <w:pPr>
        <w:pStyle w:val="AfterFirstPara"/>
        <w:numPr>
          <w:ilvl w:val="0"/>
          <w:numId w:val="17"/>
        </w:numPr>
        <w:tabs>
          <w:tab w:val="left" w:pos="720"/>
        </w:tabs>
        <w:jc w:val="both"/>
        <w:rPr>
          <w:rFonts w:asciiTheme="minorHAnsi" w:hAnsiTheme="minorHAnsi" w:cstheme="minorHAnsi"/>
          <w:lang w:val="en-AU"/>
        </w:rPr>
      </w:pPr>
      <w:r>
        <w:rPr>
          <w:rFonts w:asciiTheme="minorHAnsi" w:hAnsiTheme="minorHAnsi" w:cstheme="minorHAnsi"/>
          <w:lang w:val="en-AU"/>
        </w:rPr>
        <w:t>HPA Director, Chair and Vice-Chair</w:t>
      </w:r>
    </w:p>
    <w:p w14:paraId="005CBE97" w14:textId="77777777" w:rsidR="004B7D4C" w:rsidRPr="00CC0B00" w:rsidRDefault="004B7D4C" w:rsidP="00326690">
      <w:pPr>
        <w:pStyle w:val="AfterFirstPara"/>
        <w:numPr>
          <w:ilvl w:val="0"/>
          <w:numId w:val="17"/>
        </w:numPr>
        <w:tabs>
          <w:tab w:val="left" w:pos="720"/>
        </w:tabs>
        <w:jc w:val="both"/>
        <w:rPr>
          <w:rFonts w:asciiTheme="minorHAnsi" w:hAnsiTheme="minorHAnsi" w:cstheme="minorHAnsi"/>
          <w:lang w:val="en-AU"/>
        </w:rPr>
      </w:pPr>
      <w:r>
        <w:rPr>
          <w:rFonts w:asciiTheme="minorHAnsi" w:hAnsiTheme="minorHAnsi" w:cstheme="minorHAnsi"/>
          <w:lang w:val="en-AU"/>
        </w:rPr>
        <w:t>Local implementing partners,  those who received funding through HPA partners during activations (teleconference as organised by HPA)</w:t>
      </w:r>
    </w:p>
    <w:p w14:paraId="01084E92" w14:textId="77777777" w:rsidR="004B7D4C" w:rsidRPr="002624B2" w:rsidRDefault="004B7D4C" w:rsidP="00326690">
      <w:pPr>
        <w:pStyle w:val="ListParagraph"/>
        <w:keepNext/>
        <w:numPr>
          <w:ilvl w:val="0"/>
          <w:numId w:val="15"/>
        </w:numPr>
        <w:spacing w:before="120" w:after="120" w:line="240" w:lineRule="auto"/>
        <w:ind w:left="357" w:hanging="357"/>
        <w:rPr>
          <w:rFonts w:cstheme="minorHAnsi"/>
          <w:b/>
        </w:rPr>
      </w:pPr>
      <w:r w:rsidRPr="002624B2">
        <w:rPr>
          <w:rFonts w:cstheme="minorHAnsi"/>
          <w:b/>
        </w:rPr>
        <w:t>Specification of Team</w:t>
      </w:r>
    </w:p>
    <w:p w14:paraId="36BAF4DB" w14:textId="77777777" w:rsidR="004B7D4C" w:rsidRPr="001B5A9F" w:rsidRDefault="004B7D4C" w:rsidP="004B7D4C">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There will be two review team members</w:t>
      </w:r>
      <w:r w:rsidRPr="001B5A9F">
        <w:rPr>
          <w:rFonts w:asciiTheme="minorHAnsi" w:hAnsiTheme="minorHAnsi" w:cstheme="minorHAnsi"/>
          <w:lang w:val="en-AU"/>
        </w:rPr>
        <w:t xml:space="preserve">. </w:t>
      </w:r>
      <w:r>
        <w:rPr>
          <w:rFonts w:asciiTheme="minorHAnsi" w:hAnsiTheme="minorHAnsi" w:cstheme="minorHAnsi"/>
          <w:lang w:val="en-AU"/>
        </w:rPr>
        <w:t xml:space="preserve"> </w:t>
      </w:r>
      <w:r w:rsidRPr="001B5A9F">
        <w:rPr>
          <w:rFonts w:asciiTheme="minorHAnsi" w:hAnsiTheme="minorHAnsi" w:cstheme="minorHAnsi"/>
          <w:lang w:val="en-AU"/>
        </w:rPr>
        <w:t>DFAT will ensure the team has a mix of expertise including:</w:t>
      </w:r>
    </w:p>
    <w:p w14:paraId="3D505827" w14:textId="77777777" w:rsidR="004B7D4C" w:rsidRDefault="004B7D4C" w:rsidP="00326690">
      <w:pPr>
        <w:pStyle w:val="AfterFirstPara"/>
        <w:numPr>
          <w:ilvl w:val="0"/>
          <w:numId w:val="10"/>
        </w:numPr>
        <w:jc w:val="both"/>
        <w:rPr>
          <w:rFonts w:asciiTheme="minorHAnsi" w:hAnsiTheme="minorHAnsi" w:cstheme="minorHAnsi"/>
          <w:lang w:val="en-AU"/>
        </w:rPr>
      </w:pPr>
      <w:r w:rsidRPr="001B5A9F">
        <w:rPr>
          <w:rFonts w:asciiTheme="minorHAnsi" w:hAnsiTheme="minorHAnsi" w:cstheme="minorHAnsi"/>
          <w:lang w:val="en-AU"/>
        </w:rPr>
        <w:t xml:space="preserve">Humanitarian expertise – experience and knowledge of the humanitarian sector, specifically </w:t>
      </w:r>
      <w:r>
        <w:rPr>
          <w:rFonts w:asciiTheme="minorHAnsi" w:hAnsiTheme="minorHAnsi" w:cstheme="minorHAnsi"/>
          <w:lang w:val="en-AU"/>
        </w:rPr>
        <w:t xml:space="preserve">best practice in </w:t>
      </w:r>
      <w:r w:rsidRPr="001B5A9F">
        <w:rPr>
          <w:rFonts w:asciiTheme="minorHAnsi" w:hAnsiTheme="minorHAnsi" w:cstheme="minorHAnsi"/>
          <w:lang w:val="en-AU"/>
        </w:rPr>
        <w:t>responding to sudden onset emergencies and protracted cris</w:t>
      </w:r>
      <w:r>
        <w:rPr>
          <w:rFonts w:asciiTheme="minorHAnsi" w:hAnsiTheme="minorHAnsi" w:cstheme="minorHAnsi"/>
          <w:lang w:val="en-AU"/>
        </w:rPr>
        <w:t>es.</w:t>
      </w:r>
    </w:p>
    <w:p w14:paraId="4E52A01E" w14:textId="77777777" w:rsidR="004B7D4C" w:rsidRDefault="004B7D4C" w:rsidP="00326690">
      <w:pPr>
        <w:pStyle w:val="AfterFirstPara"/>
        <w:numPr>
          <w:ilvl w:val="0"/>
          <w:numId w:val="10"/>
        </w:numPr>
        <w:jc w:val="both"/>
        <w:rPr>
          <w:rFonts w:asciiTheme="minorHAnsi" w:hAnsiTheme="minorHAnsi" w:cstheme="minorHAnsi"/>
          <w:lang w:val="en-AU"/>
        </w:rPr>
      </w:pPr>
      <w:r w:rsidRPr="001B5A9F">
        <w:rPr>
          <w:rFonts w:asciiTheme="minorHAnsi" w:hAnsiTheme="minorHAnsi" w:cstheme="minorHAnsi"/>
          <w:lang w:val="en-AU"/>
        </w:rPr>
        <w:t xml:space="preserve">Partnership expertise – demonstrated knowledge of partnership principles and practical application of </w:t>
      </w:r>
      <w:r>
        <w:rPr>
          <w:rFonts w:asciiTheme="minorHAnsi" w:hAnsiTheme="minorHAnsi" w:cstheme="minorHAnsi"/>
          <w:lang w:val="en-AU"/>
        </w:rPr>
        <w:t xml:space="preserve">these. </w:t>
      </w:r>
    </w:p>
    <w:p w14:paraId="52D57178" w14:textId="77777777" w:rsidR="004B7D4C" w:rsidRPr="001B5A9F" w:rsidRDefault="004B7D4C" w:rsidP="00326690">
      <w:pPr>
        <w:pStyle w:val="AfterFirstPara"/>
        <w:numPr>
          <w:ilvl w:val="0"/>
          <w:numId w:val="10"/>
        </w:numPr>
        <w:jc w:val="both"/>
        <w:rPr>
          <w:rFonts w:asciiTheme="minorHAnsi" w:hAnsiTheme="minorHAnsi" w:cstheme="minorHAnsi"/>
          <w:lang w:val="en-AU"/>
        </w:rPr>
      </w:pPr>
      <w:r>
        <w:rPr>
          <w:rFonts w:asciiTheme="minorHAnsi" w:hAnsiTheme="minorHAnsi" w:cstheme="minorHAnsi"/>
          <w:lang w:val="en-AU"/>
        </w:rPr>
        <w:t>Disaster Risk Reduction and Disaster Risk Management – experience and knowledge of best practice and practical approaches to DRR and DRM.</w:t>
      </w:r>
    </w:p>
    <w:p w14:paraId="616EE8E0" w14:textId="77777777" w:rsidR="004B7D4C" w:rsidRPr="001B5A9F" w:rsidRDefault="004B7D4C" w:rsidP="00326690">
      <w:pPr>
        <w:pStyle w:val="AfterFirstPara"/>
        <w:numPr>
          <w:ilvl w:val="0"/>
          <w:numId w:val="10"/>
        </w:numPr>
        <w:jc w:val="both"/>
        <w:rPr>
          <w:rFonts w:asciiTheme="minorHAnsi" w:hAnsiTheme="minorHAnsi" w:cstheme="minorHAnsi"/>
          <w:lang w:val="en-AU"/>
        </w:rPr>
      </w:pPr>
      <w:r w:rsidRPr="001B5A9F">
        <w:rPr>
          <w:rFonts w:asciiTheme="minorHAnsi" w:hAnsiTheme="minorHAnsi" w:cstheme="minorHAnsi"/>
          <w:lang w:val="en-AU"/>
        </w:rPr>
        <w:t>Monitoring and Evaluation expertise – demonstrated experience in developing robust monitoring and evaluation approaches/systems, ide</w:t>
      </w:r>
      <w:r>
        <w:rPr>
          <w:rFonts w:asciiTheme="minorHAnsi" w:hAnsiTheme="minorHAnsi" w:cstheme="minorHAnsi"/>
          <w:lang w:val="en-AU"/>
        </w:rPr>
        <w:t>ally in the humanitarian sector.</w:t>
      </w:r>
    </w:p>
    <w:p w14:paraId="76E8C2DF" w14:textId="77777777" w:rsidR="004B7D4C" w:rsidRPr="001B5A9F" w:rsidRDefault="004B7D4C" w:rsidP="00326690">
      <w:pPr>
        <w:pStyle w:val="AfterFirstPara"/>
        <w:numPr>
          <w:ilvl w:val="0"/>
          <w:numId w:val="10"/>
        </w:numPr>
        <w:jc w:val="both"/>
        <w:rPr>
          <w:rFonts w:asciiTheme="minorHAnsi" w:hAnsiTheme="minorHAnsi" w:cstheme="minorHAnsi"/>
          <w:lang w:val="en-AU"/>
        </w:rPr>
      </w:pPr>
      <w:r>
        <w:rPr>
          <w:rFonts w:asciiTheme="minorHAnsi" w:hAnsiTheme="minorHAnsi" w:cstheme="minorHAnsi"/>
          <w:lang w:val="en-AU"/>
        </w:rPr>
        <w:t>Policy experience – an understanding of DFAT’s policies and cross-cutting issues.</w:t>
      </w:r>
    </w:p>
    <w:p w14:paraId="5A88DB9F" w14:textId="77777777" w:rsidR="004B7D4C" w:rsidRDefault="004B7D4C" w:rsidP="004B7D4C">
      <w:pPr>
        <w:pStyle w:val="AfterFirstPara"/>
        <w:numPr>
          <w:ilvl w:val="0"/>
          <w:numId w:val="0"/>
        </w:numPr>
        <w:jc w:val="both"/>
        <w:rPr>
          <w:rFonts w:asciiTheme="minorHAnsi" w:hAnsiTheme="minorHAnsi" w:cstheme="minorHAnsi"/>
          <w:lang w:val="en-AU"/>
        </w:rPr>
      </w:pPr>
      <w:r w:rsidRPr="001B5A9F">
        <w:rPr>
          <w:rFonts w:asciiTheme="minorHAnsi" w:hAnsiTheme="minorHAnsi" w:cstheme="minorHAnsi"/>
          <w:lang w:val="en-AU"/>
        </w:rPr>
        <w:t xml:space="preserve">The two team members </w:t>
      </w:r>
      <w:r>
        <w:rPr>
          <w:rFonts w:asciiTheme="minorHAnsi" w:hAnsiTheme="minorHAnsi" w:cstheme="minorHAnsi"/>
          <w:lang w:val="en-AU"/>
        </w:rPr>
        <w:t>are expected to have</w:t>
      </w:r>
      <w:r w:rsidRPr="001B5A9F">
        <w:rPr>
          <w:rFonts w:asciiTheme="minorHAnsi" w:hAnsiTheme="minorHAnsi" w:cstheme="minorHAnsi"/>
          <w:lang w:val="en-AU"/>
        </w:rPr>
        <w:t xml:space="preserve"> specific responsibilities as detailed below:</w:t>
      </w:r>
    </w:p>
    <w:p w14:paraId="4F5E5148" w14:textId="77777777" w:rsidR="004B7D4C" w:rsidRPr="001B5A9F" w:rsidRDefault="004B7D4C" w:rsidP="00326690">
      <w:pPr>
        <w:pStyle w:val="AfterFirstPara"/>
        <w:numPr>
          <w:ilvl w:val="0"/>
          <w:numId w:val="10"/>
        </w:numPr>
        <w:jc w:val="both"/>
        <w:rPr>
          <w:rFonts w:asciiTheme="minorHAnsi" w:hAnsiTheme="minorHAnsi" w:cstheme="minorHAnsi"/>
          <w:lang w:val="en-AU"/>
        </w:rPr>
      </w:pPr>
      <w:r w:rsidRPr="001B5A9F">
        <w:rPr>
          <w:rFonts w:asciiTheme="minorHAnsi" w:hAnsiTheme="minorHAnsi" w:cstheme="minorHAnsi"/>
          <w:lang w:val="en-AU"/>
        </w:rPr>
        <w:t xml:space="preserve">Team Leader role – </w:t>
      </w:r>
      <w:r>
        <w:rPr>
          <w:rFonts w:asciiTheme="minorHAnsi" w:hAnsiTheme="minorHAnsi" w:cstheme="minorHAnsi"/>
          <w:lang w:val="en-AU"/>
        </w:rPr>
        <w:t xml:space="preserve">determination of whether HPA has met expected outcomes across the three elements of the agreement (partnership, emergency response, DRR/DRM) </w:t>
      </w:r>
      <w:r w:rsidRPr="001B5A9F">
        <w:rPr>
          <w:rFonts w:asciiTheme="minorHAnsi" w:hAnsiTheme="minorHAnsi" w:cstheme="minorHAnsi"/>
          <w:lang w:val="en-AU"/>
        </w:rPr>
        <w:t xml:space="preserve">and </w:t>
      </w:r>
      <w:r>
        <w:rPr>
          <w:rFonts w:asciiTheme="minorHAnsi" w:hAnsiTheme="minorHAnsi" w:cstheme="minorHAnsi"/>
          <w:lang w:val="en-AU"/>
        </w:rPr>
        <w:t>lessons learnt to inform the design of the next mechanism. Responsible for finalising and delivering the brief discussion paper and review r</w:t>
      </w:r>
      <w:r w:rsidRPr="001B5A9F">
        <w:rPr>
          <w:rFonts w:asciiTheme="minorHAnsi" w:hAnsiTheme="minorHAnsi" w:cstheme="minorHAnsi"/>
          <w:lang w:val="en-AU"/>
        </w:rPr>
        <w:t>eport</w:t>
      </w:r>
      <w:r>
        <w:rPr>
          <w:rFonts w:asciiTheme="minorHAnsi" w:hAnsiTheme="minorHAnsi" w:cstheme="minorHAnsi"/>
          <w:lang w:val="en-AU"/>
        </w:rPr>
        <w:t xml:space="preserve"> to DFAT and HRG representative. </w:t>
      </w:r>
      <w:r w:rsidRPr="001B5A9F">
        <w:rPr>
          <w:rFonts w:asciiTheme="minorHAnsi" w:hAnsiTheme="minorHAnsi" w:cstheme="minorHAnsi"/>
          <w:lang w:val="en-AU"/>
        </w:rPr>
        <w:t xml:space="preserve"> </w:t>
      </w:r>
      <w:r>
        <w:rPr>
          <w:rFonts w:asciiTheme="minorHAnsi" w:hAnsiTheme="minorHAnsi" w:cstheme="minorHAnsi"/>
          <w:lang w:val="en-AU"/>
        </w:rPr>
        <w:t xml:space="preserve"> </w:t>
      </w:r>
    </w:p>
    <w:p w14:paraId="70610DEC" w14:textId="77777777" w:rsidR="004B7D4C" w:rsidRPr="00A27AC2" w:rsidRDefault="004B7D4C" w:rsidP="00326690">
      <w:pPr>
        <w:pStyle w:val="AfterFirstPara"/>
        <w:numPr>
          <w:ilvl w:val="0"/>
          <w:numId w:val="10"/>
        </w:numPr>
        <w:jc w:val="both"/>
        <w:rPr>
          <w:rFonts w:asciiTheme="minorHAnsi" w:hAnsiTheme="minorHAnsi" w:cstheme="minorHAnsi"/>
          <w:b/>
          <w:i/>
        </w:rPr>
      </w:pPr>
      <w:r w:rsidRPr="00AE4FD8">
        <w:rPr>
          <w:rFonts w:asciiTheme="minorHAnsi" w:hAnsiTheme="minorHAnsi" w:cstheme="minorHAnsi"/>
          <w:lang w:val="en-AU"/>
        </w:rPr>
        <w:t xml:space="preserve">Team Member role – contribute to the overall review and support the Team Leader to meet all requirements.  This includes providing key inputs (based on the individuals area of expertise) into the review of the HPA mechanism.  </w:t>
      </w:r>
    </w:p>
    <w:p w14:paraId="565FFD9C" w14:textId="77777777" w:rsidR="001C4E36" w:rsidRDefault="001C4E36" w:rsidP="00CC0B68">
      <w:pPr>
        <w:pStyle w:val="SDAbodytext"/>
      </w:pPr>
    </w:p>
    <w:p w14:paraId="3B9132A6" w14:textId="77777777" w:rsidR="001C4E36" w:rsidRDefault="001C4E36" w:rsidP="00CC0B68">
      <w:pPr>
        <w:pStyle w:val="SDAbodytext"/>
      </w:pPr>
    </w:p>
    <w:p w14:paraId="4C50D023" w14:textId="6B0EF6D8" w:rsidR="001C4E36" w:rsidRDefault="001C4E36" w:rsidP="001C4E36">
      <w:pPr>
        <w:pStyle w:val="Heading2"/>
        <w:numPr>
          <w:ilvl w:val="0"/>
          <w:numId w:val="0"/>
        </w:numPr>
        <w:ind w:left="432" w:hanging="432"/>
      </w:pPr>
      <w:bookmarkStart w:id="30" w:name="_Toc423711146"/>
      <w:r>
        <w:t xml:space="preserve">Annex 2: HPA Funding </w:t>
      </w:r>
      <w:r w:rsidR="00EC6B62">
        <w:t>and Activation</w:t>
      </w:r>
      <w:bookmarkEnd w:id="30"/>
      <w:r w:rsidR="00A90DB9">
        <w:rPr>
          <w:rStyle w:val="FootnoteReference"/>
        </w:rPr>
        <w:footnoteReference w:id="55"/>
      </w:r>
    </w:p>
    <w:bookmarkStart w:id="31" w:name="_MON_1497170300"/>
    <w:bookmarkEnd w:id="31"/>
    <w:p w14:paraId="534DB3A4" w14:textId="77777777" w:rsidR="001C4E36" w:rsidRDefault="00484D46" w:rsidP="00CC0B68">
      <w:pPr>
        <w:pStyle w:val="SDAbodytext"/>
      </w:pPr>
      <w:r>
        <w:object w:dxaOrig="12449" w:dyaOrig="12694" w14:anchorId="5B638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25pt;height:576.45pt" o:ole="">
            <v:imagedata r:id="rId18" o:title=""/>
          </v:shape>
          <o:OLEObject Type="Embed" ProgID="Excel.Sheet.12" ShapeID="_x0000_i1025" DrawAspect="Content" ObjectID="_1501053368" r:id="rId19"/>
        </w:object>
      </w:r>
    </w:p>
    <w:p w14:paraId="12396E31" w14:textId="778C594C" w:rsidR="00335A43" w:rsidRPr="008C2B30" w:rsidRDefault="00335A43" w:rsidP="008C2B30">
      <w:pPr>
        <w:spacing w:before="500"/>
        <w:rPr>
          <w:b/>
          <w:sz w:val="40"/>
          <w:szCs w:val="40"/>
        </w:rPr>
      </w:pPr>
      <w:r w:rsidRPr="008C2B30">
        <w:rPr>
          <w:b/>
          <w:sz w:val="40"/>
          <w:szCs w:val="40"/>
        </w:rPr>
        <w:t>Steps in the HPA</w:t>
      </w:r>
      <w:r w:rsidR="00EC6B62">
        <w:rPr>
          <w:rStyle w:val="FootnoteReference"/>
          <w:b/>
          <w:sz w:val="40"/>
          <w:szCs w:val="40"/>
        </w:rPr>
        <w:footnoteReference w:id="56"/>
      </w:r>
    </w:p>
    <w:p w14:paraId="66F18E1E" w14:textId="40450506" w:rsidR="001C4E36" w:rsidRPr="004B7D4C" w:rsidRDefault="00335A43" w:rsidP="004B7D4C">
      <w:pPr>
        <w:pStyle w:val="Heading2"/>
        <w:numPr>
          <w:ilvl w:val="0"/>
          <w:numId w:val="0"/>
        </w:numPr>
        <w:ind w:left="432" w:hanging="432"/>
      </w:pPr>
      <w:bookmarkStart w:id="32" w:name="_Toc423711147"/>
      <w:r>
        <w:rPr>
          <w:noProof/>
          <w:lang w:eastAsia="en-AU"/>
        </w:rPr>
        <w:drawing>
          <wp:inline distT="0" distB="0" distL="0" distR="0" wp14:anchorId="32DE8C00" wp14:editId="3A4907F4">
            <wp:extent cx="5729844" cy="4637314"/>
            <wp:effectExtent l="0" t="19050" r="23495" b="3048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8A47DE">
        <w:br w:type="page"/>
      </w:r>
      <w:r w:rsidR="001C4E36" w:rsidRPr="008A47DE">
        <w:t>Annex 3</w:t>
      </w:r>
      <w:r w:rsidR="008A47DE" w:rsidRPr="008A47DE">
        <w:t>: Approach to Consultations</w:t>
      </w:r>
      <w:bookmarkEnd w:id="32"/>
      <w:r w:rsidR="008A47DE" w:rsidRPr="008A47DE">
        <w:t xml:space="preserve"> </w:t>
      </w:r>
    </w:p>
    <w:p w14:paraId="5BE5F22F" w14:textId="77777777" w:rsidR="004B7D4C" w:rsidRDefault="004B7D4C" w:rsidP="008A47DE">
      <w:pPr>
        <w:numPr>
          <w:ilvl w:val="1"/>
          <w:numId w:val="0"/>
        </w:numPr>
        <w:spacing w:after="160" w:line="240" w:lineRule="auto"/>
        <w:ind w:left="709" w:hanging="709"/>
        <w:outlineLvl w:val="1"/>
        <w:rPr>
          <w:rFonts w:eastAsia="Calibri" w:cstheme="minorHAnsi"/>
          <w:b/>
          <w:noProof/>
          <w:color w:val="757575"/>
          <w:sz w:val="30"/>
          <w:szCs w:val="30"/>
          <w:lang w:eastAsia="en-AU"/>
        </w:rPr>
      </w:pPr>
    </w:p>
    <w:p w14:paraId="1F88D463" w14:textId="77777777" w:rsidR="008A47DE" w:rsidRPr="00745A13" w:rsidRDefault="008A47DE" w:rsidP="008A47DE">
      <w:pPr>
        <w:numPr>
          <w:ilvl w:val="1"/>
          <w:numId w:val="0"/>
        </w:numPr>
        <w:spacing w:after="160" w:line="240" w:lineRule="auto"/>
        <w:ind w:left="709" w:hanging="709"/>
        <w:outlineLvl w:val="1"/>
        <w:rPr>
          <w:rFonts w:eastAsia="Calibri" w:cstheme="minorHAnsi"/>
          <w:b/>
          <w:noProof/>
          <w:color w:val="757575"/>
          <w:sz w:val="30"/>
          <w:szCs w:val="30"/>
          <w:lang w:eastAsia="en-AU"/>
        </w:rPr>
      </w:pPr>
      <w:r w:rsidRPr="00745A13">
        <w:rPr>
          <w:rFonts w:eastAsia="Calibri" w:cstheme="minorHAnsi"/>
          <w:b/>
          <w:noProof/>
          <w:color w:val="757575"/>
          <w:sz w:val="30"/>
          <w:szCs w:val="30"/>
          <w:lang w:eastAsia="en-AU"/>
        </w:rPr>
        <w:t>Purpose of the Review</w:t>
      </w:r>
    </w:p>
    <w:p w14:paraId="5F488F3D" w14:textId="77777777" w:rsidR="008A47DE" w:rsidRDefault="008A47DE" w:rsidP="008A47DE">
      <w:pPr>
        <w:pStyle w:val="SDAbulletpoints"/>
      </w:pPr>
      <w:r>
        <w:t xml:space="preserve">The </w:t>
      </w:r>
      <w:r w:rsidRPr="00AE6EA0">
        <w:rPr>
          <w:i/>
        </w:rPr>
        <w:t>primary purpose</w:t>
      </w:r>
      <w:r>
        <w:t xml:space="preserve"> of the review is on </w:t>
      </w:r>
      <w:r w:rsidRPr="00AE6EA0">
        <w:rPr>
          <w:u w:val="single"/>
        </w:rPr>
        <w:t>learning</w:t>
      </w:r>
      <w:r>
        <w:t xml:space="preserve"> – i.e. to identify relevant lessons from the operations of the HPA to inform a design process for a subsequent mechanism to deliver rapid emergency response, and DRR and DRM</w:t>
      </w:r>
    </w:p>
    <w:p w14:paraId="7DABF69E" w14:textId="77777777" w:rsidR="008A47DE" w:rsidRDefault="008A47DE" w:rsidP="008A47DE">
      <w:pPr>
        <w:pStyle w:val="SDAbulletpoints"/>
      </w:pPr>
      <w:r>
        <w:t xml:space="preserve">The </w:t>
      </w:r>
      <w:r w:rsidRPr="00AE6EA0">
        <w:rPr>
          <w:i/>
        </w:rPr>
        <w:t>secondary purpose</w:t>
      </w:r>
      <w:r>
        <w:t xml:space="preserve"> of the review is on </w:t>
      </w:r>
      <w:r w:rsidRPr="00AE6EA0">
        <w:rPr>
          <w:u w:val="single"/>
        </w:rPr>
        <w:t>accountability</w:t>
      </w:r>
      <w:r>
        <w:t xml:space="preserve"> – i.e. to determine whether the HPA outcomes of delivering rapid emergency response assistance, collaborative DRR and DRM activities and strategic dialogue were achieved.</w:t>
      </w:r>
    </w:p>
    <w:p w14:paraId="4920F4F9" w14:textId="77777777" w:rsidR="008A47DE" w:rsidRPr="00745A13" w:rsidRDefault="008A47DE" w:rsidP="008A47DE">
      <w:pPr>
        <w:spacing w:before="120" w:after="120" w:line="240" w:lineRule="auto"/>
      </w:pPr>
      <w:r w:rsidRPr="00745A13">
        <w:t>As such, the Review Team’s approach to consultations focus</w:t>
      </w:r>
      <w:r>
        <w:t>sed</w:t>
      </w:r>
      <w:r w:rsidRPr="00745A13">
        <w:t xml:space="preserve"> efforts on ‘looking forward’, with a secondary focus on ‘looking backwards’.  </w:t>
      </w:r>
    </w:p>
    <w:p w14:paraId="1062CBC0" w14:textId="77777777" w:rsidR="004B7D4C" w:rsidRDefault="004B7D4C" w:rsidP="008A47DE">
      <w:pPr>
        <w:numPr>
          <w:ilvl w:val="1"/>
          <w:numId w:val="0"/>
        </w:numPr>
        <w:spacing w:after="160" w:line="240" w:lineRule="auto"/>
        <w:ind w:left="709" w:hanging="709"/>
        <w:outlineLvl w:val="1"/>
        <w:rPr>
          <w:rFonts w:eastAsia="Calibri" w:cstheme="minorHAnsi"/>
          <w:b/>
          <w:noProof/>
          <w:color w:val="757575"/>
          <w:sz w:val="30"/>
          <w:szCs w:val="30"/>
          <w:lang w:eastAsia="en-AU"/>
        </w:rPr>
      </w:pPr>
      <w:bookmarkStart w:id="33" w:name="_Toc419359779"/>
    </w:p>
    <w:p w14:paraId="392F4FAE" w14:textId="77777777" w:rsidR="008A47DE" w:rsidRPr="00745A13" w:rsidRDefault="008A47DE" w:rsidP="008A47DE">
      <w:pPr>
        <w:numPr>
          <w:ilvl w:val="1"/>
          <w:numId w:val="0"/>
        </w:numPr>
        <w:spacing w:after="160" w:line="240" w:lineRule="auto"/>
        <w:ind w:left="709" w:hanging="709"/>
        <w:outlineLvl w:val="1"/>
        <w:rPr>
          <w:rFonts w:eastAsia="Calibri" w:cstheme="minorHAnsi"/>
          <w:b/>
          <w:noProof/>
          <w:color w:val="757575"/>
          <w:sz w:val="30"/>
          <w:szCs w:val="30"/>
          <w:lang w:eastAsia="en-AU"/>
        </w:rPr>
      </w:pPr>
      <w:r w:rsidRPr="00745A13">
        <w:rPr>
          <w:rFonts w:eastAsia="Calibri" w:cstheme="minorHAnsi"/>
          <w:b/>
          <w:noProof/>
          <w:color w:val="757575"/>
          <w:sz w:val="30"/>
          <w:szCs w:val="30"/>
          <w:lang w:eastAsia="en-AU"/>
        </w:rPr>
        <w:t>Approach to Consultations</w:t>
      </w:r>
      <w:bookmarkEnd w:id="33"/>
    </w:p>
    <w:p w14:paraId="67109243" w14:textId="77777777" w:rsidR="008A47DE" w:rsidRPr="00745A13" w:rsidRDefault="008A47DE" w:rsidP="008A47DE">
      <w:pPr>
        <w:spacing w:before="120" w:after="120" w:line="240" w:lineRule="auto"/>
      </w:pPr>
      <w:r w:rsidRPr="00745A13">
        <w:t xml:space="preserve">The Review Team </w:t>
      </w:r>
      <w:r>
        <w:t>p</w:t>
      </w:r>
      <w:r w:rsidRPr="00745A13">
        <w:t>ursue</w:t>
      </w:r>
      <w:r>
        <w:t>d</w:t>
      </w:r>
      <w:r w:rsidRPr="00745A13">
        <w:t xml:space="preserve"> two key themes of enquiry:</w:t>
      </w:r>
    </w:p>
    <w:p w14:paraId="01C7FC32" w14:textId="77777777" w:rsidR="008A47DE" w:rsidRPr="00745A13" w:rsidRDefault="008A47DE" w:rsidP="00326690">
      <w:pPr>
        <w:numPr>
          <w:ilvl w:val="0"/>
          <w:numId w:val="11"/>
        </w:numPr>
        <w:spacing w:before="120" w:after="120" w:line="240" w:lineRule="auto"/>
      </w:pPr>
      <w:r w:rsidRPr="00745A13">
        <w:t xml:space="preserve">Consultations to </w:t>
      </w:r>
      <w:r w:rsidRPr="00745A13">
        <w:rPr>
          <w:i/>
        </w:rPr>
        <w:t>identify and clarify</w:t>
      </w:r>
      <w:r w:rsidRPr="00745A13">
        <w:t xml:space="preserve"> </w:t>
      </w:r>
      <w:r w:rsidRPr="00745A13">
        <w:rPr>
          <w:i/>
        </w:rPr>
        <w:t xml:space="preserve">useful and actionable lessons learned </w:t>
      </w:r>
      <w:r w:rsidRPr="00745A13">
        <w:t>relevant to designing  a subsequent mechanism</w:t>
      </w:r>
    </w:p>
    <w:p w14:paraId="7022B432" w14:textId="77777777" w:rsidR="008A47DE" w:rsidRPr="00745A13" w:rsidRDefault="008A47DE" w:rsidP="00326690">
      <w:pPr>
        <w:numPr>
          <w:ilvl w:val="0"/>
          <w:numId w:val="11"/>
        </w:numPr>
        <w:spacing w:before="120" w:after="120" w:line="240" w:lineRule="auto"/>
      </w:pPr>
      <w:r w:rsidRPr="00745A13">
        <w:t xml:space="preserve">Consultations to </w:t>
      </w:r>
      <w:r w:rsidRPr="00745A13">
        <w:rPr>
          <w:i/>
        </w:rPr>
        <w:t>inform an assessment</w:t>
      </w:r>
      <w:r w:rsidRPr="00745A13">
        <w:t xml:space="preserve"> of whether the HPA outcomes have been achieved.</w:t>
      </w:r>
    </w:p>
    <w:p w14:paraId="7E67DE8B" w14:textId="77777777" w:rsidR="008A47DE" w:rsidRPr="00745A13" w:rsidRDefault="008A47DE" w:rsidP="008A47DE">
      <w:pPr>
        <w:spacing w:before="120" w:after="120" w:line="240" w:lineRule="auto"/>
      </w:pPr>
      <w:r w:rsidRPr="00745A13">
        <w:t>The consultations include</w:t>
      </w:r>
      <w:r>
        <w:t>d</w:t>
      </w:r>
      <w:r w:rsidRPr="00745A13">
        <w:t>:</w:t>
      </w:r>
    </w:p>
    <w:p w14:paraId="71D17F7E" w14:textId="77777777" w:rsidR="008A47DE" w:rsidRPr="00745A13" w:rsidRDefault="008A47DE" w:rsidP="008A47DE">
      <w:pPr>
        <w:spacing w:before="120" w:after="120" w:line="240" w:lineRule="auto"/>
        <w:ind w:left="720" w:hanging="360"/>
      </w:pPr>
      <w:r w:rsidRPr="00745A13">
        <w:rPr>
          <w:b/>
          <w:i/>
        </w:rPr>
        <w:t>Key-informant interviews</w:t>
      </w:r>
      <w:r w:rsidRPr="00745A13">
        <w:t xml:space="preserve">, guided by a set of critical review questions developed by the Review Team. These semi-formal interviews </w:t>
      </w:r>
      <w:r>
        <w:t>were</w:t>
      </w:r>
      <w:r w:rsidRPr="00745A13">
        <w:t xml:space="preserve"> conducted face-to-face and via telephone with individual stakeholders prior to holding a </w:t>
      </w:r>
      <w:r>
        <w:t>reflections</w:t>
      </w:r>
      <w:r w:rsidRPr="00745A13">
        <w:t xml:space="preserve"> workshop.</w:t>
      </w:r>
    </w:p>
    <w:p w14:paraId="0D14EE80" w14:textId="77777777" w:rsidR="008A47DE" w:rsidRPr="00745A13" w:rsidRDefault="008A47DE" w:rsidP="008A47DE">
      <w:pPr>
        <w:spacing w:before="120" w:after="120" w:line="240" w:lineRule="auto"/>
        <w:ind w:left="720" w:hanging="360"/>
      </w:pPr>
      <w:r w:rsidRPr="00745A13">
        <w:rPr>
          <w:b/>
          <w:i/>
        </w:rPr>
        <w:t xml:space="preserve">A </w:t>
      </w:r>
      <w:r>
        <w:rPr>
          <w:b/>
          <w:i/>
        </w:rPr>
        <w:t>reflections</w:t>
      </w:r>
      <w:r w:rsidRPr="00745A13">
        <w:rPr>
          <w:b/>
          <w:i/>
        </w:rPr>
        <w:t xml:space="preserve"> workshop bringing stakeholders together</w:t>
      </w:r>
      <w:r w:rsidRPr="00745A13">
        <w:t>, including HPA partners (recognising their roles as both HPA members and experts) to consider the evidence and inform the Review Team’s final recommendations.  To support this workshop, the Review Team draft</w:t>
      </w:r>
      <w:r>
        <w:t>ed</w:t>
      </w:r>
      <w:r w:rsidRPr="00745A13">
        <w:t xml:space="preserve"> a </w:t>
      </w:r>
      <w:r w:rsidRPr="00745A13">
        <w:rPr>
          <w:b/>
          <w:i/>
        </w:rPr>
        <w:t>lessons learned</w:t>
      </w:r>
      <w:r w:rsidRPr="00745A13">
        <w:t xml:space="preserve"> </w:t>
      </w:r>
      <w:r w:rsidRPr="00745A13">
        <w:rPr>
          <w:b/>
          <w:i/>
        </w:rPr>
        <w:t>working</w:t>
      </w:r>
      <w:r>
        <w:t xml:space="preserve"> </w:t>
      </w:r>
      <w:r w:rsidRPr="00745A13">
        <w:rPr>
          <w:b/>
          <w:i/>
        </w:rPr>
        <w:t>paper</w:t>
      </w:r>
      <w:r>
        <w:rPr>
          <w:b/>
          <w:i/>
        </w:rPr>
        <w:t xml:space="preserve">, </w:t>
      </w:r>
      <w:r>
        <w:t>which was</w:t>
      </w:r>
      <w:r w:rsidRPr="00745A13">
        <w:t xml:space="preserve"> shared with Australian-based stakeholders prior to the workshop. </w:t>
      </w:r>
    </w:p>
    <w:p w14:paraId="770E635D" w14:textId="77777777" w:rsidR="008A47DE" w:rsidRPr="00745A13" w:rsidRDefault="008A47DE" w:rsidP="008A47DE">
      <w:pPr>
        <w:spacing w:before="120" w:after="120" w:line="240" w:lineRule="auto"/>
      </w:pPr>
      <w:r w:rsidRPr="00745A13">
        <w:t>The consultations w</w:t>
      </w:r>
      <w:r>
        <w:t>ere</w:t>
      </w:r>
      <w:r w:rsidRPr="00745A13">
        <w:t xml:space="preserve"> supported by a:</w:t>
      </w:r>
    </w:p>
    <w:p w14:paraId="7E06CFD5" w14:textId="77777777" w:rsidR="008A47DE" w:rsidRPr="00745A13" w:rsidRDefault="008A47DE" w:rsidP="008A47DE">
      <w:pPr>
        <w:spacing w:before="120" w:after="120" w:line="240" w:lineRule="auto"/>
        <w:ind w:left="720" w:hanging="360"/>
      </w:pPr>
      <w:r w:rsidRPr="00745A13">
        <w:rPr>
          <w:b/>
          <w:i/>
        </w:rPr>
        <w:t>Further document review</w:t>
      </w:r>
      <w:r w:rsidRPr="00745A13">
        <w:t xml:space="preserve"> to fill current gaps in evidence or verify issues raised in stakeholder discussions </w:t>
      </w:r>
    </w:p>
    <w:p w14:paraId="666011B1" w14:textId="7A89352A" w:rsidR="008A47DE" w:rsidRPr="00745A13" w:rsidRDefault="005D23A9" w:rsidP="008A47DE">
      <w:pPr>
        <w:spacing w:before="120" w:after="120" w:line="240" w:lineRule="auto"/>
        <w:ind w:left="720" w:hanging="360"/>
      </w:pPr>
      <w:r>
        <w:rPr>
          <w:b/>
          <w:i/>
        </w:rPr>
        <w:t>L</w:t>
      </w:r>
      <w:r w:rsidR="008A47DE">
        <w:rPr>
          <w:b/>
          <w:i/>
        </w:rPr>
        <w:t>essons learning c</w:t>
      </w:r>
      <w:r w:rsidR="008A47DE" w:rsidRPr="00745A13">
        <w:rPr>
          <w:b/>
          <w:i/>
        </w:rPr>
        <w:t>ase stud</w:t>
      </w:r>
      <w:r>
        <w:rPr>
          <w:b/>
          <w:i/>
        </w:rPr>
        <w:t>ies</w:t>
      </w:r>
      <w:r w:rsidR="008A47DE" w:rsidRPr="00745A13">
        <w:rPr>
          <w:b/>
          <w:i/>
        </w:rPr>
        <w:t xml:space="preserve"> of the Vanuatu </w:t>
      </w:r>
      <w:r w:rsidR="008A47DE">
        <w:rPr>
          <w:b/>
          <w:i/>
        </w:rPr>
        <w:t xml:space="preserve">and Lebanon </w:t>
      </w:r>
      <w:r w:rsidR="008A47DE" w:rsidRPr="00745A13">
        <w:rPr>
          <w:b/>
          <w:i/>
        </w:rPr>
        <w:t>response</w:t>
      </w:r>
      <w:r w:rsidR="008A47DE" w:rsidRPr="00745A13">
        <w:t xml:space="preserve">, to provide a closer look at </w:t>
      </w:r>
      <w:r w:rsidR="008A47DE">
        <w:t>two</w:t>
      </w:r>
      <w:r w:rsidR="008A47DE" w:rsidRPr="00745A13">
        <w:t xml:space="preserve"> recent HPA activation: to assess what is currently working well and what is not; what elements should remain and those that can be improved.</w:t>
      </w:r>
    </w:p>
    <w:p w14:paraId="0E93A220" w14:textId="77777777" w:rsidR="001C4E36" w:rsidRDefault="001C4E36" w:rsidP="00CC0B68">
      <w:pPr>
        <w:pStyle w:val="SDAbodytext"/>
      </w:pPr>
    </w:p>
    <w:p w14:paraId="50BF4B8A" w14:textId="77777777" w:rsidR="001C4E36" w:rsidRDefault="001C4E36" w:rsidP="00CC0B68">
      <w:pPr>
        <w:pStyle w:val="SDAbodytext"/>
      </w:pPr>
    </w:p>
    <w:p w14:paraId="55C1C386" w14:textId="77777777" w:rsidR="008A47DE" w:rsidRDefault="008A47DE">
      <w:r>
        <w:br w:type="page"/>
      </w:r>
    </w:p>
    <w:p w14:paraId="0576D615" w14:textId="77777777" w:rsidR="001C4E36" w:rsidRDefault="001C4E36" w:rsidP="008A47DE">
      <w:pPr>
        <w:pStyle w:val="Heading2"/>
        <w:numPr>
          <w:ilvl w:val="0"/>
          <w:numId w:val="0"/>
        </w:numPr>
        <w:ind w:left="432" w:hanging="432"/>
      </w:pPr>
      <w:bookmarkStart w:id="34" w:name="_Toc423711148"/>
      <w:r w:rsidRPr="00D67E75">
        <w:t>Annex 4</w:t>
      </w:r>
      <w:r w:rsidR="008A47DE" w:rsidRPr="00D67E75">
        <w:t>: List of People Consulted</w:t>
      </w:r>
      <w:bookmarkEnd w:id="34"/>
    </w:p>
    <w:tbl>
      <w:tblPr>
        <w:tblStyle w:val="TableGrid"/>
        <w:tblW w:w="0" w:type="auto"/>
        <w:tblInd w:w="108" w:type="dxa"/>
        <w:tblLook w:val="04A0" w:firstRow="1" w:lastRow="0" w:firstColumn="1" w:lastColumn="0" w:noHBand="0" w:noVBand="1"/>
      </w:tblPr>
      <w:tblGrid>
        <w:gridCol w:w="2127"/>
        <w:gridCol w:w="3402"/>
        <w:gridCol w:w="3605"/>
      </w:tblGrid>
      <w:tr w:rsidR="00D67E75" w14:paraId="5DDED87E" w14:textId="77777777" w:rsidTr="005D23A9">
        <w:tc>
          <w:tcPr>
            <w:tcW w:w="2127" w:type="dxa"/>
          </w:tcPr>
          <w:p w14:paraId="70B51B4F" w14:textId="77777777" w:rsidR="00D67E75" w:rsidRPr="009E12CC" w:rsidRDefault="00D67E75" w:rsidP="00D67E75">
            <w:pPr>
              <w:jc w:val="center"/>
              <w:rPr>
                <w:b/>
                <w:sz w:val="24"/>
                <w:szCs w:val="24"/>
              </w:rPr>
            </w:pPr>
            <w:r w:rsidRPr="009E12CC">
              <w:rPr>
                <w:b/>
                <w:sz w:val="24"/>
                <w:szCs w:val="24"/>
              </w:rPr>
              <w:t>Name</w:t>
            </w:r>
          </w:p>
        </w:tc>
        <w:tc>
          <w:tcPr>
            <w:tcW w:w="3402" w:type="dxa"/>
          </w:tcPr>
          <w:p w14:paraId="6EE5969D" w14:textId="77777777" w:rsidR="00D67E75" w:rsidRPr="009E12CC" w:rsidRDefault="00D67E75" w:rsidP="00D67E75">
            <w:pPr>
              <w:jc w:val="center"/>
              <w:rPr>
                <w:b/>
                <w:sz w:val="24"/>
                <w:szCs w:val="24"/>
              </w:rPr>
            </w:pPr>
            <w:r w:rsidRPr="009E12CC">
              <w:rPr>
                <w:b/>
                <w:sz w:val="24"/>
                <w:szCs w:val="24"/>
              </w:rPr>
              <w:t>Title</w:t>
            </w:r>
          </w:p>
        </w:tc>
        <w:tc>
          <w:tcPr>
            <w:tcW w:w="3605" w:type="dxa"/>
          </w:tcPr>
          <w:p w14:paraId="78CFFB0B" w14:textId="77777777" w:rsidR="00D67E75" w:rsidRPr="007720A5" w:rsidRDefault="00D67E75" w:rsidP="00D67E75">
            <w:pPr>
              <w:jc w:val="center"/>
              <w:rPr>
                <w:b/>
              </w:rPr>
            </w:pPr>
            <w:r w:rsidRPr="007720A5">
              <w:rPr>
                <w:b/>
              </w:rPr>
              <w:t>Organisation</w:t>
            </w:r>
          </w:p>
        </w:tc>
      </w:tr>
      <w:tr w:rsidR="00D67E75" w14:paraId="115AABFB" w14:textId="77777777" w:rsidTr="005D23A9">
        <w:tc>
          <w:tcPr>
            <w:tcW w:w="9134" w:type="dxa"/>
            <w:gridSpan w:val="3"/>
          </w:tcPr>
          <w:p w14:paraId="49245195" w14:textId="77777777" w:rsidR="00D67E75" w:rsidRDefault="00D67E75" w:rsidP="004F2862">
            <w:r>
              <w:rPr>
                <w:b/>
                <w:sz w:val="24"/>
                <w:szCs w:val="24"/>
              </w:rPr>
              <w:t>DFAT</w:t>
            </w:r>
          </w:p>
        </w:tc>
      </w:tr>
      <w:tr w:rsidR="00D67E75" w14:paraId="3B4593EE" w14:textId="77777777" w:rsidTr="005D23A9">
        <w:tc>
          <w:tcPr>
            <w:tcW w:w="2127" w:type="dxa"/>
          </w:tcPr>
          <w:p w14:paraId="5E847068" w14:textId="77777777" w:rsidR="00D67E75" w:rsidRDefault="00D67E75" w:rsidP="004F2862">
            <w:r>
              <w:t>Jamie Isbister</w:t>
            </w:r>
          </w:p>
        </w:tc>
        <w:tc>
          <w:tcPr>
            <w:tcW w:w="3402" w:type="dxa"/>
          </w:tcPr>
          <w:p w14:paraId="19D936C7" w14:textId="77777777" w:rsidR="00D67E75" w:rsidRPr="009E12CC" w:rsidRDefault="00D67E75" w:rsidP="004F2862">
            <w:pPr>
              <w:rPr>
                <w:b/>
                <w:sz w:val="24"/>
                <w:szCs w:val="24"/>
              </w:rPr>
            </w:pPr>
            <w:r w:rsidRPr="007D3F22">
              <w:t>First Assistant Secretary</w:t>
            </w:r>
          </w:p>
        </w:tc>
        <w:tc>
          <w:tcPr>
            <w:tcW w:w="3605" w:type="dxa"/>
          </w:tcPr>
          <w:p w14:paraId="3D172079" w14:textId="77777777" w:rsidR="00D67E75" w:rsidRDefault="00D67E75" w:rsidP="004F2862">
            <w:r>
              <w:t>DFAT Humanitarian, NGO and Partnerships Division</w:t>
            </w:r>
          </w:p>
        </w:tc>
      </w:tr>
      <w:tr w:rsidR="00D67E75" w14:paraId="549CD4F5" w14:textId="77777777" w:rsidTr="005D23A9">
        <w:tc>
          <w:tcPr>
            <w:tcW w:w="2127" w:type="dxa"/>
          </w:tcPr>
          <w:p w14:paraId="58CBD709" w14:textId="77777777" w:rsidR="00D67E75" w:rsidRDefault="00D67E75" w:rsidP="004F2862">
            <w:r w:rsidRPr="00550DE8">
              <w:t>Michael Hassett</w:t>
            </w:r>
          </w:p>
        </w:tc>
        <w:tc>
          <w:tcPr>
            <w:tcW w:w="3402" w:type="dxa"/>
          </w:tcPr>
          <w:p w14:paraId="1F055BBF" w14:textId="77777777" w:rsidR="00D67E75" w:rsidRPr="00CE6F8E" w:rsidRDefault="00D67E75" w:rsidP="004F2862">
            <w:r>
              <w:t>Director</w:t>
            </w:r>
          </w:p>
        </w:tc>
        <w:tc>
          <w:tcPr>
            <w:tcW w:w="3605" w:type="dxa"/>
          </w:tcPr>
          <w:p w14:paraId="2B9D824F" w14:textId="77777777" w:rsidR="00D67E75" w:rsidRDefault="00D67E75" w:rsidP="004F2862">
            <w:r>
              <w:t xml:space="preserve">DFAT </w:t>
            </w:r>
            <w:r w:rsidRPr="005A608A">
              <w:t xml:space="preserve">Humanitarian Response </w:t>
            </w:r>
            <w:r>
              <w:t>Branch</w:t>
            </w:r>
          </w:p>
        </w:tc>
      </w:tr>
      <w:tr w:rsidR="00D67E75" w14:paraId="681B0517" w14:textId="77777777" w:rsidTr="005D23A9">
        <w:tc>
          <w:tcPr>
            <w:tcW w:w="2127" w:type="dxa"/>
          </w:tcPr>
          <w:p w14:paraId="1FA2A70E" w14:textId="77777777" w:rsidR="00D67E75" w:rsidRDefault="00D67E75" w:rsidP="004F2862">
            <w:r>
              <w:t>Richelle Turner</w:t>
            </w:r>
          </w:p>
        </w:tc>
        <w:tc>
          <w:tcPr>
            <w:tcW w:w="3402" w:type="dxa"/>
          </w:tcPr>
          <w:p w14:paraId="3DEF74B7" w14:textId="77777777" w:rsidR="00D67E75" w:rsidRDefault="00D67E75" w:rsidP="004F2862">
            <w:r>
              <w:t>A/g Director</w:t>
            </w:r>
          </w:p>
        </w:tc>
        <w:tc>
          <w:tcPr>
            <w:tcW w:w="3605" w:type="dxa"/>
          </w:tcPr>
          <w:p w14:paraId="265D65E7" w14:textId="77777777" w:rsidR="00D67E75" w:rsidRDefault="00D67E75" w:rsidP="004F2862">
            <w:r>
              <w:t xml:space="preserve">DFAT </w:t>
            </w:r>
            <w:r w:rsidRPr="005A608A">
              <w:t xml:space="preserve">Humanitarian Response </w:t>
            </w:r>
            <w:r>
              <w:t>Branch</w:t>
            </w:r>
          </w:p>
        </w:tc>
      </w:tr>
      <w:tr w:rsidR="00D67E75" w14:paraId="4D5F3E80" w14:textId="77777777" w:rsidTr="005D23A9">
        <w:tc>
          <w:tcPr>
            <w:tcW w:w="2127" w:type="dxa"/>
          </w:tcPr>
          <w:p w14:paraId="7748E05B" w14:textId="77777777" w:rsidR="00D67E75" w:rsidRPr="007720A5" w:rsidRDefault="00D67E75" w:rsidP="004F2862">
            <w:r>
              <w:t>Jess Petersen</w:t>
            </w:r>
          </w:p>
        </w:tc>
        <w:tc>
          <w:tcPr>
            <w:tcW w:w="3402" w:type="dxa"/>
          </w:tcPr>
          <w:p w14:paraId="41D40D87" w14:textId="77777777" w:rsidR="00D67E75" w:rsidRPr="006607A1" w:rsidRDefault="00D67E75" w:rsidP="004F2862">
            <w:r w:rsidRPr="006607A1">
              <w:t>Senior Emergency Officer</w:t>
            </w:r>
          </w:p>
        </w:tc>
        <w:tc>
          <w:tcPr>
            <w:tcW w:w="3605" w:type="dxa"/>
          </w:tcPr>
          <w:p w14:paraId="7F17C14A" w14:textId="77777777" w:rsidR="00D67E75" w:rsidRDefault="00D67E75" w:rsidP="004F2862">
            <w:r>
              <w:t xml:space="preserve">DFAT </w:t>
            </w:r>
            <w:r w:rsidRPr="005A608A">
              <w:t xml:space="preserve">Humanitarian Response </w:t>
            </w:r>
            <w:r>
              <w:t>Branch</w:t>
            </w:r>
          </w:p>
        </w:tc>
      </w:tr>
      <w:tr w:rsidR="00D67E75" w14:paraId="40D987E8" w14:textId="77777777" w:rsidTr="005D23A9">
        <w:tc>
          <w:tcPr>
            <w:tcW w:w="2127" w:type="dxa"/>
            <w:shd w:val="clear" w:color="auto" w:fill="auto"/>
          </w:tcPr>
          <w:p w14:paraId="5D92EE5D" w14:textId="77777777" w:rsidR="00D67E75" w:rsidRPr="00550DE8" w:rsidRDefault="00D67E75" w:rsidP="004F2862">
            <w:r>
              <w:t>Jona</w:t>
            </w:r>
            <w:r w:rsidRPr="00550DE8">
              <w:t xml:space="preserve">than Thorpe </w:t>
            </w:r>
          </w:p>
        </w:tc>
        <w:tc>
          <w:tcPr>
            <w:tcW w:w="3402" w:type="dxa"/>
            <w:shd w:val="clear" w:color="auto" w:fill="auto"/>
          </w:tcPr>
          <w:p w14:paraId="68CF3DF9" w14:textId="77777777" w:rsidR="00D67E75" w:rsidRPr="006607A1" w:rsidRDefault="00D67E75" w:rsidP="004F2862">
            <w:r>
              <w:t>Policy Officer</w:t>
            </w:r>
          </w:p>
        </w:tc>
        <w:tc>
          <w:tcPr>
            <w:tcW w:w="3605" w:type="dxa"/>
          </w:tcPr>
          <w:p w14:paraId="718971A4" w14:textId="77777777" w:rsidR="00D67E75" w:rsidRDefault="00D67E75" w:rsidP="004F2862">
            <w:r>
              <w:t xml:space="preserve">DFAT </w:t>
            </w:r>
            <w:r w:rsidRPr="005A608A">
              <w:t xml:space="preserve">Humanitarian Response </w:t>
            </w:r>
            <w:r>
              <w:t>Branch</w:t>
            </w:r>
          </w:p>
        </w:tc>
      </w:tr>
      <w:tr w:rsidR="00D67E75" w14:paraId="49660BAD" w14:textId="77777777" w:rsidTr="005D23A9">
        <w:tc>
          <w:tcPr>
            <w:tcW w:w="2127" w:type="dxa"/>
            <w:shd w:val="clear" w:color="auto" w:fill="auto"/>
          </w:tcPr>
          <w:p w14:paraId="743F9556" w14:textId="77777777" w:rsidR="00D67E75" w:rsidRPr="00550DE8" w:rsidRDefault="00D67E75" w:rsidP="004F2862">
            <w:r w:rsidRPr="00550DE8">
              <w:t>Jemma Malcolm</w:t>
            </w:r>
          </w:p>
        </w:tc>
        <w:tc>
          <w:tcPr>
            <w:tcW w:w="3402" w:type="dxa"/>
            <w:shd w:val="clear" w:color="auto" w:fill="auto"/>
          </w:tcPr>
          <w:p w14:paraId="4650FE13" w14:textId="77777777" w:rsidR="00D67E75" w:rsidRPr="006607A1" w:rsidRDefault="00D67E75" w:rsidP="004F2862">
            <w:r w:rsidRPr="006607A1">
              <w:t>Senior Emergency Officer</w:t>
            </w:r>
          </w:p>
        </w:tc>
        <w:tc>
          <w:tcPr>
            <w:tcW w:w="3605" w:type="dxa"/>
          </w:tcPr>
          <w:p w14:paraId="2C300615" w14:textId="77777777" w:rsidR="00D67E75" w:rsidRDefault="00D67E75" w:rsidP="004F2862">
            <w:r>
              <w:t xml:space="preserve">DFAT </w:t>
            </w:r>
            <w:r w:rsidRPr="005A608A">
              <w:t xml:space="preserve">Humanitarian Response </w:t>
            </w:r>
            <w:r>
              <w:t>Branch</w:t>
            </w:r>
          </w:p>
        </w:tc>
      </w:tr>
      <w:tr w:rsidR="00D67E75" w14:paraId="26AF4A40" w14:textId="77777777" w:rsidTr="005D23A9">
        <w:tc>
          <w:tcPr>
            <w:tcW w:w="2127" w:type="dxa"/>
            <w:shd w:val="clear" w:color="auto" w:fill="auto"/>
          </w:tcPr>
          <w:p w14:paraId="6ADAC097" w14:textId="77777777" w:rsidR="00D67E75" w:rsidRPr="00550DE8" w:rsidRDefault="00D67E75" w:rsidP="004F2862">
            <w:r w:rsidRPr="00550DE8">
              <w:t>Ray Bojczuk</w:t>
            </w:r>
          </w:p>
        </w:tc>
        <w:tc>
          <w:tcPr>
            <w:tcW w:w="3402" w:type="dxa"/>
            <w:shd w:val="clear" w:color="auto" w:fill="auto"/>
          </w:tcPr>
          <w:p w14:paraId="651B4B67" w14:textId="77777777" w:rsidR="00D67E75" w:rsidRPr="006607A1" w:rsidRDefault="00D67E75" w:rsidP="004F2862">
            <w:r>
              <w:t>Assistant Director</w:t>
            </w:r>
          </w:p>
        </w:tc>
        <w:tc>
          <w:tcPr>
            <w:tcW w:w="3605" w:type="dxa"/>
          </w:tcPr>
          <w:p w14:paraId="6328937F" w14:textId="77777777" w:rsidR="00D67E75" w:rsidRDefault="00D67E75" w:rsidP="004F2862">
            <w:r>
              <w:t xml:space="preserve">DFAT </w:t>
            </w:r>
            <w:r w:rsidRPr="005A608A">
              <w:t xml:space="preserve">Humanitarian Response </w:t>
            </w:r>
            <w:r>
              <w:t>Branch</w:t>
            </w:r>
          </w:p>
        </w:tc>
      </w:tr>
      <w:tr w:rsidR="00D67E75" w14:paraId="04203044" w14:textId="77777777" w:rsidTr="005D23A9">
        <w:tc>
          <w:tcPr>
            <w:tcW w:w="2127" w:type="dxa"/>
            <w:shd w:val="clear" w:color="auto" w:fill="auto"/>
          </w:tcPr>
          <w:p w14:paraId="0EDFFAD5" w14:textId="77777777" w:rsidR="00D67E75" w:rsidRPr="00CE6F8E" w:rsidRDefault="00D67E75" w:rsidP="004F2862">
            <w:r>
              <w:t>Steve Darvill</w:t>
            </w:r>
          </w:p>
        </w:tc>
        <w:tc>
          <w:tcPr>
            <w:tcW w:w="3402" w:type="dxa"/>
            <w:shd w:val="clear" w:color="auto" w:fill="auto"/>
          </w:tcPr>
          <w:p w14:paraId="41A6708E" w14:textId="77777777" w:rsidR="00D67E75" w:rsidRPr="00CE6F8E" w:rsidRDefault="00D67E75" w:rsidP="004F2862">
            <w:r>
              <w:t>Director</w:t>
            </w:r>
          </w:p>
        </w:tc>
        <w:tc>
          <w:tcPr>
            <w:tcW w:w="3605" w:type="dxa"/>
          </w:tcPr>
          <w:p w14:paraId="2938D3C0" w14:textId="77777777" w:rsidR="00D67E75" w:rsidRDefault="00D67E75" w:rsidP="004F2862">
            <w:r>
              <w:t xml:space="preserve">DFAT </w:t>
            </w:r>
            <w:r w:rsidRPr="005A608A">
              <w:t xml:space="preserve">Humanitarian Response </w:t>
            </w:r>
            <w:r>
              <w:t>Branch</w:t>
            </w:r>
          </w:p>
        </w:tc>
      </w:tr>
      <w:tr w:rsidR="00D67E75" w14:paraId="0A39FD05" w14:textId="77777777" w:rsidTr="005D23A9">
        <w:tc>
          <w:tcPr>
            <w:tcW w:w="2127" w:type="dxa"/>
            <w:shd w:val="clear" w:color="auto" w:fill="auto"/>
          </w:tcPr>
          <w:p w14:paraId="61E84711" w14:textId="77777777" w:rsidR="00D67E75" w:rsidRDefault="00D67E75" w:rsidP="004F2862">
            <w:r>
              <w:t>Gabby Harrold</w:t>
            </w:r>
          </w:p>
        </w:tc>
        <w:tc>
          <w:tcPr>
            <w:tcW w:w="3402" w:type="dxa"/>
            <w:shd w:val="clear" w:color="auto" w:fill="auto"/>
          </w:tcPr>
          <w:p w14:paraId="26FB3104" w14:textId="77777777" w:rsidR="00D67E75" w:rsidRPr="00CE6F8E" w:rsidRDefault="00D67E75" w:rsidP="004F2862">
            <w:r>
              <w:t>Director</w:t>
            </w:r>
          </w:p>
        </w:tc>
        <w:tc>
          <w:tcPr>
            <w:tcW w:w="3605" w:type="dxa"/>
          </w:tcPr>
          <w:p w14:paraId="0D943821" w14:textId="77777777" w:rsidR="00D67E75" w:rsidRDefault="00D67E75" w:rsidP="004F2862">
            <w:r>
              <w:t xml:space="preserve">DFAT </w:t>
            </w:r>
            <w:r w:rsidRPr="005A608A">
              <w:t xml:space="preserve">Humanitarian Response </w:t>
            </w:r>
            <w:r>
              <w:t>Branch</w:t>
            </w:r>
          </w:p>
        </w:tc>
      </w:tr>
      <w:tr w:rsidR="00D67E75" w14:paraId="3944F182" w14:textId="77777777" w:rsidTr="005D23A9">
        <w:tc>
          <w:tcPr>
            <w:tcW w:w="2127" w:type="dxa"/>
            <w:shd w:val="clear" w:color="auto" w:fill="auto"/>
          </w:tcPr>
          <w:p w14:paraId="6DAC50AD" w14:textId="77777777" w:rsidR="00D67E75" w:rsidRDefault="00D67E75" w:rsidP="004F2862">
            <w:r>
              <w:t xml:space="preserve">Pilar </w:t>
            </w:r>
            <w:r>
              <w:rPr>
                <w:rFonts w:eastAsia="Times New Roman"/>
              </w:rPr>
              <w:t>Cossio</w:t>
            </w:r>
          </w:p>
        </w:tc>
        <w:tc>
          <w:tcPr>
            <w:tcW w:w="3402" w:type="dxa"/>
            <w:shd w:val="clear" w:color="auto" w:fill="auto"/>
          </w:tcPr>
          <w:p w14:paraId="069FEEF8" w14:textId="77777777" w:rsidR="00D67E75" w:rsidRPr="00CE6F8E" w:rsidRDefault="00D67E75" w:rsidP="004F2862">
            <w:r>
              <w:t>Senior Policy Officer</w:t>
            </w:r>
          </w:p>
        </w:tc>
        <w:tc>
          <w:tcPr>
            <w:tcW w:w="3605" w:type="dxa"/>
          </w:tcPr>
          <w:p w14:paraId="409F45C8" w14:textId="77777777" w:rsidR="00D67E75" w:rsidRDefault="00D67E75" w:rsidP="004F2862">
            <w:r>
              <w:t xml:space="preserve">DFAT </w:t>
            </w:r>
            <w:r w:rsidRPr="005A608A">
              <w:t xml:space="preserve">Humanitarian Response </w:t>
            </w:r>
            <w:r>
              <w:t>Branch</w:t>
            </w:r>
          </w:p>
        </w:tc>
      </w:tr>
      <w:tr w:rsidR="00D67E75" w14:paraId="07F77476" w14:textId="77777777" w:rsidTr="005D23A9">
        <w:tc>
          <w:tcPr>
            <w:tcW w:w="2127" w:type="dxa"/>
            <w:shd w:val="clear" w:color="auto" w:fill="auto"/>
          </w:tcPr>
          <w:p w14:paraId="24F1D8A0" w14:textId="77777777" w:rsidR="00D67E75" w:rsidRPr="006607A1" w:rsidRDefault="00D67E75" w:rsidP="004F2862">
            <w:r w:rsidRPr="006607A1">
              <w:t>Christine Pahlman</w:t>
            </w:r>
          </w:p>
        </w:tc>
        <w:tc>
          <w:tcPr>
            <w:tcW w:w="3402" w:type="dxa"/>
            <w:shd w:val="clear" w:color="auto" w:fill="auto"/>
          </w:tcPr>
          <w:p w14:paraId="6D104824" w14:textId="77777777" w:rsidR="00D67E75" w:rsidRDefault="00D67E75" w:rsidP="004F2862">
            <w:r>
              <w:t>Assistant Director</w:t>
            </w:r>
          </w:p>
        </w:tc>
        <w:tc>
          <w:tcPr>
            <w:tcW w:w="3605" w:type="dxa"/>
          </w:tcPr>
          <w:p w14:paraId="24AC7B00" w14:textId="77777777" w:rsidR="00D67E75" w:rsidRDefault="00D67E75" w:rsidP="004F2862">
            <w:r>
              <w:t xml:space="preserve">DFAT </w:t>
            </w:r>
            <w:r w:rsidRPr="005A608A">
              <w:t xml:space="preserve">Humanitarian Response </w:t>
            </w:r>
            <w:r>
              <w:t>Branch</w:t>
            </w:r>
          </w:p>
        </w:tc>
      </w:tr>
      <w:tr w:rsidR="005D23A9" w14:paraId="205223C2" w14:textId="77777777" w:rsidTr="005D23A9">
        <w:tc>
          <w:tcPr>
            <w:tcW w:w="2127" w:type="dxa"/>
          </w:tcPr>
          <w:p w14:paraId="71147FC7" w14:textId="77777777" w:rsidR="005D23A9" w:rsidRPr="007720A5" w:rsidRDefault="005D23A9" w:rsidP="00D96A22">
            <w:r w:rsidRPr="007720A5">
              <w:t>Niamh</w:t>
            </w:r>
            <w:r>
              <w:t xml:space="preserve"> Dobson</w:t>
            </w:r>
          </w:p>
        </w:tc>
        <w:tc>
          <w:tcPr>
            <w:tcW w:w="3402" w:type="dxa"/>
          </w:tcPr>
          <w:p w14:paraId="3A76D7D3" w14:textId="77777777" w:rsidR="005D23A9" w:rsidRPr="006607A1" w:rsidRDefault="005D23A9" w:rsidP="00D96A22">
            <w:r w:rsidRPr="006607A1">
              <w:t>Second Secretary</w:t>
            </w:r>
          </w:p>
        </w:tc>
        <w:tc>
          <w:tcPr>
            <w:tcW w:w="3605" w:type="dxa"/>
          </w:tcPr>
          <w:p w14:paraId="7C428E18" w14:textId="77777777" w:rsidR="005D23A9" w:rsidRDefault="005D23A9" w:rsidP="00D96A22">
            <w:r>
              <w:t>DFAT Nairobi Post</w:t>
            </w:r>
          </w:p>
        </w:tc>
      </w:tr>
      <w:tr w:rsidR="005D23A9" w14:paraId="32C8D7CC" w14:textId="77777777" w:rsidTr="005D23A9">
        <w:tc>
          <w:tcPr>
            <w:tcW w:w="2127" w:type="dxa"/>
          </w:tcPr>
          <w:p w14:paraId="0A3298D4" w14:textId="77777777" w:rsidR="005D23A9" w:rsidRDefault="005D23A9" w:rsidP="00D96A22">
            <w:r w:rsidRPr="007720A5">
              <w:t>Hannah</w:t>
            </w:r>
            <w:r>
              <w:t xml:space="preserve"> Gregory</w:t>
            </w:r>
          </w:p>
        </w:tc>
        <w:tc>
          <w:tcPr>
            <w:tcW w:w="3402" w:type="dxa"/>
          </w:tcPr>
          <w:p w14:paraId="521DBE34" w14:textId="77777777" w:rsidR="005D23A9" w:rsidRPr="006607A1" w:rsidRDefault="005D23A9" w:rsidP="00D96A22">
            <w:r>
              <w:t>Executive Officer</w:t>
            </w:r>
          </w:p>
        </w:tc>
        <w:tc>
          <w:tcPr>
            <w:tcW w:w="3605" w:type="dxa"/>
          </w:tcPr>
          <w:p w14:paraId="5A16ABC7" w14:textId="77777777" w:rsidR="005D23A9" w:rsidRDefault="005D23A9" w:rsidP="00D96A22">
            <w:r>
              <w:t>DFAT Africa Branch</w:t>
            </w:r>
          </w:p>
        </w:tc>
      </w:tr>
      <w:tr w:rsidR="005D23A9" w14:paraId="656B00E4" w14:textId="77777777" w:rsidTr="005D23A9">
        <w:tc>
          <w:tcPr>
            <w:tcW w:w="2127" w:type="dxa"/>
          </w:tcPr>
          <w:p w14:paraId="5E0B732A" w14:textId="77777777" w:rsidR="005D23A9" w:rsidRDefault="005D23A9" w:rsidP="00D96A22">
            <w:r>
              <w:t>Simon B</w:t>
            </w:r>
            <w:r w:rsidRPr="007720A5">
              <w:t>uckley</w:t>
            </w:r>
          </w:p>
        </w:tc>
        <w:tc>
          <w:tcPr>
            <w:tcW w:w="3402" w:type="dxa"/>
          </w:tcPr>
          <w:p w14:paraId="784E0C17" w14:textId="77777777" w:rsidR="005D23A9" w:rsidRPr="006607A1" w:rsidRDefault="005D23A9" w:rsidP="00D96A22">
            <w:r>
              <w:t>Assistant Director</w:t>
            </w:r>
          </w:p>
        </w:tc>
        <w:tc>
          <w:tcPr>
            <w:tcW w:w="3605" w:type="dxa"/>
          </w:tcPr>
          <w:p w14:paraId="6532B588" w14:textId="77777777" w:rsidR="005D23A9" w:rsidRDefault="005D23A9" w:rsidP="00D96A22">
            <w:r>
              <w:t>DFAT Investment Design Section</w:t>
            </w:r>
          </w:p>
        </w:tc>
      </w:tr>
      <w:tr w:rsidR="00D67E75" w14:paraId="5CF4B2DB" w14:textId="77777777" w:rsidTr="005D23A9">
        <w:tc>
          <w:tcPr>
            <w:tcW w:w="2127" w:type="dxa"/>
            <w:shd w:val="clear" w:color="auto" w:fill="auto"/>
          </w:tcPr>
          <w:p w14:paraId="3B3B94F4" w14:textId="77777777" w:rsidR="00D67E75" w:rsidRPr="00D06429" w:rsidRDefault="00D67E75" w:rsidP="004F2862">
            <w:r w:rsidRPr="00D06429">
              <w:t>Matt Lapworth</w:t>
            </w:r>
          </w:p>
        </w:tc>
        <w:tc>
          <w:tcPr>
            <w:tcW w:w="3402" w:type="dxa"/>
            <w:shd w:val="clear" w:color="auto" w:fill="auto"/>
          </w:tcPr>
          <w:p w14:paraId="77CE366B" w14:textId="77777777" w:rsidR="00D67E75" w:rsidRPr="00CE6F8E" w:rsidRDefault="00D67E75" w:rsidP="004F2862">
            <w:r>
              <w:t>Director</w:t>
            </w:r>
          </w:p>
        </w:tc>
        <w:tc>
          <w:tcPr>
            <w:tcW w:w="3605" w:type="dxa"/>
          </w:tcPr>
          <w:p w14:paraId="3D0AA8A6" w14:textId="77777777" w:rsidR="00D67E75" w:rsidRDefault="00D67E75" w:rsidP="004F2862">
            <w:r>
              <w:t>DFAT Middle East Section</w:t>
            </w:r>
          </w:p>
        </w:tc>
      </w:tr>
      <w:tr w:rsidR="00D67E75" w14:paraId="053812A2" w14:textId="77777777" w:rsidTr="005D23A9">
        <w:tc>
          <w:tcPr>
            <w:tcW w:w="2127" w:type="dxa"/>
            <w:shd w:val="clear" w:color="auto" w:fill="auto"/>
          </w:tcPr>
          <w:p w14:paraId="327E717F" w14:textId="77777777" w:rsidR="00D67E75" w:rsidRPr="00D06429" w:rsidRDefault="00D67E75" w:rsidP="004F2862">
            <w:r w:rsidRPr="00D06429">
              <w:t xml:space="preserve">Barbara </w:t>
            </w:r>
            <w:r>
              <w:t>Ratusznik</w:t>
            </w:r>
          </w:p>
        </w:tc>
        <w:tc>
          <w:tcPr>
            <w:tcW w:w="3402" w:type="dxa"/>
            <w:shd w:val="clear" w:color="auto" w:fill="auto"/>
          </w:tcPr>
          <w:p w14:paraId="37D4EB3B" w14:textId="77777777" w:rsidR="00D67E75" w:rsidRPr="00CE6F8E" w:rsidRDefault="00D67E75" w:rsidP="004F2862">
            <w:r>
              <w:t>Senior Policy Officer</w:t>
            </w:r>
          </w:p>
        </w:tc>
        <w:tc>
          <w:tcPr>
            <w:tcW w:w="3605" w:type="dxa"/>
          </w:tcPr>
          <w:p w14:paraId="7E5104F4" w14:textId="77777777" w:rsidR="00D67E75" w:rsidRDefault="00D67E75" w:rsidP="004F2862">
            <w:r>
              <w:t>DFAT Middle East Section</w:t>
            </w:r>
          </w:p>
        </w:tc>
      </w:tr>
      <w:tr w:rsidR="00D67E75" w14:paraId="7AEA4723" w14:textId="77777777" w:rsidTr="005D23A9">
        <w:tc>
          <w:tcPr>
            <w:tcW w:w="2127" w:type="dxa"/>
            <w:shd w:val="clear" w:color="auto" w:fill="auto"/>
          </w:tcPr>
          <w:p w14:paraId="532F8C6B" w14:textId="77777777" w:rsidR="00D67E75" w:rsidRDefault="00D67E75" w:rsidP="004F2862">
            <w:r w:rsidRPr="00D06429">
              <w:t>Lawrence Phillips</w:t>
            </w:r>
          </w:p>
        </w:tc>
        <w:tc>
          <w:tcPr>
            <w:tcW w:w="3402" w:type="dxa"/>
            <w:shd w:val="clear" w:color="auto" w:fill="auto"/>
          </w:tcPr>
          <w:p w14:paraId="622ACE38" w14:textId="77777777" w:rsidR="00D67E75" w:rsidRPr="00CE6F8E" w:rsidRDefault="00D67E75" w:rsidP="004F2862">
            <w:r>
              <w:t>Executive Officer</w:t>
            </w:r>
          </w:p>
        </w:tc>
        <w:tc>
          <w:tcPr>
            <w:tcW w:w="3605" w:type="dxa"/>
          </w:tcPr>
          <w:p w14:paraId="1F362305" w14:textId="77777777" w:rsidR="00D67E75" w:rsidRDefault="00D67E75" w:rsidP="004F2862">
            <w:r>
              <w:t>DFAT Middle East Section</w:t>
            </w:r>
          </w:p>
        </w:tc>
      </w:tr>
      <w:tr w:rsidR="00D67E75" w14:paraId="0D8F51E3" w14:textId="77777777" w:rsidTr="005D23A9">
        <w:tc>
          <w:tcPr>
            <w:tcW w:w="2127" w:type="dxa"/>
            <w:shd w:val="clear" w:color="auto" w:fill="auto"/>
          </w:tcPr>
          <w:p w14:paraId="08B7FF22" w14:textId="77777777" w:rsidR="00D67E75" w:rsidRDefault="00D67E75" w:rsidP="004F2862">
            <w:r w:rsidRPr="00777C61">
              <w:t>Christina Munzer</w:t>
            </w:r>
          </w:p>
        </w:tc>
        <w:tc>
          <w:tcPr>
            <w:tcW w:w="3402" w:type="dxa"/>
            <w:shd w:val="clear" w:color="auto" w:fill="auto"/>
          </w:tcPr>
          <w:p w14:paraId="15C360BE" w14:textId="77777777" w:rsidR="00D67E75" w:rsidRPr="00CE6F8E" w:rsidRDefault="00D67E75" w:rsidP="004F2862">
            <w:r>
              <w:t>Director</w:t>
            </w:r>
          </w:p>
        </w:tc>
        <w:tc>
          <w:tcPr>
            <w:tcW w:w="3605" w:type="dxa"/>
          </w:tcPr>
          <w:p w14:paraId="03632501" w14:textId="77777777" w:rsidR="00D67E75" w:rsidRDefault="00D67E75" w:rsidP="004F2862">
            <w:r>
              <w:t>DFAT NGO and Volunteers Branch</w:t>
            </w:r>
          </w:p>
        </w:tc>
      </w:tr>
      <w:tr w:rsidR="00D67E75" w14:paraId="36DBFDE9" w14:textId="77777777" w:rsidTr="005D23A9">
        <w:tc>
          <w:tcPr>
            <w:tcW w:w="2127" w:type="dxa"/>
            <w:shd w:val="clear" w:color="auto" w:fill="auto"/>
          </w:tcPr>
          <w:p w14:paraId="4E451F9F" w14:textId="77777777" w:rsidR="00D67E75" w:rsidRPr="00777C61" w:rsidRDefault="00D67E75" w:rsidP="004F2862">
            <w:r w:rsidRPr="00777C61">
              <w:t>Michael Bergmann</w:t>
            </w:r>
          </w:p>
        </w:tc>
        <w:tc>
          <w:tcPr>
            <w:tcW w:w="3402" w:type="dxa"/>
            <w:shd w:val="clear" w:color="auto" w:fill="auto"/>
          </w:tcPr>
          <w:p w14:paraId="4CDAEC68" w14:textId="77777777" w:rsidR="00D67E75" w:rsidRDefault="00D67E75" w:rsidP="004F2862">
            <w:r>
              <w:t>Director</w:t>
            </w:r>
          </w:p>
        </w:tc>
        <w:tc>
          <w:tcPr>
            <w:tcW w:w="3605" w:type="dxa"/>
          </w:tcPr>
          <w:p w14:paraId="05AC1CDD" w14:textId="77777777" w:rsidR="00D67E75" w:rsidRDefault="00D67E75" w:rsidP="004F2862">
            <w:r w:rsidRPr="00777C61">
              <w:t>DFAT NGO</w:t>
            </w:r>
            <w:r>
              <w:t xml:space="preserve"> and Volunteers</w:t>
            </w:r>
            <w:r w:rsidRPr="00777C61">
              <w:t xml:space="preserve"> Branch</w:t>
            </w:r>
          </w:p>
        </w:tc>
      </w:tr>
      <w:tr w:rsidR="00D67E75" w14:paraId="5C299EA2" w14:textId="77777777" w:rsidTr="005D23A9">
        <w:tc>
          <w:tcPr>
            <w:tcW w:w="2127" w:type="dxa"/>
            <w:shd w:val="clear" w:color="auto" w:fill="auto"/>
          </w:tcPr>
          <w:p w14:paraId="30A8B341" w14:textId="77777777" w:rsidR="00D67E75" w:rsidRDefault="00D67E75" w:rsidP="004F2862">
            <w:r w:rsidRPr="00777C61">
              <w:t>Angela Neumann</w:t>
            </w:r>
          </w:p>
        </w:tc>
        <w:tc>
          <w:tcPr>
            <w:tcW w:w="3402" w:type="dxa"/>
            <w:shd w:val="clear" w:color="auto" w:fill="auto"/>
          </w:tcPr>
          <w:p w14:paraId="52F195C3" w14:textId="77777777" w:rsidR="00D67E75" w:rsidRPr="00CE6F8E" w:rsidRDefault="00D67E75" w:rsidP="004F2862">
            <w:r>
              <w:t>Assistant Director</w:t>
            </w:r>
          </w:p>
        </w:tc>
        <w:tc>
          <w:tcPr>
            <w:tcW w:w="3605" w:type="dxa"/>
          </w:tcPr>
          <w:p w14:paraId="190B28D1" w14:textId="77777777" w:rsidR="00D67E75" w:rsidRDefault="00D67E75" w:rsidP="004F2862">
            <w:r w:rsidRPr="00777C61">
              <w:t xml:space="preserve">DFAT NGO </w:t>
            </w:r>
            <w:r>
              <w:t>and V</w:t>
            </w:r>
            <w:r w:rsidRPr="00777C61">
              <w:t>olunteer</w:t>
            </w:r>
            <w:r>
              <w:t>s</w:t>
            </w:r>
            <w:r w:rsidRPr="00777C61">
              <w:t xml:space="preserve"> Branch</w:t>
            </w:r>
          </w:p>
        </w:tc>
      </w:tr>
      <w:tr w:rsidR="00D67E75" w14:paraId="1306AFA9" w14:textId="77777777" w:rsidTr="005D23A9">
        <w:tc>
          <w:tcPr>
            <w:tcW w:w="2127" w:type="dxa"/>
            <w:shd w:val="clear" w:color="auto" w:fill="auto"/>
          </w:tcPr>
          <w:p w14:paraId="43B79C58" w14:textId="77777777" w:rsidR="00D67E75" w:rsidRDefault="00D67E75" w:rsidP="004F2862">
            <w:r w:rsidRPr="005A608A">
              <w:t>Natalia Aueb-Charles</w:t>
            </w:r>
          </w:p>
        </w:tc>
        <w:tc>
          <w:tcPr>
            <w:tcW w:w="3402" w:type="dxa"/>
            <w:shd w:val="clear" w:color="auto" w:fill="auto"/>
          </w:tcPr>
          <w:p w14:paraId="75F5C098" w14:textId="77777777" w:rsidR="00D67E75" w:rsidRPr="00CE6F8E" w:rsidRDefault="00D67E75" w:rsidP="004F2862">
            <w:r>
              <w:t>Executive Officer</w:t>
            </w:r>
          </w:p>
        </w:tc>
        <w:tc>
          <w:tcPr>
            <w:tcW w:w="3605" w:type="dxa"/>
          </w:tcPr>
          <w:p w14:paraId="6FEA853F" w14:textId="77777777" w:rsidR="00D67E75" w:rsidRDefault="00D67E75" w:rsidP="004F2862">
            <w:r>
              <w:t>DFAT Vanuatu Section</w:t>
            </w:r>
          </w:p>
        </w:tc>
      </w:tr>
      <w:tr w:rsidR="00D67E75" w14:paraId="7C0D76E8" w14:textId="77777777" w:rsidTr="005D23A9">
        <w:tc>
          <w:tcPr>
            <w:tcW w:w="2127" w:type="dxa"/>
            <w:shd w:val="clear" w:color="auto" w:fill="auto"/>
          </w:tcPr>
          <w:p w14:paraId="028D9DEC" w14:textId="77777777" w:rsidR="00D67E75" w:rsidRDefault="00D67E75" w:rsidP="004F2862">
            <w:r w:rsidRPr="006607A1">
              <w:t xml:space="preserve">Karyn </w:t>
            </w:r>
            <w:r>
              <w:t>Murray</w:t>
            </w:r>
            <w:r w:rsidRPr="006607A1">
              <w:t xml:space="preserve"> </w:t>
            </w:r>
          </w:p>
        </w:tc>
        <w:tc>
          <w:tcPr>
            <w:tcW w:w="3402" w:type="dxa"/>
            <w:shd w:val="clear" w:color="auto" w:fill="auto"/>
          </w:tcPr>
          <w:p w14:paraId="0DF00AB4" w14:textId="77777777" w:rsidR="00D67E75" w:rsidRPr="00CE6F8E" w:rsidRDefault="00D67E75" w:rsidP="004F2862">
            <w:r>
              <w:t>Assistant Director</w:t>
            </w:r>
          </w:p>
        </w:tc>
        <w:tc>
          <w:tcPr>
            <w:tcW w:w="3605" w:type="dxa"/>
          </w:tcPr>
          <w:p w14:paraId="4CD75610" w14:textId="77777777" w:rsidR="00D67E75" w:rsidRDefault="00D67E75" w:rsidP="004F2862">
            <w:r>
              <w:t>DFAT Vanuatu Section</w:t>
            </w:r>
          </w:p>
        </w:tc>
      </w:tr>
      <w:tr w:rsidR="00D67E75" w14:paraId="30BA5DD4" w14:textId="77777777" w:rsidTr="005D23A9">
        <w:tc>
          <w:tcPr>
            <w:tcW w:w="2127" w:type="dxa"/>
            <w:shd w:val="clear" w:color="auto" w:fill="auto"/>
          </w:tcPr>
          <w:p w14:paraId="2B978CFB" w14:textId="77777777" w:rsidR="00D67E75" w:rsidRDefault="00D67E75" w:rsidP="004F2862">
            <w:r>
              <w:t>Siddharta Chakrabarti</w:t>
            </w:r>
          </w:p>
        </w:tc>
        <w:tc>
          <w:tcPr>
            <w:tcW w:w="3402" w:type="dxa"/>
            <w:shd w:val="clear" w:color="auto" w:fill="auto"/>
          </w:tcPr>
          <w:p w14:paraId="700845D5" w14:textId="77777777" w:rsidR="00D67E75" w:rsidRPr="006607A1" w:rsidRDefault="00D67E75" w:rsidP="004F2862">
            <w:r w:rsidRPr="006607A1">
              <w:rPr>
                <w:bCs/>
              </w:rPr>
              <w:t>Attaché </w:t>
            </w:r>
          </w:p>
        </w:tc>
        <w:tc>
          <w:tcPr>
            <w:tcW w:w="3605" w:type="dxa"/>
          </w:tcPr>
          <w:p w14:paraId="086BF59E" w14:textId="77777777" w:rsidR="00D67E75" w:rsidRDefault="00D67E75" w:rsidP="004F2862">
            <w:r>
              <w:t>DFAT Vanuatu Post</w:t>
            </w:r>
          </w:p>
        </w:tc>
      </w:tr>
      <w:tr w:rsidR="00D67E75" w14:paraId="55B36FA7" w14:textId="77777777" w:rsidTr="005D23A9">
        <w:tc>
          <w:tcPr>
            <w:tcW w:w="9134" w:type="dxa"/>
            <w:gridSpan w:val="3"/>
            <w:shd w:val="clear" w:color="auto" w:fill="auto"/>
          </w:tcPr>
          <w:p w14:paraId="78AE6707" w14:textId="77777777" w:rsidR="00D67E75" w:rsidRPr="00CE6F8E" w:rsidRDefault="00D67E75" w:rsidP="004F2862">
            <w:pPr>
              <w:rPr>
                <w:b/>
                <w:sz w:val="24"/>
                <w:szCs w:val="24"/>
              </w:rPr>
            </w:pPr>
            <w:r w:rsidRPr="00CE6F8E">
              <w:rPr>
                <w:b/>
                <w:sz w:val="24"/>
                <w:szCs w:val="24"/>
              </w:rPr>
              <w:t>HPA NGO partners</w:t>
            </w:r>
          </w:p>
        </w:tc>
      </w:tr>
      <w:tr w:rsidR="00D67E75" w14:paraId="43D85EFC" w14:textId="77777777" w:rsidTr="005D23A9">
        <w:tc>
          <w:tcPr>
            <w:tcW w:w="2127" w:type="dxa"/>
          </w:tcPr>
          <w:p w14:paraId="5FCF3A19" w14:textId="77777777" w:rsidR="00D67E75" w:rsidRDefault="00D67E75" w:rsidP="004F2862">
            <w:r w:rsidRPr="0073072A">
              <w:t>Julia</w:t>
            </w:r>
            <w:r>
              <w:t xml:space="preserve"> Newton-Howes</w:t>
            </w:r>
          </w:p>
        </w:tc>
        <w:tc>
          <w:tcPr>
            <w:tcW w:w="3402" w:type="dxa"/>
          </w:tcPr>
          <w:p w14:paraId="2BF4C885" w14:textId="77777777" w:rsidR="00D67E75" w:rsidRDefault="00D67E75" w:rsidP="004F2862">
            <w:r>
              <w:t>CEO</w:t>
            </w:r>
          </w:p>
        </w:tc>
        <w:tc>
          <w:tcPr>
            <w:tcW w:w="3605" w:type="dxa"/>
          </w:tcPr>
          <w:p w14:paraId="68BD5E52" w14:textId="7BFAF918" w:rsidR="00D67E75" w:rsidRDefault="00D67E75" w:rsidP="004F2862">
            <w:r>
              <w:t>CARE Australia</w:t>
            </w:r>
          </w:p>
        </w:tc>
      </w:tr>
      <w:tr w:rsidR="005D23A9" w14:paraId="443AB9A0" w14:textId="77777777" w:rsidTr="005D23A9">
        <w:tc>
          <w:tcPr>
            <w:tcW w:w="2127" w:type="dxa"/>
          </w:tcPr>
          <w:p w14:paraId="7DCA5019" w14:textId="77777777" w:rsidR="005D23A9" w:rsidRDefault="005D23A9" w:rsidP="00D96A22">
            <w:r w:rsidRPr="0073072A">
              <w:t>Paul</w:t>
            </w:r>
            <w:r>
              <w:t xml:space="preserve"> Kelly</w:t>
            </w:r>
          </w:p>
        </w:tc>
        <w:tc>
          <w:tcPr>
            <w:tcW w:w="3402" w:type="dxa"/>
          </w:tcPr>
          <w:p w14:paraId="556FCF95" w14:textId="77777777" w:rsidR="005D23A9" w:rsidRDefault="005D23A9" w:rsidP="00D96A22">
            <w:r>
              <w:t>Principal Executive, International Programs</w:t>
            </w:r>
          </w:p>
        </w:tc>
        <w:tc>
          <w:tcPr>
            <w:tcW w:w="3605" w:type="dxa"/>
          </w:tcPr>
          <w:p w14:paraId="3D7B74C0" w14:textId="77777777" w:rsidR="005D23A9" w:rsidRDefault="005D23A9" w:rsidP="00D96A22">
            <w:r>
              <w:t>CARE Australia</w:t>
            </w:r>
          </w:p>
        </w:tc>
      </w:tr>
      <w:tr w:rsidR="00D67E75" w14:paraId="0737F64F" w14:textId="77777777" w:rsidTr="005D23A9">
        <w:tc>
          <w:tcPr>
            <w:tcW w:w="2127" w:type="dxa"/>
          </w:tcPr>
          <w:p w14:paraId="5EC0B24D" w14:textId="77777777" w:rsidR="00D67E75" w:rsidRDefault="00D67E75" w:rsidP="004F2862">
            <w:r w:rsidRPr="0073072A">
              <w:t>Adam</w:t>
            </w:r>
            <w:r>
              <w:t xml:space="preserve"> Poulter</w:t>
            </w:r>
          </w:p>
        </w:tc>
        <w:tc>
          <w:tcPr>
            <w:tcW w:w="3402" w:type="dxa"/>
          </w:tcPr>
          <w:p w14:paraId="21851C20" w14:textId="77777777" w:rsidR="00D67E75" w:rsidRDefault="00D67E75" w:rsidP="004F2862">
            <w:r w:rsidRPr="006607A1">
              <w:t>Manager, Humanitarian Emergency and Response Unit</w:t>
            </w:r>
          </w:p>
        </w:tc>
        <w:tc>
          <w:tcPr>
            <w:tcW w:w="3605" w:type="dxa"/>
          </w:tcPr>
          <w:p w14:paraId="0A94BD89" w14:textId="2CF971D9" w:rsidR="00D67E75" w:rsidRDefault="00D67E75" w:rsidP="004F2862">
            <w:r>
              <w:t>CARE Australia</w:t>
            </w:r>
          </w:p>
        </w:tc>
      </w:tr>
      <w:tr w:rsidR="00D67E75" w14:paraId="4F5E1F1A" w14:textId="77777777" w:rsidTr="005D23A9">
        <w:tc>
          <w:tcPr>
            <w:tcW w:w="2127" w:type="dxa"/>
          </w:tcPr>
          <w:p w14:paraId="42B9A62C" w14:textId="77777777" w:rsidR="00D67E75" w:rsidRPr="0073072A" w:rsidRDefault="00D67E75" w:rsidP="004F2862">
            <w:r>
              <w:t>Paul O’Callaghan</w:t>
            </w:r>
          </w:p>
        </w:tc>
        <w:tc>
          <w:tcPr>
            <w:tcW w:w="3402" w:type="dxa"/>
          </w:tcPr>
          <w:p w14:paraId="6728BB53" w14:textId="77777777" w:rsidR="00D67E75" w:rsidRDefault="00D67E75" w:rsidP="004F2862">
            <w:r>
              <w:t>CEO</w:t>
            </w:r>
          </w:p>
        </w:tc>
        <w:tc>
          <w:tcPr>
            <w:tcW w:w="3605" w:type="dxa"/>
          </w:tcPr>
          <w:p w14:paraId="20A75B16" w14:textId="77777777" w:rsidR="00D67E75" w:rsidRDefault="00D67E75" w:rsidP="004F2862">
            <w:r>
              <w:t>Caritas Australia</w:t>
            </w:r>
          </w:p>
        </w:tc>
      </w:tr>
      <w:tr w:rsidR="00D67E75" w14:paraId="753C3995" w14:textId="77777777" w:rsidTr="005D23A9">
        <w:tc>
          <w:tcPr>
            <w:tcW w:w="2127" w:type="dxa"/>
          </w:tcPr>
          <w:p w14:paraId="325F7FBD" w14:textId="77777777" w:rsidR="00D67E75" w:rsidRPr="0073072A" w:rsidRDefault="00D67E75" w:rsidP="004F2862">
            <w:r>
              <w:t>Jamie Davis</w:t>
            </w:r>
          </w:p>
        </w:tc>
        <w:tc>
          <w:tcPr>
            <w:tcW w:w="3402" w:type="dxa"/>
          </w:tcPr>
          <w:p w14:paraId="14B440F7" w14:textId="77777777" w:rsidR="00D67E75" w:rsidRPr="006607A1" w:rsidRDefault="00D67E75" w:rsidP="004F2862">
            <w:r w:rsidRPr="006607A1">
              <w:rPr>
                <w:bCs/>
                <w:lang w:val="en-US"/>
              </w:rPr>
              <w:t>Head of International Programs</w:t>
            </w:r>
          </w:p>
        </w:tc>
        <w:tc>
          <w:tcPr>
            <w:tcW w:w="3605" w:type="dxa"/>
          </w:tcPr>
          <w:p w14:paraId="622D0C42" w14:textId="77777777" w:rsidR="00D67E75" w:rsidRDefault="00D67E75" w:rsidP="004F2862">
            <w:r>
              <w:t>Caritas Australia</w:t>
            </w:r>
          </w:p>
        </w:tc>
      </w:tr>
      <w:tr w:rsidR="00D67E75" w14:paraId="0B21CD67" w14:textId="77777777" w:rsidTr="005D23A9">
        <w:tc>
          <w:tcPr>
            <w:tcW w:w="2127" w:type="dxa"/>
          </w:tcPr>
          <w:p w14:paraId="61CF83C8" w14:textId="77777777" w:rsidR="00D67E75" w:rsidRPr="0073072A" w:rsidRDefault="00D67E75" w:rsidP="004F2862">
            <w:r>
              <w:t>Richard Forsythe</w:t>
            </w:r>
          </w:p>
        </w:tc>
        <w:tc>
          <w:tcPr>
            <w:tcW w:w="3402" w:type="dxa"/>
          </w:tcPr>
          <w:p w14:paraId="70FF679F" w14:textId="77777777" w:rsidR="00D67E75" w:rsidRDefault="00D67E75" w:rsidP="004F2862">
            <w:r>
              <w:rPr>
                <w:lang w:val="en"/>
              </w:rPr>
              <w:t xml:space="preserve">Manager, </w:t>
            </w:r>
            <w:r w:rsidRPr="00A45175">
              <w:rPr>
                <w:lang w:val="en"/>
              </w:rPr>
              <w:t>Humanitarian &amp; Emergencies</w:t>
            </w:r>
          </w:p>
        </w:tc>
        <w:tc>
          <w:tcPr>
            <w:tcW w:w="3605" w:type="dxa"/>
          </w:tcPr>
          <w:p w14:paraId="1137220B" w14:textId="77777777" w:rsidR="00D67E75" w:rsidRDefault="00D67E75" w:rsidP="004F2862">
            <w:r>
              <w:t>Caritas Australia</w:t>
            </w:r>
          </w:p>
        </w:tc>
      </w:tr>
      <w:tr w:rsidR="00D67E75" w14:paraId="3D0A910B" w14:textId="77777777" w:rsidTr="005D23A9">
        <w:tc>
          <w:tcPr>
            <w:tcW w:w="2127" w:type="dxa"/>
            <w:shd w:val="clear" w:color="auto" w:fill="auto"/>
          </w:tcPr>
          <w:p w14:paraId="5FC9029E" w14:textId="77777777" w:rsidR="00D67E75" w:rsidRPr="00CE6F8E" w:rsidRDefault="00D67E75" w:rsidP="004F2862">
            <w:r>
              <w:t>Suzy McIntyre</w:t>
            </w:r>
          </w:p>
        </w:tc>
        <w:tc>
          <w:tcPr>
            <w:tcW w:w="3402" w:type="dxa"/>
            <w:shd w:val="clear" w:color="auto" w:fill="auto"/>
          </w:tcPr>
          <w:p w14:paraId="3D76517F" w14:textId="77777777" w:rsidR="00D67E75" w:rsidRPr="00CE6F8E" w:rsidRDefault="00D67E75" w:rsidP="004F2862">
            <w:r>
              <w:t>Humanitarian Emergencies Coordinator</w:t>
            </w:r>
          </w:p>
        </w:tc>
        <w:tc>
          <w:tcPr>
            <w:tcW w:w="3605" w:type="dxa"/>
          </w:tcPr>
          <w:p w14:paraId="7F2156C4" w14:textId="77777777" w:rsidR="00D67E75" w:rsidRDefault="00D67E75" w:rsidP="004F2862">
            <w:r>
              <w:t>Caritas Australia</w:t>
            </w:r>
          </w:p>
        </w:tc>
      </w:tr>
      <w:tr w:rsidR="00D67E75" w14:paraId="16A8D8CC" w14:textId="77777777" w:rsidTr="005D23A9">
        <w:tc>
          <w:tcPr>
            <w:tcW w:w="2127" w:type="dxa"/>
            <w:shd w:val="clear" w:color="auto" w:fill="auto"/>
          </w:tcPr>
          <w:p w14:paraId="596B25CA" w14:textId="77777777" w:rsidR="00D67E75" w:rsidRPr="00CE6F8E" w:rsidRDefault="00D67E75" w:rsidP="004F2862">
            <w:r w:rsidRPr="00CE6F8E">
              <w:t>Alexia Huxley</w:t>
            </w:r>
          </w:p>
        </w:tc>
        <w:tc>
          <w:tcPr>
            <w:tcW w:w="3402" w:type="dxa"/>
            <w:shd w:val="clear" w:color="auto" w:fill="auto"/>
          </w:tcPr>
          <w:p w14:paraId="7E95AB91" w14:textId="77777777" w:rsidR="00D67E75" w:rsidRPr="00CE6F8E" w:rsidRDefault="00D67E75" w:rsidP="004F2862">
            <w:r w:rsidRPr="00CE6F8E">
              <w:t>International programs Director</w:t>
            </w:r>
          </w:p>
        </w:tc>
        <w:tc>
          <w:tcPr>
            <w:tcW w:w="3605" w:type="dxa"/>
          </w:tcPr>
          <w:p w14:paraId="4EE3DD2D" w14:textId="77777777" w:rsidR="00D67E75" w:rsidRDefault="00D67E75" w:rsidP="004F2862">
            <w:r>
              <w:t>Oxfam Australia</w:t>
            </w:r>
          </w:p>
        </w:tc>
      </w:tr>
      <w:tr w:rsidR="00D67E75" w14:paraId="6A703D8F" w14:textId="77777777" w:rsidTr="005D23A9">
        <w:tc>
          <w:tcPr>
            <w:tcW w:w="2127" w:type="dxa"/>
            <w:shd w:val="clear" w:color="auto" w:fill="auto"/>
          </w:tcPr>
          <w:p w14:paraId="6691CE98" w14:textId="77777777" w:rsidR="00D67E75" w:rsidRPr="00CE6F8E" w:rsidRDefault="00D67E75" w:rsidP="004F2862">
            <w:r w:rsidRPr="00CE6F8E">
              <w:t>Meg Quartermaine</w:t>
            </w:r>
          </w:p>
        </w:tc>
        <w:tc>
          <w:tcPr>
            <w:tcW w:w="3402" w:type="dxa"/>
            <w:shd w:val="clear" w:color="auto" w:fill="auto"/>
          </w:tcPr>
          <w:p w14:paraId="02AF77D0" w14:textId="77777777" w:rsidR="00D67E75" w:rsidRPr="00CE6F8E" w:rsidRDefault="00D67E75" w:rsidP="004F2862">
            <w:r w:rsidRPr="005A608A">
              <w:t>Humanitarian Director</w:t>
            </w:r>
          </w:p>
        </w:tc>
        <w:tc>
          <w:tcPr>
            <w:tcW w:w="3605" w:type="dxa"/>
          </w:tcPr>
          <w:p w14:paraId="20940AD4" w14:textId="77777777" w:rsidR="00D67E75" w:rsidRDefault="00D67E75" w:rsidP="004F2862">
            <w:r>
              <w:t>Oxfam Australia</w:t>
            </w:r>
          </w:p>
        </w:tc>
      </w:tr>
      <w:tr w:rsidR="00D67E75" w14:paraId="11D08882" w14:textId="77777777" w:rsidTr="005D23A9">
        <w:tc>
          <w:tcPr>
            <w:tcW w:w="2127" w:type="dxa"/>
          </w:tcPr>
          <w:p w14:paraId="6EF67FEC" w14:textId="77777777" w:rsidR="00D67E75" w:rsidRPr="00CE6F8E" w:rsidRDefault="00D67E75" w:rsidP="004F2862">
            <w:r w:rsidRPr="00CE6F8E">
              <w:t>Richard Young</w:t>
            </w:r>
          </w:p>
        </w:tc>
        <w:tc>
          <w:tcPr>
            <w:tcW w:w="3402" w:type="dxa"/>
          </w:tcPr>
          <w:p w14:paraId="01966CEF" w14:textId="77777777" w:rsidR="00D67E75" w:rsidRPr="00CE6F8E" w:rsidRDefault="00D67E75" w:rsidP="004F2862">
            <w:r w:rsidRPr="00CE6F8E">
              <w:t>HPA Director</w:t>
            </w:r>
          </w:p>
        </w:tc>
        <w:tc>
          <w:tcPr>
            <w:tcW w:w="3605" w:type="dxa"/>
          </w:tcPr>
          <w:p w14:paraId="02DDCB65" w14:textId="77777777" w:rsidR="00D67E75" w:rsidRDefault="00D67E75" w:rsidP="004F2862">
            <w:r>
              <w:t>HPA</w:t>
            </w:r>
          </w:p>
        </w:tc>
      </w:tr>
      <w:tr w:rsidR="00D67E75" w14:paraId="76255122" w14:textId="77777777" w:rsidTr="005D23A9">
        <w:tc>
          <w:tcPr>
            <w:tcW w:w="2127" w:type="dxa"/>
          </w:tcPr>
          <w:p w14:paraId="0811A5A7" w14:textId="77777777" w:rsidR="00D67E75" w:rsidRPr="00CE6F8E" w:rsidRDefault="00D67E75" w:rsidP="004F2862">
            <w:r w:rsidRPr="00CE6F8E">
              <w:t>Chrissy</w:t>
            </w:r>
            <w:r>
              <w:t xml:space="preserve"> Galerakis</w:t>
            </w:r>
          </w:p>
        </w:tc>
        <w:tc>
          <w:tcPr>
            <w:tcW w:w="3402" w:type="dxa"/>
          </w:tcPr>
          <w:p w14:paraId="280CA843" w14:textId="77777777" w:rsidR="00D67E75" w:rsidRPr="00CE6F8E" w:rsidRDefault="00D67E75" w:rsidP="004F2862">
            <w:r w:rsidRPr="00CE6F8E">
              <w:t xml:space="preserve">Volunteer </w:t>
            </w:r>
          </w:p>
        </w:tc>
        <w:tc>
          <w:tcPr>
            <w:tcW w:w="3605" w:type="dxa"/>
          </w:tcPr>
          <w:p w14:paraId="089FD119" w14:textId="227A01C4" w:rsidR="00D67E75" w:rsidRDefault="00D67E75" w:rsidP="004F2862">
            <w:r>
              <w:t>HPA (Plan Australia)</w:t>
            </w:r>
          </w:p>
        </w:tc>
      </w:tr>
      <w:tr w:rsidR="00D67E75" w14:paraId="3993195B" w14:textId="77777777" w:rsidTr="005D23A9">
        <w:tc>
          <w:tcPr>
            <w:tcW w:w="2127" w:type="dxa"/>
          </w:tcPr>
          <w:p w14:paraId="43154901" w14:textId="77777777" w:rsidR="00D67E75" w:rsidRPr="00CE6F8E" w:rsidRDefault="00D67E75" w:rsidP="004F2862">
            <w:r w:rsidRPr="008F11F1">
              <w:t>Dave Husy</w:t>
            </w:r>
          </w:p>
        </w:tc>
        <w:tc>
          <w:tcPr>
            <w:tcW w:w="3402" w:type="dxa"/>
          </w:tcPr>
          <w:p w14:paraId="229E7B2A" w14:textId="77777777" w:rsidR="00D67E75" w:rsidRPr="008F11F1" w:rsidRDefault="00D67E75" w:rsidP="004F2862">
            <w:r>
              <w:t>Programs Director</w:t>
            </w:r>
          </w:p>
        </w:tc>
        <w:tc>
          <w:tcPr>
            <w:tcW w:w="3605" w:type="dxa"/>
          </w:tcPr>
          <w:p w14:paraId="34E7BEE5" w14:textId="77777777" w:rsidR="00D67E75" w:rsidRDefault="00D67E75" w:rsidP="004F2862">
            <w:r>
              <w:t>Plan Australia</w:t>
            </w:r>
          </w:p>
        </w:tc>
      </w:tr>
      <w:tr w:rsidR="00D67E75" w14:paraId="10AFB5A1" w14:textId="77777777" w:rsidTr="005D23A9">
        <w:tc>
          <w:tcPr>
            <w:tcW w:w="2127" w:type="dxa"/>
          </w:tcPr>
          <w:p w14:paraId="5B407A72" w14:textId="77777777" w:rsidR="00D67E75" w:rsidRPr="00CE6F8E" w:rsidRDefault="00D67E75" w:rsidP="004F2862">
            <w:r w:rsidRPr="008F11F1">
              <w:t>Ro Kent</w:t>
            </w:r>
          </w:p>
        </w:tc>
        <w:tc>
          <w:tcPr>
            <w:tcW w:w="3402" w:type="dxa"/>
          </w:tcPr>
          <w:p w14:paraId="53A63EB4" w14:textId="77777777" w:rsidR="00D67E75" w:rsidRPr="008F11F1" w:rsidRDefault="00D67E75" w:rsidP="004F2862">
            <w:r w:rsidRPr="008F11F1">
              <w:t>Disaster Risk Manager</w:t>
            </w:r>
          </w:p>
        </w:tc>
        <w:tc>
          <w:tcPr>
            <w:tcW w:w="3605" w:type="dxa"/>
          </w:tcPr>
          <w:p w14:paraId="2BC070AF" w14:textId="77777777" w:rsidR="00D67E75" w:rsidRDefault="00D67E75" w:rsidP="004F2862">
            <w:r>
              <w:t>Plan Australia</w:t>
            </w:r>
          </w:p>
        </w:tc>
      </w:tr>
      <w:tr w:rsidR="00D67E75" w14:paraId="4617B257" w14:textId="77777777" w:rsidTr="005D23A9">
        <w:tc>
          <w:tcPr>
            <w:tcW w:w="2127" w:type="dxa"/>
          </w:tcPr>
          <w:p w14:paraId="3FD7A2FA" w14:textId="77777777" w:rsidR="00D67E75" w:rsidRPr="00CE6F8E" w:rsidRDefault="00D67E75" w:rsidP="004F2862">
            <w:r>
              <w:t>Paul Ronalds</w:t>
            </w:r>
          </w:p>
        </w:tc>
        <w:tc>
          <w:tcPr>
            <w:tcW w:w="3402" w:type="dxa"/>
          </w:tcPr>
          <w:p w14:paraId="4E942138" w14:textId="77777777" w:rsidR="00D67E75" w:rsidRPr="008F11F1" w:rsidRDefault="00D67E75" w:rsidP="004F2862">
            <w:r>
              <w:t>CEO</w:t>
            </w:r>
          </w:p>
        </w:tc>
        <w:tc>
          <w:tcPr>
            <w:tcW w:w="3605" w:type="dxa"/>
          </w:tcPr>
          <w:p w14:paraId="23CB375D" w14:textId="77777777" w:rsidR="00D67E75" w:rsidRDefault="00D67E75" w:rsidP="004F2862">
            <w:r>
              <w:t>Save the Children Australia</w:t>
            </w:r>
          </w:p>
        </w:tc>
      </w:tr>
      <w:tr w:rsidR="00D67E75" w14:paraId="7C8AEF49" w14:textId="77777777" w:rsidTr="005D23A9">
        <w:tc>
          <w:tcPr>
            <w:tcW w:w="2127" w:type="dxa"/>
          </w:tcPr>
          <w:p w14:paraId="16219F5B" w14:textId="77777777" w:rsidR="00D67E75" w:rsidRPr="00CE6F8E" w:rsidRDefault="00D67E75" w:rsidP="004F2862">
            <w:r>
              <w:t>Stuart Schaefer</w:t>
            </w:r>
          </w:p>
        </w:tc>
        <w:tc>
          <w:tcPr>
            <w:tcW w:w="3402" w:type="dxa"/>
          </w:tcPr>
          <w:p w14:paraId="22EB212E" w14:textId="77777777" w:rsidR="00D67E75" w:rsidRPr="008F11F1" w:rsidRDefault="00D67E75" w:rsidP="004F2862">
            <w:r>
              <w:t>Director International Programs</w:t>
            </w:r>
          </w:p>
        </w:tc>
        <w:tc>
          <w:tcPr>
            <w:tcW w:w="3605" w:type="dxa"/>
          </w:tcPr>
          <w:p w14:paraId="3164A140" w14:textId="77777777" w:rsidR="00D67E75" w:rsidRDefault="00D67E75" w:rsidP="004F2862">
            <w:r>
              <w:t>Save the Children Australia</w:t>
            </w:r>
          </w:p>
        </w:tc>
      </w:tr>
      <w:tr w:rsidR="00D67E75" w14:paraId="13FC4641" w14:textId="77777777" w:rsidTr="005D23A9">
        <w:tc>
          <w:tcPr>
            <w:tcW w:w="2127" w:type="dxa"/>
          </w:tcPr>
          <w:p w14:paraId="790AB7F4" w14:textId="77777777" w:rsidR="00D67E75" w:rsidRPr="00CE6F8E" w:rsidRDefault="00D67E75" w:rsidP="004F2862">
            <w:r>
              <w:t>Nichola Krey</w:t>
            </w:r>
          </w:p>
        </w:tc>
        <w:tc>
          <w:tcPr>
            <w:tcW w:w="3402" w:type="dxa"/>
          </w:tcPr>
          <w:p w14:paraId="2B40162F" w14:textId="77777777" w:rsidR="00D67E75" w:rsidRPr="008F11F1" w:rsidRDefault="00D67E75" w:rsidP="004F2862">
            <w:r>
              <w:t>Head of Humanitarian Affairs</w:t>
            </w:r>
          </w:p>
        </w:tc>
        <w:tc>
          <w:tcPr>
            <w:tcW w:w="3605" w:type="dxa"/>
          </w:tcPr>
          <w:p w14:paraId="549FDD5E" w14:textId="77777777" w:rsidR="00D67E75" w:rsidRDefault="00D67E75" w:rsidP="004F2862">
            <w:r>
              <w:t>Save the Children Australia</w:t>
            </w:r>
          </w:p>
        </w:tc>
      </w:tr>
      <w:tr w:rsidR="00D67E75" w14:paraId="6DC13314" w14:textId="77777777" w:rsidTr="005D23A9">
        <w:tc>
          <w:tcPr>
            <w:tcW w:w="2127" w:type="dxa"/>
          </w:tcPr>
          <w:p w14:paraId="3F37ABE8" w14:textId="77777777" w:rsidR="00D67E75" w:rsidRDefault="00D67E75" w:rsidP="004F2862">
            <w:r w:rsidRPr="003E40E3">
              <w:t>Majella Hurney</w:t>
            </w:r>
          </w:p>
        </w:tc>
        <w:tc>
          <w:tcPr>
            <w:tcW w:w="3402" w:type="dxa"/>
          </w:tcPr>
          <w:p w14:paraId="55CAAE22" w14:textId="77777777" w:rsidR="00D67E75" w:rsidRDefault="00D67E75" w:rsidP="004F2862">
            <w:r w:rsidRPr="005A608A">
              <w:t>Manager of Humanitarian and Emergency Affairs Team</w:t>
            </w:r>
          </w:p>
        </w:tc>
        <w:tc>
          <w:tcPr>
            <w:tcW w:w="3605" w:type="dxa"/>
          </w:tcPr>
          <w:p w14:paraId="5B8739CC" w14:textId="77777777" w:rsidR="00D67E75" w:rsidRDefault="00D67E75" w:rsidP="004F2862">
            <w:r>
              <w:t>World Vision Australia</w:t>
            </w:r>
          </w:p>
        </w:tc>
      </w:tr>
      <w:tr w:rsidR="00D67E75" w14:paraId="132D9162" w14:textId="77777777" w:rsidTr="005D23A9">
        <w:tc>
          <w:tcPr>
            <w:tcW w:w="2127" w:type="dxa"/>
          </w:tcPr>
          <w:p w14:paraId="27D17CA7" w14:textId="77777777" w:rsidR="00D67E75" w:rsidRDefault="00D67E75" w:rsidP="004F2862">
            <w:r>
              <w:t>Julianne Scenna</w:t>
            </w:r>
          </w:p>
        </w:tc>
        <w:tc>
          <w:tcPr>
            <w:tcW w:w="3402" w:type="dxa"/>
          </w:tcPr>
          <w:p w14:paraId="2AA7EC35" w14:textId="77777777" w:rsidR="00D67E75" w:rsidRDefault="00D67E75" w:rsidP="004F2862">
            <w:r>
              <w:t>Director of Government and Multilaterals</w:t>
            </w:r>
          </w:p>
        </w:tc>
        <w:tc>
          <w:tcPr>
            <w:tcW w:w="3605" w:type="dxa"/>
          </w:tcPr>
          <w:p w14:paraId="071D896B" w14:textId="77777777" w:rsidR="00D67E75" w:rsidRDefault="00D67E75" w:rsidP="004F2862">
            <w:r>
              <w:t>World Vision Australia</w:t>
            </w:r>
          </w:p>
        </w:tc>
      </w:tr>
      <w:tr w:rsidR="00D67E75" w14:paraId="6A51555A" w14:textId="77777777" w:rsidTr="005D23A9">
        <w:tc>
          <w:tcPr>
            <w:tcW w:w="9134" w:type="dxa"/>
            <w:gridSpan w:val="3"/>
          </w:tcPr>
          <w:p w14:paraId="562F2954" w14:textId="77777777" w:rsidR="00D67E75" w:rsidRDefault="00D67E75" w:rsidP="004F2862">
            <w:r>
              <w:rPr>
                <w:b/>
                <w:sz w:val="24"/>
                <w:szCs w:val="24"/>
              </w:rPr>
              <w:t>Non-HPA NGOs / HRG members</w:t>
            </w:r>
          </w:p>
        </w:tc>
      </w:tr>
      <w:tr w:rsidR="00D67E75" w14:paraId="06F29AFF" w14:textId="77777777" w:rsidTr="005D23A9">
        <w:tc>
          <w:tcPr>
            <w:tcW w:w="2127" w:type="dxa"/>
            <w:shd w:val="clear" w:color="auto" w:fill="FFFFFF" w:themeFill="background1"/>
          </w:tcPr>
          <w:p w14:paraId="4D4455BB" w14:textId="77777777" w:rsidR="00D67E75" w:rsidRDefault="00D67E75" w:rsidP="004F2862">
            <w:r w:rsidRPr="00E1694C">
              <w:t>Megan Williams</w:t>
            </w:r>
          </w:p>
        </w:tc>
        <w:tc>
          <w:tcPr>
            <w:tcW w:w="3402" w:type="dxa"/>
            <w:shd w:val="clear" w:color="auto" w:fill="FFFFFF" w:themeFill="background1"/>
          </w:tcPr>
          <w:p w14:paraId="5199C053" w14:textId="77777777" w:rsidR="00D67E75" w:rsidRDefault="00D67E75" w:rsidP="004F2862">
            <w:r>
              <w:t>Humanitarian and Human Rights Advisor</w:t>
            </w:r>
          </w:p>
        </w:tc>
        <w:tc>
          <w:tcPr>
            <w:tcW w:w="3605" w:type="dxa"/>
            <w:shd w:val="clear" w:color="auto" w:fill="FFFFFF" w:themeFill="background1"/>
          </w:tcPr>
          <w:p w14:paraId="1273FE61" w14:textId="77777777" w:rsidR="00D67E75" w:rsidRDefault="00D67E75" w:rsidP="004F2862">
            <w:r>
              <w:t>ACFID</w:t>
            </w:r>
          </w:p>
        </w:tc>
      </w:tr>
      <w:tr w:rsidR="00D67E75" w14:paraId="1CD93AA8" w14:textId="77777777" w:rsidTr="005D23A9">
        <w:tc>
          <w:tcPr>
            <w:tcW w:w="2127" w:type="dxa"/>
            <w:shd w:val="clear" w:color="auto" w:fill="FFFFFF" w:themeFill="background1"/>
          </w:tcPr>
          <w:p w14:paraId="2430CE41" w14:textId="77777777" w:rsidR="00D67E75" w:rsidRPr="00E1694C" w:rsidRDefault="00D67E75" w:rsidP="004F2862">
            <w:r>
              <w:t>Beth Sargent</w:t>
            </w:r>
          </w:p>
        </w:tc>
        <w:tc>
          <w:tcPr>
            <w:tcW w:w="3402" w:type="dxa"/>
            <w:shd w:val="clear" w:color="auto" w:fill="FFFFFF" w:themeFill="background1"/>
          </w:tcPr>
          <w:p w14:paraId="7F654E21" w14:textId="77777777" w:rsidR="00D67E75" w:rsidRDefault="00D67E75" w:rsidP="004F2862">
            <w:r>
              <w:t>Head of Policy</w:t>
            </w:r>
          </w:p>
        </w:tc>
        <w:tc>
          <w:tcPr>
            <w:tcW w:w="3605" w:type="dxa"/>
            <w:shd w:val="clear" w:color="auto" w:fill="FFFFFF" w:themeFill="background1"/>
          </w:tcPr>
          <w:p w14:paraId="6C7342DE" w14:textId="77777777" w:rsidR="00D67E75" w:rsidRDefault="00D67E75" w:rsidP="004F2862">
            <w:r>
              <w:t>ACFID</w:t>
            </w:r>
          </w:p>
        </w:tc>
      </w:tr>
      <w:tr w:rsidR="00D67E75" w14:paraId="5E578836" w14:textId="77777777" w:rsidTr="005D23A9">
        <w:tc>
          <w:tcPr>
            <w:tcW w:w="2127" w:type="dxa"/>
            <w:shd w:val="clear" w:color="auto" w:fill="FFFFFF" w:themeFill="background1"/>
          </w:tcPr>
          <w:p w14:paraId="54AC0A2F" w14:textId="77777777" w:rsidR="00D67E75" w:rsidRDefault="00D67E75" w:rsidP="004F2862">
            <w:r>
              <w:t>Ben Fraser</w:t>
            </w:r>
          </w:p>
        </w:tc>
        <w:tc>
          <w:tcPr>
            <w:tcW w:w="3402" w:type="dxa"/>
            <w:shd w:val="clear" w:color="auto" w:fill="FFFFFF" w:themeFill="background1"/>
          </w:tcPr>
          <w:p w14:paraId="670F8E08" w14:textId="77777777" w:rsidR="00D67E75" w:rsidRDefault="00D67E75" w:rsidP="004F2862">
            <w:r>
              <w:t>Peace-building Team Manager</w:t>
            </w:r>
          </w:p>
        </w:tc>
        <w:tc>
          <w:tcPr>
            <w:tcW w:w="3605" w:type="dxa"/>
            <w:shd w:val="clear" w:color="auto" w:fill="FFFFFF" w:themeFill="background1"/>
          </w:tcPr>
          <w:p w14:paraId="5AC8A464" w14:textId="77777777" w:rsidR="00D67E75" w:rsidRDefault="00D67E75" w:rsidP="004F2862">
            <w:r>
              <w:t>Act for Peace</w:t>
            </w:r>
          </w:p>
        </w:tc>
      </w:tr>
      <w:tr w:rsidR="00D67E75" w14:paraId="163AA3C6" w14:textId="77777777" w:rsidTr="005D23A9">
        <w:trPr>
          <w:trHeight w:val="70"/>
        </w:trPr>
        <w:tc>
          <w:tcPr>
            <w:tcW w:w="2127" w:type="dxa"/>
            <w:shd w:val="clear" w:color="auto" w:fill="FFFFFF" w:themeFill="background1"/>
          </w:tcPr>
          <w:p w14:paraId="5F11716F" w14:textId="77777777" w:rsidR="00D67E75" w:rsidRDefault="00D67E75" w:rsidP="004F2862">
            <w:r w:rsidRPr="00D37EE8">
              <w:t>Michelle Higelin</w:t>
            </w:r>
          </w:p>
        </w:tc>
        <w:tc>
          <w:tcPr>
            <w:tcW w:w="3402" w:type="dxa"/>
            <w:shd w:val="clear" w:color="auto" w:fill="FFFFFF" w:themeFill="background1"/>
          </w:tcPr>
          <w:p w14:paraId="3B3985CB" w14:textId="77777777" w:rsidR="00D67E75" w:rsidRDefault="00D67E75" w:rsidP="004F2862">
            <w:r>
              <w:t>Deputy Executive Director</w:t>
            </w:r>
          </w:p>
        </w:tc>
        <w:tc>
          <w:tcPr>
            <w:tcW w:w="3605" w:type="dxa"/>
            <w:shd w:val="clear" w:color="auto" w:fill="FFFFFF" w:themeFill="background1"/>
          </w:tcPr>
          <w:p w14:paraId="28CE87C0" w14:textId="77777777" w:rsidR="00D67E75" w:rsidRDefault="00D67E75" w:rsidP="004F2862">
            <w:r>
              <w:t>Action Aid Australia</w:t>
            </w:r>
          </w:p>
        </w:tc>
      </w:tr>
      <w:tr w:rsidR="00D67E75" w14:paraId="5758C5C9" w14:textId="77777777" w:rsidTr="005D23A9">
        <w:tc>
          <w:tcPr>
            <w:tcW w:w="2127" w:type="dxa"/>
          </w:tcPr>
          <w:p w14:paraId="143AFE51" w14:textId="77777777" w:rsidR="00D67E75" w:rsidRPr="00D37EE8" w:rsidRDefault="00D67E75" w:rsidP="004F2862">
            <w:r w:rsidRPr="00D37EE8">
              <w:t>Beryl Hartmann</w:t>
            </w:r>
          </w:p>
        </w:tc>
        <w:tc>
          <w:tcPr>
            <w:tcW w:w="3402" w:type="dxa"/>
          </w:tcPr>
          <w:p w14:paraId="363B12F0" w14:textId="77777777" w:rsidR="00D67E75" w:rsidRDefault="00D67E75" w:rsidP="004F2862">
            <w:r>
              <w:t>Humanitarian Program Officer</w:t>
            </w:r>
          </w:p>
        </w:tc>
        <w:tc>
          <w:tcPr>
            <w:tcW w:w="3605" w:type="dxa"/>
          </w:tcPr>
          <w:p w14:paraId="13524CCB" w14:textId="77777777" w:rsidR="00D67E75" w:rsidRDefault="00D67E75" w:rsidP="004F2862">
            <w:r>
              <w:t>ADRA</w:t>
            </w:r>
          </w:p>
        </w:tc>
      </w:tr>
      <w:tr w:rsidR="00D67E75" w14:paraId="254FB657" w14:textId="77777777" w:rsidTr="005D23A9">
        <w:tc>
          <w:tcPr>
            <w:tcW w:w="2127" w:type="dxa"/>
          </w:tcPr>
          <w:p w14:paraId="03A89926" w14:textId="77777777" w:rsidR="00D67E75" w:rsidRPr="00D37EE8" w:rsidRDefault="00D67E75" w:rsidP="004F2862">
            <w:r w:rsidRPr="00D37EE8">
              <w:t xml:space="preserve">Hayley Lanzon </w:t>
            </w:r>
          </w:p>
        </w:tc>
        <w:tc>
          <w:tcPr>
            <w:tcW w:w="3402" w:type="dxa"/>
          </w:tcPr>
          <w:p w14:paraId="7607F435" w14:textId="77777777" w:rsidR="00D67E75" w:rsidRDefault="00D67E75" w:rsidP="004F2862">
            <w:r>
              <w:t>Program Officer</w:t>
            </w:r>
          </w:p>
        </w:tc>
        <w:tc>
          <w:tcPr>
            <w:tcW w:w="3605" w:type="dxa"/>
          </w:tcPr>
          <w:p w14:paraId="2A30984E" w14:textId="77777777" w:rsidR="00D67E75" w:rsidRDefault="00D67E75" w:rsidP="004F2862">
            <w:r w:rsidRPr="00D37EE8">
              <w:t>ALWS</w:t>
            </w:r>
          </w:p>
        </w:tc>
      </w:tr>
      <w:tr w:rsidR="00D67E75" w14:paraId="2A6FE402" w14:textId="77777777" w:rsidTr="005D23A9">
        <w:tc>
          <w:tcPr>
            <w:tcW w:w="2127" w:type="dxa"/>
          </w:tcPr>
          <w:p w14:paraId="7E12DE73" w14:textId="77777777" w:rsidR="00D67E75" w:rsidRDefault="00D67E75" w:rsidP="004F2862">
            <w:r w:rsidRPr="009038FA">
              <w:t>Steve Ray</w:t>
            </w:r>
          </w:p>
        </w:tc>
        <w:tc>
          <w:tcPr>
            <w:tcW w:w="3402" w:type="dxa"/>
          </w:tcPr>
          <w:p w14:paraId="34ECE07B" w14:textId="77777777" w:rsidR="00D67E75" w:rsidRPr="002C21B3" w:rsidRDefault="00D67E75" w:rsidP="004F2862">
            <w:r w:rsidRPr="002C21B3">
              <w:rPr>
                <w:bCs/>
              </w:rPr>
              <w:t>Manager International Emergencies</w:t>
            </w:r>
          </w:p>
        </w:tc>
        <w:tc>
          <w:tcPr>
            <w:tcW w:w="3605" w:type="dxa"/>
          </w:tcPr>
          <w:p w14:paraId="7E6CAE83" w14:textId="77777777" w:rsidR="00D67E75" w:rsidRDefault="00D67E75" w:rsidP="004F2862">
            <w:r>
              <w:t>Australian Red Cross</w:t>
            </w:r>
          </w:p>
        </w:tc>
      </w:tr>
      <w:tr w:rsidR="00D67E75" w14:paraId="64BF4993" w14:textId="77777777" w:rsidTr="005D23A9">
        <w:tc>
          <w:tcPr>
            <w:tcW w:w="2127" w:type="dxa"/>
          </w:tcPr>
          <w:p w14:paraId="218AE357" w14:textId="77777777" w:rsidR="00D67E75" w:rsidRDefault="00D67E75" w:rsidP="004F2862">
            <w:r w:rsidRPr="00D37EE8">
              <w:t xml:space="preserve">Sanwar Ali </w:t>
            </w:r>
          </w:p>
        </w:tc>
        <w:tc>
          <w:tcPr>
            <w:tcW w:w="3402" w:type="dxa"/>
          </w:tcPr>
          <w:p w14:paraId="68404670" w14:textId="77777777" w:rsidR="00D67E75" w:rsidRDefault="00D67E75" w:rsidP="004F2862">
            <w:r>
              <w:t>Senior DRR Advisor</w:t>
            </w:r>
          </w:p>
        </w:tc>
        <w:tc>
          <w:tcPr>
            <w:tcW w:w="3605" w:type="dxa"/>
          </w:tcPr>
          <w:p w14:paraId="04DB1B9F" w14:textId="77777777" w:rsidR="00D67E75" w:rsidRDefault="00D67E75" w:rsidP="004F2862">
            <w:r>
              <w:t>Child Fund</w:t>
            </w:r>
          </w:p>
        </w:tc>
      </w:tr>
      <w:tr w:rsidR="00D67E75" w14:paraId="1A2E1437" w14:textId="77777777" w:rsidTr="005D23A9">
        <w:tc>
          <w:tcPr>
            <w:tcW w:w="2127" w:type="dxa"/>
          </w:tcPr>
          <w:p w14:paraId="197669B1" w14:textId="77777777" w:rsidR="00D67E75" w:rsidRPr="00D37EE8" w:rsidRDefault="00D67E75" w:rsidP="004F2862">
            <w:r w:rsidRPr="00D37EE8">
              <w:t>Peter Chamberl</w:t>
            </w:r>
            <w:r>
              <w:t>a</w:t>
            </w:r>
            <w:r w:rsidRPr="00D37EE8">
              <w:t>in</w:t>
            </w:r>
          </w:p>
        </w:tc>
        <w:tc>
          <w:tcPr>
            <w:tcW w:w="3402" w:type="dxa"/>
          </w:tcPr>
          <w:p w14:paraId="6EC1643E" w14:textId="77777777" w:rsidR="00D67E75" w:rsidRDefault="00D67E75" w:rsidP="004F2862">
            <w:r>
              <w:t>Consultant</w:t>
            </w:r>
          </w:p>
        </w:tc>
        <w:tc>
          <w:tcPr>
            <w:tcW w:w="3605" w:type="dxa"/>
          </w:tcPr>
          <w:p w14:paraId="0C2FA087" w14:textId="77777777" w:rsidR="00D67E75" w:rsidRPr="00D37EE8" w:rsidRDefault="00D67E75" w:rsidP="004F2862">
            <w:r>
              <w:t>Child Fund</w:t>
            </w:r>
          </w:p>
        </w:tc>
      </w:tr>
      <w:tr w:rsidR="00D67E75" w14:paraId="0FD893FE" w14:textId="77777777" w:rsidTr="005D23A9">
        <w:tc>
          <w:tcPr>
            <w:tcW w:w="9134" w:type="dxa"/>
            <w:gridSpan w:val="3"/>
          </w:tcPr>
          <w:p w14:paraId="74CA4C28" w14:textId="77777777" w:rsidR="00D67E75" w:rsidRPr="009E12CC" w:rsidRDefault="00D67E75" w:rsidP="004F2862">
            <w:pPr>
              <w:rPr>
                <w:b/>
                <w:sz w:val="24"/>
                <w:szCs w:val="24"/>
              </w:rPr>
            </w:pPr>
            <w:r>
              <w:rPr>
                <w:b/>
                <w:sz w:val="24"/>
                <w:szCs w:val="24"/>
              </w:rPr>
              <w:t>HPA i</w:t>
            </w:r>
            <w:r w:rsidRPr="009E12CC">
              <w:rPr>
                <w:b/>
                <w:sz w:val="24"/>
                <w:szCs w:val="24"/>
              </w:rPr>
              <w:t xml:space="preserve">mplementing partner organisations </w:t>
            </w:r>
          </w:p>
        </w:tc>
      </w:tr>
      <w:tr w:rsidR="00D67E75" w14:paraId="3AACF62B" w14:textId="77777777" w:rsidTr="005D23A9">
        <w:tc>
          <w:tcPr>
            <w:tcW w:w="2127" w:type="dxa"/>
          </w:tcPr>
          <w:p w14:paraId="02B23BB0" w14:textId="77777777" w:rsidR="00D67E75" w:rsidRDefault="00D67E75" w:rsidP="004F2862">
            <w:r w:rsidRPr="00F22A13">
              <w:t>Sandrine Wallez</w:t>
            </w:r>
          </w:p>
        </w:tc>
        <w:tc>
          <w:tcPr>
            <w:tcW w:w="3402" w:type="dxa"/>
          </w:tcPr>
          <w:p w14:paraId="0AA87C33" w14:textId="77777777" w:rsidR="00D67E75" w:rsidRDefault="00D67E75" w:rsidP="004F2862">
            <w:r>
              <w:t>Director</w:t>
            </w:r>
          </w:p>
        </w:tc>
        <w:tc>
          <w:tcPr>
            <w:tcW w:w="3605" w:type="dxa"/>
          </w:tcPr>
          <w:p w14:paraId="7CB158EA" w14:textId="77777777" w:rsidR="00D67E75" w:rsidRDefault="00D67E75" w:rsidP="004F2862">
            <w:r w:rsidRPr="00F22A13">
              <w:t>ACTIV association</w:t>
            </w:r>
            <w:r>
              <w:t xml:space="preserve"> (Vanuatu) </w:t>
            </w:r>
          </w:p>
        </w:tc>
      </w:tr>
      <w:tr w:rsidR="00D67E75" w14:paraId="15B37544" w14:textId="77777777" w:rsidTr="005D23A9">
        <w:tc>
          <w:tcPr>
            <w:tcW w:w="2127" w:type="dxa"/>
          </w:tcPr>
          <w:p w14:paraId="186CB334" w14:textId="77777777" w:rsidR="00D67E75" w:rsidRDefault="00D67E75" w:rsidP="004F2862">
            <w:r w:rsidRPr="00F22A13">
              <w:t>Michelle Ryan</w:t>
            </w:r>
          </w:p>
        </w:tc>
        <w:tc>
          <w:tcPr>
            <w:tcW w:w="3402" w:type="dxa"/>
          </w:tcPr>
          <w:p w14:paraId="1D2394BB" w14:textId="77777777" w:rsidR="00D67E75" w:rsidRDefault="00D67E75" w:rsidP="004F2862">
            <w:r>
              <w:t>Program Manager</w:t>
            </w:r>
          </w:p>
        </w:tc>
        <w:tc>
          <w:tcPr>
            <w:tcW w:w="3605" w:type="dxa"/>
          </w:tcPr>
          <w:p w14:paraId="790D7E4E" w14:textId="77777777" w:rsidR="00D67E75" w:rsidRDefault="00D67E75" w:rsidP="004F2862">
            <w:r>
              <w:t>Catholic Relief Services (Lebanon)</w:t>
            </w:r>
          </w:p>
        </w:tc>
      </w:tr>
      <w:tr w:rsidR="00D67E75" w14:paraId="221B4E17" w14:textId="77777777" w:rsidTr="005D23A9">
        <w:tc>
          <w:tcPr>
            <w:tcW w:w="2127" w:type="dxa"/>
          </w:tcPr>
          <w:p w14:paraId="20A68001" w14:textId="77777777" w:rsidR="00D67E75" w:rsidRDefault="00D67E75" w:rsidP="004F2862">
            <w:r>
              <w:t>Sarah Workman</w:t>
            </w:r>
          </w:p>
        </w:tc>
        <w:tc>
          <w:tcPr>
            <w:tcW w:w="3402" w:type="dxa"/>
          </w:tcPr>
          <w:p w14:paraId="2E897916" w14:textId="77777777" w:rsidR="00D67E75" w:rsidRDefault="00D67E75" w:rsidP="004F2862">
            <w:r>
              <w:t>Regional Technical Advisor for Business Development  - Europe, Middle East and Central Asia Region</w:t>
            </w:r>
          </w:p>
        </w:tc>
        <w:tc>
          <w:tcPr>
            <w:tcW w:w="3605" w:type="dxa"/>
          </w:tcPr>
          <w:p w14:paraId="6AF708D9" w14:textId="77777777" w:rsidR="00D67E75" w:rsidRDefault="00D67E75" w:rsidP="004F2862">
            <w:r>
              <w:t>Catholic Relief Services (Lebanon)</w:t>
            </w:r>
          </w:p>
        </w:tc>
      </w:tr>
      <w:tr w:rsidR="00A069DC" w14:paraId="0E5EB0D5" w14:textId="77777777" w:rsidTr="005D23A9">
        <w:tc>
          <w:tcPr>
            <w:tcW w:w="2127" w:type="dxa"/>
          </w:tcPr>
          <w:p w14:paraId="12596E1C" w14:textId="2EED21EB" w:rsidR="00A069DC" w:rsidRPr="00FD7550" w:rsidRDefault="00A069DC" w:rsidP="00A069DC">
            <w:pPr>
              <w:rPr>
                <w:b/>
                <w:sz w:val="24"/>
                <w:szCs w:val="24"/>
              </w:rPr>
            </w:pPr>
            <w:r w:rsidRPr="00FD7550">
              <w:rPr>
                <w:b/>
                <w:sz w:val="24"/>
                <w:szCs w:val="24"/>
              </w:rPr>
              <w:t>Others</w:t>
            </w:r>
          </w:p>
        </w:tc>
        <w:tc>
          <w:tcPr>
            <w:tcW w:w="3402" w:type="dxa"/>
          </w:tcPr>
          <w:p w14:paraId="0BE1D043" w14:textId="77777777" w:rsidR="00A069DC" w:rsidRPr="00FD7550" w:rsidRDefault="00A069DC" w:rsidP="004F2862">
            <w:pPr>
              <w:rPr>
                <w:b/>
                <w:sz w:val="24"/>
                <w:szCs w:val="24"/>
              </w:rPr>
            </w:pPr>
          </w:p>
        </w:tc>
        <w:tc>
          <w:tcPr>
            <w:tcW w:w="3605" w:type="dxa"/>
          </w:tcPr>
          <w:p w14:paraId="70FF54A2" w14:textId="77777777" w:rsidR="00A069DC" w:rsidRPr="00FD7550" w:rsidRDefault="00A069DC" w:rsidP="004F2862">
            <w:pPr>
              <w:rPr>
                <w:b/>
                <w:sz w:val="24"/>
                <w:szCs w:val="24"/>
              </w:rPr>
            </w:pPr>
          </w:p>
        </w:tc>
      </w:tr>
      <w:tr w:rsidR="00A069DC" w14:paraId="1639E1BD" w14:textId="77777777" w:rsidTr="005D23A9">
        <w:tc>
          <w:tcPr>
            <w:tcW w:w="2127" w:type="dxa"/>
          </w:tcPr>
          <w:p w14:paraId="7D27CBB4" w14:textId="4595D39F" w:rsidR="00A069DC" w:rsidRDefault="00A069DC" w:rsidP="00A069DC">
            <w:r>
              <w:t>Louise Searle</w:t>
            </w:r>
          </w:p>
        </w:tc>
        <w:tc>
          <w:tcPr>
            <w:tcW w:w="3402" w:type="dxa"/>
          </w:tcPr>
          <w:p w14:paraId="7ABEA5C8" w14:textId="141B9A4E" w:rsidR="00A069DC" w:rsidRDefault="00A069DC" w:rsidP="004F2862">
            <w:r>
              <w:t>Director</w:t>
            </w:r>
          </w:p>
        </w:tc>
        <w:tc>
          <w:tcPr>
            <w:tcW w:w="3605" w:type="dxa"/>
          </w:tcPr>
          <w:p w14:paraId="7EEAF159" w14:textId="1FE44AF0" w:rsidR="00A069DC" w:rsidRDefault="00A069DC" w:rsidP="004F2862">
            <w:r>
              <w:t>Humanitarian Advisory Group</w:t>
            </w:r>
          </w:p>
        </w:tc>
      </w:tr>
    </w:tbl>
    <w:p w14:paraId="79ED3D22" w14:textId="77777777" w:rsidR="001C4E36" w:rsidRDefault="001C4E36" w:rsidP="00CC0B68">
      <w:pPr>
        <w:pStyle w:val="SDAbodytext"/>
      </w:pPr>
    </w:p>
    <w:p w14:paraId="1D4F3C03" w14:textId="77777777" w:rsidR="008A47DE" w:rsidRDefault="008A47DE">
      <w:r>
        <w:br w:type="page"/>
      </w:r>
    </w:p>
    <w:p w14:paraId="03BDFFE8" w14:textId="77777777" w:rsidR="001C4E36" w:rsidRDefault="001C4E36" w:rsidP="008A47DE">
      <w:pPr>
        <w:pStyle w:val="Heading2"/>
        <w:numPr>
          <w:ilvl w:val="0"/>
          <w:numId w:val="0"/>
        </w:numPr>
        <w:ind w:left="432" w:hanging="432"/>
      </w:pPr>
      <w:bookmarkStart w:id="35" w:name="_Toc423711149"/>
      <w:r w:rsidRPr="00D67E75">
        <w:t>Annex 5</w:t>
      </w:r>
      <w:r w:rsidR="008A47DE" w:rsidRPr="00D67E75">
        <w:t>: List of Documents</w:t>
      </w:r>
      <w:r w:rsidR="00DD0594" w:rsidRPr="00D67E75">
        <w:t xml:space="preserve"> Reviewed</w:t>
      </w:r>
      <w:bookmarkEnd w:id="35"/>
    </w:p>
    <w:p w14:paraId="2B0F1F54" w14:textId="77777777" w:rsidR="008A47DE" w:rsidRPr="008A47DE" w:rsidRDefault="008A47DE" w:rsidP="008A47DE">
      <w:pPr>
        <w:rPr>
          <w:b/>
          <w:u w:val="single"/>
        </w:rPr>
      </w:pPr>
      <w:r w:rsidRPr="008A47DE">
        <w:rPr>
          <w:b/>
          <w:u w:val="single"/>
        </w:rPr>
        <w:t>Policy</w:t>
      </w:r>
    </w:p>
    <w:p w14:paraId="7E31AE42" w14:textId="77777777" w:rsidR="008A47DE" w:rsidRPr="008A47DE" w:rsidRDefault="008A47DE" w:rsidP="00326690">
      <w:pPr>
        <w:numPr>
          <w:ilvl w:val="0"/>
          <w:numId w:val="12"/>
        </w:numPr>
        <w:contextualSpacing/>
      </w:pPr>
      <w:r w:rsidRPr="008A47DE">
        <w:rPr>
          <w:i/>
        </w:rPr>
        <w:t>Humanitarian Action for Results</w:t>
      </w:r>
      <w:r w:rsidRPr="008A47DE">
        <w:t>, ACFID policy paper on strengthening Australia's approach to preventing and responding to disasters and conflict overseas, April 2014.</w:t>
      </w:r>
    </w:p>
    <w:p w14:paraId="52F70486" w14:textId="77777777" w:rsidR="008A47DE" w:rsidRPr="008A47DE" w:rsidRDefault="008A47DE" w:rsidP="00326690">
      <w:pPr>
        <w:numPr>
          <w:ilvl w:val="0"/>
          <w:numId w:val="12"/>
        </w:numPr>
        <w:contextualSpacing/>
      </w:pPr>
      <w:r w:rsidRPr="008A47DE">
        <w:rPr>
          <w:i/>
        </w:rPr>
        <w:t>Humanitarian Action Policy</w:t>
      </w:r>
      <w:r w:rsidRPr="008A47DE">
        <w:t>, AusAID humanitarian policy, December 2011.</w:t>
      </w:r>
    </w:p>
    <w:p w14:paraId="69756DE8" w14:textId="77777777" w:rsidR="008A47DE" w:rsidRPr="008A47DE" w:rsidRDefault="008A47DE" w:rsidP="00326690">
      <w:pPr>
        <w:numPr>
          <w:ilvl w:val="0"/>
          <w:numId w:val="12"/>
        </w:numPr>
        <w:contextualSpacing/>
      </w:pPr>
      <w:r w:rsidRPr="008A47DE">
        <w:rPr>
          <w:i/>
        </w:rPr>
        <w:t>Investing in a Safer Future</w:t>
      </w:r>
      <w:r w:rsidRPr="008A47DE">
        <w:t>, AusAID DRR policy, June 2009.</w:t>
      </w:r>
    </w:p>
    <w:p w14:paraId="59064654" w14:textId="77777777" w:rsidR="008A47DE" w:rsidRPr="008A47DE" w:rsidRDefault="008A47DE" w:rsidP="00326690">
      <w:pPr>
        <w:numPr>
          <w:ilvl w:val="0"/>
          <w:numId w:val="12"/>
        </w:numPr>
        <w:contextualSpacing/>
      </w:pPr>
      <w:r w:rsidRPr="008A47DE">
        <w:rPr>
          <w:i/>
        </w:rPr>
        <w:t>Protection in Humanitarian Action Framework</w:t>
      </w:r>
      <w:r w:rsidRPr="008A47DE">
        <w:t>, AusAID protection framework, July 2013.</w:t>
      </w:r>
    </w:p>
    <w:p w14:paraId="60C4F7AE" w14:textId="77777777" w:rsidR="008A47DE" w:rsidRPr="008A47DE" w:rsidRDefault="008A47DE" w:rsidP="00326690">
      <w:pPr>
        <w:numPr>
          <w:ilvl w:val="0"/>
          <w:numId w:val="12"/>
        </w:numPr>
        <w:contextualSpacing/>
      </w:pPr>
      <w:r w:rsidRPr="008A47DE">
        <w:rPr>
          <w:i/>
        </w:rPr>
        <w:t>Women, Girls, Boys and Men: Different Needs – Equal Opportunities</w:t>
      </w:r>
      <w:r w:rsidRPr="008A47DE">
        <w:t>, IASC handbook on gender in humanitarian action, December 2006.</w:t>
      </w:r>
    </w:p>
    <w:p w14:paraId="7F5EAF04" w14:textId="77777777" w:rsidR="008A47DE" w:rsidRPr="008A47DE" w:rsidRDefault="008A47DE" w:rsidP="00326690">
      <w:pPr>
        <w:numPr>
          <w:ilvl w:val="0"/>
          <w:numId w:val="12"/>
        </w:numPr>
        <w:contextualSpacing/>
      </w:pPr>
      <w:r w:rsidRPr="008A47DE">
        <w:rPr>
          <w:i/>
        </w:rPr>
        <w:t>Learning and Recommendations on Disaster Risk Reduction</w:t>
      </w:r>
      <w:r w:rsidRPr="008A47DE">
        <w:t>, HPA NGOs Joint Communiqué, May 2014.</w:t>
      </w:r>
    </w:p>
    <w:p w14:paraId="6E6D205D" w14:textId="77777777" w:rsidR="008A47DE" w:rsidRDefault="008A47DE" w:rsidP="00326690">
      <w:pPr>
        <w:numPr>
          <w:ilvl w:val="0"/>
          <w:numId w:val="12"/>
        </w:numPr>
        <w:contextualSpacing/>
      </w:pPr>
      <w:r w:rsidRPr="008A47DE">
        <w:t>Humanitarian Partnership Agreement, Schedule 2.</w:t>
      </w:r>
    </w:p>
    <w:p w14:paraId="6B7F8FFC" w14:textId="77777777" w:rsidR="00A439DC" w:rsidRDefault="00A439DC" w:rsidP="00326690">
      <w:pPr>
        <w:numPr>
          <w:ilvl w:val="0"/>
          <w:numId w:val="12"/>
        </w:numPr>
        <w:contextualSpacing/>
      </w:pPr>
      <w:r w:rsidRPr="00A439DC">
        <w:rPr>
          <w:i/>
        </w:rPr>
        <w:t>Partnerships for Effective Development</w:t>
      </w:r>
      <w:r>
        <w:t>, Linda Kelly and Chris Roche, ACFID, January 2014</w:t>
      </w:r>
    </w:p>
    <w:p w14:paraId="17C3AEA9" w14:textId="77777777" w:rsidR="00A439DC" w:rsidRPr="008A47DE" w:rsidRDefault="00A439DC" w:rsidP="00A439DC">
      <w:pPr>
        <w:ind w:left="720"/>
        <w:contextualSpacing/>
      </w:pPr>
    </w:p>
    <w:p w14:paraId="49104377" w14:textId="77777777" w:rsidR="008A47DE" w:rsidRPr="008A47DE" w:rsidRDefault="008A47DE" w:rsidP="008A47DE">
      <w:pPr>
        <w:rPr>
          <w:b/>
          <w:u w:val="single"/>
        </w:rPr>
      </w:pPr>
      <w:r w:rsidRPr="008A47DE">
        <w:rPr>
          <w:b/>
          <w:u w:val="single"/>
        </w:rPr>
        <w:t>Reviews</w:t>
      </w:r>
    </w:p>
    <w:p w14:paraId="0FF8FD4E" w14:textId="77777777" w:rsidR="008A47DE" w:rsidRPr="008A47DE" w:rsidRDefault="008A47DE" w:rsidP="00326690">
      <w:pPr>
        <w:numPr>
          <w:ilvl w:val="0"/>
          <w:numId w:val="12"/>
        </w:numPr>
        <w:contextualSpacing/>
      </w:pPr>
      <w:r w:rsidRPr="008A47DE">
        <w:t>Mid-term review of the HPA, June 2013.</w:t>
      </w:r>
    </w:p>
    <w:p w14:paraId="5E1A6157" w14:textId="77777777" w:rsidR="008A47DE" w:rsidRPr="008A47DE" w:rsidRDefault="008A47DE" w:rsidP="00326690">
      <w:pPr>
        <w:numPr>
          <w:ilvl w:val="0"/>
          <w:numId w:val="12"/>
        </w:numPr>
        <w:contextualSpacing/>
      </w:pPr>
      <w:r w:rsidRPr="008A47DE">
        <w:t>Independent Review of the Period Funding Agreement for Disaster Risk Management (PFA), December 2009.</w:t>
      </w:r>
    </w:p>
    <w:p w14:paraId="351535CD" w14:textId="77777777" w:rsidR="008A47DE" w:rsidRPr="008A47DE" w:rsidRDefault="008A47DE" w:rsidP="00326690">
      <w:pPr>
        <w:numPr>
          <w:ilvl w:val="0"/>
          <w:numId w:val="12"/>
        </w:numPr>
        <w:contextualSpacing/>
      </w:pPr>
      <w:r w:rsidRPr="008A47DE">
        <w:t>Typhoon Bopha (Philippines) HPA Response Review, June 2013.</w:t>
      </w:r>
    </w:p>
    <w:p w14:paraId="09BDC23B" w14:textId="77777777" w:rsidR="008A47DE" w:rsidRPr="008A47DE" w:rsidRDefault="008A47DE" w:rsidP="00326690">
      <w:pPr>
        <w:numPr>
          <w:ilvl w:val="0"/>
          <w:numId w:val="12"/>
        </w:numPr>
        <w:contextualSpacing/>
      </w:pPr>
      <w:r w:rsidRPr="008A47DE">
        <w:t>Typhoon Haiyan (Philippines) HPA Response Review, August 2014.</w:t>
      </w:r>
    </w:p>
    <w:p w14:paraId="4FD11338" w14:textId="77777777" w:rsidR="008A47DE" w:rsidRPr="008A47DE" w:rsidRDefault="008A47DE" w:rsidP="00326690">
      <w:pPr>
        <w:numPr>
          <w:ilvl w:val="0"/>
          <w:numId w:val="12"/>
        </w:numPr>
        <w:contextualSpacing/>
      </w:pPr>
      <w:r w:rsidRPr="008A47DE">
        <w:t>Horn of Africa Crisis HPA Response Review, November 2012.</w:t>
      </w:r>
    </w:p>
    <w:p w14:paraId="0457E8C8" w14:textId="77777777" w:rsidR="00A86164" w:rsidRPr="00A86164" w:rsidRDefault="00A86164" w:rsidP="00A86164">
      <w:pPr>
        <w:ind w:left="720"/>
        <w:contextualSpacing/>
      </w:pPr>
    </w:p>
    <w:p w14:paraId="22DB379E" w14:textId="77777777" w:rsidR="008A47DE" w:rsidRPr="008A47DE" w:rsidRDefault="008A47DE" w:rsidP="008A47DE">
      <w:pPr>
        <w:rPr>
          <w:b/>
          <w:u w:val="single"/>
        </w:rPr>
      </w:pPr>
      <w:r w:rsidRPr="008A47DE">
        <w:rPr>
          <w:b/>
          <w:u w:val="single"/>
        </w:rPr>
        <w:t>QAE and QAI reports</w:t>
      </w:r>
    </w:p>
    <w:p w14:paraId="4EF16DEE" w14:textId="77777777" w:rsidR="008A47DE" w:rsidRPr="008A47DE" w:rsidRDefault="008A47DE" w:rsidP="00326690">
      <w:pPr>
        <w:numPr>
          <w:ilvl w:val="0"/>
          <w:numId w:val="12"/>
        </w:numPr>
        <w:contextualSpacing/>
      </w:pPr>
      <w:r w:rsidRPr="008A47DE">
        <w:t>HPA Quality at Entry report, July 2010.</w:t>
      </w:r>
    </w:p>
    <w:p w14:paraId="1F1332E2" w14:textId="77777777" w:rsidR="008A47DE" w:rsidRPr="008A47DE" w:rsidRDefault="008A47DE" w:rsidP="00326690">
      <w:pPr>
        <w:numPr>
          <w:ilvl w:val="0"/>
          <w:numId w:val="12"/>
        </w:numPr>
        <w:contextualSpacing/>
      </w:pPr>
      <w:r w:rsidRPr="008A47DE">
        <w:t>HPA Quality at Implementation report, March 2012.</w:t>
      </w:r>
    </w:p>
    <w:p w14:paraId="3E93BF66" w14:textId="77777777" w:rsidR="008A47DE" w:rsidRPr="008A47DE" w:rsidRDefault="008A47DE" w:rsidP="00326690">
      <w:pPr>
        <w:numPr>
          <w:ilvl w:val="0"/>
          <w:numId w:val="12"/>
        </w:numPr>
        <w:contextualSpacing/>
      </w:pPr>
      <w:r w:rsidRPr="008A47DE">
        <w:t>HPA Quality at Implementation report, March 2014.</w:t>
      </w:r>
    </w:p>
    <w:p w14:paraId="3B89E5E5" w14:textId="77777777" w:rsidR="00A86164" w:rsidRPr="00A86164" w:rsidRDefault="00A86164" w:rsidP="00A86164">
      <w:pPr>
        <w:ind w:left="720"/>
        <w:contextualSpacing/>
      </w:pPr>
    </w:p>
    <w:p w14:paraId="452287D8" w14:textId="77777777" w:rsidR="008A47DE" w:rsidRPr="008A47DE" w:rsidRDefault="008A47DE" w:rsidP="008A47DE">
      <w:pPr>
        <w:rPr>
          <w:b/>
          <w:u w:val="single"/>
        </w:rPr>
      </w:pPr>
      <w:r w:rsidRPr="008A47DE">
        <w:rPr>
          <w:b/>
          <w:u w:val="single"/>
        </w:rPr>
        <w:t xml:space="preserve">Lessons Learned </w:t>
      </w:r>
    </w:p>
    <w:p w14:paraId="58C23080" w14:textId="77777777" w:rsidR="008A47DE" w:rsidRPr="008A47DE" w:rsidRDefault="008A47DE" w:rsidP="00326690">
      <w:pPr>
        <w:numPr>
          <w:ilvl w:val="0"/>
          <w:numId w:val="12"/>
        </w:numPr>
        <w:contextualSpacing/>
      </w:pPr>
      <w:r w:rsidRPr="008A47DE">
        <w:t>Horn of Africa Crisis HPA Joint Lessons Report, September 2012.</w:t>
      </w:r>
    </w:p>
    <w:p w14:paraId="2CCB7FD5" w14:textId="77777777" w:rsidR="008A47DE" w:rsidRPr="008A47DE" w:rsidRDefault="008A47DE" w:rsidP="00326690">
      <w:pPr>
        <w:numPr>
          <w:ilvl w:val="0"/>
          <w:numId w:val="12"/>
        </w:numPr>
        <w:contextualSpacing/>
      </w:pPr>
      <w:r w:rsidRPr="008A47DE">
        <w:t>Typhoon Bopha (Philippines) HPA Joint Lessons Report, August 2013.</w:t>
      </w:r>
    </w:p>
    <w:p w14:paraId="15F3E659" w14:textId="77777777" w:rsidR="008A47DE" w:rsidRPr="008A47DE" w:rsidRDefault="008A47DE" w:rsidP="00326690">
      <w:pPr>
        <w:numPr>
          <w:ilvl w:val="0"/>
          <w:numId w:val="12"/>
        </w:numPr>
        <w:contextualSpacing/>
      </w:pPr>
      <w:r w:rsidRPr="008A47DE">
        <w:t>Typhoon Haiyan (Philippines) HPA Joint Lessons Report, August 2014.</w:t>
      </w:r>
    </w:p>
    <w:p w14:paraId="48D8A140" w14:textId="77777777" w:rsidR="008A47DE" w:rsidRPr="008A47DE" w:rsidRDefault="008A47DE" w:rsidP="00326690">
      <w:pPr>
        <w:numPr>
          <w:ilvl w:val="0"/>
          <w:numId w:val="12"/>
        </w:numPr>
        <w:contextualSpacing/>
      </w:pPr>
      <w:r w:rsidRPr="008A47DE">
        <w:t>Syria HPA activations Joint Lessons Report, December 2014.</w:t>
      </w:r>
    </w:p>
    <w:p w14:paraId="39AEE194" w14:textId="77777777" w:rsidR="008A47DE" w:rsidRPr="008A47DE" w:rsidRDefault="008A47DE" w:rsidP="00326690">
      <w:pPr>
        <w:numPr>
          <w:ilvl w:val="0"/>
          <w:numId w:val="12"/>
        </w:numPr>
        <w:contextualSpacing/>
      </w:pPr>
      <w:r w:rsidRPr="008A47DE">
        <w:t>Niger HPA Joint Lessons Report, August 2013.</w:t>
      </w:r>
    </w:p>
    <w:p w14:paraId="0510AFA1" w14:textId="77777777" w:rsidR="008A47DE" w:rsidRPr="008A47DE" w:rsidRDefault="008A47DE" w:rsidP="00326690">
      <w:pPr>
        <w:numPr>
          <w:ilvl w:val="0"/>
          <w:numId w:val="12"/>
        </w:numPr>
        <w:contextualSpacing/>
      </w:pPr>
      <w:r w:rsidRPr="008A47DE">
        <w:t>Pakistan HPA Joint Lessons Report, June 2012.</w:t>
      </w:r>
    </w:p>
    <w:p w14:paraId="6C2E6430" w14:textId="77777777" w:rsidR="008A47DE" w:rsidRDefault="008A47DE" w:rsidP="00326690">
      <w:pPr>
        <w:numPr>
          <w:ilvl w:val="0"/>
          <w:numId w:val="12"/>
        </w:numPr>
        <w:contextualSpacing/>
      </w:pPr>
      <w:r w:rsidRPr="008A47DE">
        <w:t>Note from HPA Director to HPA Review team, 25 March 2015.</w:t>
      </w:r>
    </w:p>
    <w:p w14:paraId="5D73473D" w14:textId="227EC7DA" w:rsidR="00955278" w:rsidRDefault="0067586C" w:rsidP="00326690">
      <w:pPr>
        <w:numPr>
          <w:ilvl w:val="0"/>
          <w:numId w:val="12"/>
        </w:numPr>
        <w:contextualSpacing/>
      </w:pPr>
      <w:r>
        <w:t>'</w:t>
      </w:r>
      <w:r w:rsidR="00955278">
        <w:t>Caritas Australia and the HPA</w:t>
      </w:r>
      <w:r>
        <w:t>', i</w:t>
      </w:r>
      <w:r w:rsidR="00955278">
        <w:t>nternal lessons learned document, draft.</w:t>
      </w:r>
    </w:p>
    <w:p w14:paraId="6006168B" w14:textId="002C2064" w:rsidR="00955278" w:rsidRDefault="0067586C" w:rsidP="00326690">
      <w:pPr>
        <w:numPr>
          <w:ilvl w:val="0"/>
          <w:numId w:val="12"/>
        </w:numPr>
        <w:contextualSpacing/>
      </w:pPr>
      <w:r>
        <w:t>'</w:t>
      </w:r>
      <w:r w:rsidR="00955278">
        <w:t>One Size Doesn't Fit All</w:t>
      </w:r>
      <w:r>
        <w:t xml:space="preserve">', joint paper on Cyclone Pam (Vanuatu) response, </w:t>
      </w:r>
      <w:r w:rsidR="00E56E25">
        <w:t>June 2015</w:t>
      </w:r>
      <w:r>
        <w:t>.</w:t>
      </w:r>
    </w:p>
    <w:p w14:paraId="4955A010" w14:textId="77777777" w:rsidR="00D67E75" w:rsidRDefault="00D67E75" w:rsidP="00326690">
      <w:pPr>
        <w:numPr>
          <w:ilvl w:val="0"/>
          <w:numId w:val="12"/>
        </w:numPr>
        <w:spacing w:before="100" w:beforeAutospacing="1" w:after="100" w:afterAutospacing="1" w:line="240" w:lineRule="auto"/>
        <w:rPr>
          <w:rFonts w:eastAsia="Times New Roman"/>
        </w:rPr>
      </w:pPr>
      <w:r>
        <w:rPr>
          <w:rFonts w:eastAsia="Times New Roman"/>
        </w:rPr>
        <w:t>Lebanon HPA Joint Lessons Report, June 2015</w:t>
      </w:r>
    </w:p>
    <w:p w14:paraId="74EA6E09" w14:textId="77777777" w:rsidR="00D67E75" w:rsidRDefault="00D67E75" w:rsidP="00326690">
      <w:pPr>
        <w:numPr>
          <w:ilvl w:val="0"/>
          <w:numId w:val="12"/>
        </w:numPr>
        <w:spacing w:before="100" w:beforeAutospacing="1" w:after="100" w:afterAutospacing="1" w:line="240" w:lineRule="auto"/>
        <w:rPr>
          <w:rFonts w:eastAsia="Times New Roman"/>
        </w:rPr>
      </w:pPr>
      <w:r>
        <w:rPr>
          <w:rFonts w:eastAsia="Times New Roman"/>
        </w:rPr>
        <w:t>Vanuatu and Nepal Joint Lessons Report, June 2015</w:t>
      </w:r>
    </w:p>
    <w:p w14:paraId="1A6B5AD5" w14:textId="77777777" w:rsidR="00A86164" w:rsidRPr="008A47DE" w:rsidRDefault="00A86164" w:rsidP="00A86164">
      <w:pPr>
        <w:ind w:left="720"/>
        <w:contextualSpacing/>
      </w:pPr>
    </w:p>
    <w:p w14:paraId="4AC68830" w14:textId="77777777" w:rsidR="008A47DE" w:rsidRPr="008A47DE" w:rsidRDefault="008A47DE" w:rsidP="008A47DE">
      <w:pPr>
        <w:rPr>
          <w:b/>
          <w:u w:val="single"/>
        </w:rPr>
      </w:pPr>
      <w:r w:rsidRPr="008A47DE">
        <w:rPr>
          <w:b/>
          <w:u w:val="single"/>
        </w:rPr>
        <w:t>DRR and DRM reports</w:t>
      </w:r>
    </w:p>
    <w:p w14:paraId="3D6371EE" w14:textId="49AA0D4B" w:rsidR="008A47DE" w:rsidRPr="008A47DE" w:rsidRDefault="008A47DE" w:rsidP="00326690">
      <w:pPr>
        <w:numPr>
          <w:ilvl w:val="0"/>
          <w:numId w:val="12"/>
        </w:numPr>
        <w:contextualSpacing/>
      </w:pPr>
      <w:r w:rsidRPr="008A47DE">
        <w:t xml:space="preserve">Collective Report for DRR, DRM and Capacity Building Activities, </w:t>
      </w:r>
      <w:r w:rsidR="00955278">
        <w:t>January</w:t>
      </w:r>
      <w:r w:rsidR="00955278" w:rsidRPr="008A47DE">
        <w:t xml:space="preserve"> </w:t>
      </w:r>
      <w:r w:rsidRPr="008A47DE">
        <w:t>2015.</w:t>
      </w:r>
    </w:p>
    <w:p w14:paraId="2B167ECB" w14:textId="77777777" w:rsidR="008A47DE" w:rsidRPr="008A47DE" w:rsidRDefault="008A47DE" w:rsidP="00326690">
      <w:pPr>
        <w:numPr>
          <w:ilvl w:val="0"/>
          <w:numId w:val="12"/>
        </w:numPr>
        <w:contextualSpacing/>
      </w:pPr>
      <w:r w:rsidRPr="008A47DE">
        <w:t>CARE final DRM report.</w:t>
      </w:r>
    </w:p>
    <w:p w14:paraId="190B0897" w14:textId="77777777" w:rsidR="008A47DE" w:rsidRPr="008A47DE" w:rsidRDefault="008A47DE" w:rsidP="00326690">
      <w:pPr>
        <w:numPr>
          <w:ilvl w:val="0"/>
          <w:numId w:val="12"/>
        </w:numPr>
        <w:contextualSpacing/>
      </w:pPr>
      <w:r w:rsidRPr="008A47DE">
        <w:t>CARE final DRR report.</w:t>
      </w:r>
    </w:p>
    <w:p w14:paraId="57555056" w14:textId="77777777" w:rsidR="008A47DE" w:rsidRPr="008A47DE" w:rsidRDefault="008A47DE" w:rsidP="00326690">
      <w:pPr>
        <w:numPr>
          <w:ilvl w:val="0"/>
          <w:numId w:val="12"/>
        </w:numPr>
        <w:contextualSpacing/>
      </w:pPr>
      <w:r w:rsidRPr="008A47DE">
        <w:t>Caritas final DRM report.</w:t>
      </w:r>
    </w:p>
    <w:p w14:paraId="7EF7D804" w14:textId="77777777" w:rsidR="008A47DE" w:rsidRPr="008A47DE" w:rsidRDefault="008A47DE" w:rsidP="00326690">
      <w:pPr>
        <w:numPr>
          <w:ilvl w:val="0"/>
          <w:numId w:val="12"/>
        </w:numPr>
        <w:contextualSpacing/>
      </w:pPr>
      <w:r w:rsidRPr="008A47DE">
        <w:t>Caritas final DRR report.</w:t>
      </w:r>
    </w:p>
    <w:p w14:paraId="05271D6C" w14:textId="77777777" w:rsidR="008A47DE" w:rsidRPr="008A47DE" w:rsidRDefault="008A47DE" w:rsidP="00326690">
      <w:pPr>
        <w:numPr>
          <w:ilvl w:val="0"/>
          <w:numId w:val="12"/>
        </w:numPr>
        <w:contextualSpacing/>
      </w:pPr>
      <w:r w:rsidRPr="008A47DE">
        <w:t>Oxfam final DRM report.</w:t>
      </w:r>
    </w:p>
    <w:p w14:paraId="48A07766" w14:textId="77777777" w:rsidR="008A47DE" w:rsidRPr="008A47DE" w:rsidRDefault="008A47DE" w:rsidP="00326690">
      <w:pPr>
        <w:numPr>
          <w:ilvl w:val="0"/>
          <w:numId w:val="12"/>
        </w:numPr>
        <w:contextualSpacing/>
      </w:pPr>
      <w:r w:rsidRPr="008A47DE">
        <w:t>Oxfam final DRR report.</w:t>
      </w:r>
    </w:p>
    <w:p w14:paraId="4F11629D" w14:textId="77777777" w:rsidR="008A47DE" w:rsidRPr="008A47DE" w:rsidRDefault="008A47DE" w:rsidP="00326690">
      <w:pPr>
        <w:numPr>
          <w:ilvl w:val="0"/>
          <w:numId w:val="12"/>
        </w:numPr>
        <w:contextualSpacing/>
      </w:pPr>
      <w:r w:rsidRPr="008A47DE">
        <w:t>Plan final DRM report.</w:t>
      </w:r>
    </w:p>
    <w:p w14:paraId="690103B7" w14:textId="77777777" w:rsidR="008A47DE" w:rsidRPr="008A47DE" w:rsidRDefault="008A47DE" w:rsidP="00326690">
      <w:pPr>
        <w:numPr>
          <w:ilvl w:val="0"/>
          <w:numId w:val="12"/>
        </w:numPr>
        <w:contextualSpacing/>
      </w:pPr>
      <w:r w:rsidRPr="008A47DE">
        <w:t>Plan final DRR report.</w:t>
      </w:r>
    </w:p>
    <w:p w14:paraId="66F865C9" w14:textId="77777777" w:rsidR="008A47DE" w:rsidRPr="008A47DE" w:rsidRDefault="008A47DE" w:rsidP="00326690">
      <w:pPr>
        <w:numPr>
          <w:ilvl w:val="0"/>
          <w:numId w:val="12"/>
        </w:numPr>
        <w:contextualSpacing/>
      </w:pPr>
      <w:r w:rsidRPr="008A47DE">
        <w:t>Save the Children final DRM report.</w:t>
      </w:r>
    </w:p>
    <w:p w14:paraId="6265B5D8" w14:textId="77777777" w:rsidR="008A47DE" w:rsidRPr="008A47DE" w:rsidRDefault="008A47DE" w:rsidP="00326690">
      <w:pPr>
        <w:numPr>
          <w:ilvl w:val="0"/>
          <w:numId w:val="12"/>
        </w:numPr>
        <w:contextualSpacing/>
      </w:pPr>
      <w:r w:rsidRPr="008A47DE">
        <w:t>Save the Children final DRR report.</w:t>
      </w:r>
    </w:p>
    <w:p w14:paraId="72FE19E6" w14:textId="77777777" w:rsidR="008A47DE" w:rsidRPr="008A47DE" w:rsidRDefault="008A47DE" w:rsidP="00326690">
      <w:pPr>
        <w:numPr>
          <w:ilvl w:val="0"/>
          <w:numId w:val="12"/>
        </w:numPr>
        <w:contextualSpacing/>
      </w:pPr>
      <w:r w:rsidRPr="008A47DE">
        <w:t>World Vision final DRM report.</w:t>
      </w:r>
    </w:p>
    <w:p w14:paraId="1934851E" w14:textId="77777777" w:rsidR="008A47DE" w:rsidRPr="008A47DE" w:rsidRDefault="008A47DE" w:rsidP="00326690">
      <w:pPr>
        <w:numPr>
          <w:ilvl w:val="0"/>
          <w:numId w:val="12"/>
        </w:numPr>
        <w:contextualSpacing/>
      </w:pPr>
      <w:r w:rsidRPr="008A47DE">
        <w:t>World Vision final DRR report.</w:t>
      </w:r>
    </w:p>
    <w:p w14:paraId="0EE38D6B" w14:textId="77777777" w:rsidR="001C4E36" w:rsidRDefault="001C4E36" w:rsidP="00CC0B68">
      <w:pPr>
        <w:pStyle w:val="SDAbodytext"/>
      </w:pPr>
    </w:p>
    <w:p w14:paraId="4AB4FA38" w14:textId="77777777" w:rsidR="001C4E36" w:rsidRDefault="001C4E36" w:rsidP="00CC0B68">
      <w:pPr>
        <w:pStyle w:val="SDAbodytext"/>
      </w:pPr>
    </w:p>
    <w:p w14:paraId="1BF0009A" w14:textId="77777777" w:rsidR="001C4E36" w:rsidRDefault="001C4E36" w:rsidP="007D1603"/>
    <w:sectPr w:rsidR="001C4E36" w:rsidSect="00A9648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501E7" w14:textId="77777777" w:rsidR="00DA2D2D" w:rsidRDefault="00DA2D2D" w:rsidP="00D6021F">
      <w:pPr>
        <w:spacing w:after="0" w:line="240" w:lineRule="auto"/>
      </w:pPr>
      <w:r>
        <w:separator/>
      </w:r>
    </w:p>
  </w:endnote>
  <w:endnote w:type="continuationSeparator" w:id="0">
    <w:p w14:paraId="4CC57D5B" w14:textId="77777777" w:rsidR="00DA2D2D" w:rsidRDefault="00DA2D2D" w:rsidP="00D6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B877D" w14:textId="77777777" w:rsidR="00FC2ACD" w:rsidRDefault="00FC2A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213872"/>
      <w:docPartObj>
        <w:docPartGallery w:val="Page Numbers (Bottom of Page)"/>
        <w:docPartUnique/>
      </w:docPartObj>
    </w:sdtPr>
    <w:sdtEndPr>
      <w:rPr>
        <w:color w:val="808080" w:themeColor="background1" w:themeShade="80"/>
        <w:spacing w:val="60"/>
      </w:rPr>
    </w:sdtEndPr>
    <w:sdtContent>
      <w:p w14:paraId="7428E286" w14:textId="77777777" w:rsidR="00FD7550" w:rsidRPr="009D6F93" w:rsidRDefault="00FD7550" w:rsidP="009D6F9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13151">
          <w:rPr>
            <w:b/>
            <w:bCs/>
            <w:noProof/>
          </w:rPr>
          <w:t>2</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t xml:space="preserve">                    </w:t>
        </w:r>
        <w:r>
          <w:rPr>
            <w:b/>
            <w:color w:val="808080" w:themeColor="background1" w:themeShade="80"/>
            <w:spacing w:val="60"/>
            <w:sz w:val="12"/>
            <w:szCs w:val="12"/>
          </w:rPr>
          <w:t xml:space="preserve">West Belconnen </w:t>
        </w:r>
        <w:r w:rsidRPr="00CD2283">
          <w:rPr>
            <w:b/>
            <w:color w:val="808080" w:themeColor="background1" w:themeShade="80"/>
            <w:spacing w:val="60"/>
            <w:sz w:val="12"/>
            <w:szCs w:val="12"/>
          </w:rPr>
          <w:t>Training &amp; Development Initiative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DA43A" w14:textId="77777777" w:rsidR="00FC2ACD" w:rsidRDefault="00FC2A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854612"/>
      <w:docPartObj>
        <w:docPartGallery w:val="Page Numbers (Bottom of Page)"/>
        <w:docPartUnique/>
      </w:docPartObj>
    </w:sdtPr>
    <w:sdtEndPr>
      <w:rPr>
        <w:color w:val="808080" w:themeColor="background1" w:themeShade="80"/>
        <w:spacing w:val="60"/>
      </w:rPr>
    </w:sdtEndPr>
    <w:sdtContent>
      <w:p w14:paraId="60ED5C89" w14:textId="7F36E62C" w:rsidR="00FD7550" w:rsidRPr="009D6F93" w:rsidRDefault="00FD7550" w:rsidP="009D6F9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C2ACD" w:rsidRPr="00FC2ACD">
          <w:rPr>
            <w:b/>
            <w:bCs/>
            <w:noProof/>
          </w:rPr>
          <w:t>2</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t xml:space="preserve">       </w:t>
        </w:r>
        <w:r w:rsidRPr="00767BE5">
          <w:rPr>
            <w:b/>
            <w:color w:val="808080" w:themeColor="background1" w:themeShade="80"/>
            <w:spacing w:val="60"/>
            <w:sz w:val="12"/>
            <w:szCs w:val="12"/>
          </w:rPr>
          <w:t>Final Report</w:t>
        </w:r>
        <w:r>
          <w:rPr>
            <w:b/>
            <w:color w:val="808080" w:themeColor="background1" w:themeShade="80"/>
            <w:spacing w:val="60"/>
            <w:sz w:val="12"/>
            <w:szCs w:val="12"/>
          </w:rPr>
          <w:t xml:space="preserve"> - Hu</w:t>
        </w:r>
        <w:r w:rsidR="00D2380E">
          <w:rPr>
            <w:b/>
            <w:color w:val="808080" w:themeColor="background1" w:themeShade="80"/>
            <w:spacing w:val="60"/>
            <w:sz w:val="12"/>
            <w:szCs w:val="12"/>
          </w:rPr>
          <w:t>manitarian Partnership Agreement Review</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BE220" w14:textId="77777777" w:rsidR="00DA2D2D" w:rsidRDefault="00DA2D2D" w:rsidP="00D6021F">
      <w:pPr>
        <w:spacing w:after="0" w:line="240" w:lineRule="auto"/>
      </w:pPr>
      <w:r>
        <w:separator/>
      </w:r>
    </w:p>
  </w:footnote>
  <w:footnote w:type="continuationSeparator" w:id="0">
    <w:p w14:paraId="397C3DB1" w14:textId="77777777" w:rsidR="00DA2D2D" w:rsidRDefault="00DA2D2D" w:rsidP="00D6021F">
      <w:pPr>
        <w:spacing w:after="0" w:line="240" w:lineRule="auto"/>
      </w:pPr>
      <w:r>
        <w:continuationSeparator/>
      </w:r>
    </w:p>
  </w:footnote>
  <w:footnote w:id="1">
    <w:p w14:paraId="2FC48A58" w14:textId="77777777" w:rsidR="00FD7550" w:rsidRDefault="00FD7550">
      <w:pPr>
        <w:pStyle w:val="FootnoteText"/>
      </w:pPr>
      <w:r>
        <w:rPr>
          <w:rStyle w:val="FootnoteReference"/>
        </w:rPr>
        <w:footnoteRef/>
      </w:r>
      <w:r>
        <w:t xml:space="preserve"> This became the </w:t>
      </w:r>
      <w:r w:rsidRPr="003F23AF">
        <w:rPr>
          <w:i/>
        </w:rPr>
        <w:t>DFAT-NGO Humanitarian Partnership Agreement</w:t>
      </w:r>
      <w:r>
        <w:t xml:space="preserve"> when the Government integrated AusAID into DFAT on 1 November 2013. The HPA has been extended twice (to December 2015, and subsequently to June 2016). </w:t>
      </w:r>
    </w:p>
  </w:footnote>
  <w:footnote w:id="2">
    <w:p w14:paraId="21FC2691" w14:textId="77777777" w:rsidR="00FD7550" w:rsidRDefault="00FD7550">
      <w:pPr>
        <w:pStyle w:val="FootnoteText"/>
      </w:pPr>
      <w:r>
        <w:rPr>
          <w:rStyle w:val="FootnoteReference"/>
        </w:rPr>
        <w:footnoteRef/>
      </w:r>
      <w:r>
        <w:t xml:space="preserve"> Independent Review of the Period Funding Agreement for Disaster Risk Management (PFA), December 2009</w:t>
      </w:r>
    </w:p>
  </w:footnote>
  <w:footnote w:id="3">
    <w:p w14:paraId="61603EEC" w14:textId="77777777" w:rsidR="00FD7550" w:rsidRDefault="00FD7550">
      <w:pPr>
        <w:pStyle w:val="FootnoteText"/>
      </w:pPr>
      <w:r>
        <w:rPr>
          <w:rStyle w:val="FootnoteReference"/>
        </w:rPr>
        <w:footnoteRef/>
      </w:r>
      <w:r>
        <w:t xml:space="preserve"> The ANCP is DFAT’s largest single support mechanism for accredited Australian NGOs. It is an annual grants program to support development activities. In 2015-16, the ANCP will provide $127 million to over 50 Australian NGOs.</w:t>
      </w:r>
    </w:p>
  </w:footnote>
  <w:footnote w:id="4">
    <w:p w14:paraId="445AD10E" w14:textId="77777777" w:rsidR="00FD7550" w:rsidRDefault="00FD7550" w:rsidP="00774F5E">
      <w:pPr>
        <w:pStyle w:val="FootnoteText"/>
      </w:pPr>
      <w:r>
        <w:rPr>
          <w:rStyle w:val="FootnoteReference"/>
        </w:rPr>
        <w:footnoteRef/>
      </w:r>
      <w:r>
        <w:t xml:space="preserve"> The HPA NGOs are: CARE Australia, Caritas Australia, Oxfam Australia, Plan International Australia, Save the Children Australia, and World Vision Australia.</w:t>
      </w:r>
    </w:p>
  </w:footnote>
  <w:footnote w:id="5">
    <w:p w14:paraId="6B12E072" w14:textId="77777777" w:rsidR="00FD7550" w:rsidRDefault="00FD7550">
      <w:pPr>
        <w:pStyle w:val="FootnoteText"/>
      </w:pPr>
      <w:r>
        <w:rPr>
          <w:rStyle w:val="FootnoteReference"/>
        </w:rPr>
        <w:footnoteRef/>
      </w:r>
      <w:r>
        <w:t xml:space="preserve"> To maintain accreditation, Australian NGOs must be re-accredited every five years.</w:t>
      </w:r>
    </w:p>
  </w:footnote>
  <w:footnote w:id="6">
    <w:p w14:paraId="4E3977DD" w14:textId="77777777" w:rsidR="00FD7550" w:rsidRPr="00290C91" w:rsidRDefault="00FD7550" w:rsidP="00290C91">
      <w:pPr>
        <w:pStyle w:val="Heading1"/>
        <w:shd w:val="clear" w:color="auto" w:fill="FFFFFF"/>
        <w:spacing w:before="0"/>
        <w:rPr>
          <w:rFonts w:asciiTheme="minorHAnsi" w:eastAsiaTheme="minorHAnsi" w:hAnsiTheme="minorHAnsi" w:cstheme="minorBidi"/>
          <w:b w:val="0"/>
          <w:bCs w:val="0"/>
          <w:color w:val="auto"/>
          <w:sz w:val="20"/>
          <w:szCs w:val="20"/>
        </w:rPr>
      </w:pPr>
      <w:r w:rsidRPr="00290C91">
        <w:rPr>
          <w:rStyle w:val="FootnoteReference"/>
          <w:rFonts w:asciiTheme="minorHAnsi" w:eastAsiaTheme="minorHAnsi" w:hAnsiTheme="minorHAnsi" w:cstheme="minorBidi"/>
          <w:b w:val="0"/>
          <w:bCs w:val="0"/>
          <w:color w:val="auto"/>
          <w:sz w:val="20"/>
          <w:szCs w:val="20"/>
        </w:rPr>
        <w:footnoteRef/>
      </w:r>
      <w:r w:rsidRPr="00290C91">
        <w:rPr>
          <w:rStyle w:val="FootnoteReference"/>
          <w:rFonts w:asciiTheme="minorHAnsi" w:eastAsiaTheme="minorHAnsi" w:hAnsiTheme="minorHAnsi" w:cstheme="minorBidi"/>
          <w:b w:val="0"/>
          <w:bCs w:val="0"/>
          <w:color w:val="auto"/>
          <w:sz w:val="20"/>
          <w:szCs w:val="20"/>
        </w:rPr>
        <w:t xml:space="preserve"> </w:t>
      </w:r>
      <w:r w:rsidRPr="00290C91">
        <w:rPr>
          <w:rFonts w:asciiTheme="minorHAnsi" w:eastAsiaTheme="minorHAnsi" w:hAnsiTheme="minorHAnsi" w:cstheme="minorBidi"/>
          <w:b w:val="0"/>
          <w:bCs w:val="0"/>
          <w:i/>
          <w:color w:val="auto"/>
          <w:sz w:val="20"/>
          <w:szCs w:val="20"/>
        </w:rPr>
        <w:t>Australian aid: promoting prosperity, reducing poverty, enhancing stability</w:t>
      </w:r>
      <w:r>
        <w:rPr>
          <w:rFonts w:asciiTheme="minorHAnsi" w:eastAsiaTheme="minorHAnsi" w:hAnsiTheme="minorHAnsi" w:cstheme="minorBidi"/>
          <w:b w:val="0"/>
          <w:bCs w:val="0"/>
          <w:color w:val="auto"/>
          <w:sz w:val="20"/>
          <w:szCs w:val="20"/>
        </w:rPr>
        <w:t>, June 2014</w:t>
      </w:r>
    </w:p>
  </w:footnote>
  <w:footnote w:id="7">
    <w:p w14:paraId="0DB83C45" w14:textId="77777777" w:rsidR="00FD7550" w:rsidRDefault="00FD7550" w:rsidP="00290C91">
      <w:pPr>
        <w:pStyle w:val="FootnoteText"/>
      </w:pPr>
      <w:r>
        <w:rPr>
          <w:rStyle w:val="FootnoteReference"/>
        </w:rPr>
        <w:footnoteRef/>
      </w:r>
      <w:r>
        <w:t xml:space="preserve"> DFAT Website</w:t>
      </w:r>
    </w:p>
  </w:footnote>
  <w:footnote w:id="8">
    <w:p w14:paraId="6FECD484" w14:textId="77777777" w:rsidR="00FD7550" w:rsidRDefault="00FD7550">
      <w:pPr>
        <w:pStyle w:val="FootnoteText"/>
      </w:pPr>
      <w:r>
        <w:rPr>
          <w:rStyle w:val="FootnoteReference"/>
        </w:rPr>
        <w:footnoteRef/>
      </w:r>
      <w:r>
        <w:t xml:space="preserve"> HPA Head Agreement – Schedule 2 – Agreement 57866</w:t>
      </w:r>
    </w:p>
  </w:footnote>
  <w:footnote w:id="9">
    <w:p w14:paraId="6BA1C7A8" w14:textId="77777777" w:rsidR="00FD7550" w:rsidRDefault="00FD7550">
      <w:pPr>
        <w:pStyle w:val="FootnoteText"/>
      </w:pPr>
      <w:r>
        <w:rPr>
          <w:rStyle w:val="FootnoteReference"/>
        </w:rPr>
        <w:footnoteRef/>
      </w:r>
      <w:r>
        <w:t xml:space="preserve"> Including an HPA mid-term review in 2013, annual Quality at Implementation reports, through specific response reviews, and ODE evaluations such as </w:t>
      </w:r>
      <w:r w:rsidRPr="00674860">
        <w:rPr>
          <w:i/>
        </w:rPr>
        <w:t>Australia’s Humanitarian Response to the Syria Crisis</w:t>
      </w:r>
      <w:r>
        <w:rPr>
          <w:i/>
        </w:rPr>
        <w:t xml:space="preserve"> (</w:t>
      </w:r>
      <w:r w:rsidRPr="00674860">
        <w:rPr>
          <w:i/>
        </w:rPr>
        <w:t>2014)</w:t>
      </w:r>
      <w:r>
        <w:t>.</w:t>
      </w:r>
    </w:p>
  </w:footnote>
  <w:footnote w:id="10">
    <w:p w14:paraId="3875740A" w14:textId="77777777" w:rsidR="00FD7550" w:rsidRDefault="00FD7550">
      <w:pPr>
        <w:pStyle w:val="FootnoteText"/>
      </w:pPr>
      <w:r>
        <w:rPr>
          <w:rStyle w:val="FootnoteReference"/>
        </w:rPr>
        <w:footnoteRef/>
      </w:r>
      <w:r>
        <w:t xml:space="preserve"> Review of the DFAT-NGO Humanitarian Partnership Agreement (2011-2015): Brief Discussion Paper, May 2015</w:t>
      </w:r>
    </w:p>
  </w:footnote>
  <w:footnote w:id="11">
    <w:p w14:paraId="0CF16ECA" w14:textId="77777777" w:rsidR="00FD7550" w:rsidRDefault="00FD7550">
      <w:pPr>
        <w:pStyle w:val="FootnoteText"/>
      </w:pPr>
      <w:r>
        <w:rPr>
          <w:rStyle w:val="FootnoteReference"/>
        </w:rPr>
        <w:footnoteRef/>
      </w:r>
      <w:r>
        <w:t xml:space="preserve"> HPA Head Agreement – Schedule 2 – Agreement 57866</w:t>
      </w:r>
    </w:p>
  </w:footnote>
  <w:footnote w:id="12">
    <w:p w14:paraId="2533F5FB" w14:textId="77777777" w:rsidR="00FD7550" w:rsidRPr="00A94A07" w:rsidRDefault="00FD7550" w:rsidP="00DD33F1">
      <w:pPr>
        <w:pStyle w:val="FootnoteText"/>
        <w:rPr>
          <w:rFonts w:ascii="Calibri" w:hAnsi="Calibri"/>
        </w:rPr>
      </w:pPr>
      <w:r w:rsidRPr="00A94A07">
        <w:rPr>
          <w:rStyle w:val="FootnoteReference"/>
          <w:rFonts w:ascii="Calibri" w:hAnsi="Calibri"/>
        </w:rPr>
        <w:footnoteRef/>
      </w:r>
      <w:r w:rsidRPr="00A94A07">
        <w:rPr>
          <w:rFonts w:ascii="Calibri" w:hAnsi="Calibri"/>
        </w:rPr>
        <w:t xml:space="preserve"> HPA mid-term review June 2013, p.17 and HPA quality at implementation report March 2014, p.4</w:t>
      </w:r>
    </w:p>
  </w:footnote>
  <w:footnote w:id="13">
    <w:p w14:paraId="5570534F" w14:textId="728673CE" w:rsidR="00FD7550" w:rsidRPr="008C2B30" w:rsidRDefault="00FD7550">
      <w:pPr>
        <w:pStyle w:val="FootnoteText"/>
      </w:pPr>
      <w:r w:rsidRPr="008C2B30">
        <w:rPr>
          <w:rStyle w:val="FootnoteReference"/>
        </w:rPr>
        <w:footnoteRef/>
      </w:r>
      <w:r w:rsidRPr="008C2B30">
        <w:t xml:space="preserve"> The Joint Emergency Response Paper (JERCP) is produced by the Response Committee as a final, consolidated proposal to DFAT for funding of activities under the HPA activation. </w:t>
      </w:r>
      <w:r>
        <w:t>For further information, r</w:t>
      </w:r>
      <w:r w:rsidRPr="008C2B30">
        <w:t>efer to Annex 2</w:t>
      </w:r>
      <w:r>
        <w:t xml:space="preserve"> which sets out the steps involved in </w:t>
      </w:r>
      <w:proofErr w:type="gramStart"/>
      <w:r>
        <w:t>an activation</w:t>
      </w:r>
      <w:proofErr w:type="gramEnd"/>
      <w:r w:rsidRPr="008C2B30">
        <w:t>.</w:t>
      </w:r>
    </w:p>
  </w:footnote>
  <w:footnote w:id="14">
    <w:p w14:paraId="5138CF38" w14:textId="17A106AA" w:rsidR="00FD7550" w:rsidRDefault="00FD7550">
      <w:pPr>
        <w:pStyle w:val="FootnoteText"/>
      </w:pPr>
      <w:r w:rsidRPr="008C2B30">
        <w:rPr>
          <w:rStyle w:val="FootnoteReference"/>
        </w:rPr>
        <w:footnoteRef/>
      </w:r>
      <w:r w:rsidRPr="008C2B30">
        <w:t xml:space="preserve"> </w:t>
      </w:r>
      <w:proofErr w:type="gramStart"/>
      <w:r w:rsidRPr="008C2B30">
        <w:t xml:space="preserve">Horn of Africa HPA response review November 2012, </w:t>
      </w:r>
      <w:proofErr w:type="spellStart"/>
      <w:r w:rsidRPr="008C2B30">
        <w:t>p.ii</w:t>
      </w:r>
      <w:proofErr w:type="spellEnd"/>
      <w:r w:rsidRPr="008C2B30">
        <w:t>.</w:t>
      </w:r>
      <w:proofErr w:type="gramEnd"/>
      <w:r w:rsidRPr="008C2B30">
        <w:t xml:space="preserve"> See also, for example, Typhoon Haiyan HPA response review August 2014, p.17.</w:t>
      </w:r>
    </w:p>
  </w:footnote>
  <w:footnote w:id="15">
    <w:p w14:paraId="0B72892A" w14:textId="77777777" w:rsidR="00FD7550" w:rsidRPr="00A94A07" w:rsidRDefault="00FD7550" w:rsidP="00DD33F1">
      <w:pPr>
        <w:pStyle w:val="FootnoteText"/>
        <w:rPr>
          <w:rFonts w:ascii="Calibri" w:hAnsi="Calibri"/>
        </w:rPr>
      </w:pPr>
      <w:r w:rsidRPr="00A94A07">
        <w:rPr>
          <w:rStyle w:val="FootnoteReference"/>
          <w:rFonts w:ascii="Calibri" w:hAnsi="Calibri"/>
        </w:rPr>
        <w:footnoteRef/>
      </w:r>
      <w:r w:rsidRPr="00A94A07">
        <w:rPr>
          <w:rFonts w:ascii="Calibri" w:hAnsi="Calibri"/>
        </w:rPr>
        <w:t xml:space="preserve"> Typhoon </w:t>
      </w:r>
      <w:proofErr w:type="spellStart"/>
      <w:r w:rsidRPr="00A94A07">
        <w:rPr>
          <w:rFonts w:ascii="Calibri" w:hAnsi="Calibri"/>
        </w:rPr>
        <w:t>Bopha</w:t>
      </w:r>
      <w:proofErr w:type="spellEnd"/>
      <w:r w:rsidRPr="00A94A07">
        <w:rPr>
          <w:rFonts w:ascii="Calibri" w:hAnsi="Calibri"/>
        </w:rPr>
        <w:t xml:space="preserve"> HPA response review June 2013, p.11</w:t>
      </w:r>
    </w:p>
  </w:footnote>
  <w:footnote w:id="16">
    <w:p w14:paraId="05547ACB" w14:textId="77777777" w:rsidR="00FD7550" w:rsidRPr="00A94A07" w:rsidRDefault="00FD7550" w:rsidP="00DD33F1">
      <w:pPr>
        <w:pStyle w:val="FootnoteText"/>
        <w:rPr>
          <w:rFonts w:ascii="Calibri" w:hAnsi="Calibri"/>
          <w:lang w:val="en-US"/>
        </w:rPr>
      </w:pPr>
      <w:r w:rsidRPr="00A94A07">
        <w:rPr>
          <w:rStyle w:val="FootnoteReference"/>
          <w:rFonts w:ascii="Calibri" w:hAnsi="Calibri"/>
        </w:rPr>
        <w:footnoteRef/>
      </w:r>
      <w:r w:rsidRPr="00A94A07">
        <w:rPr>
          <w:rFonts w:ascii="Calibri" w:hAnsi="Calibri"/>
        </w:rPr>
        <w:t xml:space="preserve"> Typhoon </w:t>
      </w:r>
      <w:proofErr w:type="spellStart"/>
      <w:r w:rsidRPr="00A94A07">
        <w:rPr>
          <w:rFonts w:ascii="Calibri" w:hAnsi="Calibri"/>
        </w:rPr>
        <w:t>Bopha</w:t>
      </w:r>
      <w:proofErr w:type="spellEnd"/>
      <w:r w:rsidRPr="00A94A07">
        <w:rPr>
          <w:rFonts w:ascii="Calibri" w:hAnsi="Calibri"/>
        </w:rPr>
        <w:t xml:space="preserve"> Joint Lessons Report, August 2013, p.4.</w:t>
      </w:r>
    </w:p>
  </w:footnote>
  <w:footnote w:id="17">
    <w:p w14:paraId="14F76A68" w14:textId="77777777" w:rsidR="00FD7550" w:rsidRPr="00176A7E" w:rsidRDefault="00FD7550" w:rsidP="00FF311C">
      <w:pPr>
        <w:pStyle w:val="FootnoteText"/>
      </w:pPr>
      <w:r>
        <w:rPr>
          <w:rStyle w:val="FootnoteReference"/>
        </w:rPr>
        <w:footnoteRef/>
      </w:r>
      <w:r>
        <w:t xml:space="preserve"> Refer to section </w:t>
      </w:r>
      <w:r w:rsidRPr="00176A7E">
        <w:rPr>
          <w:i/>
        </w:rPr>
        <w:t>3.5 Monitoring and Evaluation</w:t>
      </w:r>
      <w:r>
        <w:rPr>
          <w:i/>
        </w:rPr>
        <w:t xml:space="preserve"> </w:t>
      </w:r>
      <w:r w:rsidRPr="00176A7E">
        <w:t>of this report</w:t>
      </w:r>
      <w:r>
        <w:t xml:space="preserve"> for further discussion on MEL.</w:t>
      </w:r>
    </w:p>
  </w:footnote>
  <w:footnote w:id="18">
    <w:p w14:paraId="72B9D525" w14:textId="178964CA" w:rsidR="00FD7550" w:rsidRPr="008C2B30" w:rsidRDefault="00FD7550">
      <w:pPr>
        <w:pStyle w:val="FootnoteText"/>
      </w:pPr>
      <w:r w:rsidRPr="008C2B30">
        <w:rPr>
          <w:rStyle w:val="FootnoteReference"/>
        </w:rPr>
        <w:footnoteRef/>
      </w:r>
      <w:r w:rsidRPr="008C2B30">
        <w:t xml:space="preserve"> </w:t>
      </w:r>
      <w:r w:rsidRPr="008C2B30">
        <w:rPr>
          <w:rFonts w:ascii="Calibri" w:hAnsi="Calibri"/>
        </w:rPr>
        <w:t>HPA mid-term review June 2013, p.3</w:t>
      </w:r>
    </w:p>
  </w:footnote>
  <w:footnote w:id="19">
    <w:p w14:paraId="5E32E393" w14:textId="77777777" w:rsidR="00FD7550" w:rsidRPr="008C2B30" w:rsidRDefault="00FD7550" w:rsidP="00DD33F1">
      <w:pPr>
        <w:pStyle w:val="FootnoteText"/>
        <w:rPr>
          <w:rFonts w:ascii="Calibri" w:hAnsi="Calibri"/>
          <w:lang w:val="en-US"/>
        </w:rPr>
      </w:pPr>
      <w:r w:rsidRPr="008C2B30">
        <w:rPr>
          <w:rStyle w:val="FootnoteReference"/>
          <w:rFonts w:ascii="Calibri" w:hAnsi="Calibri"/>
        </w:rPr>
        <w:footnoteRef/>
      </w:r>
      <w:r w:rsidRPr="008C2B30">
        <w:rPr>
          <w:rFonts w:ascii="Calibri" w:hAnsi="Calibri"/>
        </w:rPr>
        <w:t xml:space="preserve"> HPA mid-term review June 2013, p.3</w:t>
      </w:r>
    </w:p>
  </w:footnote>
  <w:footnote w:id="20">
    <w:p w14:paraId="61517769" w14:textId="77777777" w:rsidR="00FD7550" w:rsidRPr="008C2B30" w:rsidRDefault="00FD7550" w:rsidP="00DD33F1">
      <w:pPr>
        <w:pStyle w:val="FootnoteText"/>
        <w:rPr>
          <w:rFonts w:ascii="Calibri" w:hAnsi="Calibri"/>
          <w:lang w:val="en-US"/>
        </w:rPr>
      </w:pPr>
      <w:r w:rsidRPr="008C2B30">
        <w:rPr>
          <w:rStyle w:val="FootnoteReference"/>
          <w:rFonts w:ascii="Calibri" w:hAnsi="Calibri"/>
        </w:rPr>
        <w:footnoteRef/>
      </w:r>
      <w:r w:rsidRPr="008C2B30">
        <w:rPr>
          <w:rFonts w:ascii="Calibri" w:hAnsi="Calibri"/>
        </w:rPr>
        <w:t xml:space="preserve"> HPA mid-term review June 2013, p.17</w:t>
      </w:r>
    </w:p>
  </w:footnote>
  <w:footnote w:id="21">
    <w:p w14:paraId="0D5EDE66" w14:textId="0CEC5DFC" w:rsidR="00FD7550" w:rsidRDefault="00FD7550">
      <w:pPr>
        <w:pStyle w:val="FootnoteText"/>
      </w:pPr>
      <w:r w:rsidRPr="008C2B30">
        <w:rPr>
          <w:rStyle w:val="FootnoteReference"/>
        </w:rPr>
        <w:footnoteRef/>
      </w:r>
      <w:r w:rsidRPr="008C2B30">
        <w:t xml:space="preserve"> Key stakeholder interview</w:t>
      </w:r>
    </w:p>
  </w:footnote>
  <w:footnote w:id="22">
    <w:p w14:paraId="0B86AE13" w14:textId="62DE380A" w:rsidR="00FD7550" w:rsidRDefault="00FD7550">
      <w:pPr>
        <w:pStyle w:val="FootnoteText"/>
      </w:pPr>
      <w:r w:rsidRPr="008C2B30">
        <w:rPr>
          <w:rStyle w:val="FootnoteReference"/>
        </w:rPr>
        <w:footnoteRef/>
      </w:r>
      <w:r w:rsidRPr="008C2B30">
        <w:t xml:space="preserve"> HPA collective report for DRR, DRM and capacity-building activities January 2015, p.2</w:t>
      </w:r>
    </w:p>
  </w:footnote>
  <w:footnote w:id="23">
    <w:p w14:paraId="48D0B929" w14:textId="77777777" w:rsidR="00FD7550" w:rsidRPr="00A94A07" w:rsidRDefault="00FD7550" w:rsidP="00DD33F1">
      <w:pPr>
        <w:pStyle w:val="FootnoteText"/>
        <w:rPr>
          <w:rFonts w:ascii="Calibri" w:hAnsi="Calibri"/>
        </w:rPr>
      </w:pPr>
      <w:r w:rsidRPr="00A94A07">
        <w:rPr>
          <w:rStyle w:val="FootnoteReference"/>
          <w:rFonts w:ascii="Calibri" w:hAnsi="Calibri"/>
        </w:rPr>
        <w:footnoteRef/>
      </w:r>
      <w:r w:rsidRPr="00A94A07">
        <w:rPr>
          <w:rFonts w:ascii="Calibri" w:hAnsi="Calibri"/>
        </w:rPr>
        <w:t xml:space="preserve"> HPA collective report for DRR, DRM and capacity-building activities January 2015, p.1</w:t>
      </w:r>
    </w:p>
  </w:footnote>
  <w:footnote w:id="24">
    <w:p w14:paraId="0A5C44D2" w14:textId="77777777" w:rsidR="00FD7550" w:rsidRPr="00A94A07" w:rsidRDefault="00FD7550" w:rsidP="00DD33F1">
      <w:pPr>
        <w:pStyle w:val="FootnoteText"/>
        <w:rPr>
          <w:rFonts w:ascii="Calibri" w:hAnsi="Calibri"/>
          <w:lang w:val="en-US"/>
        </w:rPr>
      </w:pPr>
      <w:r w:rsidRPr="00A94A07">
        <w:rPr>
          <w:rStyle w:val="FootnoteReference"/>
          <w:rFonts w:ascii="Calibri" w:hAnsi="Calibri"/>
        </w:rPr>
        <w:footnoteRef/>
      </w:r>
      <w:r w:rsidRPr="00A94A07">
        <w:rPr>
          <w:rFonts w:ascii="Calibri" w:hAnsi="Calibri"/>
        </w:rPr>
        <w:t xml:space="preserve"> HPA collective report for DRR, DRM and capacity-building activities January 2015, p.3</w:t>
      </w:r>
    </w:p>
  </w:footnote>
  <w:footnote w:id="25">
    <w:p w14:paraId="10C8E77C" w14:textId="77777777" w:rsidR="00FD7550" w:rsidRPr="00A94A07" w:rsidRDefault="00FD7550" w:rsidP="00DD33F1">
      <w:pPr>
        <w:pStyle w:val="FootnoteText"/>
        <w:rPr>
          <w:rFonts w:ascii="Calibri" w:hAnsi="Calibri"/>
          <w:lang w:val="en-US"/>
        </w:rPr>
      </w:pPr>
      <w:r w:rsidRPr="00A94A07">
        <w:rPr>
          <w:rStyle w:val="FootnoteReference"/>
          <w:rFonts w:ascii="Calibri" w:hAnsi="Calibri"/>
        </w:rPr>
        <w:footnoteRef/>
      </w:r>
      <w:r w:rsidRPr="00A94A07">
        <w:rPr>
          <w:rFonts w:ascii="Calibri" w:hAnsi="Calibri"/>
        </w:rPr>
        <w:t xml:space="preserve"> HPA collective report for DRR, DRM and capacity-building activities January 2015, p.3</w:t>
      </w:r>
    </w:p>
  </w:footnote>
  <w:footnote w:id="26">
    <w:p w14:paraId="0665468F" w14:textId="77777777" w:rsidR="00FD7550" w:rsidRPr="00A94A07" w:rsidRDefault="00FD7550" w:rsidP="006354BF">
      <w:pPr>
        <w:pStyle w:val="FootnoteText"/>
        <w:rPr>
          <w:rFonts w:ascii="Calibri" w:hAnsi="Calibri"/>
          <w:lang w:val="en-US"/>
        </w:rPr>
      </w:pPr>
      <w:r w:rsidRPr="00A94A07">
        <w:rPr>
          <w:rStyle w:val="FootnoteReference"/>
          <w:rFonts w:ascii="Calibri" w:hAnsi="Calibri"/>
        </w:rPr>
        <w:footnoteRef/>
      </w:r>
      <w:r w:rsidRPr="00A94A07">
        <w:rPr>
          <w:rFonts w:ascii="Calibri" w:hAnsi="Calibri"/>
        </w:rPr>
        <w:t xml:space="preserve"> </w:t>
      </w:r>
      <w:r>
        <w:t>HPA Head Agreement – Schedule 2 – Agreement 57866</w:t>
      </w:r>
    </w:p>
  </w:footnote>
  <w:footnote w:id="27">
    <w:p w14:paraId="76508C80" w14:textId="77777777" w:rsidR="00FD7550" w:rsidRPr="00A94A07" w:rsidRDefault="00FD7550" w:rsidP="00DD33F1">
      <w:pPr>
        <w:pStyle w:val="FootnoteText"/>
        <w:rPr>
          <w:rFonts w:ascii="Calibri" w:hAnsi="Calibri"/>
          <w:lang w:val="en-US"/>
        </w:rPr>
      </w:pPr>
      <w:r w:rsidRPr="00A94A07">
        <w:rPr>
          <w:rStyle w:val="FootnoteReference"/>
          <w:rFonts w:ascii="Calibri" w:hAnsi="Calibri"/>
        </w:rPr>
        <w:footnoteRef/>
      </w:r>
      <w:r w:rsidRPr="00A94A07">
        <w:rPr>
          <w:rFonts w:ascii="Calibri" w:hAnsi="Calibri"/>
        </w:rPr>
        <w:t xml:space="preserve"> HPA mid-term review June 2013, p.5</w:t>
      </w:r>
    </w:p>
  </w:footnote>
  <w:footnote w:id="28">
    <w:p w14:paraId="0B2AFF51" w14:textId="77777777" w:rsidR="00FD7550" w:rsidRDefault="00FD7550">
      <w:pPr>
        <w:pStyle w:val="FootnoteText"/>
      </w:pPr>
      <w:r>
        <w:rPr>
          <w:rStyle w:val="FootnoteReference"/>
        </w:rPr>
        <w:footnoteRef/>
      </w:r>
      <w:r>
        <w:t xml:space="preserve"> HPA Head Agreement – Schedule 2 – Agreement 57866</w:t>
      </w:r>
    </w:p>
  </w:footnote>
  <w:footnote w:id="29">
    <w:p w14:paraId="0B9180CC" w14:textId="77777777" w:rsidR="00FD7550" w:rsidRDefault="00FD7550" w:rsidP="00A439DC">
      <w:pPr>
        <w:pStyle w:val="FootnoteText"/>
        <w:jc w:val="both"/>
      </w:pPr>
      <w:r w:rsidRPr="00A439DC">
        <w:rPr>
          <w:rStyle w:val="FootnoteReference"/>
        </w:rPr>
        <w:footnoteRef/>
      </w:r>
      <w:r w:rsidRPr="00A439DC">
        <w:t xml:space="preserve"> </w:t>
      </w:r>
      <w:r w:rsidRPr="00A439DC">
        <w:rPr>
          <w:rStyle w:val="FootnoteReference"/>
        </w:rPr>
        <w:t xml:space="preserve"> </w:t>
      </w:r>
      <w:r w:rsidRPr="00A439DC">
        <w:t xml:space="preserve">Philippines Typhoon </w:t>
      </w:r>
      <w:proofErr w:type="spellStart"/>
      <w:r w:rsidRPr="00A439DC">
        <w:t>Bopha</w:t>
      </w:r>
      <w:proofErr w:type="spellEnd"/>
      <w:r w:rsidRPr="00A439DC">
        <w:t xml:space="preserve"> HPA Response Report, June 2013. p15.</w:t>
      </w:r>
    </w:p>
  </w:footnote>
  <w:footnote w:id="30">
    <w:p w14:paraId="6806D8B1" w14:textId="301FE130" w:rsidR="00FD7550" w:rsidRDefault="00FD7550">
      <w:pPr>
        <w:pStyle w:val="FootnoteText"/>
      </w:pPr>
      <w:r w:rsidRPr="008C2B30">
        <w:rPr>
          <w:rStyle w:val="FootnoteReference"/>
        </w:rPr>
        <w:footnoteRef/>
      </w:r>
      <w:r w:rsidRPr="008C2B30">
        <w:t xml:space="preserve"> Vanuatu and Nepal Activations, Minutes of Lessons Learned, June 2015</w:t>
      </w:r>
    </w:p>
  </w:footnote>
  <w:footnote w:id="31">
    <w:p w14:paraId="69B3DC2F" w14:textId="77777777" w:rsidR="00FD7550" w:rsidRDefault="00FD7550" w:rsidP="00BB4F8C">
      <w:pPr>
        <w:pStyle w:val="FootnoteText"/>
      </w:pPr>
      <w:r>
        <w:rPr>
          <w:rStyle w:val="FootnoteReference"/>
        </w:rPr>
        <w:footnoteRef/>
      </w:r>
      <w:r>
        <w:t xml:space="preserve"> </w:t>
      </w:r>
      <w:r w:rsidRPr="008C2B30">
        <w:t>Joint Communique: Learning and Recommendations on Disaster Risk Reduction</w:t>
      </w:r>
      <w:r>
        <w:t>, May 2014</w:t>
      </w:r>
    </w:p>
  </w:footnote>
  <w:footnote w:id="32">
    <w:p w14:paraId="3412E7C4" w14:textId="0DC83245" w:rsidR="00FD7550" w:rsidRDefault="00FD7550" w:rsidP="00BB4F8C">
      <w:pPr>
        <w:pStyle w:val="FootnoteText"/>
      </w:pPr>
      <w:r>
        <w:rPr>
          <w:rStyle w:val="FootnoteReference"/>
        </w:rPr>
        <w:footnoteRef/>
      </w:r>
      <w:r>
        <w:t xml:space="preserve"> </w:t>
      </w:r>
      <w:r w:rsidRPr="00A94A07">
        <w:rPr>
          <w:rFonts w:ascii="Calibri" w:hAnsi="Calibri"/>
        </w:rPr>
        <w:t>HPA collective report for DRR, DRM and capacity-building activities January 2015</w:t>
      </w:r>
    </w:p>
  </w:footnote>
  <w:footnote w:id="33">
    <w:p w14:paraId="54522B3C" w14:textId="77777777" w:rsidR="00FD7550" w:rsidRDefault="00FD7550">
      <w:pPr>
        <w:pStyle w:val="FootnoteText"/>
      </w:pPr>
      <w:r>
        <w:rPr>
          <w:rStyle w:val="FootnoteReference"/>
        </w:rPr>
        <w:footnoteRef/>
      </w:r>
      <w:r>
        <w:t xml:space="preserve"> Linda Kelly and Chris Roche, </w:t>
      </w:r>
      <w:r w:rsidRPr="007C5437">
        <w:rPr>
          <w:i/>
        </w:rPr>
        <w:t>Partnerships for Effective Development</w:t>
      </w:r>
      <w:r>
        <w:t>, ACFID, January 2014</w:t>
      </w:r>
    </w:p>
  </w:footnote>
  <w:footnote w:id="34">
    <w:p w14:paraId="6F517F40" w14:textId="77777777" w:rsidR="00FD7550" w:rsidRDefault="00FD7550" w:rsidP="001D7CF9">
      <w:pPr>
        <w:pStyle w:val="FootnoteText"/>
      </w:pPr>
      <w:r>
        <w:rPr>
          <w:rStyle w:val="FootnoteReference"/>
        </w:rPr>
        <w:footnoteRef/>
      </w:r>
      <w:r>
        <w:t xml:space="preserve"> Ibid, pg. 14</w:t>
      </w:r>
    </w:p>
  </w:footnote>
  <w:footnote w:id="35">
    <w:p w14:paraId="248BAE04" w14:textId="77777777" w:rsidR="00FD7550" w:rsidRDefault="00FD7550" w:rsidP="001D7CF9">
      <w:pPr>
        <w:pStyle w:val="FootnoteText"/>
      </w:pPr>
      <w:r>
        <w:rPr>
          <w:rStyle w:val="FootnoteReference"/>
        </w:rPr>
        <w:footnoteRef/>
      </w:r>
      <w:r>
        <w:t xml:space="preserve"> </w:t>
      </w:r>
      <w:r w:rsidRPr="001C4A27">
        <w:rPr>
          <w:i/>
        </w:rPr>
        <w:t xml:space="preserve">To strengthen the strategic humanitarian partnership between </w:t>
      </w:r>
      <w:r>
        <w:rPr>
          <w:i/>
        </w:rPr>
        <w:t>DFAT</w:t>
      </w:r>
      <w:r w:rsidRPr="001C4A27">
        <w:rPr>
          <w:i/>
        </w:rPr>
        <w:t xml:space="preserve"> and Australian </w:t>
      </w:r>
      <w:r>
        <w:rPr>
          <w:i/>
        </w:rPr>
        <w:t>NGOs</w:t>
      </w:r>
      <w:r w:rsidRPr="001C4A27">
        <w:rPr>
          <w:i/>
        </w:rPr>
        <w:t xml:space="preserve"> to respond effectively to disasters and to strengthen community resilience and preparedness</w:t>
      </w:r>
      <w:r w:rsidRPr="008E2991">
        <w:t>.”</w:t>
      </w:r>
    </w:p>
  </w:footnote>
  <w:footnote w:id="36">
    <w:p w14:paraId="1D9F9B5C" w14:textId="77777777" w:rsidR="00FD7550" w:rsidRDefault="00FD7550" w:rsidP="001D7CF9">
      <w:pPr>
        <w:pStyle w:val="FootnoteText"/>
      </w:pPr>
      <w:r>
        <w:rPr>
          <w:rStyle w:val="FootnoteReference"/>
        </w:rPr>
        <w:footnoteRef/>
      </w:r>
      <w:r>
        <w:t xml:space="preserve"> Kelly/Roche, </w:t>
      </w:r>
      <w:proofErr w:type="spellStart"/>
      <w:r>
        <w:t>op.cit</w:t>
      </w:r>
      <w:proofErr w:type="spellEnd"/>
      <w:r>
        <w:t xml:space="preserve">, </w:t>
      </w:r>
      <w:r w:rsidRPr="008E2991">
        <w:t>pg</w:t>
      </w:r>
      <w:r>
        <w:t>.</w:t>
      </w:r>
      <w:r w:rsidRPr="008E2991">
        <w:t xml:space="preserve"> 20</w:t>
      </w:r>
    </w:p>
  </w:footnote>
  <w:footnote w:id="37">
    <w:p w14:paraId="0F17CBFA" w14:textId="77777777" w:rsidR="00FD7550" w:rsidRDefault="00FD7550" w:rsidP="001D7CF9">
      <w:pPr>
        <w:pStyle w:val="FootnoteText"/>
      </w:pPr>
      <w:r>
        <w:rPr>
          <w:rStyle w:val="FootnoteReference"/>
        </w:rPr>
        <w:footnoteRef/>
      </w:r>
      <w:r>
        <w:t xml:space="preserve"> Ibid, pg. 21</w:t>
      </w:r>
    </w:p>
  </w:footnote>
  <w:footnote w:id="38">
    <w:p w14:paraId="202D7DA1" w14:textId="77777777" w:rsidR="000019E4" w:rsidRPr="00A439DC" w:rsidRDefault="000019E4" w:rsidP="000019E4">
      <w:pPr>
        <w:pStyle w:val="FootnoteText"/>
        <w:jc w:val="both"/>
        <w:rPr>
          <w:highlight w:val="yellow"/>
        </w:rPr>
      </w:pPr>
      <w:r w:rsidRPr="002058B0">
        <w:rPr>
          <w:rStyle w:val="FootnoteReference"/>
        </w:rPr>
        <w:footnoteRef/>
      </w:r>
      <w:r w:rsidRPr="002058B0">
        <w:rPr>
          <w:rStyle w:val="FootnoteReference"/>
        </w:rPr>
        <w:t xml:space="preserve"> </w:t>
      </w:r>
      <w:r w:rsidRPr="002058B0">
        <w:t xml:space="preserve">Philippines Typhoon </w:t>
      </w:r>
      <w:proofErr w:type="spellStart"/>
      <w:r w:rsidRPr="002058B0">
        <w:t>Bopha</w:t>
      </w:r>
      <w:proofErr w:type="spellEnd"/>
      <w:r w:rsidRPr="002058B0">
        <w:t xml:space="preserve"> HPA Response Report, June 2013. p15.</w:t>
      </w:r>
    </w:p>
  </w:footnote>
  <w:footnote w:id="39">
    <w:p w14:paraId="12CE374C" w14:textId="4F3AE0C7" w:rsidR="00FD7550" w:rsidRPr="002058B0" w:rsidRDefault="00FD7550" w:rsidP="006C24B0">
      <w:pPr>
        <w:pStyle w:val="FootnoteText"/>
        <w:jc w:val="both"/>
        <w:rPr>
          <w:rStyle w:val="FootnoteReference"/>
        </w:rPr>
      </w:pPr>
      <w:r w:rsidRPr="002058B0">
        <w:rPr>
          <w:rStyle w:val="FootnoteReference"/>
        </w:rPr>
        <w:footnoteRef/>
      </w:r>
      <w:r w:rsidRPr="000E1A03">
        <w:rPr>
          <w:sz w:val="16"/>
          <w:szCs w:val="16"/>
        </w:rPr>
        <w:t xml:space="preserve"> </w:t>
      </w:r>
      <w:r w:rsidRPr="002058B0">
        <w:t>Partners are responsible for compiling their own reports and contributing to HPA learning processes and reviews which involves a considerable amount of staff time. The extent to which these costs/inputs are covered by NGOs themselves, or covered by DFAT HPA funding</w:t>
      </w:r>
      <w:r w:rsidR="00215929">
        <w:t>,</w:t>
      </w:r>
      <w:r w:rsidRPr="002058B0">
        <w:t xml:space="preserve"> is unclear.</w:t>
      </w:r>
      <w:r w:rsidRPr="002058B0">
        <w:rPr>
          <w:rStyle w:val="FootnoteReference"/>
        </w:rPr>
        <w:t xml:space="preserve"> </w:t>
      </w:r>
    </w:p>
  </w:footnote>
  <w:footnote w:id="40">
    <w:p w14:paraId="0C2C26D8" w14:textId="1514E260" w:rsidR="00FD7550" w:rsidRDefault="00FD7550" w:rsidP="00AD635D">
      <w:pPr>
        <w:pStyle w:val="SDAbulletpoints"/>
        <w:numPr>
          <w:ilvl w:val="0"/>
          <w:numId w:val="0"/>
        </w:numPr>
        <w:spacing w:before="0" w:after="0"/>
      </w:pPr>
      <w:r w:rsidRPr="002058B0">
        <w:rPr>
          <w:rStyle w:val="FootnoteReference"/>
          <w:sz w:val="20"/>
          <w:szCs w:val="20"/>
        </w:rPr>
        <w:footnoteRef/>
      </w:r>
      <w:r w:rsidRPr="002058B0">
        <w:rPr>
          <w:rStyle w:val="FootnoteReference"/>
          <w:sz w:val="20"/>
          <w:szCs w:val="20"/>
        </w:rPr>
        <w:t xml:space="preserve"> </w:t>
      </w:r>
      <w:r w:rsidRPr="002058B0">
        <w:rPr>
          <w:sz w:val="20"/>
          <w:szCs w:val="20"/>
        </w:rPr>
        <w:t>Key stakeholder interview</w:t>
      </w:r>
      <w:r w:rsidRPr="007B3BC3">
        <w:rPr>
          <w:sz w:val="20"/>
          <w:szCs w:val="20"/>
        </w:rPr>
        <w:t xml:space="preserve"> comment that it would be “helpful to receive a short collective report which outlines how much money was released, how many people were reached, and key lessons learned, highlights, and innovations from other partners”</w:t>
      </w:r>
    </w:p>
  </w:footnote>
  <w:footnote w:id="41">
    <w:p w14:paraId="14DAE3D8" w14:textId="77777777" w:rsidR="00FD7550" w:rsidRDefault="00FD7550" w:rsidP="005B282F">
      <w:pPr>
        <w:pStyle w:val="FootnoteText"/>
      </w:pPr>
      <w:r>
        <w:rPr>
          <w:rStyle w:val="FootnoteReference"/>
        </w:rPr>
        <w:footnoteRef/>
      </w:r>
      <w:r>
        <w:t xml:space="preserve"> Quality at Implementation Report (2012)</w:t>
      </w:r>
    </w:p>
  </w:footnote>
  <w:footnote w:id="42">
    <w:p w14:paraId="2C6391DD" w14:textId="4CF8F7D4" w:rsidR="00FD7550" w:rsidRPr="00D776E4" w:rsidRDefault="00FD7550" w:rsidP="00A01FEA">
      <w:pPr>
        <w:pStyle w:val="FootnoteText"/>
        <w:jc w:val="both"/>
        <w:rPr>
          <w:szCs w:val="14"/>
          <w:lang w:val="en-US"/>
        </w:rPr>
      </w:pPr>
      <w:r w:rsidRPr="00D776E4">
        <w:rPr>
          <w:rStyle w:val="FootnoteReference"/>
          <w:szCs w:val="14"/>
        </w:rPr>
        <w:footnoteRef/>
      </w:r>
      <w:r w:rsidRPr="00D776E4">
        <w:rPr>
          <w:szCs w:val="14"/>
        </w:rPr>
        <w:t xml:space="preserve"> </w:t>
      </w:r>
      <w:proofErr w:type="gramStart"/>
      <w:r w:rsidRPr="008C2B30">
        <w:rPr>
          <w:rFonts w:ascii="Calibri" w:hAnsi="Calibri"/>
        </w:rPr>
        <w:t>HPA mid-term review June 2013</w:t>
      </w:r>
      <w:r>
        <w:rPr>
          <w:rFonts w:ascii="Calibri" w:hAnsi="Calibri"/>
        </w:rPr>
        <w:t>,</w:t>
      </w:r>
      <w:r w:rsidRPr="00D776E4">
        <w:rPr>
          <w:szCs w:val="14"/>
        </w:rPr>
        <w:t xml:space="preserve"> p.22.</w:t>
      </w:r>
      <w:proofErr w:type="gramEnd"/>
    </w:p>
  </w:footnote>
  <w:footnote w:id="43">
    <w:p w14:paraId="555EF5DF" w14:textId="4F93CAEA" w:rsidR="00FD7550" w:rsidRPr="00D776E4" w:rsidRDefault="00FD7550" w:rsidP="00A01FEA">
      <w:pPr>
        <w:pStyle w:val="FootnoteText"/>
        <w:jc w:val="both"/>
        <w:rPr>
          <w:szCs w:val="14"/>
          <w:lang w:val="en-US"/>
        </w:rPr>
      </w:pPr>
      <w:r w:rsidRPr="00D776E4">
        <w:rPr>
          <w:rStyle w:val="FootnoteReference"/>
          <w:szCs w:val="14"/>
        </w:rPr>
        <w:footnoteRef/>
      </w:r>
      <w:r>
        <w:rPr>
          <w:szCs w:val="14"/>
        </w:rPr>
        <w:t xml:space="preserve"> </w:t>
      </w:r>
      <w:proofErr w:type="gramStart"/>
      <w:r w:rsidRPr="008C2B30">
        <w:rPr>
          <w:rFonts w:ascii="Calibri" w:hAnsi="Calibri"/>
        </w:rPr>
        <w:t>HPA mid-term review June 2013</w:t>
      </w:r>
      <w:r>
        <w:rPr>
          <w:rFonts w:ascii="Calibri" w:hAnsi="Calibri"/>
        </w:rPr>
        <w:t>,</w:t>
      </w:r>
      <w:r w:rsidRPr="00D776E4">
        <w:rPr>
          <w:szCs w:val="14"/>
        </w:rPr>
        <w:t xml:space="preserve"> p.19 and Philippines Typhoon Haiyan HPA Response Report, August 2014.</w:t>
      </w:r>
      <w:proofErr w:type="gramEnd"/>
      <w:r w:rsidRPr="00D776E4">
        <w:rPr>
          <w:szCs w:val="14"/>
        </w:rPr>
        <w:t xml:space="preserve"> </w:t>
      </w:r>
      <w:proofErr w:type="gramStart"/>
      <w:r w:rsidRPr="00D776E4">
        <w:rPr>
          <w:szCs w:val="14"/>
        </w:rPr>
        <w:t>p.20.</w:t>
      </w:r>
      <w:proofErr w:type="gramEnd"/>
    </w:p>
  </w:footnote>
  <w:footnote w:id="44">
    <w:p w14:paraId="370B4076" w14:textId="77777777" w:rsidR="00FD7550" w:rsidRPr="00D776E4" w:rsidRDefault="00FD7550" w:rsidP="00A01FEA">
      <w:pPr>
        <w:pStyle w:val="FootnoteText"/>
        <w:jc w:val="both"/>
        <w:rPr>
          <w:szCs w:val="14"/>
          <w:lang w:val="en-US"/>
        </w:rPr>
      </w:pPr>
      <w:r w:rsidRPr="00D776E4">
        <w:rPr>
          <w:rStyle w:val="FootnoteReference"/>
          <w:szCs w:val="14"/>
        </w:rPr>
        <w:footnoteRef/>
      </w:r>
      <w:r w:rsidRPr="00D776E4">
        <w:rPr>
          <w:szCs w:val="14"/>
        </w:rPr>
        <w:t xml:space="preserve"> Philippines Typhoon </w:t>
      </w:r>
      <w:proofErr w:type="spellStart"/>
      <w:r w:rsidRPr="00D776E4">
        <w:rPr>
          <w:szCs w:val="14"/>
        </w:rPr>
        <w:t>Bopha</w:t>
      </w:r>
      <w:proofErr w:type="spellEnd"/>
      <w:r w:rsidRPr="00D776E4">
        <w:rPr>
          <w:szCs w:val="14"/>
        </w:rPr>
        <w:t xml:space="preserve"> HPA Response Report, June 2013. </w:t>
      </w:r>
      <w:proofErr w:type="gramStart"/>
      <w:r w:rsidRPr="00D776E4">
        <w:rPr>
          <w:szCs w:val="14"/>
        </w:rPr>
        <w:t>pp.11-12</w:t>
      </w:r>
      <w:proofErr w:type="gramEnd"/>
      <w:r w:rsidRPr="00D776E4">
        <w:rPr>
          <w:szCs w:val="14"/>
        </w:rPr>
        <w:t>.</w:t>
      </w:r>
    </w:p>
  </w:footnote>
  <w:footnote w:id="45">
    <w:p w14:paraId="45B4AE2E" w14:textId="77777777" w:rsidR="00FD7550" w:rsidRPr="00AD635D" w:rsidRDefault="00FD7550" w:rsidP="006C24B0">
      <w:pPr>
        <w:pStyle w:val="FootnoteText"/>
        <w:rPr>
          <w:lang w:val="en-US"/>
        </w:rPr>
      </w:pPr>
      <w:r w:rsidRPr="002E2F8C">
        <w:rPr>
          <w:rStyle w:val="FootnoteReference"/>
          <w:sz w:val="18"/>
          <w:szCs w:val="18"/>
        </w:rPr>
        <w:footnoteRef/>
      </w:r>
      <w:r w:rsidRPr="002E2F8C">
        <w:rPr>
          <w:sz w:val="18"/>
          <w:szCs w:val="18"/>
        </w:rPr>
        <w:t xml:space="preserve"> </w:t>
      </w:r>
      <w:r w:rsidRPr="00AD635D">
        <w:t xml:space="preserve">Philippines Typhoon </w:t>
      </w:r>
      <w:proofErr w:type="spellStart"/>
      <w:r w:rsidRPr="00AD635D">
        <w:t>Bopha</w:t>
      </w:r>
      <w:proofErr w:type="spellEnd"/>
      <w:r w:rsidRPr="00AD635D">
        <w:t xml:space="preserve"> HPA Response Report, June 2013. pp. 12-13.</w:t>
      </w:r>
    </w:p>
  </w:footnote>
  <w:footnote w:id="46">
    <w:p w14:paraId="53A056B1" w14:textId="07557876" w:rsidR="00FD7550" w:rsidRDefault="00FD7550" w:rsidP="00FC6762">
      <w:pPr>
        <w:pStyle w:val="FootnoteText"/>
        <w:jc w:val="both"/>
      </w:pPr>
      <w:r w:rsidRPr="00DD0594">
        <w:rPr>
          <w:rStyle w:val="FootnoteReference"/>
          <w:szCs w:val="14"/>
        </w:rPr>
        <w:footnoteRef/>
      </w:r>
      <w:r w:rsidRPr="00DD0594">
        <w:rPr>
          <w:rStyle w:val="FootnoteReference"/>
          <w:szCs w:val="14"/>
        </w:rPr>
        <w:t xml:space="preserve"> </w:t>
      </w:r>
      <w:r w:rsidRPr="00DD0594">
        <w:t xml:space="preserve">This is illustrated by the Lebanon activation which gave partners an additional two week period to prepare investment concept proposals. </w:t>
      </w:r>
    </w:p>
  </w:footnote>
  <w:footnote w:id="47">
    <w:p w14:paraId="492AA75B" w14:textId="30FE12BC" w:rsidR="00FD7550" w:rsidRPr="00E75BA4" w:rsidRDefault="00FD7550" w:rsidP="006C24B0">
      <w:pPr>
        <w:pStyle w:val="FootnoteText"/>
        <w:jc w:val="both"/>
      </w:pPr>
      <w:r w:rsidRPr="00E75BA4">
        <w:rPr>
          <w:rStyle w:val="FootnoteReference"/>
        </w:rPr>
        <w:footnoteRef/>
      </w:r>
      <w:r w:rsidRPr="00E75BA4">
        <w:rPr>
          <w:rStyle w:val="FootnoteReference"/>
        </w:rPr>
        <w:t xml:space="preserve"> </w:t>
      </w:r>
      <w:r w:rsidRPr="008C2B30">
        <w:t xml:space="preserve">Joint Communique: Learning and Recommendations on Disaster Risk </w:t>
      </w:r>
      <w:proofErr w:type="gramStart"/>
      <w:r w:rsidRPr="008C2B30">
        <w:t>Reduction</w:t>
      </w:r>
      <w:r>
        <w:t>,</w:t>
      </w:r>
      <w:proofErr w:type="gramEnd"/>
      <w:r>
        <w:t xml:space="preserve"> May 2014</w:t>
      </w:r>
      <w:r w:rsidRPr="00E75BA4">
        <w:t>.</w:t>
      </w:r>
    </w:p>
  </w:footnote>
  <w:footnote w:id="48">
    <w:p w14:paraId="04632CD9" w14:textId="05A6C2CB" w:rsidR="00FD7550" w:rsidRDefault="00FD7550">
      <w:pPr>
        <w:pStyle w:val="FootnoteText"/>
      </w:pPr>
      <w:r>
        <w:rPr>
          <w:rStyle w:val="FootnoteReference"/>
        </w:rPr>
        <w:footnoteRef/>
      </w:r>
      <w:r>
        <w:t xml:space="preserve"> </w:t>
      </w:r>
      <w:r w:rsidRPr="008C2B30">
        <w:t>Joint Communique: Learning and Recommendations on Disaster Risk Reduction</w:t>
      </w:r>
      <w:r>
        <w:t>, May 2014</w:t>
      </w:r>
    </w:p>
  </w:footnote>
  <w:footnote w:id="49">
    <w:p w14:paraId="75282F44" w14:textId="08D0944C" w:rsidR="00FD7550" w:rsidRDefault="00FD7550">
      <w:pPr>
        <w:pStyle w:val="FootnoteText"/>
      </w:pPr>
      <w:r>
        <w:rPr>
          <w:rStyle w:val="FootnoteReference"/>
        </w:rPr>
        <w:footnoteRef/>
      </w:r>
      <w:r>
        <w:t xml:space="preserve"> The challenge around identifying what has gone into (i.e. partner time and resources) and the collective value of the partnership has implications for determining the Value for Money of the HPA (for both DFAT and NGO partners).</w:t>
      </w:r>
    </w:p>
  </w:footnote>
  <w:footnote w:id="50">
    <w:p w14:paraId="6BBC2BB0" w14:textId="77777777" w:rsidR="00FD7550" w:rsidRPr="002E2F8C" w:rsidRDefault="00FD7550" w:rsidP="006C24B0">
      <w:pPr>
        <w:pStyle w:val="FootnoteText"/>
        <w:jc w:val="both"/>
        <w:rPr>
          <w:sz w:val="18"/>
          <w:szCs w:val="18"/>
          <w:lang w:val="en-US"/>
        </w:rPr>
      </w:pPr>
      <w:r w:rsidRPr="002E2F8C">
        <w:rPr>
          <w:rStyle w:val="FootnoteReference"/>
          <w:sz w:val="18"/>
          <w:szCs w:val="18"/>
        </w:rPr>
        <w:footnoteRef/>
      </w:r>
      <w:r w:rsidRPr="002E2F8C">
        <w:rPr>
          <w:sz w:val="18"/>
          <w:szCs w:val="18"/>
        </w:rPr>
        <w:t xml:space="preserve"> Philippines Typhoon </w:t>
      </w:r>
      <w:proofErr w:type="spellStart"/>
      <w:r w:rsidRPr="002E2F8C">
        <w:rPr>
          <w:sz w:val="18"/>
          <w:szCs w:val="18"/>
        </w:rPr>
        <w:t>Bopha</w:t>
      </w:r>
      <w:proofErr w:type="spellEnd"/>
      <w:r w:rsidRPr="002E2F8C">
        <w:rPr>
          <w:sz w:val="18"/>
          <w:szCs w:val="18"/>
        </w:rPr>
        <w:t xml:space="preserve"> HPA Response Report, June 2013. </w:t>
      </w:r>
      <w:proofErr w:type="gramStart"/>
      <w:r w:rsidRPr="002E2F8C">
        <w:rPr>
          <w:sz w:val="18"/>
          <w:szCs w:val="18"/>
        </w:rPr>
        <w:t>p.15.</w:t>
      </w:r>
      <w:proofErr w:type="gramEnd"/>
    </w:p>
  </w:footnote>
  <w:footnote w:id="51">
    <w:p w14:paraId="2CE4FB3F" w14:textId="77777777" w:rsidR="00FD7550" w:rsidRPr="002E2F8C" w:rsidRDefault="00FD7550" w:rsidP="00C25AB3">
      <w:pPr>
        <w:pStyle w:val="FootnoteText"/>
        <w:jc w:val="both"/>
        <w:rPr>
          <w:sz w:val="18"/>
          <w:szCs w:val="18"/>
          <w:lang w:val="en-US"/>
        </w:rPr>
      </w:pPr>
      <w:r w:rsidRPr="002E2F8C">
        <w:rPr>
          <w:rStyle w:val="FootnoteReference"/>
          <w:sz w:val="18"/>
          <w:szCs w:val="18"/>
        </w:rPr>
        <w:footnoteRef/>
      </w:r>
      <w:r w:rsidRPr="002E2F8C">
        <w:rPr>
          <w:sz w:val="18"/>
          <w:szCs w:val="18"/>
        </w:rPr>
        <w:t xml:space="preserve"> Independent Review of the Period Funding Agreement for Disaster Risk Management (PFA), December 2009. </w:t>
      </w:r>
      <w:proofErr w:type="gramStart"/>
      <w:r w:rsidRPr="002E2F8C">
        <w:rPr>
          <w:sz w:val="18"/>
          <w:szCs w:val="18"/>
        </w:rPr>
        <w:t>p.5.</w:t>
      </w:r>
      <w:proofErr w:type="gramEnd"/>
    </w:p>
  </w:footnote>
  <w:footnote w:id="52">
    <w:p w14:paraId="6787608C" w14:textId="77777777" w:rsidR="00FD7550" w:rsidRDefault="00FD7550">
      <w:pPr>
        <w:pStyle w:val="FootnoteText"/>
      </w:pPr>
      <w:r>
        <w:rPr>
          <w:rStyle w:val="FootnoteReference"/>
        </w:rPr>
        <w:footnoteRef/>
      </w:r>
      <w:r>
        <w:t xml:space="preserve"> HPA mid-term review, June 2013, p.21</w:t>
      </w:r>
    </w:p>
  </w:footnote>
  <w:footnote w:id="53">
    <w:p w14:paraId="4F8FD1B2" w14:textId="77777777" w:rsidR="00FD7550" w:rsidRDefault="00FD7550">
      <w:pPr>
        <w:pStyle w:val="FootnoteText"/>
      </w:pPr>
      <w:r>
        <w:rPr>
          <w:rStyle w:val="FootnoteReference"/>
        </w:rPr>
        <w:footnoteRef/>
      </w:r>
      <w:r>
        <w:t xml:space="preserve"> At the Reflections Workshop, 26 June 2015</w:t>
      </w:r>
    </w:p>
  </w:footnote>
  <w:footnote w:id="54">
    <w:p w14:paraId="5B6C76A6" w14:textId="77777777" w:rsidR="00FD7550" w:rsidRPr="00096FCD" w:rsidRDefault="00FD7550" w:rsidP="004B7D4C">
      <w:pPr>
        <w:pStyle w:val="FootnoteText"/>
        <w:rPr>
          <w:color w:val="1F497D" w:themeColor="dark2"/>
        </w:rPr>
      </w:pPr>
      <w:r>
        <w:rPr>
          <w:rStyle w:val="FootnoteReference"/>
        </w:rPr>
        <w:footnoteRef/>
      </w:r>
      <w:r>
        <w:t xml:space="preserve"> According to the Schedule 2 Head Agreement, the objective of this funding was to reduce community vulnerability and enhance resilience to disasters, and to strengthen DRM capacities and systems of HPA NGOs and their in-country NGO partners. </w:t>
      </w:r>
    </w:p>
  </w:footnote>
  <w:footnote w:id="55">
    <w:p w14:paraId="3820A0E0" w14:textId="2AEEB372" w:rsidR="00A90DB9" w:rsidRPr="00A90DB9" w:rsidRDefault="00A90DB9">
      <w:pPr>
        <w:pStyle w:val="FootnoteText"/>
      </w:pPr>
      <w:r>
        <w:rPr>
          <w:rStyle w:val="FootnoteReference"/>
        </w:rPr>
        <w:footnoteRef/>
      </w:r>
      <w:r>
        <w:t xml:space="preserve"> </w:t>
      </w:r>
      <w:r w:rsidRPr="00A90DB9">
        <w:rPr>
          <w:rFonts w:ascii="Calibri" w:eastAsia="Times New Roman" w:hAnsi="Calibri"/>
          <w:iCs/>
        </w:rPr>
        <w:t>$0 does not necessar</w:t>
      </w:r>
      <w:r>
        <w:rPr>
          <w:rFonts w:ascii="Calibri" w:eastAsia="Times New Roman" w:hAnsi="Calibri"/>
          <w:iCs/>
        </w:rPr>
        <w:t>il</w:t>
      </w:r>
      <w:r w:rsidRPr="00A90DB9">
        <w:rPr>
          <w:rFonts w:ascii="Calibri" w:eastAsia="Times New Roman" w:hAnsi="Calibri"/>
          <w:iCs/>
        </w:rPr>
        <w:t xml:space="preserve">y reflect an unsuccessful bid for funding. Partners may have chosen not to submit a </w:t>
      </w:r>
      <w:r>
        <w:rPr>
          <w:rFonts w:ascii="Calibri" w:eastAsia="Times New Roman" w:hAnsi="Calibri"/>
          <w:iCs/>
        </w:rPr>
        <w:t xml:space="preserve">funding </w:t>
      </w:r>
      <w:r w:rsidRPr="00A90DB9">
        <w:rPr>
          <w:rFonts w:ascii="Calibri" w:eastAsia="Times New Roman" w:hAnsi="Calibri"/>
          <w:iCs/>
        </w:rPr>
        <w:t xml:space="preserve">proposal for </w:t>
      </w:r>
      <w:r>
        <w:rPr>
          <w:rFonts w:ascii="Calibri" w:eastAsia="Times New Roman" w:hAnsi="Calibri"/>
          <w:iCs/>
        </w:rPr>
        <w:t>this activation</w:t>
      </w:r>
      <w:r w:rsidRPr="00A90DB9">
        <w:rPr>
          <w:rFonts w:ascii="Calibri" w:eastAsia="Times New Roman" w:hAnsi="Calibri"/>
          <w:iCs/>
        </w:rPr>
        <w:t>.</w:t>
      </w:r>
    </w:p>
  </w:footnote>
  <w:footnote w:id="56">
    <w:p w14:paraId="59BC2325" w14:textId="02E0704B" w:rsidR="00FD7550" w:rsidRDefault="00FD7550">
      <w:pPr>
        <w:pStyle w:val="FootnoteText"/>
      </w:pPr>
      <w:r>
        <w:rPr>
          <w:rStyle w:val="FootnoteReference"/>
        </w:rPr>
        <w:footnoteRef/>
      </w:r>
      <w:r>
        <w:t xml:space="preserve"> With thanks to Caritas Australia for this graphic, taken from ‘</w:t>
      </w:r>
      <w:r w:rsidRPr="007C4275">
        <w:rPr>
          <w:i/>
        </w:rPr>
        <w:t>Caritas Australia and the HPA', internal lessons learned document, draft</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0595F" w14:textId="77777777" w:rsidR="00FC2ACD" w:rsidRDefault="00FC2A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EDFC7" w14:textId="77777777" w:rsidR="00FD7550" w:rsidRDefault="00FD7550">
    <w:pPr>
      <w:pStyle w:val="Header"/>
    </w:pPr>
    <w:r>
      <w:rPr>
        <w:noProof/>
        <w:lang w:eastAsia="en-AU"/>
      </w:rPr>
      <w:drawing>
        <wp:anchor distT="0" distB="0" distL="114300" distR="114300" simplePos="0" relativeHeight="251661312" behindDoc="0" locked="0" layoutInCell="1" allowOverlap="1" wp14:anchorId="5F5765F9" wp14:editId="36EFFCDD">
          <wp:simplePos x="0" y="0"/>
          <wp:positionH relativeFrom="column">
            <wp:posOffset>4274185</wp:posOffset>
          </wp:positionH>
          <wp:positionV relativeFrom="paragraph">
            <wp:posOffset>-128460</wp:posOffset>
          </wp:positionV>
          <wp:extent cx="1888323" cy="54626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 logo.jpg"/>
                  <pic:cNvPicPr/>
                </pic:nvPicPr>
                <pic:blipFill>
                  <a:blip r:embed="rId1">
                    <a:extLst>
                      <a:ext uri="{28A0092B-C50C-407E-A947-70E740481C1C}">
                        <a14:useLocalDpi xmlns:a14="http://schemas.microsoft.com/office/drawing/2010/main" val="0"/>
                      </a:ext>
                    </a:extLst>
                  </a:blip>
                  <a:stretch>
                    <a:fillRect/>
                  </a:stretch>
                </pic:blipFill>
                <pic:spPr>
                  <a:xfrm>
                    <a:off x="0" y="0"/>
                    <a:ext cx="1888323" cy="5462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95B66" w14:textId="77777777" w:rsidR="00FC2ACD" w:rsidRDefault="00FC2A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2A2"/>
    <w:multiLevelType w:val="hybridMultilevel"/>
    <w:tmpl w:val="7B480ED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D851CCB"/>
    <w:multiLevelType w:val="hybridMultilevel"/>
    <w:tmpl w:val="36C6C3FA"/>
    <w:lvl w:ilvl="0" w:tplc="F9AA8370">
      <w:start w:val="1"/>
      <w:numFmt w:val="bullet"/>
      <w:pStyle w:val="PIFSbullet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219F0719"/>
    <w:multiLevelType w:val="hybridMultilevel"/>
    <w:tmpl w:val="5B46DF4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4174C1D"/>
    <w:multiLevelType w:val="hybridMultilevel"/>
    <w:tmpl w:val="3A2AC7BA"/>
    <w:lvl w:ilvl="0" w:tplc="B42699A4">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D9B45B6"/>
    <w:multiLevelType w:val="multilevel"/>
    <w:tmpl w:val="F1FAC6C2"/>
    <w:lvl w:ilvl="0">
      <w:start w:val="1"/>
      <w:numFmt w:val="decimal"/>
      <w:pStyle w:val="Heading2"/>
      <w:lvlText w:val="%1."/>
      <w:lvlJc w:val="left"/>
      <w:pPr>
        <w:ind w:left="432" w:hanging="432"/>
      </w:pPr>
      <w:rPr>
        <w:rFonts w:hint="default"/>
      </w:rPr>
    </w:lvl>
    <w:lvl w:ilvl="1">
      <w:start w:val="1"/>
      <w:numFmt w:val="decimal"/>
      <w:pStyle w:val="STANumberedheading2"/>
      <w:lvlText w:val="%1.%2."/>
      <w:lvlJc w:val="left"/>
      <w:pPr>
        <w:ind w:left="426" w:firstLine="0"/>
      </w:pPr>
      <w:rPr>
        <w:rFonts w:hint="default"/>
        <w:b/>
      </w:rPr>
    </w:lvl>
    <w:lvl w:ilvl="2">
      <w:start w:val="1"/>
      <w:numFmt w:val="decimal"/>
      <w:pStyle w:val="SDANumbered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31D72FAF"/>
    <w:multiLevelType w:val="hybridMultilevel"/>
    <w:tmpl w:val="7B480ED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45567C0"/>
    <w:multiLevelType w:val="hybridMultilevel"/>
    <w:tmpl w:val="3A2AC7BA"/>
    <w:lvl w:ilvl="0" w:tplc="B42699A4">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4874465F"/>
    <w:multiLevelType w:val="hybridMultilevel"/>
    <w:tmpl w:val="5B46DF4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A9F74A3"/>
    <w:multiLevelType w:val="hybridMultilevel"/>
    <w:tmpl w:val="CDB8BE7E"/>
    <w:lvl w:ilvl="0" w:tplc="898A02F6">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53B0BEF"/>
    <w:multiLevelType w:val="hybridMultilevel"/>
    <w:tmpl w:val="BDC01040"/>
    <w:lvl w:ilvl="0" w:tplc="D158C132">
      <w:start w:val="1"/>
      <w:numFmt w:val="decimal"/>
      <w:pStyle w:val="PIFSheading1"/>
      <w:lvlText w:val="%1."/>
      <w:lvlJc w:val="left"/>
      <w:pPr>
        <w:tabs>
          <w:tab w:val="num" w:pos="720"/>
        </w:tabs>
        <w:ind w:left="720" w:hanging="360"/>
      </w:pPr>
      <w:rPr>
        <w:b/>
        <w:sz w:val="28"/>
        <w:szCs w:val="28"/>
      </w:rPr>
    </w:lvl>
    <w:lvl w:ilvl="1" w:tplc="6AB2B6FE">
      <w:start w:val="1"/>
      <w:numFmt w:val="bullet"/>
      <w:lvlText w:val="o"/>
      <w:lvlJc w:val="left"/>
      <w:pPr>
        <w:tabs>
          <w:tab w:val="num" w:pos="1440"/>
        </w:tabs>
        <w:ind w:left="1440" w:hanging="360"/>
      </w:pPr>
      <w:rPr>
        <w:rFonts w:ascii="Courier New" w:hAnsi="Courier New" w:cs="Courier New" w:hint="default"/>
        <w:b/>
        <w:sz w:val="22"/>
        <w:szCs w:val="22"/>
      </w:rPr>
    </w:lvl>
    <w:lvl w:ilvl="2" w:tplc="04090001">
      <w:start w:val="1"/>
      <w:numFmt w:val="bullet"/>
      <w:lvlText w:val=""/>
      <w:lvlJc w:val="left"/>
      <w:pPr>
        <w:tabs>
          <w:tab w:val="num" w:pos="1440"/>
        </w:tabs>
        <w:ind w:left="1440" w:hanging="360"/>
      </w:pPr>
      <w:rPr>
        <w:rFonts w:ascii="Symbol" w:hAnsi="Symbol" w:hint="default"/>
        <w:b/>
        <w:sz w:val="28"/>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23135C"/>
    <w:multiLevelType w:val="multilevel"/>
    <w:tmpl w:val="CF0A6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E3A0F87"/>
    <w:multiLevelType w:val="singleLevel"/>
    <w:tmpl w:val="CFD227FE"/>
    <w:lvl w:ilvl="0">
      <w:start w:val="2"/>
      <w:numFmt w:val="decimal"/>
      <w:pStyle w:val="AfterFirstPara"/>
      <w:lvlText w:val="%1."/>
      <w:lvlJc w:val="left"/>
      <w:pPr>
        <w:tabs>
          <w:tab w:val="num" w:pos="567"/>
        </w:tabs>
        <w:ind w:left="0" w:firstLine="0"/>
      </w:pPr>
      <w:rPr>
        <w:rFonts w:hint="default"/>
      </w:rPr>
    </w:lvl>
  </w:abstractNum>
  <w:abstractNum w:abstractNumId="12">
    <w:nsid w:val="61AD78E5"/>
    <w:multiLevelType w:val="hybridMultilevel"/>
    <w:tmpl w:val="5B46DF4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55E0DD9"/>
    <w:multiLevelType w:val="hybridMultilevel"/>
    <w:tmpl w:val="D39C870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66410E22"/>
    <w:multiLevelType w:val="multilevel"/>
    <w:tmpl w:val="DD6297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72715A0"/>
    <w:multiLevelType w:val="hybridMultilevel"/>
    <w:tmpl w:val="F692D6C2"/>
    <w:lvl w:ilvl="0" w:tplc="0C09000F">
      <w:start w:val="1"/>
      <w:numFmt w:val="decimal"/>
      <w:lvlText w:val="%1."/>
      <w:lvlJc w:val="left"/>
      <w:pPr>
        <w:ind w:left="720" w:hanging="360"/>
      </w:pPr>
      <w:rPr>
        <w:rFonts w:hint="default"/>
        <w:color w:val="CF5D2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90B1948"/>
    <w:multiLevelType w:val="multilevel"/>
    <w:tmpl w:val="13842B06"/>
    <w:lvl w:ilvl="0">
      <w:start w:val="1"/>
      <w:numFmt w:val="decimal"/>
      <w:lvlText w:val="%1)"/>
      <w:lvlJc w:val="left"/>
      <w:pPr>
        <w:ind w:left="360" w:hanging="360"/>
      </w:pPr>
      <w:rPr>
        <w:rFonts w:hint="default"/>
      </w:rPr>
    </w:lvl>
    <w:lvl w:ilvl="1">
      <w:start w:val="10"/>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836779F"/>
    <w:multiLevelType w:val="hybridMultilevel"/>
    <w:tmpl w:val="A5A8CFD4"/>
    <w:lvl w:ilvl="0" w:tplc="415239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ADA4EA9"/>
    <w:multiLevelType w:val="hybridMultilevel"/>
    <w:tmpl w:val="4CBA1266"/>
    <w:lvl w:ilvl="0" w:tplc="DE2A7B1C">
      <w:start w:val="1"/>
      <w:numFmt w:val="bullet"/>
      <w:pStyle w:val="SDAbulletpoints"/>
      <w:lvlText w:val=""/>
      <w:lvlJc w:val="left"/>
      <w:pPr>
        <w:ind w:left="720" w:hanging="360"/>
      </w:pPr>
      <w:rPr>
        <w:rFonts w:ascii="Symbol" w:hAnsi="Symbol" w:hint="default"/>
        <w:color w:val="CF5D2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D53207C"/>
    <w:multiLevelType w:val="hybridMultilevel"/>
    <w:tmpl w:val="6A9A33F6"/>
    <w:lvl w:ilvl="0" w:tplc="AF2CD8A2">
      <w:start w:val="1"/>
      <w:numFmt w:val="decimal"/>
      <w:pStyle w:val="SDAnumberedlist"/>
      <w:lvlText w:val="%1"/>
      <w:lvlJc w:val="left"/>
      <w:pPr>
        <w:ind w:left="1080" w:hanging="360"/>
      </w:pPr>
      <w:rPr>
        <w:rFonts w:hint="default"/>
        <w:b/>
        <w:color w:val="CF5D27"/>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1"/>
  </w:num>
  <w:num w:numId="3">
    <w:abstractNumId w:val="4"/>
  </w:num>
  <w:num w:numId="4">
    <w:abstractNumId w:val="18"/>
  </w:num>
  <w:num w:numId="5">
    <w:abstractNumId w:val="19"/>
  </w:num>
  <w:num w:numId="6">
    <w:abstractNumId w:val="14"/>
  </w:num>
  <w:num w:numId="7">
    <w:abstractNumId w:val="3"/>
  </w:num>
  <w:num w:numId="8">
    <w:abstractNumId w:val="11"/>
  </w:num>
  <w:num w:numId="9">
    <w:abstractNumId w:val="0"/>
  </w:num>
  <w:num w:numId="10">
    <w:abstractNumId w:val="8"/>
  </w:num>
  <w:num w:numId="11">
    <w:abstractNumId w:val="15"/>
  </w:num>
  <w:num w:numId="12">
    <w:abstractNumId w:val="17"/>
  </w:num>
  <w:num w:numId="13">
    <w:abstractNumId w:val="13"/>
  </w:num>
  <w:num w:numId="14">
    <w:abstractNumId w:val="2"/>
  </w:num>
  <w:num w:numId="15">
    <w:abstractNumId w:val="6"/>
  </w:num>
  <w:num w:numId="16">
    <w:abstractNumId w:val="12"/>
  </w:num>
  <w:num w:numId="17">
    <w:abstractNumId w:val="7"/>
  </w:num>
  <w:num w:numId="18">
    <w:abstractNumId w:val="5"/>
  </w:num>
  <w:num w:numId="19">
    <w:abstractNumId w:val="10"/>
  </w:num>
  <w:num w:numId="20">
    <w:abstractNumId w:val="16"/>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B6A"/>
    <w:rsid w:val="000019E4"/>
    <w:rsid w:val="00001AA8"/>
    <w:rsid w:val="00021004"/>
    <w:rsid w:val="000265C5"/>
    <w:rsid w:val="000331D4"/>
    <w:rsid w:val="00035C3F"/>
    <w:rsid w:val="00037126"/>
    <w:rsid w:val="00040431"/>
    <w:rsid w:val="0004048A"/>
    <w:rsid w:val="00040D5A"/>
    <w:rsid w:val="00043D07"/>
    <w:rsid w:val="00044496"/>
    <w:rsid w:val="000445E9"/>
    <w:rsid w:val="00046EDC"/>
    <w:rsid w:val="00050AD2"/>
    <w:rsid w:val="00051FF6"/>
    <w:rsid w:val="0005686E"/>
    <w:rsid w:val="00062901"/>
    <w:rsid w:val="00067F5C"/>
    <w:rsid w:val="0007577F"/>
    <w:rsid w:val="00075DC8"/>
    <w:rsid w:val="00081876"/>
    <w:rsid w:val="00084F54"/>
    <w:rsid w:val="000855DA"/>
    <w:rsid w:val="00091923"/>
    <w:rsid w:val="0009358F"/>
    <w:rsid w:val="0009416D"/>
    <w:rsid w:val="0009686C"/>
    <w:rsid w:val="000A2326"/>
    <w:rsid w:val="000A7893"/>
    <w:rsid w:val="000B5675"/>
    <w:rsid w:val="000C04C3"/>
    <w:rsid w:val="000C362D"/>
    <w:rsid w:val="000C7F08"/>
    <w:rsid w:val="000D2338"/>
    <w:rsid w:val="000D5419"/>
    <w:rsid w:val="000D783D"/>
    <w:rsid w:val="000F36C5"/>
    <w:rsid w:val="000F581C"/>
    <w:rsid w:val="001007C1"/>
    <w:rsid w:val="00101689"/>
    <w:rsid w:val="0010322C"/>
    <w:rsid w:val="00112148"/>
    <w:rsid w:val="00122F7E"/>
    <w:rsid w:val="0012491C"/>
    <w:rsid w:val="001309A9"/>
    <w:rsid w:val="0014759E"/>
    <w:rsid w:val="0015039E"/>
    <w:rsid w:val="0015396C"/>
    <w:rsid w:val="001558C2"/>
    <w:rsid w:val="00163EA8"/>
    <w:rsid w:val="00176A7E"/>
    <w:rsid w:val="00184B32"/>
    <w:rsid w:val="00191D21"/>
    <w:rsid w:val="001A206C"/>
    <w:rsid w:val="001A394B"/>
    <w:rsid w:val="001B0840"/>
    <w:rsid w:val="001B3A72"/>
    <w:rsid w:val="001B3ECA"/>
    <w:rsid w:val="001C05DD"/>
    <w:rsid w:val="001C1C7A"/>
    <w:rsid w:val="001C4A27"/>
    <w:rsid w:val="001C4E36"/>
    <w:rsid w:val="001C712F"/>
    <w:rsid w:val="001D614F"/>
    <w:rsid w:val="001D7CF9"/>
    <w:rsid w:val="001E3CB2"/>
    <w:rsid w:val="001F32AF"/>
    <w:rsid w:val="001F7836"/>
    <w:rsid w:val="002058B0"/>
    <w:rsid w:val="002108DE"/>
    <w:rsid w:val="00215929"/>
    <w:rsid w:val="00217CF0"/>
    <w:rsid w:val="002268F6"/>
    <w:rsid w:val="00233B5D"/>
    <w:rsid w:val="00241613"/>
    <w:rsid w:val="00243602"/>
    <w:rsid w:val="00254563"/>
    <w:rsid w:val="00263931"/>
    <w:rsid w:val="002722A3"/>
    <w:rsid w:val="00273EED"/>
    <w:rsid w:val="002826F3"/>
    <w:rsid w:val="0028375C"/>
    <w:rsid w:val="00287D60"/>
    <w:rsid w:val="00290C91"/>
    <w:rsid w:val="00293752"/>
    <w:rsid w:val="002A0971"/>
    <w:rsid w:val="002A33D8"/>
    <w:rsid w:val="002A45D5"/>
    <w:rsid w:val="002A638A"/>
    <w:rsid w:val="002B12A3"/>
    <w:rsid w:val="002B4737"/>
    <w:rsid w:val="002B7FE2"/>
    <w:rsid w:val="002C030E"/>
    <w:rsid w:val="002C1CCE"/>
    <w:rsid w:val="002C25EB"/>
    <w:rsid w:val="002C31E2"/>
    <w:rsid w:val="002C3AE2"/>
    <w:rsid w:val="002C4E94"/>
    <w:rsid w:val="002D56AA"/>
    <w:rsid w:val="002E31CF"/>
    <w:rsid w:val="002E62DC"/>
    <w:rsid w:val="002F4AFD"/>
    <w:rsid w:val="00301527"/>
    <w:rsid w:val="00302FFF"/>
    <w:rsid w:val="00303D7B"/>
    <w:rsid w:val="003066B0"/>
    <w:rsid w:val="00307B78"/>
    <w:rsid w:val="00313914"/>
    <w:rsid w:val="0031540D"/>
    <w:rsid w:val="00326690"/>
    <w:rsid w:val="0033561C"/>
    <w:rsid w:val="00335A43"/>
    <w:rsid w:val="00343860"/>
    <w:rsid w:val="00351BFE"/>
    <w:rsid w:val="00355F8A"/>
    <w:rsid w:val="003561EC"/>
    <w:rsid w:val="003607E6"/>
    <w:rsid w:val="00365B16"/>
    <w:rsid w:val="00366DCD"/>
    <w:rsid w:val="003700E6"/>
    <w:rsid w:val="00370753"/>
    <w:rsid w:val="0037141F"/>
    <w:rsid w:val="00380A99"/>
    <w:rsid w:val="00384109"/>
    <w:rsid w:val="003852D2"/>
    <w:rsid w:val="00387FA5"/>
    <w:rsid w:val="003911FC"/>
    <w:rsid w:val="00394F13"/>
    <w:rsid w:val="00395524"/>
    <w:rsid w:val="00396838"/>
    <w:rsid w:val="003B5075"/>
    <w:rsid w:val="003D1D3F"/>
    <w:rsid w:val="003D298D"/>
    <w:rsid w:val="003D5E3C"/>
    <w:rsid w:val="003D777D"/>
    <w:rsid w:val="003E6760"/>
    <w:rsid w:val="003F23AF"/>
    <w:rsid w:val="003F66BA"/>
    <w:rsid w:val="003F74F0"/>
    <w:rsid w:val="00401749"/>
    <w:rsid w:val="00405AC6"/>
    <w:rsid w:val="0040629D"/>
    <w:rsid w:val="00407C80"/>
    <w:rsid w:val="004131F3"/>
    <w:rsid w:val="00420A85"/>
    <w:rsid w:val="0042772C"/>
    <w:rsid w:val="00434963"/>
    <w:rsid w:val="00437CEC"/>
    <w:rsid w:val="00444F91"/>
    <w:rsid w:val="0044760B"/>
    <w:rsid w:val="004654C2"/>
    <w:rsid w:val="00465DCF"/>
    <w:rsid w:val="00466652"/>
    <w:rsid w:val="004708A9"/>
    <w:rsid w:val="00472119"/>
    <w:rsid w:val="00473DB9"/>
    <w:rsid w:val="004757A9"/>
    <w:rsid w:val="004849AE"/>
    <w:rsid w:val="00484D46"/>
    <w:rsid w:val="004869BA"/>
    <w:rsid w:val="0049562C"/>
    <w:rsid w:val="004959C1"/>
    <w:rsid w:val="004A4071"/>
    <w:rsid w:val="004A4C9A"/>
    <w:rsid w:val="004A4D4F"/>
    <w:rsid w:val="004B5402"/>
    <w:rsid w:val="004B544E"/>
    <w:rsid w:val="004B5EA6"/>
    <w:rsid w:val="004B684F"/>
    <w:rsid w:val="004B7D4C"/>
    <w:rsid w:val="004B7EE7"/>
    <w:rsid w:val="004D33B5"/>
    <w:rsid w:val="004D564B"/>
    <w:rsid w:val="004D6E50"/>
    <w:rsid w:val="004D7659"/>
    <w:rsid w:val="004F22DF"/>
    <w:rsid w:val="004F2862"/>
    <w:rsid w:val="004F45FA"/>
    <w:rsid w:val="005206B6"/>
    <w:rsid w:val="005209BB"/>
    <w:rsid w:val="00523505"/>
    <w:rsid w:val="00523C02"/>
    <w:rsid w:val="00535EA6"/>
    <w:rsid w:val="00551150"/>
    <w:rsid w:val="0055156D"/>
    <w:rsid w:val="0055410E"/>
    <w:rsid w:val="00555A08"/>
    <w:rsid w:val="005560E6"/>
    <w:rsid w:val="00556A22"/>
    <w:rsid w:val="0056211C"/>
    <w:rsid w:val="00564ACA"/>
    <w:rsid w:val="00565770"/>
    <w:rsid w:val="00566E21"/>
    <w:rsid w:val="00571751"/>
    <w:rsid w:val="00580D31"/>
    <w:rsid w:val="00586D4F"/>
    <w:rsid w:val="005A3BA2"/>
    <w:rsid w:val="005A7390"/>
    <w:rsid w:val="005B282F"/>
    <w:rsid w:val="005B35EF"/>
    <w:rsid w:val="005B6D24"/>
    <w:rsid w:val="005B6F42"/>
    <w:rsid w:val="005D1685"/>
    <w:rsid w:val="005D23A9"/>
    <w:rsid w:val="005E09E9"/>
    <w:rsid w:val="005F7550"/>
    <w:rsid w:val="00601339"/>
    <w:rsid w:val="00603BA1"/>
    <w:rsid w:val="00611B9C"/>
    <w:rsid w:val="00620B7C"/>
    <w:rsid w:val="006274C8"/>
    <w:rsid w:val="006317EB"/>
    <w:rsid w:val="006335D3"/>
    <w:rsid w:val="006354BF"/>
    <w:rsid w:val="006431E8"/>
    <w:rsid w:val="00644C05"/>
    <w:rsid w:val="00646D94"/>
    <w:rsid w:val="00650701"/>
    <w:rsid w:val="00651292"/>
    <w:rsid w:val="00652064"/>
    <w:rsid w:val="006540E9"/>
    <w:rsid w:val="00654B59"/>
    <w:rsid w:val="00654FF7"/>
    <w:rsid w:val="0066037F"/>
    <w:rsid w:val="00660996"/>
    <w:rsid w:val="00661731"/>
    <w:rsid w:val="0066258B"/>
    <w:rsid w:val="00662626"/>
    <w:rsid w:val="0066429C"/>
    <w:rsid w:val="00674860"/>
    <w:rsid w:val="0067586C"/>
    <w:rsid w:val="0068786C"/>
    <w:rsid w:val="006974D8"/>
    <w:rsid w:val="00697523"/>
    <w:rsid w:val="006A4A33"/>
    <w:rsid w:val="006A604F"/>
    <w:rsid w:val="006B0BCA"/>
    <w:rsid w:val="006C24B0"/>
    <w:rsid w:val="006C50DD"/>
    <w:rsid w:val="006D6169"/>
    <w:rsid w:val="006D6A3F"/>
    <w:rsid w:val="006E4490"/>
    <w:rsid w:val="006E4D59"/>
    <w:rsid w:val="006E7ED9"/>
    <w:rsid w:val="006F4F0B"/>
    <w:rsid w:val="007000D5"/>
    <w:rsid w:val="007108DA"/>
    <w:rsid w:val="00713151"/>
    <w:rsid w:val="0071362A"/>
    <w:rsid w:val="00713B9C"/>
    <w:rsid w:val="0071594A"/>
    <w:rsid w:val="00721DB5"/>
    <w:rsid w:val="00730581"/>
    <w:rsid w:val="007341F1"/>
    <w:rsid w:val="007343EE"/>
    <w:rsid w:val="0073458A"/>
    <w:rsid w:val="00736A37"/>
    <w:rsid w:val="00744FA6"/>
    <w:rsid w:val="00745496"/>
    <w:rsid w:val="00746B98"/>
    <w:rsid w:val="0075112A"/>
    <w:rsid w:val="0075704D"/>
    <w:rsid w:val="00767BE5"/>
    <w:rsid w:val="00773E7D"/>
    <w:rsid w:val="00774F5E"/>
    <w:rsid w:val="00776F74"/>
    <w:rsid w:val="00782E53"/>
    <w:rsid w:val="007831A5"/>
    <w:rsid w:val="00787A69"/>
    <w:rsid w:val="00787ABB"/>
    <w:rsid w:val="007A6B71"/>
    <w:rsid w:val="007B149D"/>
    <w:rsid w:val="007B3BC3"/>
    <w:rsid w:val="007B4491"/>
    <w:rsid w:val="007B76E6"/>
    <w:rsid w:val="007C2666"/>
    <w:rsid w:val="007C3949"/>
    <w:rsid w:val="007C5437"/>
    <w:rsid w:val="007D00B6"/>
    <w:rsid w:val="007D0C89"/>
    <w:rsid w:val="007D1603"/>
    <w:rsid w:val="007D1772"/>
    <w:rsid w:val="007D4593"/>
    <w:rsid w:val="007E07AC"/>
    <w:rsid w:val="007E5705"/>
    <w:rsid w:val="007E5A3F"/>
    <w:rsid w:val="007F270B"/>
    <w:rsid w:val="007F51B8"/>
    <w:rsid w:val="007F59BE"/>
    <w:rsid w:val="00803AD0"/>
    <w:rsid w:val="00812488"/>
    <w:rsid w:val="00813C73"/>
    <w:rsid w:val="008156C6"/>
    <w:rsid w:val="008223B4"/>
    <w:rsid w:val="00823322"/>
    <w:rsid w:val="00834BFD"/>
    <w:rsid w:val="00860048"/>
    <w:rsid w:val="00873A35"/>
    <w:rsid w:val="008768A9"/>
    <w:rsid w:val="00876C2E"/>
    <w:rsid w:val="00895C9A"/>
    <w:rsid w:val="00897205"/>
    <w:rsid w:val="008A0428"/>
    <w:rsid w:val="008A0D98"/>
    <w:rsid w:val="008A47DE"/>
    <w:rsid w:val="008B1551"/>
    <w:rsid w:val="008B5DC5"/>
    <w:rsid w:val="008C2B30"/>
    <w:rsid w:val="008C71F5"/>
    <w:rsid w:val="008D1C91"/>
    <w:rsid w:val="008D6A26"/>
    <w:rsid w:val="008E2991"/>
    <w:rsid w:val="008E3D48"/>
    <w:rsid w:val="00901EF7"/>
    <w:rsid w:val="00910001"/>
    <w:rsid w:val="00914B6A"/>
    <w:rsid w:val="00916B70"/>
    <w:rsid w:val="009174A4"/>
    <w:rsid w:val="00920B19"/>
    <w:rsid w:val="009216E9"/>
    <w:rsid w:val="0092185A"/>
    <w:rsid w:val="00921D7F"/>
    <w:rsid w:val="009350D6"/>
    <w:rsid w:val="009532C8"/>
    <w:rsid w:val="00955278"/>
    <w:rsid w:val="009610EB"/>
    <w:rsid w:val="00962166"/>
    <w:rsid w:val="0096420A"/>
    <w:rsid w:val="00964BDA"/>
    <w:rsid w:val="00976912"/>
    <w:rsid w:val="00993767"/>
    <w:rsid w:val="00995401"/>
    <w:rsid w:val="00996EE2"/>
    <w:rsid w:val="009A2A33"/>
    <w:rsid w:val="009C6AD6"/>
    <w:rsid w:val="009D5069"/>
    <w:rsid w:val="009D6F93"/>
    <w:rsid w:val="009E2556"/>
    <w:rsid w:val="009F14FC"/>
    <w:rsid w:val="00A01FEA"/>
    <w:rsid w:val="00A03FCB"/>
    <w:rsid w:val="00A069DC"/>
    <w:rsid w:val="00A06A48"/>
    <w:rsid w:val="00A15602"/>
    <w:rsid w:val="00A16353"/>
    <w:rsid w:val="00A17022"/>
    <w:rsid w:val="00A27E01"/>
    <w:rsid w:val="00A40CF2"/>
    <w:rsid w:val="00A439DC"/>
    <w:rsid w:val="00A447EB"/>
    <w:rsid w:val="00A56DB2"/>
    <w:rsid w:val="00A71FFF"/>
    <w:rsid w:val="00A86164"/>
    <w:rsid w:val="00A864C7"/>
    <w:rsid w:val="00A90DB9"/>
    <w:rsid w:val="00A91F18"/>
    <w:rsid w:val="00A96483"/>
    <w:rsid w:val="00AA0F42"/>
    <w:rsid w:val="00AA2EDC"/>
    <w:rsid w:val="00AA3F32"/>
    <w:rsid w:val="00AB0D5D"/>
    <w:rsid w:val="00AB4C51"/>
    <w:rsid w:val="00AC4286"/>
    <w:rsid w:val="00AC6C26"/>
    <w:rsid w:val="00AD0780"/>
    <w:rsid w:val="00AD460F"/>
    <w:rsid w:val="00AD635D"/>
    <w:rsid w:val="00AE46FF"/>
    <w:rsid w:val="00AF414B"/>
    <w:rsid w:val="00AF51A7"/>
    <w:rsid w:val="00AF6320"/>
    <w:rsid w:val="00B13D94"/>
    <w:rsid w:val="00B22C02"/>
    <w:rsid w:val="00B242ED"/>
    <w:rsid w:val="00B33495"/>
    <w:rsid w:val="00B4765D"/>
    <w:rsid w:val="00B50AE4"/>
    <w:rsid w:val="00B52B5B"/>
    <w:rsid w:val="00B5559D"/>
    <w:rsid w:val="00B57607"/>
    <w:rsid w:val="00B60CA1"/>
    <w:rsid w:val="00B67A17"/>
    <w:rsid w:val="00B825BE"/>
    <w:rsid w:val="00B97EDC"/>
    <w:rsid w:val="00BA1F5C"/>
    <w:rsid w:val="00BA6B24"/>
    <w:rsid w:val="00BB17E5"/>
    <w:rsid w:val="00BB4F8C"/>
    <w:rsid w:val="00BB5B56"/>
    <w:rsid w:val="00BD01A9"/>
    <w:rsid w:val="00BD199C"/>
    <w:rsid w:val="00BD24BB"/>
    <w:rsid w:val="00BD3DE7"/>
    <w:rsid w:val="00BE0F38"/>
    <w:rsid w:val="00BE154D"/>
    <w:rsid w:val="00C04917"/>
    <w:rsid w:val="00C065CD"/>
    <w:rsid w:val="00C128D9"/>
    <w:rsid w:val="00C15833"/>
    <w:rsid w:val="00C250A0"/>
    <w:rsid w:val="00C25AB3"/>
    <w:rsid w:val="00C276B3"/>
    <w:rsid w:val="00C33328"/>
    <w:rsid w:val="00C34A49"/>
    <w:rsid w:val="00C34CE4"/>
    <w:rsid w:val="00C35FD6"/>
    <w:rsid w:val="00C37479"/>
    <w:rsid w:val="00C43B80"/>
    <w:rsid w:val="00C45C19"/>
    <w:rsid w:val="00C46667"/>
    <w:rsid w:val="00C468B3"/>
    <w:rsid w:val="00C4786A"/>
    <w:rsid w:val="00C518AC"/>
    <w:rsid w:val="00C627D9"/>
    <w:rsid w:val="00C62814"/>
    <w:rsid w:val="00C6531B"/>
    <w:rsid w:val="00C66434"/>
    <w:rsid w:val="00C70287"/>
    <w:rsid w:val="00C7435D"/>
    <w:rsid w:val="00C774F8"/>
    <w:rsid w:val="00C81CB1"/>
    <w:rsid w:val="00C866A0"/>
    <w:rsid w:val="00C94D78"/>
    <w:rsid w:val="00CA0F56"/>
    <w:rsid w:val="00CA41AD"/>
    <w:rsid w:val="00CB107B"/>
    <w:rsid w:val="00CB18D8"/>
    <w:rsid w:val="00CB6B3D"/>
    <w:rsid w:val="00CB6C43"/>
    <w:rsid w:val="00CC0B68"/>
    <w:rsid w:val="00CD0020"/>
    <w:rsid w:val="00CD08C8"/>
    <w:rsid w:val="00CD2283"/>
    <w:rsid w:val="00CD69D4"/>
    <w:rsid w:val="00CE6904"/>
    <w:rsid w:val="00CF400F"/>
    <w:rsid w:val="00CF7670"/>
    <w:rsid w:val="00D02A5F"/>
    <w:rsid w:val="00D053D5"/>
    <w:rsid w:val="00D218A2"/>
    <w:rsid w:val="00D2380E"/>
    <w:rsid w:val="00D26D05"/>
    <w:rsid w:val="00D272DC"/>
    <w:rsid w:val="00D441DF"/>
    <w:rsid w:val="00D44924"/>
    <w:rsid w:val="00D50158"/>
    <w:rsid w:val="00D561CA"/>
    <w:rsid w:val="00D6021F"/>
    <w:rsid w:val="00D607C8"/>
    <w:rsid w:val="00D66A05"/>
    <w:rsid w:val="00D67173"/>
    <w:rsid w:val="00D67E75"/>
    <w:rsid w:val="00D71ED2"/>
    <w:rsid w:val="00D80E08"/>
    <w:rsid w:val="00D81050"/>
    <w:rsid w:val="00D84A26"/>
    <w:rsid w:val="00D86397"/>
    <w:rsid w:val="00D90908"/>
    <w:rsid w:val="00D9207E"/>
    <w:rsid w:val="00D96AF0"/>
    <w:rsid w:val="00DA18DA"/>
    <w:rsid w:val="00DA2D2D"/>
    <w:rsid w:val="00DA4411"/>
    <w:rsid w:val="00DA6961"/>
    <w:rsid w:val="00DB75D5"/>
    <w:rsid w:val="00DC2FBE"/>
    <w:rsid w:val="00DD0594"/>
    <w:rsid w:val="00DD33F1"/>
    <w:rsid w:val="00DE128A"/>
    <w:rsid w:val="00DE184E"/>
    <w:rsid w:val="00DE4473"/>
    <w:rsid w:val="00DE4642"/>
    <w:rsid w:val="00DE4AA8"/>
    <w:rsid w:val="00DE5BB2"/>
    <w:rsid w:val="00DE7872"/>
    <w:rsid w:val="00DF1493"/>
    <w:rsid w:val="00DF264E"/>
    <w:rsid w:val="00DF4B81"/>
    <w:rsid w:val="00DF69DF"/>
    <w:rsid w:val="00DF71E0"/>
    <w:rsid w:val="00E2268A"/>
    <w:rsid w:val="00E23655"/>
    <w:rsid w:val="00E23B96"/>
    <w:rsid w:val="00E26D15"/>
    <w:rsid w:val="00E27244"/>
    <w:rsid w:val="00E40F69"/>
    <w:rsid w:val="00E47417"/>
    <w:rsid w:val="00E5120C"/>
    <w:rsid w:val="00E52611"/>
    <w:rsid w:val="00E56E25"/>
    <w:rsid w:val="00E57903"/>
    <w:rsid w:val="00E60366"/>
    <w:rsid w:val="00E6524F"/>
    <w:rsid w:val="00E659BA"/>
    <w:rsid w:val="00E665AE"/>
    <w:rsid w:val="00E70F84"/>
    <w:rsid w:val="00E720EB"/>
    <w:rsid w:val="00E72904"/>
    <w:rsid w:val="00E75BA4"/>
    <w:rsid w:val="00E80C37"/>
    <w:rsid w:val="00E811EB"/>
    <w:rsid w:val="00E82E69"/>
    <w:rsid w:val="00E91EAB"/>
    <w:rsid w:val="00EA1749"/>
    <w:rsid w:val="00EA4EFB"/>
    <w:rsid w:val="00EB2E86"/>
    <w:rsid w:val="00EB761E"/>
    <w:rsid w:val="00EC6B62"/>
    <w:rsid w:val="00ED017F"/>
    <w:rsid w:val="00ED23F2"/>
    <w:rsid w:val="00EE5623"/>
    <w:rsid w:val="00EF17DB"/>
    <w:rsid w:val="00EF1802"/>
    <w:rsid w:val="00EF4D2B"/>
    <w:rsid w:val="00EF52BF"/>
    <w:rsid w:val="00F0281B"/>
    <w:rsid w:val="00F02E75"/>
    <w:rsid w:val="00F06D63"/>
    <w:rsid w:val="00F13244"/>
    <w:rsid w:val="00F15668"/>
    <w:rsid w:val="00F16528"/>
    <w:rsid w:val="00F2646D"/>
    <w:rsid w:val="00F27BFA"/>
    <w:rsid w:val="00F300FB"/>
    <w:rsid w:val="00F35952"/>
    <w:rsid w:val="00F37277"/>
    <w:rsid w:val="00F409CC"/>
    <w:rsid w:val="00F4270B"/>
    <w:rsid w:val="00F572B7"/>
    <w:rsid w:val="00F62177"/>
    <w:rsid w:val="00F6643B"/>
    <w:rsid w:val="00F708C6"/>
    <w:rsid w:val="00F71D08"/>
    <w:rsid w:val="00F76271"/>
    <w:rsid w:val="00F917D1"/>
    <w:rsid w:val="00F932A9"/>
    <w:rsid w:val="00F93FE5"/>
    <w:rsid w:val="00FA6C87"/>
    <w:rsid w:val="00FA6DDF"/>
    <w:rsid w:val="00FB0167"/>
    <w:rsid w:val="00FB46D6"/>
    <w:rsid w:val="00FB4A53"/>
    <w:rsid w:val="00FB6F0F"/>
    <w:rsid w:val="00FC0324"/>
    <w:rsid w:val="00FC2ACD"/>
    <w:rsid w:val="00FC6762"/>
    <w:rsid w:val="00FC7F99"/>
    <w:rsid w:val="00FD1BD7"/>
    <w:rsid w:val="00FD28CD"/>
    <w:rsid w:val="00FD7550"/>
    <w:rsid w:val="00FE52F5"/>
    <w:rsid w:val="00FE5F6D"/>
    <w:rsid w:val="00FE77FE"/>
    <w:rsid w:val="00FE7CBE"/>
    <w:rsid w:val="00FF311C"/>
    <w:rsid w:val="00FF387B"/>
    <w:rsid w:val="00FF55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DEB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1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DA Numbered heading 1"/>
    <w:basedOn w:val="Normal"/>
    <w:next w:val="Normal"/>
    <w:link w:val="Heading2Char"/>
    <w:uiPriority w:val="9"/>
    <w:unhideWhenUsed/>
    <w:qFormat/>
    <w:rsid w:val="001007C1"/>
    <w:pPr>
      <w:numPr>
        <w:numId w:val="3"/>
      </w:numPr>
      <w:pBdr>
        <w:bottom w:val="single" w:sz="4" w:space="10" w:color="CF5D27"/>
      </w:pBdr>
      <w:spacing w:before="800" w:after="280" w:line="240" w:lineRule="auto"/>
      <w:outlineLvl w:val="1"/>
    </w:pPr>
    <w:rPr>
      <w:rFonts w:ascii="Calibri" w:eastAsiaTheme="majorEastAsia" w:hAnsi="Calibri" w:cstheme="majorBidi"/>
      <w:b/>
      <w:bCs/>
      <w:color w:val="757575"/>
      <w:sz w:val="50"/>
      <w:szCs w:val="26"/>
    </w:rPr>
  </w:style>
  <w:style w:type="paragraph" w:styleId="Heading3">
    <w:name w:val="heading 3"/>
    <w:basedOn w:val="Normal"/>
    <w:next w:val="Normal"/>
    <w:link w:val="Heading3Char"/>
    <w:uiPriority w:val="9"/>
    <w:unhideWhenUsed/>
    <w:qFormat/>
    <w:rsid w:val="00914B6A"/>
    <w:pPr>
      <w:keepNext/>
      <w:keepLines/>
      <w:spacing w:before="200" w:after="0" w:line="240" w:lineRule="auto"/>
      <w:ind w:left="720" w:hanging="720"/>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9"/>
    <w:unhideWhenUsed/>
    <w:qFormat/>
    <w:rsid w:val="00914B6A"/>
    <w:pPr>
      <w:keepNext/>
      <w:keepLines/>
      <w:numPr>
        <w:ilvl w:val="3"/>
        <w:numId w:val="3"/>
      </w:numPr>
      <w:spacing w:before="200" w:after="0" w:line="240" w:lineRule="auto"/>
      <w:outlineLvl w:val="3"/>
    </w:pPr>
    <w:rPr>
      <w:rFonts w:asciiTheme="majorHAnsi" w:eastAsiaTheme="majorEastAsia" w:hAnsiTheme="majorHAnsi" w:cstheme="majorBidi"/>
      <w:b/>
      <w:bCs/>
      <w:i/>
      <w:iCs/>
      <w:color w:val="4F81BD" w:themeColor="accent1"/>
      <w:sz w:val="24"/>
    </w:rPr>
  </w:style>
  <w:style w:type="paragraph" w:styleId="Heading5">
    <w:name w:val="heading 5"/>
    <w:basedOn w:val="Normal"/>
    <w:next w:val="Normal"/>
    <w:link w:val="Heading5Char"/>
    <w:uiPriority w:val="9"/>
    <w:unhideWhenUsed/>
    <w:qFormat/>
    <w:rsid w:val="00914B6A"/>
    <w:pPr>
      <w:keepNext/>
      <w:keepLines/>
      <w:numPr>
        <w:ilvl w:val="4"/>
        <w:numId w:val="3"/>
      </w:numPr>
      <w:spacing w:before="200" w:after="0" w:line="240" w:lineRule="auto"/>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unhideWhenUsed/>
    <w:qFormat/>
    <w:rsid w:val="00914B6A"/>
    <w:pPr>
      <w:keepNext/>
      <w:keepLines/>
      <w:numPr>
        <w:ilvl w:val="5"/>
        <w:numId w:val="3"/>
      </w:numPr>
      <w:spacing w:before="200" w:after="0" w:line="240" w:lineRule="auto"/>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914B6A"/>
    <w:pPr>
      <w:keepNext/>
      <w:keepLines/>
      <w:numPr>
        <w:ilvl w:val="6"/>
        <w:numId w:val="3"/>
      </w:numPr>
      <w:spacing w:before="200" w:after="0" w:line="240" w:lineRule="auto"/>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914B6A"/>
    <w:pPr>
      <w:keepNext/>
      <w:keepLines/>
      <w:numPr>
        <w:ilvl w:val="7"/>
        <w:numId w:val="3"/>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14B6A"/>
    <w:pPr>
      <w:keepNext/>
      <w:keepLines/>
      <w:numPr>
        <w:ilvl w:val="8"/>
        <w:numId w:val="3"/>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FSbodytext">
    <w:name w:val="PIFS body text"/>
    <w:basedOn w:val="Normal"/>
    <w:link w:val="PIFSbodytextChar"/>
    <w:rsid w:val="00E91EAB"/>
    <w:pPr>
      <w:spacing w:before="160" w:after="160" w:line="240" w:lineRule="auto"/>
      <w:jc w:val="both"/>
    </w:pPr>
    <w:rPr>
      <w:rFonts w:ascii="Arial" w:eastAsia="Arial" w:hAnsi="Arial" w:cs="Arial"/>
      <w:color w:val="000000"/>
      <w:lang w:val="en-US"/>
    </w:rPr>
  </w:style>
  <w:style w:type="character" w:customStyle="1" w:styleId="PIFSbodytextChar">
    <w:name w:val="PIFS body text Char"/>
    <w:basedOn w:val="DefaultParagraphFont"/>
    <w:link w:val="PIFSbodytext"/>
    <w:rsid w:val="00E91EAB"/>
    <w:rPr>
      <w:rFonts w:ascii="Arial" w:eastAsia="Arial" w:hAnsi="Arial" w:cs="Arial"/>
      <w:color w:val="000000"/>
      <w:lang w:val="en-US"/>
    </w:rPr>
  </w:style>
  <w:style w:type="paragraph" w:customStyle="1" w:styleId="PIFSbulletlist">
    <w:name w:val="PIFS bullet list"/>
    <w:basedOn w:val="ListParagraph"/>
    <w:link w:val="PIFSbulletlistChar"/>
    <w:rsid w:val="00E91EAB"/>
    <w:pPr>
      <w:numPr>
        <w:numId w:val="2"/>
      </w:numPr>
      <w:spacing w:after="0" w:line="240" w:lineRule="auto"/>
    </w:pPr>
    <w:rPr>
      <w:rFonts w:ascii="Arial" w:eastAsia="Arial" w:hAnsi="Arial" w:cs="Arial"/>
      <w:color w:val="000000"/>
      <w:lang w:val="en-US"/>
    </w:rPr>
  </w:style>
  <w:style w:type="character" w:customStyle="1" w:styleId="PIFSbulletlistChar">
    <w:name w:val="PIFS bullet list Char"/>
    <w:basedOn w:val="DefaultParagraphFont"/>
    <w:link w:val="PIFSbulletlist"/>
    <w:rsid w:val="00E91EAB"/>
    <w:rPr>
      <w:rFonts w:ascii="Arial" w:eastAsia="Arial" w:hAnsi="Arial" w:cs="Arial"/>
      <w:color w:val="000000"/>
      <w:lang w:val="en-US"/>
    </w:rPr>
  </w:style>
  <w:style w:type="paragraph" w:styleId="ListParagraph">
    <w:name w:val="List Paragraph"/>
    <w:aliases w:val="1st level - Bullet List Paragraph,Paragrafo elenco,List Paragraph1"/>
    <w:basedOn w:val="Normal"/>
    <w:link w:val="ListParagraphChar"/>
    <w:uiPriority w:val="34"/>
    <w:qFormat/>
    <w:rsid w:val="00E91EAB"/>
    <w:pPr>
      <w:ind w:left="720"/>
      <w:contextualSpacing/>
    </w:pPr>
  </w:style>
  <w:style w:type="paragraph" w:customStyle="1" w:styleId="PIFSheading1">
    <w:name w:val="PIFS heading 1"/>
    <w:basedOn w:val="Heading1"/>
    <w:link w:val="PIFSheading1Char"/>
    <w:rsid w:val="00E91EAB"/>
    <w:pPr>
      <w:keepLines w:val="0"/>
      <w:numPr>
        <w:numId w:val="1"/>
      </w:numPr>
      <w:spacing w:before="400" w:after="200" w:line="240" w:lineRule="auto"/>
      <w:jc w:val="both"/>
    </w:pPr>
    <w:rPr>
      <w:rFonts w:ascii="Arial" w:eastAsia="Arial Black" w:hAnsi="Arial" w:cs="Arial Black"/>
      <w:bCs w:val="0"/>
      <w:color w:val="000000"/>
      <w:lang w:val="en-US"/>
    </w:rPr>
  </w:style>
  <w:style w:type="character" w:customStyle="1" w:styleId="PIFSheading1Char">
    <w:name w:val="PIFS heading 1 Char"/>
    <w:basedOn w:val="Heading1Char"/>
    <w:link w:val="PIFSheading1"/>
    <w:rsid w:val="00E91EAB"/>
    <w:rPr>
      <w:rFonts w:ascii="Arial" w:eastAsia="Arial Black" w:hAnsi="Arial" w:cs="Arial Black"/>
      <w:b/>
      <w:bCs w:val="0"/>
      <w:color w:val="000000"/>
      <w:sz w:val="28"/>
      <w:szCs w:val="28"/>
      <w:lang w:val="en-US"/>
    </w:rPr>
  </w:style>
  <w:style w:type="character" w:customStyle="1" w:styleId="Heading1Char">
    <w:name w:val="Heading 1 Char"/>
    <w:basedOn w:val="DefaultParagraphFont"/>
    <w:link w:val="Heading1"/>
    <w:uiPriority w:val="9"/>
    <w:rsid w:val="00E91EAB"/>
    <w:rPr>
      <w:rFonts w:asciiTheme="majorHAnsi" w:eastAsiaTheme="majorEastAsia" w:hAnsiTheme="majorHAnsi" w:cstheme="majorBidi"/>
      <w:b/>
      <w:bCs/>
      <w:color w:val="365F91" w:themeColor="accent1" w:themeShade="BF"/>
      <w:sz w:val="28"/>
      <w:szCs w:val="28"/>
    </w:rPr>
  </w:style>
  <w:style w:type="paragraph" w:customStyle="1" w:styleId="PIFSheading2">
    <w:name w:val="PIFS heading 2"/>
    <w:basedOn w:val="Normal"/>
    <w:link w:val="PIFSheading2Char"/>
    <w:rsid w:val="00E91EAB"/>
    <w:pPr>
      <w:spacing w:before="300" w:after="120" w:line="240" w:lineRule="auto"/>
      <w:ind w:left="1843" w:hanging="1843"/>
      <w:jc w:val="both"/>
    </w:pPr>
    <w:rPr>
      <w:rFonts w:ascii="Arial" w:eastAsia="Arial" w:hAnsi="Arial" w:cs="Arial"/>
      <w:b/>
      <w:color w:val="000000"/>
      <w:lang w:val="en-US"/>
    </w:rPr>
  </w:style>
  <w:style w:type="character" w:customStyle="1" w:styleId="PIFSheading2Char">
    <w:name w:val="PIFS heading 2 Char"/>
    <w:basedOn w:val="DefaultParagraphFont"/>
    <w:link w:val="PIFSheading2"/>
    <w:rsid w:val="00E91EAB"/>
    <w:rPr>
      <w:rFonts w:ascii="Arial" w:eastAsia="Arial" w:hAnsi="Arial" w:cs="Arial"/>
      <w:b/>
      <w:color w:val="000000"/>
      <w:lang w:val="en-US"/>
    </w:rPr>
  </w:style>
  <w:style w:type="paragraph" w:customStyle="1" w:styleId="PIFSheading3">
    <w:name w:val="PIFS heading 3"/>
    <w:basedOn w:val="Normal"/>
    <w:link w:val="PIFSheading3Char"/>
    <w:rsid w:val="00E91EAB"/>
    <w:pPr>
      <w:spacing w:before="300" w:line="240" w:lineRule="auto"/>
      <w:ind w:left="1843" w:hanging="1843"/>
      <w:jc w:val="both"/>
    </w:pPr>
    <w:rPr>
      <w:rFonts w:ascii="Arial" w:eastAsia="Arial" w:hAnsi="Arial" w:cs="Arial"/>
      <w:b/>
      <w:color w:val="000000"/>
      <w:lang w:val="en-US"/>
    </w:rPr>
  </w:style>
  <w:style w:type="character" w:customStyle="1" w:styleId="PIFSheading3Char">
    <w:name w:val="PIFS heading 3 Char"/>
    <w:basedOn w:val="DefaultParagraphFont"/>
    <w:link w:val="PIFSheading3"/>
    <w:rsid w:val="00E91EAB"/>
    <w:rPr>
      <w:rFonts w:ascii="Arial" w:eastAsia="Arial" w:hAnsi="Arial" w:cs="Arial"/>
      <w:b/>
      <w:color w:val="000000"/>
      <w:lang w:val="en-US"/>
    </w:rPr>
  </w:style>
  <w:style w:type="paragraph" w:customStyle="1" w:styleId="PIFSquotation">
    <w:name w:val="PIFS quotation"/>
    <w:basedOn w:val="Normal"/>
    <w:link w:val="PIFSquotationChar"/>
    <w:rsid w:val="00E91EAB"/>
    <w:pPr>
      <w:spacing w:line="240" w:lineRule="auto"/>
      <w:ind w:left="1559" w:right="1933"/>
      <w:jc w:val="both"/>
    </w:pPr>
    <w:rPr>
      <w:rFonts w:ascii="Arial" w:eastAsia="Arial" w:hAnsi="Arial" w:cs="Arial"/>
      <w:color w:val="000000"/>
      <w:lang w:val="en-US"/>
    </w:rPr>
  </w:style>
  <w:style w:type="character" w:customStyle="1" w:styleId="PIFSquotationChar">
    <w:name w:val="PIFS quotation Char"/>
    <w:basedOn w:val="DefaultParagraphFont"/>
    <w:link w:val="PIFSquotation"/>
    <w:rsid w:val="00E91EAB"/>
    <w:rPr>
      <w:rFonts w:ascii="Arial" w:eastAsia="Arial" w:hAnsi="Arial" w:cs="Arial"/>
      <w:color w:val="000000"/>
      <w:lang w:val="en-US"/>
    </w:rPr>
  </w:style>
  <w:style w:type="paragraph" w:customStyle="1" w:styleId="PIFStablebullets">
    <w:name w:val="PIFS table bullets"/>
    <w:basedOn w:val="PIFSbulletlist"/>
    <w:link w:val="PIFStablebulletsChar"/>
    <w:rsid w:val="00E91EAB"/>
    <w:pPr>
      <w:numPr>
        <w:numId w:val="0"/>
      </w:numPr>
      <w:spacing w:before="60" w:after="60"/>
      <w:contextualSpacing w:val="0"/>
    </w:pPr>
    <w:rPr>
      <w:sz w:val="18"/>
      <w:szCs w:val="18"/>
    </w:rPr>
  </w:style>
  <w:style w:type="character" w:customStyle="1" w:styleId="PIFStablebulletsChar">
    <w:name w:val="PIFS table bullets Char"/>
    <w:basedOn w:val="PIFSbulletlistChar"/>
    <w:link w:val="PIFStablebullets"/>
    <w:rsid w:val="00E91EAB"/>
    <w:rPr>
      <w:rFonts w:ascii="Arial" w:eastAsia="Arial" w:hAnsi="Arial" w:cs="Arial"/>
      <w:color w:val="000000"/>
      <w:sz w:val="18"/>
      <w:szCs w:val="18"/>
      <w:lang w:val="en-US"/>
    </w:rPr>
  </w:style>
  <w:style w:type="paragraph" w:customStyle="1" w:styleId="PIFStableheading">
    <w:name w:val="PIFS table heading"/>
    <w:basedOn w:val="PIFSheading3"/>
    <w:link w:val="PIFStableheadingChar"/>
    <w:rsid w:val="00E91EAB"/>
    <w:pPr>
      <w:spacing w:before="60" w:after="60"/>
      <w:jc w:val="center"/>
    </w:pPr>
    <w:rPr>
      <w:sz w:val="20"/>
      <w:szCs w:val="20"/>
    </w:rPr>
  </w:style>
  <w:style w:type="character" w:customStyle="1" w:styleId="PIFStableheadingChar">
    <w:name w:val="PIFS table heading Char"/>
    <w:basedOn w:val="PIFSheading3Char"/>
    <w:link w:val="PIFStableheading"/>
    <w:rsid w:val="00E91EAB"/>
    <w:rPr>
      <w:rFonts w:ascii="Arial" w:eastAsia="Arial" w:hAnsi="Arial" w:cs="Arial"/>
      <w:b/>
      <w:color w:val="000000"/>
      <w:sz w:val="20"/>
      <w:szCs w:val="20"/>
      <w:lang w:val="en-US"/>
    </w:rPr>
  </w:style>
  <w:style w:type="paragraph" w:customStyle="1" w:styleId="PIFStabletext">
    <w:name w:val="PIFS table text"/>
    <w:basedOn w:val="PIFStableheading"/>
    <w:link w:val="PIFStabletextChar"/>
    <w:rsid w:val="00E91EAB"/>
    <w:pPr>
      <w:jc w:val="left"/>
    </w:pPr>
    <w:rPr>
      <w:b w:val="0"/>
      <w:sz w:val="18"/>
    </w:rPr>
  </w:style>
  <w:style w:type="character" w:customStyle="1" w:styleId="PIFStabletextChar">
    <w:name w:val="PIFS table text Char"/>
    <w:basedOn w:val="PIFStableheadingChar"/>
    <w:link w:val="PIFStabletext"/>
    <w:rsid w:val="00E91EAB"/>
    <w:rPr>
      <w:rFonts w:ascii="Arial" w:eastAsia="Arial" w:hAnsi="Arial" w:cs="Arial"/>
      <w:b w:val="0"/>
      <w:color w:val="000000"/>
      <w:sz w:val="18"/>
      <w:szCs w:val="20"/>
      <w:lang w:val="en-US"/>
    </w:rPr>
  </w:style>
  <w:style w:type="paragraph" w:customStyle="1" w:styleId="PIFStitlepage">
    <w:name w:val="PIFS title page"/>
    <w:basedOn w:val="Normal"/>
    <w:link w:val="PIFStitlepageChar"/>
    <w:rsid w:val="00E91EAB"/>
    <w:pPr>
      <w:tabs>
        <w:tab w:val="center" w:pos="4320"/>
        <w:tab w:val="right" w:pos="8640"/>
      </w:tabs>
      <w:spacing w:line="240" w:lineRule="auto"/>
      <w:jc w:val="center"/>
    </w:pPr>
    <w:rPr>
      <w:rFonts w:ascii="Arial" w:eastAsia="Arial" w:hAnsi="Arial" w:cs="Arial"/>
      <w:b/>
      <w:color w:val="000000"/>
      <w:sz w:val="40"/>
      <w:lang w:val="en-US"/>
    </w:rPr>
  </w:style>
  <w:style w:type="character" w:customStyle="1" w:styleId="PIFStitlepageChar">
    <w:name w:val="PIFS title page Char"/>
    <w:basedOn w:val="DefaultParagraphFont"/>
    <w:link w:val="PIFStitlepage"/>
    <w:rsid w:val="00E91EAB"/>
    <w:rPr>
      <w:rFonts w:ascii="Arial" w:eastAsia="Arial" w:hAnsi="Arial" w:cs="Arial"/>
      <w:b/>
      <w:color w:val="000000"/>
      <w:sz w:val="40"/>
      <w:lang w:val="en-US"/>
    </w:rPr>
  </w:style>
  <w:style w:type="character" w:customStyle="1" w:styleId="Heading3Char">
    <w:name w:val="Heading 3 Char"/>
    <w:basedOn w:val="DefaultParagraphFont"/>
    <w:link w:val="Heading3"/>
    <w:uiPriority w:val="9"/>
    <w:rsid w:val="00914B6A"/>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914B6A"/>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914B6A"/>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914B6A"/>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14B6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14B6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14B6A"/>
    <w:rPr>
      <w:rFonts w:asciiTheme="majorHAnsi" w:eastAsiaTheme="majorEastAsia" w:hAnsiTheme="majorHAnsi" w:cstheme="majorBidi"/>
      <w:i/>
      <w:iCs/>
      <w:color w:val="404040" w:themeColor="text1" w:themeTint="BF"/>
      <w:sz w:val="20"/>
      <w:szCs w:val="20"/>
    </w:rPr>
  </w:style>
  <w:style w:type="paragraph" w:customStyle="1" w:styleId="NumberedParas1cmindent">
    <w:name w:val="Numbered Paras 1cm indent"/>
    <w:basedOn w:val="Heading1"/>
    <w:next w:val="Normal"/>
    <w:rsid w:val="00914B6A"/>
    <w:pPr>
      <w:keepNext w:val="0"/>
      <w:keepLines w:val="0"/>
      <w:spacing w:before="0" w:after="160" w:line="240" w:lineRule="auto"/>
      <w:ind w:left="432" w:hanging="432"/>
    </w:pPr>
    <w:rPr>
      <w:rFonts w:asciiTheme="minorHAnsi" w:eastAsia="Calibri" w:hAnsiTheme="minorHAnsi" w:cstheme="minorHAnsi"/>
      <w:b w:val="0"/>
      <w:bCs w:val="0"/>
      <w:color w:val="auto"/>
      <w:sz w:val="24"/>
      <w:szCs w:val="24"/>
    </w:rPr>
  </w:style>
  <w:style w:type="paragraph" w:customStyle="1" w:styleId="11Style">
    <w:name w:val="1.1 Style"/>
    <w:basedOn w:val="Heading2"/>
    <w:link w:val="11StyleChar"/>
    <w:qFormat/>
    <w:rsid w:val="00914B6A"/>
    <w:pPr>
      <w:numPr>
        <w:numId w:val="0"/>
      </w:numPr>
      <w:spacing w:after="160"/>
      <w:ind w:left="1418" w:hanging="851"/>
    </w:pPr>
    <w:rPr>
      <w:rFonts w:eastAsia="Calibri" w:cstheme="minorHAnsi"/>
      <w:b w:val="0"/>
      <w:bCs w:val="0"/>
      <w:noProof/>
      <w:sz w:val="24"/>
      <w:szCs w:val="24"/>
      <w:lang w:eastAsia="en-AU"/>
    </w:rPr>
  </w:style>
  <w:style w:type="character" w:customStyle="1" w:styleId="11StyleChar">
    <w:name w:val="1.1 Style Char"/>
    <w:basedOn w:val="Heading2Char"/>
    <w:link w:val="11Style"/>
    <w:rsid w:val="00914B6A"/>
    <w:rPr>
      <w:rFonts w:ascii="Calibri" w:eastAsia="Calibri" w:hAnsi="Calibri" w:cstheme="minorHAnsi"/>
      <w:b w:val="0"/>
      <w:bCs w:val="0"/>
      <w:noProof/>
      <w:color w:val="757575"/>
      <w:sz w:val="24"/>
      <w:szCs w:val="24"/>
      <w:lang w:eastAsia="en-AU"/>
    </w:rPr>
  </w:style>
  <w:style w:type="character" w:customStyle="1" w:styleId="Heading2Char">
    <w:name w:val="Heading 2 Char"/>
    <w:aliases w:val="SDA Numbered heading 1 Char"/>
    <w:basedOn w:val="DefaultParagraphFont"/>
    <w:link w:val="Heading2"/>
    <w:uiPriority w:val="9"/>
    <w:rsid w:val="001007C1"/>
    <w:rPr>
      <w:rFonts w:ascii="Calibri" w:eastAsiaTheme="majorEastAsia" w:hAnsi="Calibri" w:cstheme="majorBidi"/>
      <w:b/>
      <w:bCs/>
      <w:color w:val="757575"/>
      <w:sz w:val="50"/>
      <w:szCs w:val="26"/>
    </w:rPr>
  </w:style>
  <w:style w:type="paragraph" w:customStyle="1" w:styleId="Proutbodytext">
    <w:name w:val="Prout body text"/>
    <w:basedOn w:val="Normal"/>
    <w:link w:val="ProutbodytextChar"/>
    <w:rsid w:val="00914B6A"/>
    <w:pPr>
      <w:autoSpaceDE w:val="0"/>
      <w:autoSpaceDN w:val="0"/>
      <w:adjustRightInd w:val="0"/>
    </w:pPr>
    <w:rPr>
      <w:rFonts w:ascii="Calibri" w:eastAsia="Calibri" w:hAnsi="Calibri" w:cs="Arial"/>
      <w:sz w:val="18"/>
      <w:szCs w:val="20"/>
    </w:rPr>
  </w:style>
  <w:style w:type="character" w:customStyle="1" w:styleId="ProutbodytextChar">
    <w:name w:val="Prout body text Char"/>
    <w:basedOn w:val="DefaultParagraphFont"/>
    <w:link w:val="Proutbodytext"/>
    <w:rsid w:val="00914B6A"/>
    <w:rPr>
      <w:rFonts w:ascii="Calibri" w:eastAsia="Calibri" w:hAnsi="Calibri" w:cs="Arial"/>
      <w:sz w:val="18"/>
      <w:szCs w:val="20"/>
    </w:rPr>
  </w:style>
  <w:style w:type="paragraph" w:customStyle="1" w:styleId="Proutnumberedheading2ndlevel">
    <w:name w:val="Prout numbered heading 2nd level"/>
    <w:basedOn w:val="Normal"/>
    <w:link w:val="Proutnumberedheading2ndlevelChar"/>
    <w:rsid w:val="00914B6A"/>
    <w:pPr>
      <w:spacing w:after="160" w:line="240" w:lineRule="auto"/>
      <w:ind w:left="709" w:hanging="709"/>
      <w:outlineLvl w:val="1"/>
    </w:pPr>
    <w:rPr>
      <w:rFonts w:eastAsia="Calibri" w:cstheme="minorHAnsi"/>
      <w:b/>
      <w:noProof/>
      <w:sz w:val="20"/>
      <w:szCs w:val="20"/>
      <w:lang w:eastAsia="en-AU"/>
    </w:rPr>
  </w:style>
  <w:style w:type="character" w:customStyle="1" w:styleId="Proutnumberedheading2ndlevelChar">
    <w:name w:val="Prout numbered heading 2nd level Char"/>
    <w:basedOn w:val="DefaultParagraphFont"/>
    <w:link w:val="Proutnumberedheading2ndlevel"/>
    <w:rsid w:val="00914B6A"/>
    <w:rPr>
      <w:rFonts w:eastAsia="Calibri" w:cstheme="minorHAnsi"/>
      <w:b/>
      <w:noProof/>
      <w:sz w:val="20"/>
      <w:szCs w:val="20"/>
      <w:lang w:eastAsia="en-AU"/>
    </w:rPr>
  </w:style>
  <w:style w:type="paragraph" w:customStyle="1" w:styleId="Proutnumberredheadinglevel3">
    <w:name w:val="Prout numberred heading level 3"/>
    <w:basedOn w:val="Proutnumberedheading2ndlevel"/>
    <w:link w:val="Proutnumberredheadinglevel3Char"/>
    <w:rsid w:val="00914B6A"/>
    <w:pPr>
      <w:ind w:left="720" w:hanging="720"/>
    </w:pPr>
  </w:style>
  <w:style w:type="character" w:customStyle="1" w:styleId="Proutnumberredheadinglevel3Char">
    <w:name w:val="Prout numberred heading level 3 Char"/>
    <w:basedOn w:val="Proutnumberedheading2ndlevelChar"/>
    <w:link w:val="Proutnumberredheadinglevel3"/>
    <w:rsid w:val="00914B6A"/>
    <w:rPr>
      <w:rFonts w:eastAsia="Calibri" w:cstheme="minorHAnsi"/>
      <w:b/>
      <w:noProof/>
      <w:sz w:val="20"/>
      <w:szCs w:val="20"/>
      <w:lang w:eastAsia="en-AU"/>
    </w:rPr>
  </w:style>
  <w:style w:type="paragraph" w:styleId="Header">
    <w:name w:val="header"/>
    <w:basedOn w:val="Normal"/>
    <w:link w:val="HeaderChar"/>
    <w:uiPriority w:val="99"/>
    <w:unhideWhenUsed/>
    <w:rsid w:val="00D60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21F"/>
  </w:style>
  <w:style w:type="paragraph" w:styleId="Footer">
    <w:name w:val="footer"/>
    <w:basedOn w:val="Normal"/>
    <w:link w:val="FooterChar"/>
    <w:uiPriority w:val="99"/>
    <w:unhideWhenUsed/>
    <w:qFormat/>
    <w:rsid w:val="00D60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21F"/>
  </w:style>
  <w:style w:type="paragraph" w:styleId="NoSpacing">
    <w:name w:val="No Spacing"/>
    <w:link w:val="NoSpacingChar"/>
    <w:uiPriority w:val="1"/>
    <w:unhideWhenUsed/>
    <w:qFormat/>
    <w:rsid w:val="00773E7D"/>
    <w:pPr>
      <w:spacing w:after="0" w:line="240" w:lineRule="auto"/>
    </w:pPr>
    <w:rPr>
      <w:color w:val="404040" w:themeColor="text1" w:themeTint="BF"/>
      <w:sz w:val="20"/>
      <w:szCs w:val="20"/>
      <w:lang w:val="en-US" w:eastAsia="ja-JP"/>
    </w:rPr>
  </w:style>
  <w:style w:type="character" w:customStyle="1" w:styleId="NoSpacingChar">
    <w:name w:val="No Spacing Char"/>
    <w:basedOn w:val="DefaultParagraphFont"/>
    <w:link w:val="NoSpacing"/>
    <w:uiPriority w:val="1"/>
    <w:rsid w:val="00773E7D"/>
    <w:rPr>
      <w:color w:val="404040" w:themeColor="text1" w:themeTint="BF"/>
      <w:sz w:val="20"/>
      <w:szCs w:val="20"/>
      <w:lang w:val="en-US" w:eastAsia="ja-JP"/>
    </w:rPr>
  </w:style>
  <w:style w:type="paragraph" w:customStyle="1" w:styleId="Organization">
    <w:name w:val="Organization"/>
    <w:basedOn w:val="Normal"/>
    <w:uiPriority w:val="2"/>
    <w:qFormat/>
    <w:rsid w:val="00773E7D"/>
    <w:pPr>
      <w:spacing w:after="60" w:line="240" w:lineRule="auto"/>
      <w:ind w:left="29" w:right="29"/>
    </w:pPr>
    <w:rPr>
      <w:b/>
      <w:bCs/>
      <w:color w:val="4F81BD" w:themeColor="accent1"/>
      <w:sz w:val="36"/>
      <w:szCs w:val="20"/>
      <w:lang w:val="en-US" w:eastAsia="ja-JP"/>
    </w:rPr>
  </w:style>
  <w:style w:type="paragraph" w:styleId="BalloonText">
    <w:name w:val="Balloon Text"/>
    <w:basedOn w:val="Normal"/>
    <w:link w:val="BalloonTextChar"/>
    <w:uiPriority w:val="99"/>
    <w:semiHidden/>
    <w:unhideWhenUsed/>
    <w:rsid w:val="00773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E7D"/>
    <w:rPr>
      <w:rFonts w:ascii="Tahoma" w:hAnsi="Tahoma" w:cs="Tahoma"/>
      <w:sz w:val="16"/>
      <w:szCs w:val="16"/>
    </w:rPr>
  </w:style>
  <w:style w:type="character" w:styleId="Strong">
    <w:name w:val="Strong"/>
    <w:basedOn w:val="DefaultParagraphFont"/>
    <w:uiPriority w:val="22"/>
    <w:qFormat/>
    <w:rsid w:val="007E07AC"/>
    <w:rPr>
      <w:b/>
      <w:bCs/>
    </w:rPr>
  </w:style>
  <w:style w:type="paragraph" w:customStyle="1" w:styleId="SDAHeading1">
    <w:name w:val="SDA Heading 1"/>
    <w:basedOn w:val="Normal"/>
    <w:link w:val="SDAHeading1Char"/>
    <w:qFormat/>
    <w:rsid w:val="001B3ECA"/>
    <w:pPr>
      <w:pageBreakBefore/>
      <w:pBdr>
        <w:bottom w:val="single" w:sz="4" w:space="10" w:color="C9916C"/>
      </w:pBdr>
      <w:spacing w:before="1200" w:line="240" w:lineRule="auto"/>
    </w:pPr>
    <w:rPr>
      <w:b/>
      <w:smallCaps/>
      <w:color w:val="CF5D27"/>
      <w:sz w:val="60"/>
      <w:szCs w:val="60"/>
    </w:rPr>
  </w:style>
  <w:style w:type="paragraph" w:customStyle="1" w:styleId="SDAbodytext">
    <w:name w:val="SDA body text"/>
    <w:basedOn w:val="Normal"/>
    <w:link w:val="SDAbodytextChar"/>
    <w:qFormat/>
    <w:rsid w:val="001007C1"/>
    <w:pPr>
      <w:spacing w:before="120" w:after="120" w:line="240" w:lineRule="auto"/>
    </w:pPr>
  </w:style>
  <w:style w:type="character" w:customStyle="1" w:styleId="SDAHeading1Char">
    <w:name w:val="SDA Heading 1 Char"/>
    <w:basedOn w:val="DefaultParagraphFont"/>
    <w:link w:val="SDAHeading1"/>
    <w:rsid w:val="001B3ECA"/>
    <w:rPr>
      <w:b/>
      <w:smallCaps/>
      <w:color w:val="CF5D27"/>
      <w:sz w:val="60"/>
      <w:szCs w:val="60"/>
    </w:rPr>
  </w:style>
  <w:style w:type="paragraph" w:customStyle="1" w:styleId="STANumberedheading2">
    <w:name w:val="STA Numbered heading 2"/>
    <w:basedOn w:val="Proutnumberedheading2ndlevel"/>
    <w:link w:val="STANumberedheading2Char"/>
    <w:rsid w:val="00084F54"/>
    <w:pPr>
      <w:numPr>
        <w:ilvl w:val="1"/>
        <w:numId w:val="3"/>
      </w:numPr>
      <w:ind w:left="567"/>
    </w:pPr>
    <w:rPr>
      <w:color w:val="757575"/>
      <w:sz w:val="30"/>
      <w:szCs w:val="30"/>
    </w:rPr>
  </w:style>
  <w:style w:type="character" w:customStyle="1" w:styleId="SDAbodytextChar">
    <w:name w:val="SDA body text Char"/>
    <w:basedOn w:val="DefaultParagraphFont"/>
    <w:link w:val="SDAbodytext"/>
    <w:rsid w:val="001007C1"/>
  </w:style>
  <w:style w:type="paragraph" w:customStyle="1" w:styleId="SDANumberedheading3">
    <w:name w:val="SDA Numbered heading 3"/>
    <w:basedOn w:val="Proutnumberredheadinglevel3"/>
    <w:link w:val="SDANumberedheading3Char"/>
    <w:qFormat/>
    <w:rsid w:val="00B60CA1"/>
    <w:pPr>
      <w:numPr>
        <w:ilvl w:val="2"/>
        <w:numId w:val="3"/>
      </w:numPr>
    </w:pPr>
    <w:rPr>
      <w:color w:val="757575"/>
      <w:sz w:val="22"/>
      <w:szCs w:val="22"/>
    </w:rPr>
  </w:style>
  <w:style w:type="character" w:customStyle="1" w:styleId="STANumberedheading2Char">
    <w:name w:val="STA Numbered heading 2 Char"/>
    <w:basedOn w:val="Proutnumberedheading2ndlevelChar"/>
    <w:link w:val="STANumberedheading2"/>
    <w:rsid w:val="00084F54"/>
    <w:rPr>
      <w:rFonts w:eastAsia="Calibri" w:cstheme="minorHAnsi"/>
      <w:b/>
      <w:noProof/>
      <w:color w:val="757575"/>
      <w:sz w:val="30"/>
      <w:szCs w:val="30"/>
      <w:lang w:eastAsia="en-AU"/>
    </w:rPr>
  </w:style>
  <w:style w:type="paragraph" w:customStyle="1" w:styleId="SDAAnnexheading">
    <w:name w:val="SDA Annex heading"/>
    <w:basedOn w:val="SDAHeading1"/>
    <w:link w:val="SDAAnnexheadingChar"/>
    <w:rsid w:val="007C2666"/>
    <w:pPr>
      <w:pBdr>
        <w:bottom w:val="none" w:sz="0" w:space="0" w:color="auto"/>
      </w:pBdr>
    </w:pPr>
    <w:rPr>
      <w:b w:val="0"/>
      <w:lang w:val="en-US"/>
    </w:rPr>
  </w:style>
  <w:style w:type="character" w:customStyle="1" w:styleId="SDANumberedheading3Char">
    <w:name w:val="SDA Numbered heading 3 Char"/>
    <w:basedOn w:val="Proutnumberredheadinglevel3Char"/>
    <w:link w:val="SDANumberedheading3"/>
    <w:rsid w:val="00B60CA1"/>
    <w:rPr>
      <w:rFonts w:eastAsia="Calibri" w:cstheme="minorHAnsi"/>
      <w:b/>
      <w:noProof/>
      <w:color w:val="757575"/>
      <w:sz w:val="20"/>
      <w:szCs w:val="20"/>
      <w:lang w:eastAsia="en-AU"/>
    </w:rPr>
  </w:style>
  <w:style w:type="paragraph" w:customStyle="1" w:styleId="SDANumberedheading2">
    <w:name w:val="SDA Numbered heading 2"/>
    <w:basedOn w:val="STANumberedheading2"/>
    <w:link w:val="SDANumberedheading2Char"/>
    <w:qFormat/>
    <w:rsid w:val="009216E9"/>
    <w:pPr>
      <w:ind w:left="426"/>
    </w:pPr>
  </w:style>
  <w:style w:type="character" w:customStyle="1" w:styleId="SDAAnnexheadingChar">
    <w:name w:val="SDA Annex heading Char"/>
    <w:basedOn w:val="SDAHeading1Char"/>
    <w:link w:val="SDAAnnexheading"/>
    <w:rsid w:val="007C2666"/>
    <w:rPr>
      <w:b w:val="0"/>
      <w:smallCaps/>
      <w:color w:val="CF5D27"/>
      <w:sz w:val="60"/>
      <w:szCs w:val="60"/>
      <w:lang w:val="en-US"/>
    </w:rPr>
  </w:style>
  <w:style w:type="paragraph" w:styleId="TOC1">
    <w:name w:val="toc 1"/>
    <w:basedOn w:val="Normal"/>
    <w:next w:val="Normal"/>
    <w:autoRedefine/>
    <w:uiPriority w:val="39"/>
    <w:unhideWhenUsed/>
    <w:rsid w:val="001B3ECA"/>
    <w:pPr>
      <w:spacing w:before="360" w:after="0"/>
    </w:pPr>
    <w:rPr>
      <w:rFonts w:ascii="Calibri" w:hAnsi="Calibri"/>
      <w:b/>
      <w:bCs/>
      <w:sz w:val="30"/>
      <w:szCs w:val="24"/>
    </w:rPr>
  </w:style>
  <w:style w:type="paragraph" w:styleId="TOC2">
    <w:name w:val="toc 2"/>
    <w:basedOn w:val="Normal"/>
    <w:next w:val="Normal"/>
    <w:autoRedefine/>
    <w:uiPriority w:val="39"/>
    <w:unhideWhenUsed/>
    <w:rsid w:val="001B3ECA"/>
    <w:pPr>
      <w:spacing w:before="240" w:after="0"/>
    </w:pPr>
    <w:rPr>
      <w:b/>
      <w:bCs/>
      <w:sz w:val="24"/>
      <w:szCs w:val="20"/>
    </w:rPr>
  </w:style>
  <w:style w:type="character" w:customStyle="1" w:styleId="SDANumberedheading2Char">
    <w:name w:val="SDA Numbered heading 2 Char"/>
    <w:basedOn w:val="STANumberedheading2Char"/>
    <w:link w:val="SDANumberedheading2"/>
    <w:rsid w:val="009216E9"/>
    <w:rPr>
      <w:rFonts w:eastAsia="Calibri" w:cstheme="minorHAnsi"/>
      <w:b/>
      <w:noProof/>
      <w:color w:val="757575"/>
      <w:sz w:val="30"/>
      <w:szCs w:val="30"/>
      <w:lang w:eastAsia="en-AU"/>
    </w:rPr>
  </w:style>
  <w:style w:type="paragraph" w:styleId="TOC4">
    <w:name w:val="toc 4"/>
    <w:basedOn w:val="Normal"/>
    <w:next w:val="Normal"/>
    <w:autoRedefine/>
    <w:uiPriority w:val="39"/>
    <w:unhideWhenUsed/>
    <w:rsid w:val="001B3ECA"/>
    <w:pPr>
      <w:spacing w:after="0"/>
    </w:pPr>
    <w:rPr>
      <w:sz w:val="24"/>
      <w:szCs w:val="20"/>
    </w:rPr>
  </w:style>
  <w:style w:type="paragraph" w:styleId="TOC3">
    <w:name w:val="toc 3"/>
    <w:basedOn w:val="Normal"/>
    <w:next w:val="Normal"/>
    <w:autoRedefine/>
    <w:uiPriority w:val="39"/>
    <w:unhideWhenUsed/>
    <w:rsid w:val="001B3ECA"/>
    <w:pPr>
      <w:spacing w:after="0"/>
    </w:pPr>
    <w:rPr>
      <w:sz w:val="24"/>
      <w:szCs w:val="20"/>
    </w:rPr>
  </w:style>
  <w:style w:type="character" w:styleId="Hyperlink">
    <w:name w:val="Hyperlink"/>
    <w:basedOn w:val="DefaultParagraphFont"/>
    <w:uiPriority w:val="99"/>
    <w:unhideWhenUsed/>
    <w:rsid w:val="009216E9"/>
    <w:rPr>
      <w:color w:val="0000FF" w:themeColor="hyperlink"/>
      <w:u w:val="single"/>
    </w:rPr>
  </w:style>
  <w:style w:type="paragraph" w:styleId="TOC5">
    <w:name w:val="toc 5"/>
    <w:basedOn w:val="Normal"/>
    <w:next w:val="Normal"/>
    <w:autoRedefine/>
    <w:uiPriority w:val="39"/>
    <w:unhideWhenUsed/>
    <w:rsid w:val="001B3ECA"/>
    <w:pPr>
      <w:spacing w:after="0"/>
      <w:ind w:left="660"/>
    </w:pPr>
    <w:rPr>
      <w:sz w:val="20"/>
      <w:szCs w:val="20"/>
    </w:rPr>
  </w:style>
  <w:style w:type="paragraph" w:styleId="TOC6">
    <w:name w:val="toc 6"/>
    <w:basedOn w:val="Normal"/>
    <w:next w:val="Normal"/>
    <w:autoRedefine/>
    <w:uiPriority w:val="39"/>
    <w:unhideWhenUsed/>
    <w:rsid w:val="001B3ECA"/>
    <w:pPr>
      <w:spacing w:after="0"/>
      <w:ind w:left="880"/>
    </w:pPr>
    <w:rPr>
      <w:sz w:val="20"/>
      <w:szCs w:val="20"/>
    </w:rPr>
  </w:style>
  <w:style w:type="paragraph" w:styleId="TOC7">
    <w:name w:val="toc 7"/>
    <w:basedOn w:val="Normal"/>
    <w:next w:val="Normal"/>
    <w:autoRedefine/>
    <w:uiPriority w:val="39"/>
    <w:unhideWhenUsed/>
    <w:rsid w:val="001B3ECA"/>
    <w:pPr>
      <w:spacing w:after="0"/>
      <w:ind w:left="1100"/>
    </w:pPr>
    <w:rPr>
      <w:sz w:val="20"/>
      <w:szCs w:val="20"/>
    </w:rPr>
  </w:style>
  <w:style w:type="paragraph" w:styleId="TOC8">
    <w:name w:val="toc 8"/>
    <w:basedOn w:val="Normal"/>
    <w:next w:val="Normal"/>
    <w:autoRedefine/>
    <w:uiPriority w:val="39"/>
    <w:unhideWhenUsed/>
    <w:rsid w:val="001B3ECA"/>
    <w:pPr>
      <w:spacing w:after="0"/>
      <w:ind w:left="1320"/>
    </w:pPr>
    <w:rPr>
      <w:sz w:val="20"/>
      <w:szCs w:val="20"/>
    </w:rPr>
  </w:style>
  <w:style w:type="paragraph" w:styleId="TOC9">
    <w:name w:val="toc 9"/>
    <w:basedOn w:val="Normal"/>
    <w:next w:val="Normal"/>
    <w:autoRedefine/>
    <w:uiPriority w:val="39"/>
    <w:unhideWhenUsed/>
    <w:rsid w:val="001B3ECA"/>
    <w:pPr>
      <w:spacing w:after="0"/>
      <w:ind w:left="1540"/>
    </w:pPr>
    <w:rPr>
      <w:sz w:val="20"/>
      <w:szCs w:val="20"/>
    </w:rPr>
  </w:style>
  <w:style w:type="paragraph" w:customStyle="1" w:styleId="SDAbulletpoints">
    <w:name w:val="SDA bullet points"/>
    <w:basedOn w:val="SDAbodytext"/>
    <w:link w:val="SDAbulletpointsChar"/>
    <w:qFormat/>
    <w:rsid w:val="001007C1"/>
    <w:pPr>
      <w:numPr>
        <w:numId w:val="4"/>
      </w:numPr>
    </w:pPr>
  </w:style>
  <w:style w:type="paragraph" w:customStyle="1" w:styleId="SDAnumberedlist">
    <w:name w:val="SDA numbered list"/>
    <w:basedOn w:val="SDAbulletpoints"/>
    <w:link w:val="SDAnumberedlistChar"/>
    <w:qFormat/>
    <w:rsid w:val="001007C1"/>
    <w:pPr>
      <w:numPr>
        <w:numId w:val="5"/>
      </w:numPr>
    </w:pPr>
  </w:style>
  <w:style w:type="character" w:customStyle="1" w:styleId="SDAbulletpointsChar">
    <w:name w:val="SDA bullet points Char"/>
    <w:basedOn w:val="SDAbodytextChar"/>
    <w:link w:val="SDAbulletpoints"/>
    <w:rsid w:val="001007C1"/>
  </w:style>
  <w:style w:type="table" w:styleId="TableGrid">
    <w:name w:val="Table Grid"/>
    <w:basedOn w:val="TableNormal"/>
    <w:uiPriority w:val="59"/>
    <w:rsid w:val="00F71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DAnumberedlistChar">
    <w:name w:val="SDA numbered list Char"/>
    <w:basedOn w:val="SDAbulletpointsChar"/>
    <w:link w:val="SDAnumberedlist"/>
    <w:rsid w:val="001007C1"/>
  </w:style>
  <w:style w:type="table" w:styleId="LightShading-Accent6">
    <w:name w:val="Light Shading Accent 6"/>
    <w:basedOn w:val="TableNormal"/>
    <w:uiPriority w:val="60"/>
    <w:rsid w:val="00F71D0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F71D0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olorfulGrid-Accent6">
    <w:name w:val="Colorful Grid Accent 6"/>
    <w:basedOn w:val="TableNormal"/>
    <w:uiPriority w:val="73"/>
    <w:rsid w:val="004B7EE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Accent6">
    <w:name w:val="Medium List 2 Accent 6"/>
    <w:basedOn w:val="TableNormal"/>
    <w:uiPriority w:val="66"/>
    <w:rsid w:val="004B7EE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DAtableheading">
    <w:name w:val="SDA table heading"/>
    <w:basedOn w:val="SDAbodytext"/>
    <w:link w:val="SDAtableheadingChar"/>
    <w:qFormat/>
    <w:rsid w:val="00C37479"/>
    <w:rPr>
      <w:rFonts w:ascii="Arial Narrow" w:hAnsi="Arial Narrow"/>
      <w:b/>
      <w:color w:val="757575"/>
    </w:rPr>
  </w:style>
  <w:style w:type="paragraph" w:customStyle="1" w:styleId="SDAtablestyle">
    <w:name w:val="SDA table style"/>
    <w:basedOn w:val="SDAbodytext"/>
    <w:link w:val="SDAtablestyleChar"/>
    <w:qFormat/>
    <w:rsid w:val="00C37479"/>
    <w:rPr>
      <w:rFonts w:ascii="Arial Narrow" w:hAnsi="Arial Narrow"/>
    </w:rPr>
  </w:style>
  <w:style w:type="character" w:customStyle="1" w:styleId="SDAtableheadingChar">
    <w:name w:val="SDA table heading Char"/>
    <w:basedOn w:val="SDAbodytextChar"/>
    <w:link w:val="SDAtableheading"/>
    <w:rsid w:val="00C37479"/>
    <w:rPr>
      <w:rFonts w:ascii="Arial Narrow" w:hAnsi="Arial Narrow"/>
      <w:b/>
      <w:color w:val="757575"/>
    </w:rPr>
  </w:style>
  <w:style w:type="character" w:customStyle="1" w:styleId="SDAtablestyleChar">
    <w:name w:val="SDA table style Char"/>
    <w:basedOn w:val="SDAbodytextChar"/>
    <w:link w:val="SDAtablestyle"/>
    <w:rsid w:val="00C37479"/>
    <w:rPr>
      <w:rFonts w:ascii="Arial Narrow" w:hAnsi="Arial Narrow"/>
    </w:rPr>
  </w:style>
  <w:style w:type="paragraph" w:customStyle="1" w:styleId="Default">
    <w:name w:val="Default"/>
    <w:rsid w:val="00E40F6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xmsonormal">
    <w:name w:val="x_msonormal"/>
    <w:basedOn w:val="Normal"/>
    <w:rsid w:val="00E40F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E27244"/>
    <w:pPr>
      <w:spacing w:before="189" w:after="100" w:afterAutospacing="1"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96AF0"/>
    <w:rPr>
      <w:sz w:val="16"/>
      <w:szCs w:val="16"/>
    </w:rPr>
  </w:style>
  <w:style w:type="paragraph" w:styleId="CommentText">
    <w:name w:val="annotation text"/>
    <w:basedOn w:val="Normal"/>
    <w:link w:val="CommentTextChar"/>
    <w:uiPriority w:val="99"/>
    <w:semiHidden/>
    <w:unhideWhenUsed/>
    <w:rsid w:val="00D96AF0"/>
    <w:pPr>
      <w:spacing w:line="240" w:lineRule="auto"/>
    </w:pPr>
    <w:rPr>
      <w:sz w:val="20"/>
      <w:szCs w:val="20"/>
    </w:rPr>
  </w:style>
  <w:style w:type="character" w:customStyle="1" w:styleId="CommentTextChar">
    <w:name w:val="Comment Text Char"/>
    <w:basedOn w:val="DefaultParagraphFont"/>
    <w:link w:val="CommentText"/>
    <w:uiPriority w:val="99"/>
    <w:semiHidden/>
    <w:rsid w:val="00D96AF0"/>
    <w:rPr>
      <w:sz w:val="20"/>
      <w:szCs w:val="20"/>
    </w:rPr>
  </w:style>
  <w:style w:type="paragraph" w:styleId="CommentSubject">
    <w:name w:val="annotation subject"/>
    <w:basedOn w:val="CommentText"/>
    <w:next w:val="CommentText"/>
    <w:link w:val="CommentSubjectChar"/>
    <w:uiPriority w:val="99"/>
    <w:semiHidden/>
    <w:unhideWhenUsed/>
    <w:rsid w:val="00D96AF0"/>
    <w:rPr>
      <w:b/>
      <w:bCs/>
    </w:rPr>
  </w:style>
  <w:style w:type="character" w:customStyle="1" w:styleId="CommentSubjectChar">
    <w:name w:val="Comment Subject Char"/>
    <w:basedOn w:val="CommentTextChar"/>
    <w:link w:val="CommentSubject"/>
    <w:uiPriority w:val="99"/>
    <w:semiHidden/>
    <w:rsid w:val="00D96AF0"/>
    <w:rPr>
      <w:b/>
      <w:bCs/>
      <w:sz w:val="20"/>
      <w:szCs w:val="20"/>
    </w:rPr>
  </w:style>
  <w:style w:type="paragraph" w:styleId="FootnoteText">
    <w:name w:val="footnote text"/>
    <w:basedOn w:val="Normal"/>
    <w:link w:val="FootnoteTextChar"/>
    <w:uiPriority w:val="99"/>
    <w:unhideWhenUsed/>
    <w:rsid w:val="00254563"/>
    <w:pPr>
      <w:spacing w:after="0" w:line="240" w:lineRule="auto"/>
    </w:pPr>
    <w:rPr>
      <w:sz w:val="20"/>
      <w:szCs w:val="20"/>
    </w:rPr>
  </w:style>
  <w:style w:type="character" w:customStyle="1" w:styleId="FootnoteTextChar">
    <w:name w:val="Footnote Text Char"/>
    <w:basedOn w:val="DefaultParagraphFont"/>
    <w:link w:val="FootnoteText"/>
    <w:uiPriority w:val="99"/>
    <w:rsid w:val="00254563"/>
    <w:rPr>
      <w:sz w:val="20"/>
      <w:szCs w:val="20"/>
    </w:rPr>
  </w:style>
  <w:style w:type="character" w:styleId="FootnoteReference">
    <w:name w:val="footnote reference"/>
    <w:basedOn w:val="DefaultParagraphFont"/>
    <w:uiPriority w:val="99"/>
    <w:unhideWhenUsed/>
    <w:rsid w:val="00254563"/>
    <w:rPr>
      <w:vertAlign w:val="superscript"/>
    </w:rPr>
  </w:style>
  <w:style w:type="character" w:customStyle="1" w:styleId="ListParagraphChar">
    <w:name w:val="List Paragraph Char"/>
    <w:aliases w:val="1st level - Bullet List Paragraph Char,Paragrafo elenco Char,List Paragraph1 Char"/>
    <w:basedOn w:val="DefaultParagraphFont"/>
    <w:link w:val="ListParagraph"/>
    <w:uiPriority w:val="34"/>
    <w:locked/>
    <w:rsid w:val="001F32AF"/>
  </w:style>
  <w:style w:type="paragraph" w:customStyle="1" w:styleId="AfterFirstPara">
    <w:name w:val="AfterFirstPara"/>
    <w:basedOn w:val="Normal"/>
    <w:rsid w:val="001C4E36"/>
    <w:pPr>
      <w:numPr>
        <w:numId w:val="8"/>
      </w:numPr>
      <w:spacing w:before="120" w:after="120" w:line="240" w:lineRule="auto"/>
    </w:pPr>
    <w:rPr>
      <w:rFonts w:ascii="Times New Roman" w:eastAsia="Times New Roman" w:hAnsi="Times New Roman" w:cs="Times New Roman"/>
      <w:sz w:val="24"/>
      <w:szCs w:val="24"/>
      <w:lang w:val="en-GB" w:eastAsia="zh-CN"/>
    </w:rPr>
  </w:style>
  <w:style w:type="paragraph" w:styleId="Revision">
    <w:name w:val="Revision"/>
    <w:hidden/>
    <w:uiPriority w:val="99"/>
    <w:semiHidden/>
    <w:rsid w:val="00B825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1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DA Numbered heading 1"/>
    <w:basedOn w:val="Normal"/>
    <w:next w:val="Normal"/>
    <w:link w:val="Heading2Char"/>
    <w:uiPriority w:val="9"/>
    <w:unhideWhenUsed/>
    <w:qFormat/>
    <w:rsid w:val="001007C1"/>
    <w:pPr>
      <w:numPr>
        <w:numId w:val="3"/>
      </w:numPr>
      <w:pBdr>
        <w:bottom w:val="single" w:sz="4" w:space="10" w:color="CF5D27"/>
      </w:pBdr>
      <w:spacing w:before="800" w:after="280" w:line="240" w:lineRule="auto"/>
      <w:outlineLvl w:val="1"/>
    </w:pPr>
    <w:rPr>
      <w:rFonts w:ascii="Calibri" w:eastAsiaTheme="majorEastAsia" w:hAnsi="Calibri" w:cstheme="majorBidi"/>
      <w:b/>
      <w:bCs/>
      <w:color w:val="757575"/>
      <w:sz w:val="50"/>
      <w:szCs w:val="26"/>
    </w:rPr>
  </w:style>
  <w:style w:type="paragraph" w:styleId="Heading3">
    <w:name w:val="heading 3"/>
    <w:basedOn w:val="Normal"/>
    <w:next w:val="Normal"/>
    <w:link w:val="Heading3Char"/>
    <w:uiPriority w:val="9"/>
    <w:unhideWhenUsed/>
    <w:qFormat/>
    <w:rsid w:val="00914B6A"/>
    <w:pPr>
      <w:keepNext/>
      <w:keepLines/>
      <w:spacing w:before="200" w:after="0" w:line="240" w:lineRule="auto"/>
      <w:ind w:left="720" w:hanging="720"/>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9"/>
    <w:unhideWhenUsed/>
    <w:qFormat/>
    <w:rsid w:val="00914B6A"/>
    <w:pPr>
      <w:keepNext/>
      <w:keepLines/>
      <w:numPr>
        <w:ilvl w:val="3"/>
        <w:numId w:val="3"/>
      </w:numPr>
      <w:spacing w:before="200" w:after="0" w:line="240" w:lineRule="auto"/>
      <w:outlineLvl w:val="3"/>
    </w:pPr>
    <w:rPr>
      <w:rFonts w:asciiTheme="majorHAnsi" w:eastAsiaTheme="majorEastAsia" w:hAnsiTheme="majorHAnsi" w:cstheme="majorBidi"/>
      <w:b/>
      <w:bCs/>
      <w:i/>
      <w:iCs/>
      <w:color w:val="4F81BD" w:themeColor="accent1"/>
      <w:sz w:val="24"/>
    </w:rPr>
  </w:style>
  <w:style w:type="paragraph" w:styleId="Heading5">
    <w:name w:val="heading 5"/>
    <w:basedOn w:val="Normal"/>
    <w:next w:val="Normal"/>
    <w:link w:val="Heading5Char"/>
    <w:uiPriority w:val="9"/>
    <w:unhideWhenUsed/>
    <w:qFormat/>
    <w:rsid w:val="00914B6A"/>
    <w:pPr>
      <w:keepNext/>
      <w:keepLines/>
      <w:numPr>
        <w:ilvl w:val="4"/>
        <w:numId w:val="3"/>
      </w:numPr>
      <w:spacing w:before="200" w:after="0" w:line="240" w:lineRule="auto"/>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unhideWhenUsed/>
    <w:qFormat/>
    <w:rsid w:val="00914B6A"/>
    <w:pPr>
      <w:keepNext/>
      <w:keepLines/>
      <w:numPr>
        <w:ilvl w:val="5"/>
        <w:numId w:val="3"/>
      </w:numPr>
      <w:spacing w:before="200" w:after="0" w:line="240" w:lineRule="auto"/>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914B6A"/>
    <w:pPr>
      <w:keepNext/>
      <w:keepLines/>
      <w:numPr>
        <w:ilvl w:val="6"/>
        <w:numId w:val="3"/>
      </w:numPr>
      <w:spacing w:before="200" w:after="0" w:line="240" w:lineRule="auto"/>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914B6A"/>
    <w:pPr>
      <w:keepNext/>
      <w:keepLines/>
      <w:numPr>
        <w:ilvl w:val="7"/>
        <w:numId w:val="3"/>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14B6A"/>
    <w:pPr>
      <w:keepNext/>
      <w:keepLines/>
      <w:numPr>
        <w:ilvl w:val="8"/>
        <w:numId w:val="3"/>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FSbodytext">
    <w:name w:val="PIFS body text"/>
    <w:basedOn w:val="Normal"/>
    <w:link w:val="PIFSbodytextChar"/>
    <w:rsid w:val="00E91EAB"/>
    <w:pPr>
      <w:spacing w:before="160" w:after="160" w:line="240" w:lineRule="auto"/>
      <w:jc w:val="both"/>
    </w:pPr>
    <w:rPr>
      <w:rFonts w:ascii="Arial" w:eastAsia="Arial" w:hAnsi="Arial" w:cs="Arial"/>
      <w:color w:val="000000"/>
      <w:lang w:val="en-US"/>
    </w:rPr>
  </w:style>
  <w:style w:type="character" w:customStyle="1" w:styleId="PIFSbodytextChar">
    <w:name w:val="PIFS body text Char"/>
    <w:basedOn w:val="DefaultParagraphFont"/>
    <w:link w:val="PIFSbodytext"/>
    <w:rsid w:val="00E91EAB"/>
    <w:rPr>
      <w:rFonts w:ascii="Arial" w:eastAsia="Arial" w:hAnsi="Arial" w:cs="Arial"/>
      <w:color w:val="000000"/>
      <w:lang w:val="en-US"/>
    </w:rPr>
  </w:style>
  <w:style w:type="paragraph" w:customStyle="1" w:styleId="PIFSbulletlist">
    <w:name w:val="PIFS bullet list"/>
    <w:basedOn w:val="ListParagraph"/>
    <w:link w:val="PIFSbulletlistChar"/>
    <w:rsid w:val="00E91EAB"/>
    <w:pPr>
      <w:numPr>
        <w:numId w:val="2"/>
      </w:numPr>
      <w:spacing w:after="0" w:line="240" w:lineRule="auto"/>
    </w:pPr>
    <w:rPr>
      <w:rFonts w:ascii="Arial" w:eastAsia="Arial" w:hAnsi="Arial" w:cs="Arial"/>
      <w:color w:val="000000"/>
      <w:lang w:val="en-US"/>
    </w:rPr>
  </w:style>
  <w:style w:type="character" w:customStyle="1" w:styleId="PIFSbulletlistChar">
    <w:name w:val="PIFS bullet list Char"/>
    <w:basedOn w:val="DefaultParagraphFont"/>
    <w:link w:val="PIFSbulletlist"/>
    <w:rsid w:val="00E91EAB"/>
    <w:rPr>
      <w:rFonts w:ascii="Arial" w:eastAsia="Arial" w:hAnsi="Arial" w:cs="Arial"/>
      <w:color w:val="000000"/>
      <w:lang w:val="en-US"/>
    </w:rPr>
  </w:style>
  <w:style w:type="paragraph" w:styleId="ListParagraph">
    <w:name w:val="List Paragraph"/>
    <w:aliases w:val="1st level - Bullet List Paragraph,Paragrafo elenco,List Paragraph1"/>
    <w:basedOn w:val="Normal"/>
    <w:link w:val="ListParagraphChar"/>
    <w:uiPriority w:val="34"/>
    <w:qFormat/>
    <w:rsid w:val="00E91EAB"/>
    <w:pPr>
      <w:ind w:left="720"/>
      <w:contextualSpacing/>
    </w:pPr>
  </w:style>
  <w:style w:type="paragraph" w:customStyle="1" w:styleId="PIFSheading1">
    <w:name w:val="PIFS heading 1"/>
    <w:basedOn w:val="Heading1"/>
    <w:link w:val="PIFSheading1Char"/>
    <w:rsid w:val="00E91EAB"/>
    <w:pPr>
      <w:keepLines w:val="0"/>
      <w:numPr>
        <w:numId w:val="1"/>
      </w:numPr>
      <w:spacing w:before="400" w:after="200" w:line="240" w:lineRule="auto"/>
      <w:jc w:val="both"/>
    </w:pPr>
    <w:rPr>
      <w:rFonts w:ascii="Arial" w:eastAsia="Arial Black" w:hAnsi="Arial" w:cs="Arial Black"/>
      <w:bCs w:val="0"/>
      <w:color w:val="000000"/>
      <w:lang w:val="en-US"/>
    </w:rPr>
  </w:style>
  <w:style w:type="character" w:customStyle="1" w:styleId="PIFSheading1Char">
    <w:name w:val="PIFS heading 1 Char"/>
    <w:basedOn w:val="Heading1Char"/>
    <w:link w:val="PIFSheading1"/>
    <w:rsid w:val="00E91EAB"/>
    <w:rPr>
      <w:rFonts w:ascii="Arial" w:eastAsia="Arial Black" w:hAnsi="Arial" w:cs="Arial Black"/>
      <w:b/>
      <w:bCs w:val="0"/>
      <w:color w:val="000000"/>
      <w:sz w:val="28"/>
      <w:szCs w:val="28"/>
      <w:lang w:val="en-US"/>
    </w:rPr>
  </w:style>
  <w:style w:type="character" w:customStyle="1" w:styleId="Heading1Char">
    <w:name w:val="Heading 1 Char"/>
    <w:basedOn w:val="DefaultParagraphFont"/>
    <w:link w:val="Heading1"/>
    <w:uiPriority w:val="9"/>
    <w:rsid w:val="00E91EAB"/>
    <w:rPr>
      <w:rFonts w:asciiTheme="majorHAnsi" w:eastAsiaTheme="majorEastAsia" w:hAnsiTheme="majorHAnsi" w:cstheme="majorBidi"/>
      <w:b/>
      <w:bCs/>
      <w:color w:val="365F91" w:themeColor="accent1" w:themeShade="BF"/>
      <w:sz w:val="28"/>
      <w:szCs w:val="28"/>
    </w:rPr>
  </w:style>
  <w:style w:type="paragraph" w:customStyle="1" w:styleId="PIFSheading2">
    <w:name w:val="PIFS heading 2"/>
    <w:basedOn w:val="Normal"/>
    <w:link w:val="PIFSheading2Char"/>
    <w:rsid w:val="00E91EAB"/>
    <w:pPr>
      <w:spacing w:before="300" w:after="120" w:line="240" w:lineRule="auto"/>
      <w:ind w:left="1843" w:hanging="1843"/>
      <w:jc w:val="both"/>
    </w:pPr>
    <w:rPr>
      <w:rFonts w:ascii="Arial" w:eastAsia="Arial" w:hAnsi="Arial" w:cs="Arial"/>
      <w:b/>
      <w:color w:val="000000"/>
      <w:lang w:val="en-US"/>
    </w:rPr>
  </w:style>
  <w:style w:type="character" w:customStyle="1" w:styleId="PIFSheading2Char">
    <w:name w:val="PIFS heading 2 Char"/>
    <w:basedOn w:val="DefaultParagraphFont"/>
    <w:link w:val="PIFSheading2"/>
    <w:rsid w:val="00E91EAB"/>
    <w:rPr>
      <w:rFonts w:ascii="Arial" w:eastAsia="Arial" w:hAnsi="Arial" w:cs="Arial"/>
      <w:b/>
      <w:color w:val="000000"/>
      <w:lang w:val="en-US"/>
    </w:rPr>
  </w:style>
  <w:style w:type="paragraph" w:customStyle="1" w:styleId="PIFSheading3">
    <w:name w:val="PIFS heading 3"/>
    <w:basedOn w:val="Normal"/>
    <w:link w:val="PIFSheading3Char"/>
    <w:rsid w:val="00E91EAB"/>
    <w:pPr>
      <w:spacing w:before="300" w:line="240" w:lineRule="auto"/>
      <w:ind w:left="1843" w:hanging="1843"/>
      <w:jc w:val="both"/>
    </w:pPr>
    <w:rPr>
      <w:rFonts w:ascii="Arial" w:eastAsia="Arial" w:hAnsi="Arial" w:cs="Arial"/>
      <w:b/>
      <w:color w:val="000000"/>
      <w:lang w:val="en-US"/>
    </w:rPr>
  </w:style>
  <w:style w:type="character" w:customStyle="1" w:styleId="PIFSheading3Char">
    <w:name w:val="PIFS heading 3 Char"/>
    <w:basedOn w:val="DefaultParagraphFont"/>
    <w:link w:val="PIFSheading3"/>
    <w:rsid w:val="00E91EAB"/>
    <w:rPr>
      <w:rFonts w:ascii="Arial" w:eastAsia="Arial" w:hAnsi="Arial" w:cs="Arial"/>
      <w:b/>
      <w:color w:val="000000"/>
      <w:lang w:val="en-US"/>
    </w:rPr>
  </w:style>
  <w:style w:type="paragraph" w:customStyle="1" w:styleId="PIFSquotation">
    <w:name w:val="PIFS quotation"/>
    <w:basedOn w:val="Normal"/>
    <w:link w:val="PIFSquotationChar"/>
    <w:rsid w:val="00E91EAB"/>
    <w:pPr>
      <w:spacing w:line="240" w:lineRule="auto"/>
      <w:ind w:left="1559" w:right="1933"/>
      <w:jc w:val="both"/>
    </w:pPr>
    <w:rPr>
      <w:rFonts w:ascii="Arial" w:eastAsia="Arial" w:hAnsi="Arial" w:cs="Arial"/>
      <w:color w:val="000000"/>
      <w:lang w:val="en-US"/>
    </w:rPr>
  </w:style>
  <w:style w:type="character" w:customStyle="1" w:styleId="PIFSquotationChar">
    <w:name w:val="PIFS quotation Char"/>
    <w:basedOn w:val="DefaultParagraphFont"/>
    <w:link w:val="PIFSquotation"/>
    <w:rsid w:val="00E91EAB"/>
    <w:rPr>
      <w:rFonts w:ascii="Arial" w:eastAsia="Arial" w:hAnsi="Arial" w:cs="Arial"/>
      <w:color w:val="000000"/>
      <w:lang w:val="en-US"/>
    </w:rPr>
  </w:style>
  <w:style w:type="paragraph" w:customStyle="1" w:styleId="PIFStablebullets">
    <w:name w:val="PIFS table bullets"/>
    <w:basedOn w:val="PIFSbulletlist"/>
    <w:link w:val="PIFStablebulletsChar"/>
    <w:rsid w:val="00E91EAB"/>
    <w:pPr>
      <w:numPr>
        <w:numId w:val="0"/>
      </w:numPr>
      <w:spacing w:before="60" w:after="60"/>
      <w:contextualSpacing w:val="0"/>
    </w:pPr>
    <w:rPr>
      <w:sz w:val="18"/>
      <w:szCs w:val="18"/>
    </w:rPr>
  </w:style>
  <w:style w:type="character" w:customStyle="1" w:styleId="PIFStablebulletsChar">
    <w:name w:val="PIFS table bullets Char"/>
    <w:basedOn w:val="PIFSbulletlistChar"/>
    <w:link w:val="PIFStablebullets"/>
    <w:rsid w:val="00E91EAB"/>
    <w:rPr>
      <w:rFonts w:ascii="Arial" w:eastAsia="Arial" w:hAnsi="Arial" w:cs="Arial"/>
      <w:color w:val="000000"/>
      <w:sz w:val="18"/>
      <w:szCs w:val="18"/>
      <w:lang w:val="en-US"/>
    </w:rPr>
  </w:style>
  <w:style w:type="paragraph" w:customStyle="1" w:styleId="PIFStableheading">
    <w:name w:val="PIFS table heading"/>
    <w:basedOn w:val="PIFSheading3"/>
    <w:link w:val="PIFStableheadingChar"/>
    <w:rsid w:val="00E91EAB"/>
    <w:pPr>
      <w:spacing w:before="60" w:after="60"/>
      <w:jc w:val="center"/>
    </w:pPr>
    <w:rPr>
      <w:sz w:val="20"/>
      <w:szCs w:val="20"/>
    </w:rPr>
  </w:style>
  <w:style w:type="character" w:customStyle="1" w:styleId="PIFStableheadingChar">
    <w:name w:val="PIFS table heading Char"/>
    <w:basedOn w:val="PIFSheading3Char"/>
    <w:link w:val="PIFStableheading"/>
    <w:rsid w:val="00E91EAB"/>
    <w:rPr>
      <w:rFonts w:ascii="Arial" w:eastAsia="Arial" w:hAnsi="Arial" w:cs="Arial"/>
      <w:b/>
      <w:color w:val="000000"/>
      <w:sz w:val="20"/>
      <w:szCs w:val="20"/>
      <w:lang w:val="en-US"/>
    </w:rPr>
  </w:style>
  <w:style w:type="paragraph" w:customStyle="1" w:styleId="PIFStabletext">
    <w:name w:val="PIFS table text"/>
    <w:basedOn w:val="PIFStableheading"/>
    <w:link w:val="PIFStabletextChar"/>
    <w:rsid w:val="00E91EAB"/>
    <w:pPr>
      <w:jc w:val="left"/>
    </w:pPr>
    <w:rPr>
      <w:b w:val="0"/>
      <w:sz w:val="18"/>
    </w:rPr>
  </w:style>
  <w:style w:type="character" w:customStyle="1" w:styleId="PIFStabletextChar">
    <w:name w:val="PIFS table text Char"/>
    <w:basedOn w:val="PIFStableheadingChar"/>
    <w:link w:val="PIFStabletext"/>
    <w:rsid w:val="00E91EAB"/>
    <w:rPr>
      <w:rFonts w:ascii="Arial" w:eastAsia="Arial" w:hAnsi="Arial" w:cs="Arial"/>
      <w:b w:val="0"/>
      <w:color w:val="000000"/>
      <w:sz w:val="18"/>
      <w:szCs w:val="20"/>
      <w:lang w:val="en-US"/>
    </w:rPr>
  </w:style>
  <w:style w:type="paragraph" w:customStyle="1" w:styleId="PIFStitlepage">
    <w:name w:val="PIFS title page"/>
    <w:basedOn w:val="Normal"/>
    <w:link w:val="PIFStitlepageChar"/>
    <w:rsid w:val="00E91EAB"/>
    <w:pPr>
      <w:tabs>
        <w:tab w:val="center" w:pos="4320"/>
        <w:tab w:val="right" w:pos="8640"/>
      </w:tabs>
      <w:spacing w:line="240" w:lineRule="auto"/>
      <w:jc w:val="center"/>
    </w:pPr>
    <w:rPr>
      <w:rFonts w:ascii="Arial" w:eastAsia="Arial" w:hAnsi="Arial" w:cs="Arial"/>
      <w:b/>
      <w:color w:val="000000"/>
      <w:sz w:val="40"/>
      <w:lang w:val="en-US"/>
    </w:rPr>
  </w:style>
  <w:style w:type="character" w:customStyle="1" w:styleId="PIFStitlepageChar">
    <w:name w:val="PIFS title page Char"/>
    <w:basedOn w:val="DefaultParagraphFont"/>
    <w:link w:val="PIFStitlepage"/>
    <w:rsid w:val="00E91EAB"/>
    <w:rPr>
      <w:rFonts w:ascii="Arial" w:eastAsia="Arial" w:hAnsi="Arial" w:cs="Arial"/>
      <w:b/>
      <w:color w:val="000000"/>
      <w:sz w:val="40"/>
      <w:lang w:val="en-US"/>
    </w:rPr>
  </w:style>
  <w:style w:type="character" w:customStyle="1" w:styleId="Heading3Char">
    <w:name w:val="Heading 3 Char"/>
    <w:basedOn w:val="DefaultParagraphFont"/>
    <w:link w:val="Heading3"/>
    <w:uiPriority w:val="9"/>
    <w:rsid w:val="00914B6A"/>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914B6A"/>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914B6A"/>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914B6A"/>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14B6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14B6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14B6A"/>
    <w:rPr>
      <w:rFonts w:asciiTheme="majorHAnsi" w:eastAsiaTheme="majorEastAsia" w:hAnsiTheme="majorHAnsi" w:cstheme="majorBidi"/>
      <w:i/>
      <w:iCs/>
      <w:color w:val="404040" w:themeColor="text1" w:themeTint="BF"/>
      <w:sz w:val="20"/>
      <w:szCs w:val="20"/>
    </w:rPr>
  </w:style>
  <w:style w:type="paragraph" w:customStyle="1" w:styleId="NumberedParas1cmindent">
    <w:name w:val="Numbered Paras 1cm indent"/>
    <w:basedOn w:val="Heading1"/>
    <w:next w:val="Normal"/>
    <w:rsid w:val="00914B6A"/>
    <w:pPr>
      <w:keepNext w:val="0"/>
      <w:keepLines w:val="0"/>
      <w:spacing w:before="0" w:after="160" w:line="240" w:lineRule="auto"/>
      <w:ind w:left="432" w:hanging="432"/>
    </w:pPr>
    <w:rPr>
      <w:rFonts w:asciiTheme="minorHAnsi" w:eastAsia="Calibri" w:hAnsiTheme="minorHAnsi" w:cstheme="minorHAnsi"/>
      <w:b w:val="0"/>
      <w:bCs w:val="0"/>
      <w:color w:val="auto"/>
      <w:sz w:val="24"/>
      <w:szCs w:val="24"/>
    </w:rPr>
  </w:style>
  <w:style w:type="paragraph" w:customStyle="1" w:styleId="11Style">
    <w:name w:val="1.1 Style"/>
    <w:basedOn w:val="Heading2"/>
    <w:link w:val="11StyleChar"/>
    <w:qFormat/>
    <w:rsid w:val="00914B6A"/>
    <w:pPr>
      <w:numPr>
        <w:numId w:val="0"/>
      </w:numPr>
      <w:spacing w:after="160"/>
      <w:ind w:left="1418" w:hanging="851"/>
    </w:pPr>
    <w:rPr>
      <w:rFonts w:eastAsia="Calibri" w:cstheme="minorHAnsi"/>
      <w:b w:val="0"/>
      <w:bCs w:val="0"/>
      <w:noProof/>
      <w:sz w:val="24"/>
      <w:szCs w:val="24"/>
      <w:lang w:eastAsia="en-AU"/>
    </w:rPr>
  </w:style>
  <w:style w:type="character" w:customStyle="1" w:styleId="11StyleChar">
    <w:name w:val="1.1 Style Char"/>
    <w:basedOn w:val="Heading2Char"/>
    <w:link w:val="11Style"/>
    <w:rsid w:val="00914B6A"/>
    <w:rPr>
      <w:rFonts w:ascii="Calibri" w:eastAsia="Calibri" w:hAnsi="Calibri" w:cstheme="minorHAnsi"/>
      <w:b w:val="0"/>
      <w:bCs w:val="0"/>
      <w:noProof/>
      <w:color w:val="757575"/>
      <w:sz w:val="24"/>
      <w:szCs w:val="24"/>
      <w:lang w:eastAsia="en-AU"/>
    </w:rPr>
  </w:style>
  <w:style w:type="character" w:customStyle="1" w:styleId="Heading2Char">
    <w:name w:val="Heading 2 Char"/>
    <w:aliases w:val="SDA Numbered heading 1 Char"/>
    <w:basedOn w:val="DefaultParagraphFont"/>
    <w:link w:val="Heading2"/>
    <w:uiPriority w:val="9"/>
    <w:rsid w:val="001007C1"/>
    <w:rPr>
      <w:rFonts w:ascii="Calibri" w:eastAsiaTheme="majorEastAsia" w:hAnsi="Calibri" w:cstheme="majorBidi"/>
      <w:b/>
      <w:bCs/>
      <w:color w:val="757575"/>
      <w:sz w:val="50"/>
      <w:szCs w:val="26"/>
    </w:rPr>
  </w:style>
  <w:style w:type="paragraph" w:customStyle="1" w:styleId="Proutbodytext">
    <w:name w:val="Prout body text"/>
    <w:basedOn w:val="Normal"/>
    <w:link w:val="ProutbodytextChar"/>
    <w:rsid w:val="00914B6A"/>
    <w:pPr>
      <w:autoSpaceDE w:val="0"/>
      <w:autoSpaceDN w:val="0"/>
      <w:adjustRightInd w:val="0"/>
    </w:pPr>
    <w:rPr>
      <w:rFonts w:ascii="Calibri" w:eastAsia="Calibri" w:hAnsi="Calibri" w:cs="Arial"/>
      <w:sz w:val="18"/>
      <w:szCs w:val="20"/>
    </w:rPr>
  </w:style>
  <w:style w:type="character" w:customStyle="1" w:styleId="ProutbodytextChar">
    <w:name w:val="Prout body text Char"/>
    <w:basedOn w:val="DefaultParagraphFont"/>
    <w:link w:val="Proutbodytext"/>
    <w:rsid w:val="00914B6A"/>
    <w:rPr>
      <w:rFonts w:ascii="Calibri" w:eastAsia="Calibri" w:hAnsi="Calibri" w:cs="Arial"/>
      <w:sz w:val="18"/>
      <w:szCs w:val="20"/>
    </w:rPr>
  </w:style>
  <w:style w:type="paragraph" w:customStyle="1" w:styleId="Proutnumberedheading2ndlevel">
    <w:name w:val="Prout numbered heading 2nd level"/>
    <w:basedOn w:val="Normal"/>
    <w:link w:val="Proutnumberedheading2ndlevelChar"/>
    <w:rsid w:val="00914B6A"/>
    <w:pPr>
      <w:spacing w:after="160" w:line="240" w:lineRule="auto"/>
      <w:ind w:left="709" w:hanging="709"/>
      <w:outlineLvl w:val="1"/>
    </w:pPr>
    <w:rPr>
      <w:rFonts w:eastAsia="Calibri" w:cstheme="minorHAnsi"/>
      <w:b/>
      <w:noProof/>
      <w:sz w:val="20"/>
      <w:szCs w:val="20"/>
      <w:lang w:eastAsia="en-AU"/>
    </w:rPr>
  </w:style>
  <w:style w:type="character" w:customStyle="1" w:styleId="Proutnumberedheading2ndlevelChar">
    <w:name w:val="Prout numbered heading 2nd level Char"/>
    <w:basedOn w:val="DefaultParagraphFont"/>
    <w:link w:val="Proutnumberedheading2ndlevel"/>
    <w:rsid w:val="00914B6A"/>
    <w:rPr>
      <w:rFonts w:eastAsia="Calibri" w:cstheme="minorHAnsi"/>
      <w:b/>
      <w:noProof/>
      <w:sz w:val="20"/>
      <w:szCs w:val="20"/>
      <w:lang w:eastAsia="en-AU"/>
    </w:rPr>
  </w:style>
  <w:style w:type="paragraph" w:customStyle="1" w:styleId="Proutnumberredheadinglevel3">
    <w:name w:val="Prout numberred heading level 3"/>
    <w:basedOn w:val="Proutnumberedheading2ndlevel"/>
    <w:link w:val="Proutnumberredheadinglevel3Char"/>
    <w:rsid w:val="00914B6A"/>
    <w:pPr>
      <w:ind w:left="720" w:hanging="720"/>
    </w:pPr>
  </w:style>
  <w:style w:type="character" w:customStyle="1" w:styleId="Proutnumberredheadinglevel3Char">
    <w:name w:val="Prout numberred heading level 3 Char"/>
    <w:basedOn w:val="Proutnumberedheading2ndlevelChar"/>
    <w:link w:val="Proutnumberredheadinglevel3"/>
    <w:rsid w:val="00914B6A"/>
    <w:rPr>
      <w:rFonts w:eastAsia="Calibri" w:cstheme="minorHAnsi"/>
      <w:b/>
      <w:noProof/>
      <w:sz w:val="20"/>
      <w:szCs w:val="20"/>
      <w:lang w:eastAsia="en-AU"/>
    </w:rPr>
  </w:style>
  <w:style w:type="paragraph" w:styleId="Header">
    <w:name w:val="header"/>
    <w:basedOn w:val="Normal"/>
    <w:link w:val="HeaderChar"/>
    <w:uiPriority w:val="99"/>
    <w:unhideWhenUsed/>
    <w:rsid w:val="00D60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21F"/>
  </w:style>
  <w:style w:type="paragraph" w:styleId="Footer">
    <w:name w:val="footer"/>
    <w:basedOn w:val="Normal"/>
    <w:link w:val="FooterChar"/>
    <w:uiPriority w:val="99"/>
    <w:unhideWhenUsed/>
    <w:qFormat/>
    <w:rsid w:val="00D60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21F"/>
  </w:style>
  <w:style w:type="paragraph" w:styleId="NoSpacing">
    <w:name w:val="No Spacing"/>
    <w:link w:val="NoSpacingChar"/>
    <w:uiPriority w:val="1"/>
    <w:unhideWhenUsed/>
    <w:qFormat/>
    <w:rsid w:val="00773E7D"/>
    <w:pPr>
      <w:spacing w:after="0" w:line="240" w:lineRule="auto"/>
    </w:pPr>
    <w:rPr>
      <w:color w:val="404040" w:themeColor="text1" w:themeTint="BF"/>
      <w:sz w:val="20"/>
      <w:szCs w:val="20"/>
      <w:lang w:val="en-US" w:eastAsia="ja-JP"/>
    </w:rPr>
  </w:style>
  <w:style w:type="character" w:customStyle="1" w:styleId="NoSpacingChar">
    <w:name w:val="No Spacing Char"/>
    <w:basedOn w:val="DefaultParagraphFont"/>
    <w:link w:val="NoSpacing"/>
    <w:uiPriority w:val="1"/>
    <w:rsid w:val="00773E7D"/>
    <w:rPr>
      <w:color w:val="404040" w:themeColor="text1" w:themeTint="BF"/>
      <w:sz w:val="20"/>
      <w:szCs w:val="20"/>
      <w:lang w:val="en-US" w:eastAsia="ja-JP"/>
    </w:rPr>
  </w:style>
  <w:style w:type="paragraph" w:customStyle="1" w:styleId="Organization">
    <w:name w:val="Organization"/>
    <w:basedOn w:val="Normal"/>
    <w:uiPriority w:val="2"/>
    <w:qFormat/>
    <w:rsid w:val="00773E7D"/>
    <w:pPr>
      <w:spacing w:after="60" w:line="240" w:lineRule="auto"/>
      <w:ind w:left="29" w:right="29"/>
    </w:pPr>
    <w:rPr>
      <w:b/>
      <w:bCs/>
      <w:color w:val="4F81BD" w:themeColor="accent1"/>
      <w:sz w:val="36"/>
      <w:szCs w:val="20"/>
      <w:lang w:val="en-US" w:eastAsia="ja-JP"/>
    </w:rPr>
  </w:style>
  <w:style w:type="paragraph" w:styleId="BalloonText">
    <w:name w:val="Balloon Text"/>
    <w:basedOn w:val="Normal"/>
    <w:link w:val="BalloonTextChar"/>
    <w:uiPriority w:val="99"/>
    <w:semiHidden/>
    <w:unhideWhenUsed/>
    <w:rsid w:val="00773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E7D"/>
    <w:rPr>
      <w:rFonts w:ascii="Tahoma" w:hAnsi="Tahoma" w:cs="Tahoma"/>
      <w:sz w:val="16"/>
      <w:szCs w:val="16"/>
    </w:rPr>
  </w:style>
  <w:style w:type="character" w:styleId="Strong">
    <w:name w:val="Strong"/>
    <w:basedOn w:val="DefaultParagraphFont"/>
    <w:uiPriority w:val="22"/>
    <w:qFormat/>
    <w:rsid w:val="007E07AC"/>
    <w:rPr>
      <w:b/>
      <w:bCs/>
    </w:rPr>
  </w:style>
  <w:style w:type="paragraph" w:customStyle="1" w:styleId="SDAHeading1">
    <w:name w:val="SDA Heading 1"/>
    <w:basedOn w:val="Normal"/>
    <w:link w:val="SDAHeading1Char"/>
    <w:qFormat/>
    <w:rsid w:val="001B3ECA"/>
    <w:pPr>
      <w:pageBreakBefore/>
      <w:pBdr>
        <w:bottom w:val="single" w:sz="4" w:space="10" w:color="C9916C"/>
      </w:pBdr>
      <w:spacing w:before="1200" w:line="240" w:lineRule="auto"/>
    </w:pPr>
    <w:rPr>
      <w:b/>
      <w:smallCaps/>
      <w:color w:val="CF5D27"/>
      <w:sz w:val="60"/>
      <w:szCs w:val="60"/>
    </w:rPr>
  </w:style>
  <w:style w:type="paragraph" w:customStyle="1" w:styleId="SDAbodytext">
    <w:name w:val="SDA body text"/>
    <w:basedOn w:val="Normal"/>
    <w:link w:val="SDAbodytextChar"/>
    <w:qFormat/>
    <w:rsid w:val="001007C1"/>
    <w:pPr>
      <w:spacing w:before="120" w:after="120" w:line="240" w:lineRule="auto"/>
    </w:pPr>
  </w:style>
  <w:style w:type="character" w:customStyle="1" w:styleId="SDAHeading1Char">
    <w:name w:val="SDA Heading 1 Char"/>
    <w:basedOn w:val="DefaultParagraphFont"/>
    <w:link w:val="SDAHeading1"/>
    <w:rsid w:val="001B3ECA"/>
    <w:rPr>
      <w:b/>
      <w:smallCaps/>
      <w:color w:val="CF5D27"/>
      <w:sz w:val="60"/>
      <w:szCs w:val="60"/>
    </w:rPr>
  </w:style>
  <w:style w:type="paragraph" w:customStyle="1" w:styleId="STANumberedheading2">
    <w:name w:val="STA Numbered heading 2"/>
    <w:basedOn w:val="Proutnumberedheading2ndlevel"/>
    <w:link w:val="STANumberedheading2Char"/>
    <w:rsid w:val="00084F54"/>
    <w:pPr>
      <w:numPr>
        <w:ilvl w:val="1"/>
        <w:numId w:val="3"/>
      </w:numPr>
      <w:ind w:left="567"/>
    </w:pPr>
    <w:rPr>
      <w:color w:val="757575"/>
      <w:sz w:val="30"/>
      <w:szCs w:val="30"/>
    </w:rPr>
  </w:style>
  <w:style w:type="character" w:customStyle="1" w:styleId="SDAbodytextChar">
    <w:name w:val="SDA body text Char"/>
    <w:basedOn w:val="DefaultParagraphFont"/>
    <w:link w:val="SDAbodytext"/>
    <w:rsid w:val="001007C1"/>
  </w:style>
  <w:style w:type="paragraph" w:customStyle="1" w:styleId="SDANumberedheading3">
    <w:name w:val="SDA Numbered heading 3"/>
    <w:basedOn w:val="Proutnumberredheadinglevel3"/>
    <w:link w:val="SDANumberedheading3Char"/>
    <w:qFormat/>
    <w:rsid w:val="00B60CA1"/>
    <w:pPr>
      <w:numPr>
        <w:ilvl w:val="2"/>
        <w:numId w:val="3"/>
      </w:numPr>
    </w:pPr>
    <w:rPr>
      <w:color w:val="757575"/>
      <w:sz w:val="22"/>
      <w:szCs w:val="22"/>
    </w:rPr>
  </w:style>
  <w:style w:type="character" w:customStyle="1" w:styleId="STANumberedheading2Char">
    <w:name w:val="STA Numbered heading 2 Char"/>
    <w:basedOn w:val="Proutnumberedheading2ndlevelChar"/>
    <w:link w:val="STANumberedheading2"/>
    <w:rsid w:val="00084F54"/>
    <w:rPr>
      <w:rFonts w:eastAsia="Calibri" w:cstheme="minorHAnsi"/>
      <w:b/>
      <w:noProof/>
      <w:color w:val="757575"/>
      <w:sz w:val="30"/>
      <w:szCs w:val="30"/>
      <w:lang w:eastAsia="en-AU"/>
    </w:rPr>
  </w:style>
  <w:style w:type="paragraph" w:customStyle="1" w:styleId="SDAAnnexheading">
    <w:name w:val="SDA Annex heading"/>
    <w:basedOn w:val="SDAHeading1"/>
    <w:link w:val="SDAAnnexheadingChar"/>
    <w:rsid w:val="007C2666"/>
    <w:pPr>
      <w:pBdr>
        <w:bottom w:val="none" w:sz="0" w:space="0" w:color="auto"/>
      </w:pBdr>
    </w:pPr>
    <w:rPr>
      <w:b w:val="0"/>
      <w:lang w:val="en-US"/>
    </w:rPr>
  </w:style>
  <w:style w:type="character" w:customStyle="1" w:styleId="SDANumberedheading3Char">
    <w:name w:val="SDA Numbered heading 3 Char"/>
    <w:basedOn w:val="Proutnumberredheadinglevel3Char"/>
    <w:link w:val="SDANumberedheading3"/>
    <w:rsid w:val="00B60CA1"/>
    <w:rPr>
      <w:rFonts w:eastAsia="Calibri" w:cstheme="minorHAnsi"/>
      <w:b/>
      <w:noProof/>
      <w:color w:val="757575"/>
      <w:sz w:val="20"/>
      <w:szCs w:val="20"/>
      <w:lang w:eastAsia="en-AU"/>
    </w:rPr>
  </w:style>
  <w:style w:type="paragraph" w:customStyle="1" w:styleId="SDANumberedheading2">
    <w:name w:val="SDA Numbered heading 2"/>
    <w:basedOn w:val="STANumberedheading2"/>
    <w:link w:val="SDANumberedheading2Char"/>
    <w:qFormat/>
    <w:rsid w:val="009216E9"/>
    <w:pPr>
      <w:ind w:left="426"/>
    </w:pPr>
  </w:style>
  <w:style w:type="character" w:customStyle="1" w:styleId="SDAAnnexheadingChar">
    <w:name w:val="SDA Annex heading Char"/>
    <w:basedOn w:val="SDAHeading1Char"/>
    <w:link w:val="SDAAnnexheading"/>
    <w:rsid w:val="007C2666"/>
    <w:rPr>
      <w:b w:val="0"/>
      <w:smallCaps/>
      <w:color w:val="CF5D27"/>
      <w:sz w:val="60"/>
      <w:szCs w:val="60"/>
      <w:lang w:val="en-US"/>
    </w:rPr>
  </w:style>
  <w:style w:type="paragraph" w:styleId="TOC1">
    <w:name w:val="toc 1"/>
    <w:basedOn w:val="Normal"/>
    <w:next w:val="Normal"/>
    <w:autoRedefine/>
    <w:uiPriority w:val="39"/>
    <w:unhideWhenUsed/>
    <w:rsid w:val="001B3ECA"/>
    <w:pPr>
      <w:spacing w:before="360" w:after="0"/>
    </w:pPr>
    <w:rPr>
      <w:rFonts w:ascii="Calibri" w:hAnsi="Calibri"/>
      <w:b/>
      <w:bCs/>
      <w:sz w:val="30"/>
      <w:szCs w:val="24"/>
    </w:rPr>
  </w:style>
  <w:style w:type="paragraph" w:styleId="TOC2">
    <w:name w:val="toc 2"/>
    <w:basedOn w:val="Normal"/>
    <w:next w:val="Normal"/>
    <w:autoRedefine/>
    <w:uiPriority w:val="39"/>
    <w:unhideWhenUsed/>
    <w:rsid w:val="001B3ECA"/>
    <w:pPr>
      <w:spacing w:before="240" w:after="0"/>
    </w:pPr>
    <w:rPr>
      <w:b/>
      <w:bCs/>
      <w:sz w:val="24"/>
      <w:szCs w:val="20"/>
    </w:rPr>
  </w:style>
  <w:style w:type="character" w:customStyle="1" w:styleId="SDANumberedheading2Char">
    <w:name w:val="SDA Numbered heading 2 Char"/>
    <w:basedOn w:val="STANumberedheading2Char"/>
    <w:link w:val="SDANumberedheading2"/>
    <w:rsid w:val="009216E9"/>
    <w:rPr>
      <w:rFonts w:eastAsia="Calibri" w:cstheme="minorHAnsi"/>
      <w:b/>
      <w:noProof/>
      <w:color w:val="757575"/>
      <w:sz w:val="30"/>
      <w:szCs w:val="30"/>
      <w:lang w:eastAsia="en-AU"/>
    </w:rPr>
  </w:style>
  <w:style w:type="paragraph" w:styleId="TOC4">
    <w:name w:val="toc 4"/>
    <w:basedOn w:val="Normal"/>
    <w:next w:val="Normal"/>
    <w:autoRedefine/>
    <w:uiPriority w:val="39"/>
    <w:unhideWhenUsed/>
    <w:rsid w:val="001B3ECA"/>
    <w:pPr>
      <w:spacing w:after="0"/>
    </w:pPr>
    <w:rPr>
      <w:sz w:val="24"/>
      <w:szCs w:val="20"/>
    </w:rPr>
  </w:style>
  <w:style w:type="paragraph" w:styleId="TOC3">
    <w:name w:val="toc 3"/>
    <w:basedOn w:val="Normal"/>
    <w:next w:val="Normal"/>
    <w:autoRedefine/>
    <w:uiPriority w:val="39"/>
    <w:unhideWhenUsed/>
    <w:rsid w:val="001B3ECA"/>
    <w:pPr>
      <w:spacing w:after="0"/>
    </w:pPr>
    <w:rPr>
      <w:sz w:val="24"/>
      <w:szCs w:val="20"/>
    </w:rPr>
  </w:style>
  <w:style w:type="character" w:styleId="Hyperlink">
    <w:name w:val="Hyperlink"/>
    <w:basedOn w:val="DefaultParagraphFont"/>
    <w:uiPriority w:val="99"/>
    <w:unhideWhenUsed/>
    <w:rsid w:val="009216E9"/>
    <w:rPr>
      <w:color w:val="0000FF" w:themeColor="hyperlink"/>
      <w:u w:val="single"/>
    </w:rPr>
  </w:style>
  <w:style w:type="paragraph" w:styleId="TOC5">
    <w:name w:val="toc 5"/>
    <w:basedOn w:val="Normal"/>
    <w:next w:val="Normal"/>
    <w:autoRedefine/>
    <w:uiPriority w:val="39"/>
    <w:unhideWhenUsed/>
    <w:rsid w:val="001B3ECA"/>
    <w:pPr>
      <w:spacing w:after="0"/>
      <w:ind w:left="660"/>
    </w:pPr>
    <w:rPr>
      <w:sz w:val="20"/>
      <w:szCs w:val="20"/>
    </w:rPr>
  </w:style>
  <w:style w:type="paragraph" w:styleId="TOC6">
    <w:name w:val="toc 6"/>
    <w:basedOn w:val="Normal"/>
    <w:next w:val="Normal"/>
    <w:autoRedefine/>
    <w:uiPriority w:val="39"/>
    <w:unhideWhenUsed/>
    <w:rsid w:val="001B3ECA"/>
    <w:pPr>
      <w:spacing w:after="0"/>
      <w:ind w:left="880"/>
    </w:pPr>
    <w:rPr>
      <w:sz w:val="20"/>
      <w:szCs w:val="20"/>
    </w:rPr>
  </w:style>
  <w:style w:type="paragraph" w:styleId="TOC7">
    <w:name w:val="toc 7"/>
    <w:basedOn w:val="Normal"/>
    <w:next w:val="Normal"/>
    <w:autoRedefine/>
    <w:uiPriority w:val="39"/>
    <w:unhideWhenUsed/>
    <w:rsid w:val="001B3ECA"/>
    <w:pPr>
      <w:spacing w:after="0"/>
      <w:ind w:left="1100"/>
    </w:pPr>
    <w:rPr>
      <w:sz w:val="20"/>
      <w:szCs w:val="20"/>
    </w:rPr>
  </w:style>
  <w:style w:type="paragraph" w:styleId="TOC8">
    <w:name w:val="toc 8"/>
    <w:basedOn w:val="Normal"/>
    <w:next w:val="Normal"/>
    <w:autoRedefine/>
    <w:uiPriority w:val="39"/>
    <w:unhideWhenUsed/>
    <w:rsid w:val="001B3ECA"/>
    <w:pPr>
      <w:spacing w:after="0"/>
      <w:ind w:left="1320"/>
    </w:pPr>
    <w:rPr>
      <w:sz w:val="20"/>
      <w:szCs w:val="20"/>
    </w:rPr>
  </w:style>
  <w:style w:type="paragraph" w:styleId="TOC9">
    <w:name w:val="toc 9"/>
    <w:basedOn w:val="Normal"/>
    <w:next w:val="Normal"/>
    <w:autoRedefine/>
    <w:uiPriority w:val="39"/>
    <w:unhideWhenUsed/>
    <w:rsid w:val="001B3ECA"/>
    <w:pPr>
      <w:spacing w:after="0"/>
      <w:ind w:left="1540"/>
    </w:pPr>
    <w:rPr>
      <w:sz w:val="20"/>
      <w:szCs w:val="20"/>
    </w:rPr>
  </w:style>
  <w:style w:type="paragraph" w:customStyle="1" w:styleId="SDAbulletpoints">
    <w:name w:val="SDA bullet points"/>
    <w:basedOn w:val="SDAbodytext"/>
    <w:link w:val="SDAbulletpointsChar"/>
    <w:qFormat/>
    <w:rsid w:val="001007C1"/>
    <w:pPr>
      <w:numPr>
        <w:numId w:val="4"/>
      </w:numPr>
    </w:pPr>
  </w:style>
  <w:style w:type="paragraph" w:customStyle="1" w:styleId="SDAnumberedlist">
    <w:name w:val="SDA numbered list"/>
    <w:basedOn w:val="SDAbulletpoints"/>
    <w:link w:val="SDAnumberedlistChar"/>
    <w:qFormat/>
    <w:rsid w:val="001007C1"/>
    <w:pPr>
      <w:numPr>
        <w:numId w:val="5"/>
      </w:numPr>
    </w:pPr>
  </w:style>
  <w:style w:type="character" w:customStyle="1" w:styleId="SDAbulletpointsChar">
    <w:name w:val="SDA bullet points Char"/>
    <w:basedOn w:val="SDAbodytextChar"/>
    <w:link w:val="SDAbulletpoints"/>
    <w:rsid w:val="001007C1"/>
  </w:style>
  <w:style w:type="table" w:styleId="TableGrid">
    <w:name w:val="Table Grid"/>
    <w:basedOn w:val="TableNormal"/>
    <w:uiPriority w:val="59"/>
    <w:rsid w:val="00F71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DAnumberedlistChar">
    <w:name w:val="SDA numbered list Char"/>
    <w:basedOn w:val="SDAbulletpointsChar"/>
    <w:link w:val="SDAnumberedlist"/>
    <w:rsid w:val="001007C1"/>
  </w:style>
  <w:style w:type="table" w:styleId="LightShading-Accent6">
    <w:name w:val="Light Shading Accent 6"/>
    <w:basedOn w:val="TableNormal"/>
    <w:uiPriority w:val="60"/>
    <w:rsid w:val="00F71D0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F71D0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olorfulGrid-Accent6">
    <w:name w:val="Colorful Grid Accent 6"/>
    <w:basedOn w:val="TableNormal"/>
    <w:uiPriority w:val="73"/>
    <w:rsid w:val="004B7EE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Accent6">
    <w:name w:val="Medium List 2 Accent 6"/>
    <w:basedOn w:val="TableNormal"/>
    <w:uiPriority w:val="66"/>
    <w:rsid w:val="004B7EE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DAtableheading">
    <w:name w:val="SDA table heading"/>
    <w:basedOn w:val="SDAbodytext"/>
    <w:link w:val="SDAtableheadingChar"/>
    <w:qFormat/>
    <w:rsid w:val="00C37479"/>
    <w:rPr>
      <w:rFonts w:ascii="Arial Narrow" w:hAnsi="Arial Narrow"/>
      <w:b/>
      <w:color w:val="757575"/>
    </w:rPr>
  </w:style>
  <w:style w:type="paragraph" w:customStyle="1" w:styleId="SDAtablestyle">
    <w:name w:val="SDA table style"/>
    <w:basedOn w:val="SDAbodytext"/>
    <w:link w:val="SDAtablestyleChar"/>
    <w:qFormat/>
    <w:rsid w:val="00C37479"/>
    <w:rPr>
      <w:rFonts w:ascii="Arial Narrow" w:hAnsi="Arial Narrow"/>
    </w:rPr>
  </w:style>
  <w:style w:type="character" w:customStyle="1" w:styleId="SDAtableheadingChar">
    <w:name w:val="SDA table heading Char"/>
    <w:basedOn w:val="SDAbodytextChar"/>
    <w:link w:val="SDAtableheading"/>
    <w:rsid w:val="00C37479"/>
    <w:rPr>
      <w:rFonts w:ascii="Arial Narrow" w:hAnsi="Arial Narrow"/>
      <w:b/>
      <w:color w:val="757575"/>
    </w:rPr>
  </w:style>
  <w:style w:type="character" w:customStyle="1" w:styleId="SDAtablestyleChar">
    <w:name w:val="SDA table style Char"/>
    <w:basedOn w:val="SDAbodytextChar"/>
    <w:link w:val="SDAtablestyle"/>
    <w:rsid w:val="00C37479"/>
    <w:rPr>
      <w:rFonts w:ascii="Arial Narrow" w:hAnsi="Arial Narrow"/>
    </w:rPr>
  </w:style>
  <w:style w:type="paragraph" w:customStyle="1" w:styleId="Default">
    <w:name w:val="Default"/>
    <w:rsid w:val="00E40F6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xmsonormal">
    <w:name w:val="x_msonormal"/>
    <w:basedOn w:val="Normal"/>
    <w:rsid w:val="00E40F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E27244"/>
    <w:pPr>
      <w:spacing w:before="189" w:after="100" w:afterAutospacing="1"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96AF0"/>
    <w:rPr>
      <w:sz w:val="16"/>
      <w:szCs w:val="16"/>
    </w:rPr>
  </w:style>
  <w:style w:type="paragraph" w:styleId="CommentText">
    <w:name w:val="annotation text"/>
    <w:basedOn w:val="Normal"/>
    <w:link w:val="CommentTextChar"/>
    <w:uiPriority w:val="99"/>
    <w:semiHidden/>
    <w:unhideWhenUsed/>
    <w:rsid w:val="00D96AF0"/>
    <w:pPr>
      <w:spacing w:line="240" w:lineRule="auto"/>
    </w:pPr>
    <w:rPr>
      <w:sz w:val="20"/>
      <w:szCs w:val="20"/>
    </w:rPr>
  </w:style>
  <w:style w:type="character" w:customStyle="1" w:styleId="CommentTextChar">
    <w:name w:val="Comment Text Char"/>
    <w:basedOn w:val="DefaultParagraphFont"/>
    <w:link w:val="CommentText"/>
    <w:uiPriority w:val="99"/>
    <w:semiHidden/>
    <w:rsid w:val="00D96AF0"/>
    <w:rPr>
      <w:sz w:val="20"/>
      <w:szCs w:val="20"/>
    </w:rPr>
  </w:style>
  <w:style w:type="paragraph" w:styleId="CommentSubject">
    <w:name w:val="annotation subject"/>
    <w:basedOn w:val="CommentText"/>
    <w:next w:val="CommentText"/>
    <w:link w:val="CommentSubjectChar"/>
    <w:uiPriority w:val="99"/>
    <w:semiHidden/>
    <w:unhideWhenUsed/>
    <w:rsid w:val="00D96AF0"/>
    <w:rPr>
      <w:b/>
      <w:bCs/>
    </w:rPr>
  </w:style>
  <w:style w:type="character" w:customStyle="1" w:styleId="CommentSubjectChar">
    <w:name w:val="Comment Subject Char"/>
    <w:basedOn w:val="CommentTextChar"/>
    <w:link w:val="CommentSubject"/>
    <w:uiPriority w:val="99"/>
    <w:semiHidden/>
    <w:rsid w:val="00D96AF0"/>
    <w:rPr>
      <w:b/>
      <w:bCs/>
      <w:sz w:val="20"/>
      <w:szCs w:val="20"/>
    </w:rPr>
  </w:style>
  <w:style w:type="paragraph" w:styleId="FootnoteText">
    <w:name w:val="footnote text"/>
    <w:basedOn w:val="Normal"/>
    <w:link w:val="FootnoteTextChar"/>
    <w:uiPriority w:val="99"/>
    <w:unhideWhenUsed/>
    <w:rsid w:val="00254563"/>
    <w:pPr>
      <w:spacing w:after="0" w:line="240" w:lineRule="auto"/>
    </w:pPr>
    <w:rPr>
      <w:sz w:val="20"/>
      <w:szCs w:val="20"/>
    </w:rPr>
  </w:style>
  <w:style w:type="character" w:customStyle="1" w:styleId="FootnoteTextChar">
    <w:name w:val="Footnote Text Char"/>
    <w:basedOn w:val="DefaultParagraphFont"/>
    <w:link w:val="FootnoteText"/>
    <w:uiPriority w:val="99"/>
    <w:rsid w:val="00254563"/>
    <w:rPr>
      <w:sz w:val="20"/>
      <w:szCs w:val="20"/>
    </w:rPr>
  </w:style>
  <w:style w:type="character" w:styleId="FootnoteReference">
    <w:name w:val="footnote reference"/>
    <w:basedOn w:val="DefaultParagraphFont"/>
    <w:uiPriority w:val="99"/>
    <w:unhideWhenUsed/>
    <w:rsid w:val="00254563"/>
    <w:rPr>
      <w:vertAlign w:val="superscript"/>
    </w:rPr>
  </w:style>
  <w:style w:type="character" w:customStyle="1" w:styleId="ListParagraphChar">
    <w:name w:val="List Paragraph Char"/>
    <w:aliases w:val="1st level - Bullet List Paragraph Char,Paragrafo elenco Char,List Paragraph1 Char"/>
    <w:basedOn w:val="DefaultParagraphFont"/>
    <w:link w:val="ListParagraph"/>
    <w:uiPriority w:val="34"/>
    <w:locked/>
    <w:rsid w:val="001F32AF"/>
  </w:style>
  <w:style w:type="paragraph" w:customStyle="1" w:styleId="AfterFirstPara">
    <w:name w:val="AfterFirstPara"/>
    <w:basedOn w:val="Normal"/>
    <w:rsid w:val="001C4E36"/>
    <w:pPr>
      <w:numPr>
        <w:numId w:val="8"/>
      </w:numPr>
      <w:spacing w:before="120" w:after="120" w:line="240" w:lineRule="auto"/>
    </w:pPr>
    <w:rPr>
      <w:rFonts w:ascii="Times New Roman" w:eastAsia="Times New Roman" w:hAnsi="Times New Roman" w:cs="Times New Roman"/>
      <w:sz w:val="24"/>
      <w:szCs w:val="24"/>
      <w:lang w:val="en-GB" w:eastAsia="zh-CN"/>
    </w:rPr>
  </w:style>
  <w:style w:type="paragraph" w:styleId="Revision">
    <w:name w:val="Revision"/>
    <w:hidden/>
    <w:uiPriority w:val="99"/>
    <w:semiHidden/>
    <w:rsid w:val="00B825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2784">
      <w:bodyDiv w:val="1"/>
      <w:marLeft w:val="0"/>
      <w:marRight w:val="0"/>
      <w:marTop w:val="0"/>
      <w:marBottom w:val="0"/>
      <w:divBdr>
        <w:top w:val="none" w:sz="0" w:space="0" w:color="auto"/>
        <w:left w:val="none" w:sz="0" w:space="0" w:color="auto"/>
        <w:bottom w:val="none" w:sz="0" w:space="0" w:color="auto"/>
        <w:right w:val="none" w:sz="0" w:space="0" w:color="auto"/>
      </w:divBdr>
    </w:div>
    <w:div w:id="90207430">
      <w:bodyDiv w:val="1"/>
      <w:marLeft w:val="0"/>
      <w:marRight w:val="0"/>
      <w:marTop w:val="0"/>
      <w:marBottom w:val="0"/>
      <w:divBdr>
        <w:top w:val="none" w:sz="0" w:space="0" w:color="auto"/>
        <w:left w:val="none" w:sz="0" w:space="0" w:color="auto"/>
        <w:bottom w:val="none" w:sz="0" w:space="0" w:color="auto"/>
        <w:right w:val="none" w:sz="0" w:space="0" w:color="auto"/>
      </w:divBdr>
    </w:div>
    <w:div w:id="143861843">
      <w:bodyDiv w:val="1"/>
      <w:marLeft w:val="0"/>
      <w:marRight w:val="0"/>
      <w:marTop w:val="0"/>
      <w:marBottom w:val="0"/>
      <w:divBdr>
        <w:top w:val="none" w:sz="0" w:space="0" w:color="auto"/>
        <w:left w:val="none" w:sz="0" w:space="0" w:color="auto"/>
        <w:bottom w:val="none" w:sz="0" w:space="0" w:color="auto"/>
        <w:right w:val="none" w:sz="0" w:space="0" w:color="auto"/>
      </w:divBdr>
    </w:div>
    <w:div w:id="607547056">
      <w:bodyDiv w:val="1"/>
      <w:marLeft w:val="0"/>
      <w:marRight w:val="0"/>
      <w:marTop w:val="0"/>
      <w:marBottom w:val="0"/>
      <w:divBdr>
        <w:top w:val="none" w:sz="0" w:space="0" w:color="auto"/>
        <w:left w:val="none" w:sz="0" w:space="0" w:color="auto"/>
        <w:bottom w:val="none" w:sz="0" w:space="0" w:color="auto"/>
        <w:right w:val="none" w:sz="0" w:space="0" w:color="auto"/>
      </w:divBdr>
    </w:div>
    <w:div w:id="1055083597">
      <w:bodyDiv w:val="1"/>
      <w:marLeft w:val="0"/>
      <w:marRight w:val="0"/>
      <w:marTop w:val="0"/>
      <w:marBottom w:val="0"/>
      <w:divBdr>
        <w:top w:val="none" w:sz="0" w:space="0" w:color="auto"/>
        <w:left w:val="none" w:sz="0" w:space="0" w:color="auto"/>
        <w:bottom w:val="none" w:sz="0" w:space="0" w:color="auto"/>
        <w:right w:val="none" w:sz="0" w:space="0" w:color="auto"/>
      </w:divBdr>
    </w:div>
    <w:div w:id="1157188404">
      <w:bodyDiv w:val="1"/>
      <w:marLeft w:val="0"/>
      <w:marRight w:val="0"/>
      <w:marTop w:val="0"/>
      <w:marBottom w:val="0"/>
      <w:divBdr>
        <w:top w:val="none" w:sz="0" w:space="0" w:color="auto"/>
        <w:left w:val="none" w:sz="0" w:space="0" w:color="auto"/>
        <w:bottom w:val="none" w:sz="0" w:space="0" w:color="auto"/>
        <w:right w:val="none" w:sz="0" w:space="0" w:color="auto"/>
      </w:divBdr>
    </w:div>
    <w:div w:id="1582594993">
      <w:bodyDiv w:val="1"/>
      <w:marLeft w:val="0"/>
      <w:marRight w:val="0"/>
      <w:marTop w:val="0"/>
      <w:marBottom w:val="0"/>
      <w:divBdr>
        <w:top w:val="none" w:sz="0" w:space="0" w:color="auto"/>
        <w:left w:val="none" w:sz="0" w:space="0" w:color="auto"/>
        <w:bottom w:val="none" w:sz="0" w:space="0" w:color="auto"/>
        <w:right w:val="none" w:sz="0" w:space="0" w:color="auto"/>
      </w:divBdr>
    </w:div>
    <w:div w:id="169838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Data" Target="diagrams/data1.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diagramColors" Target="diagrams/colors1.xml"/><Relationship Id="rId28" Type="http://schemas.openxmlformats.org/officeDocument/2006/relationships/customXml" Target="../customXml/item3.xml"/><Relationship Id="rId10" Type="http://schemas.openxmlformats.org/officeDocument/2006/relationships/image" Target="cid:image002.jpg@01CDF048.6889DF30" TargetMode="External"/><Relationship Id="rId19"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diagramQuickStyle" Target="diagrams/quickStyle1.xml"/><Relationship Id="rId27"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BDB8A9-5AE3-4DD4-AEC1-8762E6542E38}"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AU"/>
        </a:p>
      </dgm:t>
    </dgm:pt>
    <dgm:pt modelId="{F45615BC-2787-4F3C-9643-807DE05A3961}">
      <dgm:prSet phldrT="[Text]" custT="1"/>
      <dgm:spPr>
        <a:xfrm rot="5400000">
          <a:off x="-98699" y="100138"/>
          <a:ext cx="657999" cy="460599"/>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r>
            <a:rPr lang="en-AU" sz="800">
              <a:solidFill>
                <a:sysClr val="window" lastClr="FFFFFF"/>
              </a:solidFill>
              <a:latin typeface="Arial Narrow" panose="020B0606020202030204" pitchFamily="34" charset="0"/>
              <a:ea typeface="+mn-ea"/>
              <a:cs typeface="+mn-cs"/>
            </a:rPr>
            <a:t>HPA Launch</a:t>
          </a:r>
        </a:p>
      </dgm:t>
    </dgm:pt>
    <dgm:pt modelId="{4E8F3F6C-82CB-4914-B2C2-8F5028BE0510}" type="parTrans" cxnId="{448AF4C1-27BA-40FB-AEBE-3BE29FFACCF9}">
      <dgm:prSet/>
      <dgm:spPr/>
      <dgm:t>
        <a:bodyPr/>
        <a:lstStyle/>
        <a:p>
          <a:endParaRPr lang="en-AU" sz="800">
            <a:latin typeface="Arial Narrow" panose="020B0606020202030204" pitchFamily="34" charset="0"/>
          </a:endParaRPr>
        </a:p>
      </dgm:t>
    </dgm:pt>
    <dgm:pt modelId="{861D2875-909B-4DB0-AE19-516B9918242A}" type="sibTrans" cxnId="{448AF4C1-27BA-40FB-AEBE-3BE29FFACCF9}">
      <dgm:prSet/>
      <dgm:spPr/>
      <dgm:t>
        <a:bodyPr/>
        <a:lstStyle/>
        <a:p>
          <a:endParaRPr lang="en-AU" sz="800">
            <a:latin typeface="Arial Narrow" panose="020B0606020202030204" pitchFamily="34" charset="0"/>
          </a:endParaRPr>
        </a:p>
      </dgm:t>
    </dgm:pt>
    <dgm:pt modelId="{4FB7BEB9-C945-4DB2-8720-857EBDFE9C13}">
      <dgm:prSet phldrT="[Text]" custT="1"/>
      <dgm:spPr>
        <a:xfrm rot="5400000">
          <a:off x="2882092" y="-2420593"/>
          <a:ext cx="427924" cy="5270910"/>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AU" sz="800">
              <a:solidFill>
                <a:sysClr val="windowText" lastClr="000000">
                  <a:hueOff val="0"/>
                  <a:satOff val="0"/>
                  <a:lumOff val="0"/>
                  <a:alphaOff val="0"/>
                </a:sysClr>
              </a:solidFill>
              <a:latin typeface="Arial Narrow" panose="020B0606020202030204" pitchFamily="34" charset="0"/>
              <a:ea typeface="+mn-ea"/>
              <a:cs typeface="+mn-cs"/>
            </a:rPr>
            <a:t>DFAT launches HPA mechanism for funding following rapid-onset disaster or escalation in a protracted crisis.</a:t>
          </a:r>
        </a:p>
      </dgm:t>
    </dgm:pt>
    <dgm:pt modelId="{A7256E6A-E35A-459C-9961-C3E9CDB22094}" type="parTrans" cxnId="{7CDD8D9C-D9BE-4C9C-8C7B-2A8C93DED446}">
      <dgm:prSet/>
      <dgm:spPr/>
      <dgm:t>
        <a:bodyPr/>
        <a:lstStyle/>
        <a:p>
          <a:endParaRPr lang="en-AU" sz="800">
            <a:latin typeface="Arial Narrow" panose="020B0606020202030204" pitchFamily="34" charset="0"/>
          </a:endParaRPr>
        </a:p>
      </dgm:t>
    </dgm:pt>
    <dgm:pt modelId="{3114C5A0-8838-41D6-A6E0-73A93BF8BF93}" type="sibTrans" cxnId="{7CDD8D9C-D9BE-4C9C-8C7B-2A8C93DED446}">
      <dgm:prSet/>
      <dgm:spPr/>
      <dgm:t>
        <a:bodyPr/>
        <a:lstStyle/>
        <a:p>
          <a:endParaRPr lang="en-AU" sz="800">
            <a:latin typeface="Arial Narrow" panose="020B0606020202030204" pitchFamily="34" charset="0"/>
          </a:endParaRPr>
        </a:p>
      </dgm:t>
    </dgm:pt>
    <dgm:pt modelId="{7FEF9C9F-ECFB-4B46-B25F-1AC38EE02704}">
      <dgm:prSet phldrT="[Text]" custT="1"/>
      <dgm:spPr>
        <a:xfrm rot="5400000">
          <a:off x="-98699" y="631665"/>
          <a:ext cx="657999" cy="460599"/>
        </a:xfrm>
        <a:solidFill>
          <a:srgbClr val="9BBB59">
            <a:hueOff val="0"/>
            <a:satOff val="0"/>
            <a:lumOff val="0"/>
            <a:alphaOff val="0"/>
          </a:srgbClr>
        </a:solidFill>
        <a:ln w="25400" cap="flat" cmpd="sng" algn="ctr">
          <a:solidFill>
            <a:srgbClr val="9BBB59">
              <a:hueOff val="0"/>
              <a:satOff val="0"/>
              <a:lumOff val="0"/>
              <a:alphaOff val="0"/>
            </a:srgbClr>
          </a:solidFill>
          <a:prstDash val="solid"/>
        </a:ln>
        <a:effectLst/>
      </dgm:spPr>
      <dgm:t>
        <a:bodyPr/>
        <a:lstStyle/>
        <a:p>
          <a:r>
            <a:rPr lang="en-AU" sz="800">
              <a:solidFill>
                <a:sysClr val="window" lastClr="FFFFFF"/>
              </a:solidFill>
              <a:latin typeface="Arial Narrow" panose="020B0606020202030204" pitchFamily="34" charset="0"/>
              <a:ea typeface="+mn-ea"/>
              <a:cs typeface="+mn-cs"/>
            </a:rPr>
            <a:t>Preparation of ICPs</a:t>
          </a:r>
        </a:p>
      </dgm:t>
    </dgm:pt>
    <dgm:pt modelId="{B630F218-D7D4-4C85-A394-F22211291E9E}" type="parTrans" cxnId="{0E53C630-AE65-4470-98E1-AC9ED83D3B72}">
      <dgm:prSet/>
      <dgm:spPr/>
      <dgm:t>
        <a:bodyPr/>
        <a:lstStyle/>
        <a:p>
          <a:endParaRPr lang="en-AU" sz="800">
            <a:latin typeface="Arial Narrow" panose="020B0606020202030204" pitchFamily="34" charset="0"/>
          </a:endParaRPr>
        </a:p>
      </dgm:t>
    </dgm:pt>
    <dgm:pt modelId="{1266ADCC-554D-45E4-BA67-6524F5322000}" type="sibTrans" cxnId="{0E53C630-AE65-4470-98E1-AC9ED83D3B72}">
      <dgm:prSet/>
      <dgm:spPr/>
      <dgm:t>
        <a:bodyPr/>
        <a:lstStyle/>
        <a:p>
          <a:endParaRPr lang="en-AU" sz="800">
            <a:latin typeface="Arial Narrow" panose="020B0606020202030204" pitchFamily="34" charset="0"/>
          </a:endParaRPr>
        </a:p>
      </dgm:t>
    </dgm:pt>
    <dgm:pt modelId="{34B65278-8260-4065-BCC4-07E26BB8733F}">
      <dgm:prSet phldrT="[Text]" custT="1"/>
      <dgm:spPr>
        <a:xfrm rot="5400000">
          <a:off x="2882204" y="-1888639"/>
          <a:ext cx="427699" cy="5270910"/>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en-AU" sz="800">
              <a:solidFill>
                <a:sysClr val="windowText" lastClr="000000">
                  <a:hueOff val="0"/>
                  <a:satOff val="0"/>
                  <a:lumOff val="0"/>
                  <a:alphaOff val="0"/>
                </a:sysClr>
              </a:solidFill>
              <a:latin typeface="Arial Narrow" panose="020B0606020202030204" pitchFamily="34" charset="0"/>
              <a:ea typeface="+mn-ea"/>
              <a:cs typeface="+mn-cs"/>
            </a:rPr>
            <a:t>Each NGO prepares Individual Concept Paper (ICP) outlining proposal.</a:t>
          </a:r>
        </a:p>
      </dgm:t>
    </dgm:pt>
    <dgm:pt modelId="{45E3DC71-2EFC-40F6-97F7-F60C9C85A9A6}" type="parTrans" cxnId="{9C518E6A-D788-4253-A1C6-7C8981E0E1C1}">
      <dgm:prSet/>
      <dgm:spPr/>
      <dgm:t>
        <a:bodyPr/>
        <a:lstStyle/>
        <a:p>
          <a:endParaRPr lang="en-AU" sz="800">
            <a:latin typeface="Arial Narrow" panose="020B0606020202030204" pitchFamily="34" charset="0"/>
          </a:endParaRPr>
        </a:p>
      </dgm:t>
    </dgm:pt>
    <dgm:pt modelId="{DD38C74C-4583-4C85-820D-50A27BE16B76}" type="sibTrans" cxnId="{9C518E6A-D788-4253-A1C6-7C8981E0E1C1}">
      <dgm:prSet/>
      <dgm:spPr/>
      <dgm:t>
        <a:bodyPr/>
        <a:lstStyle/>
        <a:p>
          <a:endParaRPr lang="en-AU" sz="800">
            <a:latin typeface="Arial Narrow" panose="020B0606020202030204" pitchFamily="34" charset="0"/>
          </a:endParaRPr>
        </a:p>
      </dgm:t>
    </dgm:pt>
    <dgm:pt modelId="{190ABCDA-D9AF-4060-B6DB-B9281ADE4AE8}">
      <dgm:prSet phldrT="[Text]" custT="1"/>
      <dgm:spPr>
        <a:xfrm rot="5400000">
          <a:off x="2882204" y="-1888639"/>
          <a:ext cx="427699" cy="5270910"/>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en-AU" sz="800">
              <a:solidFill>
                <a:sysClr val="windowText" lastClr="000000">
                  <a:hueOff val="0"/>
                  <a:satOff val="0"/>
                  <a:lumOff val="0"/>
                  <a:alphaOff val="0"/>
                </a:sysClr>
              </a:solidFill>
              <a:latin typeface="Arial Narrow" panose="020B0606020202030204" pitchFamily="34" charset="0"/>
              <a:ea typeface="+mn-ea"/>
              <a:cs typeface="+mn-cs"/>
            </a:rPr>
            <a:t>ICPs submitted to HPA Director in specified time (normally 48 hours) who collates and distributes to HPA NGOs.</a:t>
          </a:r>
        </a:p>
      </dgm:t>
    </dgm:pt>
    <dgm:pt modelId="{59523F12-6389-48CF-A2A8-DE6A1C90EAB9}" type="parTrans" cxnId="{5B6D1224-EA8A-46E7-8446-BA54D71432A9}">
      <dgm:prSet/>
      <dgm:spPr/>
      <dgm:t>
        <a:bodyPr/>
        <a:lstStyle/>
        <a:p>
          <a:endParaRPr lang="en-AU" sz="800">
            <a:latin typeface="Arial Narrow" panose="020B0606020202030204" pitchFamily="34" charset="0"/>
          </a:endParaRPr>
        </a:p>
      </dgm:t>
    </dgm:pt>
    <dgm:pt modelId="{C2CFC827-91E7-4444-8BD9-33F60894C20B}" type="sibTrans" cxnId="{5B6D1224-EA8A-46E7-8446-BA54D71432A9}">
      <dgm:prSet/>
      <dgm:spPr/>
      <dgm:t>
        <a:bodyPr/>
        <a:lstStyle/>
        <a:p>
          <a:endParaRPr lang="en-AU" sz="800">
            <a:latin typeface="Arial Narrow" panose="020B0606020202030204" pitchFamily="34" charset="0"/>
          </a:endParaRPr>
        </a:p>
      </dgm:t>
    </dgm:pt>
    <dgm:pt modelId="{8B1D7392-B708-4B93-A644-70801A830FEA}">
      <dgm:prSet phldrT="[Text]" custT="1"/>
      <dgm:spPr>
        <a:xfrm rot="5400000">
          <a:off x="-98699" y="1163192"/>
          <a:ext cx="657999" cy="460599"/>
        </a:xfrm>
        <a:solidFill>
          <a:srgbClr val="8064A2">
            <a:hueOff val="0"/>
            <a:satOff val="0"/>
            <a:lumOff val="0"/>
            <a:alphaOff val="0"/>
          </a:srgbClr>
        </a:solidFill>
        <a:ln w="25400" cap="flat" cmpd="sng" algn="ctr">
          <a:solidFill>
            <a:srgbClr val="8064A2">
              <a:hueOff val="0"/>
              <a:satOff val="0"/>
              <a:lumOff val="0"/>
              <a:alphaOff val="0"/>
            </a:srgbClr>
          </a:solidFill>
          <a:prstDash val="solid"/>
        </a:ln>
        <a:effectLst/>
      </dgm:spPr>
      <dgm:t>
        <a:bodyPr/>
        <a:lstStyle/>
        <a:p>
          <a:r>
            <a:rPr lang="en-AU" sz="800">
              <a:solidFill>
                <a:sysClr val="window" lastClr="FFFFFF"/>
              </a:solidFill>
              <a:latin typeface="Arial Narrow" panose="020B0606020202030204" pitchFamily="34" charset="0"/>
              <a:ea typeface="+mn-ea"/>
              <a:cs typeface="+mn-cs"/>
            </a:rPr>
            <a:t>Scoring of ICPs</a:t>
          </a:r>
        </a:p>
      </dgm:t>
    </dgm:pt>
    <dgm:pt modelId="{032CD11A-B23A-4337-8B60-53B0364A15DF}" type="parTrans" cxnId="{0932B8A0-FA60-436A-8DE8-A39AC9E639E9}">
      <dgm:prSet/>
      <dgm:spPr/>
      <dgm:t>
        <a:bodyPr/>
        <a:lstStyle/>
        <a:p>
          <a:endParaRPr lang="en-AU" sz="800">
            <a:latin typeface="Arial Narrow" panose="020B0606020202030204" pitchFamily="34" charset="0"/>
          </a:endParaRPr>
        </a:p>
      </dgm:t>
    </dgm:pt>
    <dgm:pt modelId="{5F480FE1-E568-4435-8F2F-8EB2E3F96AA9}" type="sibTrans" cxnId="{0932B8A0-FA60-436A-8DE8-A39AC9E639E9}">
      <dgm:prSet/>
      <dgm:spPr/>
      <dgm:t>
        <a:bodyPr/>
        <a:lstStyle/>
        <a:p>
          <a:endParaRPr lang="en-AU" sz="800">
            <a:latin typeface="Arial Narrow" panose="020B0606020202030204" pitchFamily="34" charset="0"/>
          </a:endParaRPr>
        </a:p>
      </dgm:t>
    </dgm:pt>
    <dgm:pt modelId="{0CBDEA71-E16B-4431-B7BB-E0567CCD96B8}">
      <dgm:prSet phldrT="[Text]" custT="1"/>
      <dgm:spPr>
        <a:xfrm rot="5400000">
          <a:off x="2882204" y="-1357112"/>
          <a:ext cx="427699" cy="5270910"/>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AU" sz="800">
              <a:solidFill>
                <a:sysClr val="windowText" lastClr="000000">
                  <a:hueOff val="0"/>
                  <a:satOff val="0"/>
                  <a:lumOff val="0"/>
                  <a:alphaOff val="0"/>
                </a:sysClr>
              </a:solidFill>
              <a:latin typeface="Arial Narrow" panose="020B0606020202030204" pitchFamily="34" charset="0"/>
              <a:ea typeface="+mn-ea"/>
              <a:cs typeface="+mn-cs"/>
            </a:rPr>
            <a:t>Each NGO scores each-others' ICPs against set criteria and submits results to HPA Director.</a:t>
          </a:r>
        </a:p>
      </dgm:t>
    </dgm:pt>
    <dgm:pt modelId="{F95639AD-83F7-40C0-B1F5-7A8996A6C7E4}" type="parTrans" cxnId="{E120C568-0DB3-409C-BA41-6311C2FFF3B3}">
      <dgm:prSet/>
      <dgm:spPr/>
      <dgm:t>
        <a:bodyPr/>
        <a:lstStyle/>
        <a:p>
          <a:endParaRPr lang="en-AU" sz="800">
            <a:latin typeface="Arial Narrow" panose="020B0606020202030204" pitchFamily="34" charset="0"/>
          </a:endParaRPr>
        </a:p>
      </dgm:t>
    </dgm:pt>
    <dgm:pt modelId="{13C3924E-7AD4-4671-AD9E-42C284EC991D}" type="sibTrans" cxnId="{E120C568-0DB3-409C-BA41-6311C2FFF3B3}">
      <dgm:prSet/>
      <dgm:spPr/>
      <dgm:t>
        <a:bodyPr/>
        <a:lstStyle/>
        <a:p>
          <a:endParaRPr lang="en-AU" sz="800">
            <a:latin typeface="Arial Narrow" panose="020B0606020202030204" pitchFamily="34" charset="0"/>
          </a:endParaRPr>
        </a:p>
      </dgm:t>
    </dgm:pt>
    <dgm:pt modelId="{977B54CA-2912-44CF-BEE4-7269F15A130D}">
      <dgm:prSet phldrT="[Text]" custT="1"/>
      <dgm:spPr>
        <a:xfrm rot="5400000">
          <a:off x="2882204" y="-1357112"/>
          <a:ext cx="427699" cy="5270910"/>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AU" sz="800">
              <a:solidFill>
                <a:sysClr val="windowText" lastClr="000000">
                  <a:hueOff val="0"/>
                  <a:satOff val="0"/>
                  <a:lumOff val="0"/>
                  <a:alphaOff val="0"/>
                </a:sysClr>
              </a:solidFill>
              <a:latin typeface="Arial Narrow" panose="020B0606020202030204" pitchFamily="34" charset="0"/>
              <a:ea typeface="+mn-ea"/>
              <a:cs typeface="+mn-cs"/>
            </a:rPr>
            <a:t>HPA Director collates scores and holds until Response Committee meeting. </a:t>
          </a:r>
        </a:p>
      </dgm:t>
    </dgm:pt>
    <dgm:pt modelId="{815BF41C-2C04-4169-8A3E-809EEE3C6765}" type="parTrans" cxnId="{844F0868-4ED6-4363-9180-CE83A1798E82}">
      <dgm:prSet/>
      <dgm:spPr/>
      <dgm:t>
        <a:bodyPr/>
        <a:lstStyle/>
        <a:p>
          <a:endParaRPr lang="en-AU" sz="800">
            <a:latin typeface="Arial Narrow" panose="020B0606020202030204" pitchFamily="34" charset="0"/>
          </a:endParaRPr>
        </a:p>
      </dgm:t>
    </dgm:pt>
    <dgm:pt modelId="{115EB07C-5C8C-4DAE-A110-2FB9C0FF0AB6}" type="sibTrans" cxnId="{844F0868-4ED6-4363-9180-CE83A1798E82}">
      <dgm:prSet/>
      <dgm:spPr/>
      <dgm:t>
        <a:bodyPr/>
        <a:lstStyle/>
        <a:p>
          <a:endParaRPr lang="en-AU" sz="800">
            <a:latin typeface="Arial Narrow" panose="020B0606020202030204" pitchFamily="34" charset="0"/>
          </a:endParaRPr>
        </a:p>
      </dgm:t>
    </dgm:pt>
    <dgm:pt modelId="{3B57DC33-6348-46C0-BD2D-D8B6A0DB6737}">
      <dgm:prSet phldrT="[Text]" custT="1"/>
      <dgm:spPr>
        <a:xfrm rot="5400000">
          <a:off x="2882092" y="-2420593"/>
          <a:ext cx="427924" cy="5270910"/>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AU" sz="800">
              <a:solidFill>
                <a:sysClr val="windowText" lastClr="000000">
                  <a:hueOff val="0"/>
                  <a:satOff val="0"/>
                  <a:lumOff val="0"/>
                  <a:alphaOff val="0"/>
                </a:sysClr>
              </a:solidFill>
              <a:latin typeface="Arial Narrow" panose="020B0606020202030204" pitchFamily="34" charset="0"/>
              <a:ea typeface="+mn-ea"/>
              <a:cs typeface="+mn-cs"/>
            </a:rPr>
            <a:t>DFAT teleconference with 6 NGOs to discuss parameters (sector, location, number of agencies eligible, funding available, etc).</a:t>
          </a:r>
        </a:p>
      </dgm:t>
    </dgm:pt>
    <dgm:pt modelId="{ACC7CBC2-9AFD-41D8-9D49-80C9A9923A84}" type="parTrans" cxnId="{4BE1A4D8-6CE9-4EDA-8BC8-DA3D4605D0ED}">
      <dgm:prSet/>
      <dgm:spPr/>
      <dgm:t>
        <a:bodyPr/>
        <a:lstStyle/>
        <a:p>
          <a:endParaRPr lang="en-AU" sz="800">
            <a:latin typeface="Arial Narrow" panose="020B0606020202030204" pitchFamily="34" charset="0"/>
          </a:endParaRPr>
        </a:p>
      </dgm:t>
    </dgm:pt>
    <dgm:pt modelId="{9DB98790-4026-46FE-A53A-13AAE2BEAADD}" type="sibTrans" cxnId="{4BE1A4D8-6CE9-4EDA-8BC8-DA3D4605D0ED}">
      <dgm:prSet/>
      <dgm:spPr/>
      <dgm:t>
        <a:bodyPr/>
        <a:lstStyle/>
        <a:p>
          <a:endParaRPr lang="en-AU" sz="800">
            <a:latin typeface="Arial Narrow" panose="020B0606020202030204" pitchFamily="34" charset="0"/>
          </a:endParaRPr>
        </a:p>
      </dgm:t>
    </dgm:pt>
    <dgm:pt modelId="{EA998676-D032-4C2A-B8CC-A09ABB25E80C}">
      <dgm:prSet phldrT="[Text]" custT="1"/>
      <dgm:spPr>
        <a:xfrm rot="5400000">
          <a:off x="-98699" y="1694719"/>
          <a:ext cx="657999" cy="460599"/>
        </a:xfrm>
        <a:solidFill>
          <a:srgbClr val="4BACC6">
            <a:hueOff val="0"/>
            <a:satOff val="0"/>
            <a:lumOff val="0"/>
            <a:alphaOff val="0"/>
          </a:srgbClr>
        </a:solidFill>
        <a:ln w="25400" cap="flat" cmpd="sng" algn="ctr">
          <a:solidFill>
            <a:srgbClr val="4BACC6">
              <a:hueOff val="0"/>
              <a:satOff val="0"/>
              <a:lumOff val="0"/>
              <a:alphaOff val="0"/>
            </a:srgbClr>
          </a:solidFill>
          <a:prstDash val="solid"/>
        </a:ln>
        <a:effectLst/>
      </dgm:spPr>
      <dgm:t>
        <a:bodyPr/>
        <a:lstStyle/>
        <a:p>
          <a:r>
            <a:rPr lang="en-AU" sz="800">
              <a:solidFill>
                <a:sysClr val="window" lastClr="FFFFFF"/>
              </a:solidFill>
              <a:latin typeface="Arial Narrow" panose="020B0606020202030204" pitchFamily="34" charset="0"/>
              <a:ea typeface="+mn-ea"/>
              <a:cs typeface="+mn-cs"/>
            </a:rPr>
            <a:t>Response Committee</a:t>
          </a:r>
        </a:p>
      </dgm:t>
    </dgm:pt>
    <dgm:pt modelId="{976923B2-27E0-4A19-B7B0-86DFE65937B4}" type="parTrans" cxnId="{F4C20D87-763F-4F36-9E18-E37E12DDF5EE}">
      <dgm:prSet/>
      <dgm:spPr/>
      <dgm:t>
        <a:bodyPr/>
        <a:lstStyle/>
        <a:p>
          <a:endParaRPr lang="en-AU" sz="800">
            <a:latin typeface="Arial Narrow" panose="020B0606020202030204" pitchFamily="34" charset="0"/>
          </a:endParaRPr>
        </a:p>
      </dgm:t>
    </dgm:pt>
    <dgm:pt modelId="{FD1BA9E2-EAC2-419A-9C88-4FA1486B612F}" type="sibTrans" cxnId="{F4C20D87-763F-4F36-9E18-E37E12DDF5EE}">
      <dgm:prSet/>
      <dgm:spPr/>
      <dgm:t>
        <a:bodyPr/>
        <a:lstStyle/>
        <a:p>
          <a:endParaRPr lang="en-AU" sz="800">
            <a:latin typeface="Arial Narrow" panose="020B0606020202030204" pitchFamily="34" charset="0"/>
          </a:endParaRPr>
        </a:p>
      </dgm:t>
    </dgm:pt>
    <dgm:pt modelId="{4C8B50CD-FF74-4239-99D6-F75581DCD7BD}">
      <dgm:prSet phldrT="[Text]" custT="1"/>
      <dgm:spPr>
        <a:xfrm rot="5400000">
          <a:off x="2882204" y="-825585"/>
          <a:ext cx="427699" cy="5270910"/>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en-AU" sz="800">
              <a:solidFill>
                <a:sysClr val="windowText" lastClr="000000">
                  <a:hueOff val="0"/>
                  <a:satOff val="0"/>
                  <a:lumOff val="0"/>
                  <a:alphaOff val="0"/>
                </a:sysClr>
              </a:solidFill>
              <a:latin typeface="Arial Narrow" panose="020B0606020202030204" pitchFamily="34" charset="0"/>
              <a:ea typeface="+mn-ea"/>
              <a:cs typeface="+mn-cs"/>
            </a:rPr>
            <a:t>Each agency meets in Melbourne to present ICPs, answer questions and pose quesions to other agencies regarding proposals.</a:t>
          </a:r>
        </a:p>
      </dgm:t>
    </dgm:pt>
    <dgm:pt modelId="{DDC8B00D-BACA-4982-9B70-4D1216AAC034}" type="parTrans" cxnId="{0CE20E7F-D945-46CA-9F00-DA0F45845B20}">
      <dgm:prSet/>
      <dgm:spPr/>
      <dgm:t>
        <a:bodyPr/>
        <a:lstStyle/>
        <a:p>
          <a:endParaRPr lang="en-AU" sz="800">
            <a:latin typeface="Arial Narrow" panose="020B0606020202030204" pitchFamily="34" charset="0"/>
          </a:endParaRPr>
        </a:p>
      </dgm:t>
    </dgm:pt>
    <dgm:pt modelId="{5A99CCE9-D3A4-4433-A6BF-C55DC577F7E5}" type="sibTrans" cxnId="{0CE20E7F-D945-46CA-9F00-DA0F45845B20}">
      <dgm:prSet/>
      <dgm:spPr/>
      <dgm:t>
        <a:bodyPr/>
        <a:lstStyle/>
        <a:p>
          <a:endParaRPr lang="en-AU" sz="800">
            <a:latin typeface="Arial Narrow" panose="020B0606020202030204" pitchFamily="34" charset="0"/>
          </a:endParaRPr>
        </a:p>
      </dgm:t>
    </dgm:pt>
    <dgm:pt modelId="{029A35D7-2665-4E8E-8564-91C1FB01DB7F}">
      <dgm:prSet phldrT="[Text]" custT="1"/>
      <dgm:spPr>
        <a:xfrm rot="5400000">
          <a:off x="2882204" y="-825585"/>
          <a:ext cx="427699" cy="5270910"/>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en-AU" sz="800">
              <a:solidFill>
                <a:sysClr val="windowText" lastClr="000000">
                  <a:hueOff val="0"/>
                  <a:satOff val="0"/>
                  <a:lumOff val="0"/>
                  <a:alphaOff val="0"/>
                </a:sysClr>
              </a:solidFill>
              <a:latin typeface="Arial Narrow" panose="020B0606020202030204" pitchFamily="34" charset="0"/>
              <a:ea typeface="+mn-ea"/>
              <a:cs typeface="+mn-cs"/>
            </a:rPr>
            <a:t>Agencies are able to resubmit scores prior to final revealing of scores by HPA Director. </a:t>
          </a:r>
        </a:p>
      </dgm:t>
    </dgm:pt>
    <dgm:pt modelId="{B3DE0491-2240-4063-94A4-E086FF96524B}" type="parTrans" cxnId="{954EF6A5-8AC5-4A33-BE92-0EBB33CBCFC2}">
      <dgm:prSet/>
      <dgm:spPr/>
      <dgm:t>
        <a:bodyPr/>
        <a:lstStyle/>
        <a:p>
          <a:endParaRPr lang="en-AU" sz="800">
            <a:latin typeface="Arial Narrow" panose="020B0606020202030204" pitchFamily="34" charset="0"/>
          </a:endParaRPr>
        </a:p>
      </dgm:t>
    </dgm:pt>
    <dgm:pt modelId="{7A5905FE-CAB9-47FC-9E2C-2828931CF288}" type="sibTrans" cxnId="{954EF6A5-8AC5-4A33-BE92-0EBB33CBCFC2}">
      <dgm:prSet/>
      <dgm:spPr/>
      <dgm:t>
        <a:bodyPr/>
        <a:lstStyle/>
        <a:p>
          <a:endParaRPr lang="en-AU" sz="800">
            <a:latin typeface="Arial Narrow" panose="020B0606020202030204" pitchFamily="34" charset="0"/>
          </a:endParaRPr>
        </a:p>
      </dgm:t>
    </dgm:pt>
    <dgm:pt modelId="{E8EE49B9-7512-4AE7-8B18-4D60EB31DDC1}">
      <dgm:prSet phldrT="[Text]" custT="1"/>
      <dgm:spPr>
        <a:xfrm rot="5400000">
          <a:off x="-98699" y="2226246"/>
          <a:ext cx="657999" cy="460599"/>
        </a:xfrm>
        <a:solidFill>
          <a:srgbClr val="F79646">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AU" sz="800">
              <a:solidFill>
                <a:sysClr val="window" lastClr="FFFFFF"/>
              </a:solidFill>
              <a:latin typeface="Arial Narrow" panose="020B0606020202030204" pitchFamily="34" charset="0"/>
              <a:ea typeface="+mn-ea"/>
              <a:cs typeface="+mn-cs"/>
            </a:rPr>
            <a:t>Final Decision</a:t>
          </a:r>
        </a:p>
      </dgm:t>
    </dgm:pt>
    <dgm:pt modelId="{021EBBA4-D993-4FE9-8EED-33F54B47C165}" type="parTrans" cxnId="{2443A64D-05E7-4655-87E2-FD6B433E6D20}">
      <dgm:prSet/>
      <dgm:spPr/>
      <dgm:t>
        <a:bodyPr/>
        <a:lstStyle/>
        <a:p>
          <a:endParaRPr lang="en-AU" sz="800">
            <a:latin typeface="Arial Narrow" panose="020B0606020202030204" pitchFamily="34" charset="0"/>
          </a:endParaRPr>
        </a:p>
      </dgm:t>
    </dgm:pt>
    <dgm:pt modelId="{2F4A3E92-88FD-458D-95FB-48BC8C8B76CF}" type="sibTrans" cxnId="{2443A64D-05E7-4655-87E2-FD6B433E6D20}">
      <dgm:prSet/>
      <dgm:spPr/>
      <dgm:t>
        <a:bodyPr/>
        <a:lstStyle/>
        <a:p>
          <a:endParaRPr lang="en-AU" sz="800">
            <a:latin typeface="Arial Narrow" panose="020B0606020202030204" pitchFamily="34" charset="0"/>
          </a:endParaRPr>
        </a:p>
      </dgm:t>
    </dgm:pt>
    <dgm:pt modelId="{05DC41E3-F7C2-44EB-A30A-A0D31211256E}">
      <dgm:prSet phldrT="[Text]" custT="1"/>
      <dgm:spPr>
        <a:xfrm rot="5400000">
          <a:off x="2882204" y="-294058"/>
          <a:ext cx="427699" cy="5270910"/>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en-AU" sz="800">
              <a:solidFill>
                <a:sysClr val="windowText" lastClr="000000">
                  <a:hueOff val="0"/>
                  <a:satOff val="0"/>
                  <a:lumOff val="0"/>
                  <a:alphaOff val="0"/>
                </a:sysClr>
              </a:solidFill>
              <a:latin typeface="Arial Narrow" panose="020B0606020202030204" pitchFamily="34" charset="0"/>
              <a:ea typeface="+mn-ea"/>
              <a:cs typeface="+mn-cs"/>
            </a:rPr>
            <a:t>HPA Director announces successful agencies which are determined by ranking of final scores.</a:t>
          </a:r>
        </a:p>
      </dgm:t>
    </dgm:pt>
    <dgm:pt modelId="{E156B7B9-CDE4-46F9-A4E3-DCB13AFEF239}" type="parTrans" cxnId="{9B756949-F104-47BF-A96D-A1A9457EBC00}">
      <dgm:prSet/>
      <dgm:spPr/>
      <dgm:t>
        <a:bodyPr/>
        <a:lstStyle/>
        <a:p>
          <a:endParaRPr lang="en-AU" sz="800">
            <a:latin typeface="Arial Narrow" panose="020B0606020202030204" pitchFamily="34" charset="0"/>
          </a:endParaRPr>
        </a:p>
      </dgm:t>
    </dgm:pt>
    <dgm:pt modelId="{D654F141-DAD0-43F9-A0D4-2CE4F5E7346C}" type="sibTrans" cxnId="{9B756949-F104-47BF-A96D-A1A9457EBC00}">
      <dgm:prSet/>
      <dgm:spPr/>
      <dgm:t>
        <a:bodyPr/>
        <a:lstStyle/>
        <a:p>
          <a:endParaRPr lang="en-AU" sz="800">
            <a:latin typeface="Arial Narrow" panose="020B0606020202030204" pitchFamily="34" charset="0"/>
          </a:endParaRPr>
        </a:p>
      </dgm:t>
    </dgm:pt>
    <dgm:pt modelId="{E487222E-3F36-4786-95B6-90973EC6D5E4}">
      <dgm:prSet phldrT="[Text]" custT="1"/>
      <dgm:spPr>
        <a:xfrm rot="5400000">
          <a:off x="2882204" y="-294058"/>
          <a:ext cx="427699" cy="5270910"/>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en-AU" sz="800">
              <a:solidFill>
                <a:sysClr val="windowText" lastClr="000000">
                  <a:hueOff val="0"/>
                  <a:satOff val="0"/>
                  <a:lumOff val="0"/>
                  <a:alphaOff val="0"/>
                </a:sysClr>
              </a:solidFill>
              <a:latin typeface="Arial Narrow" panose="020B0606020202030204" pitchFamily="34" charset="0"/>
              <a:ea typeface="+mn-ea"/>
              <a:cs typeface="+mn-cs"/>
            </a:rPr>
            <a:t>HPA Director contacts DFAT to advise of decision and combined proposal is submitted to DFAT (called JERCP).</a:t>
          </a:r>
        </a:p>
      </dgm:t>
    </dgm:pt>
    <dgm:pt modelId="{95D66012-94A8-4C54-8AC9-87AE6166549A}" type="parTrans" cxnId="{EBCD0692-67D7-4EAB-9B2A-57FAC3A6EC8B}">
      <dgm:prSet/>
      <dgm:spPr/>
      <dgm:t>
        <a:bodyPr/>
        <a:lstStyle/>
        <a:p>
          <a:endParaRPr lang="en-AU" sz="800">
            <a:latin typeface="Arial Narrow" panose="020B0606020202030204" pitchFamily="34" charset="0"/>
          </a:endParaRPr>
        </a:p>
      </dgm:t>
    </dgm:pt>
    <dgm:pt modelId="{DE08C3A1-65ED-41AF-8DC9-50F0DE25B33A}" type="sibTrans" cxnId="{EBCD0692-67D7-4EAB-9B2A-57FAC3A6EC8B}">
      <dgm:prSet/>
      <dgm:spPr/>
      <dgm:t>
        <a:bodyPr/>
        <a:lstStyle/>
        <a:p>
          <a:endParaRPr lang="en-AU" sz="800">
            <a:latin typeface="Arial Narrow" panose="020B0606020202030204" pitchFamily="34" charset="0"/>
          </a:endParaRPr>
        </a:p>
      </dgm:t>
    </dgm:pt>
    <dgm:pt modelId="{2416FDD9-A7D6-4FAA-A9CF-316002C42331}" type="pres">
      <dgm:prSet presAssocID="{5FBDB8A9-5AE3-4DD4-AEC1-8762E6542E38}" presName="linearFlow" presStyleCnt="0">
        <dgm:presLayoutVars>
          <dgm:dir/>
          <dgm:animLvl val="lvl"/>
          <dgm:resizeHandles val="exact"/>
        </dgm:presLayoutVars>
      </dgm:prSet>
      <dgm:spPr/>
      <dgm:t>
        <a:bodyPr/>
        <a:lstStyle/>
        <a:p>
          <a:endParaRPr lang="en-AU"/>
        </a:p>
      </dgm:t>
    </dgm:pt>
    <dgm:pt modelId="{134A1B9A-A447-43AE-8339-6A82AA0BA4D8}" type="pres">
      <dgm:prSet presAssocID="{F45615BC-2787-4F3C-9643-807DE05A3961}" presName="composite" presStyleCnt="0"/>
      <dgm:spPr/>
      <dgm:t>
        <a:bodyPr/>
        <a:lstStyle/>
        <a:p>
          <a:endParaRPr lang="en-AU"/>
        </a:p>
      </dgm:t>
    </dgm:pt>
    <dgm:pt modelId="{33759B57-EFB0-4644-A26A-3925AA7D03C8}" type="pres">
      <dgm:prSet presAssocID="{F45615BC-2787-4F3C-9643-807DE05A3961}" presName="parentText" presStyleLbl="alignNode1" presStyleIdx="0" presStyleCnt="5">
        <dgm:presLayoutVars>
          <dgm:chMax val="1"/>
          <dgm:bulletEnabled val="1"/>
        </dgm:presLayoutVars>
      </dgm:prSet>
      <dgm:spPr>
        <a:prstGeom prst="chevron">
          <a:avLst/>
        </a:prstGeom>
      </dgm:spPr>
      <dgm:t>
        <a:bodyPr/>
        <a:lstStyle/>
        <a:p>
          <a:endParaRPr lang="en-AU"/>
        </a:p>
      </dgm:t>
    </dgm:pt>
    <dgm:pt modelId="{F2C4177E-1AA4-4A36-B248-A67E45A71D84}" type="pres">
      <dgm:prSet presAssocID="{F45615BC-2787-4F3C-9643-807DE05A3961}" presName="descendantText" presStyleLbl="alignAcc1" presStyleIdx="0" presStyleCnt="5" custLinFactNeighborY="-126">
        <dgm:presLayoutVars>
          <dgm:bulletEnabled val="1"/>
        </dgm:presLayoutVars>
      </dgm:prSet>
      <dgm:spPr>
        <a:prstGeom prst="round2SameRect">
          <a:avLst/>
        </a:prstGeom>
      </dgm:spPr>
      <dgm:t>
        <a:bodyPr/>
        <a:lstStyle/>
        <a:p>
          <a:endParaRPr lang="en-AU"/>
        </a:p>
      </dgm:t>
    </dgm:pt>
    <dgm:pt modelId="{4CE447BC-F426-4A66-8E76-841D8B0F955C}" type="pres">
      <dgm:prSet presAssocID="{861D2875-909B-4DB0-AE19-516B9918242A}" presName="sp" presStyleCnt="0"/>
      <dgm:spPr/>
      <dgm:t>
        <a:bodyPr/>
        <a:lstStyle/>
        <a:p>
          <a:endParaRPr lang="en-AU"/>
        </a:p>
      </dgm:t>
    </dgm:pt>
    <dgm:pt modelId="{EB1994EC-B775-4878-B7F7-9DA9BCDB9018}" type="pres">
      <dgm:prSet presAssocID="{7FEF9C9F-ECFB-4B46-B25F-1AC38EE02704}" presName="composite" presStyleCnt="0"/>
      <dgm:spPr/>
      <dgm:t>
        <a:bodyPr/>
        <a:lstStyle/>
        <a:p>
          <a:endParaRPr lang="en-AU"/>
        </a:p>
      </dgm:t>
    </dgm:pt>
    <dgm:pt modelId="{8D5C1A41-BBA4-4245-8765-C76337823F14}" type="pres">
      <dgm:prSet presAssocID="{7FEF9C9F-ECFB-4B46-B25F-1AC38EE02704}" presName="parentText" presStyleLbl="alignNode1" presStyleIdx="1" presStyleCnt="5">
        <dgm:presLayoutVars>
          <dgm:chMax val="1"/>
          <dgm:bulletEnabled val="1"/>
        </dgm:presLayoutVars>
      </dgm:prSet>
      <dgm:spPr>
        <a:prstGeom prst="chevron">
          <a:avLst/>
        </a:prstGeom>
      </dgm:spPr>
      <dgm:t>
        <a:bodyPr/>
        <a:lstStyle/>
        <a:p>
          <a:endParaRPr lang="en-AU"/>
        </a:p>
      </dgm:t>
    </dgm:pt>
    <dgm:pt modelId="{716A903B-F5D3-4BF2-8FF3-2671053BCEAB}" type="pres">
      <dgm:prSet presAssocID="{7FEF9C9F-ECFB-4B46-B25F-1AC38EE02704}" presName="descendantText" presStyleLbl="alignAcc1" presStyleIdx="1" presStyleCnt="5">
        <dgm:presLayoutVars>
          <dgm:bulletEnabled val="1"/>
        </dgm:presLayoutVars>
      </dgm:prSet>
      <dgm:spPr>
        <a:prstGeom prst="round2SameRect">
          <a:avLst/>
        </a:prstGeom>
      </dgm:spPr>
      <dgm:t>
        <a:bodyPr/>
        <a:lstStyle/>
        <a:p>
          <a:endParaRPr lang="en-AU"/>
        </a:p>
      </dgm:t>
    </dgm:pt>
    <dgm:pt modelId="{B9270B9F-5B9D-4219-85DC-701DD1A25C76}" type="pres">
      <dgm:prSet presAssocID="{1266ADCC-554D-45E4-BA67-6524F5322000}" presName="sp" presStyleCnt="0"/>
      <dgm:spPr/>
      <dgm:t>
        <a:bodyPr/>
        <a:lstStyle/>
        <a:p>
          <a:endParaRPr lang="en-AU"/>
        </a:p>
      </dgm:t>
    </dgm:pt>
    <dgm:pt modelId="{59275EE0-5AFA-4306-8CCB-CC6851C729CF}" type="pres">
      <dgm:prSet presAssocID="{8B1D7392-B708-4B93-A644-70801A830FEA}" presName="composite" presStyleCnt="0"/>
      <dgm:spPr/>
      <dgm:t>
        <a:bodyPr/>
        <a:lstStyle/>
        <a:p>
          <a:endParaRPr lang="en-AU"/>
        </a:p>
      </dgm:t>
    </dgm:pt>
    <dgm:pt modelId="{7AC585D0-814D-46A5-8ED8-7688A6CA4830}" type="pres">
      <dgm:prSet presAssocID="{8B1D7392-B708-4B93-A644-70801A830FEA}" presName="parentText" presStyleLbl="alignNode1" presStyleIdx="2" presStyleCnt="5">
        <dgm:presLayoutVars>
          <dgm:chMax val="1"/>
          <dgm:bulletEnabled val="1"/>
        </dgm:presLayoutVars>
      </dgm:prSet>
      <dgm:spPr>
        <a:prstGeom prst="chevron">
          <a:avLst/>
        </a:prstGeom>
      </dgm:spPr>
      <dgm:t>
        <a:bodyPr/>
        <a:lstStyle/>
        <a:p>
          <a:endParaRPr lang="en-AU"/>
        </a:p>
      </dgm:t>
    </dgm:pt>
    <dgm:pt modelId="{C9D8FEDC-921F-4D48-A4ED-FA066E867325}" type="pres">
      <dgm:prSet presAssocID="{8B1D7392-B708-4B93-A644-70801A830FEA}" presName="descendantText" presStyleLbl="alignAcc1" presStyleIdx="2" presStyleCnt="5">
        <dgm:presLayoutVars>
          <dgm:bulletEnabled val="1"/>
        </dgm:presLayoutVars>
      </dgm:prSet>
      <dgm:spPr>
        <a:prstGeom prst="round2SameRect">
          <a:avLst/>
        </a:prstGeom>
      </dgm:spPr>
      <dgm:t>
        <a:bodyPr/>
        <a:lstStyle/>
        <a:p>
          <a:endParaRPr lang="en-AU"/>
        </a:p>
      </dgm:t>
    </dgm:pt>
    <dgm:pt modelId="{F6AD70AD-50C6-4EC5-BEE8-022E94802E2D}" type="pres">
      <dgm:prSet presAssocID="{5F480FE1-E568-4435-8F2F-8EB2E3F96AA9}" presName="sp" presStyleCnt="0"/>
      <dgm:spPr/>
      <dgm:t>
        <a:bodyPr/>
        <a:lstStyle/>
        <a:p>
          <a:endParaRPr lang="en-AU"/>
        </a:p>
      </dgm:t>
    </dgm:pt>
    <dgm:pt modelId="{21CA6636-D5E9-44D2-BDE9-C02648DDFCE9}" type="pres">
      <dgm:prSet presAssocID="{EA998676-D032-4C2A-B8CC-A09ABB25E80C}" presName="composite" presStyleCnt="0"/>
      <dgm:spPr/>
      <dgm:t>
        <a:bodyPr/>
        <a:lstStyle/>
        <a:p>
          <a:endParaRPr lang="en-AU"/>
        </a:p>
      </dgm:t>
    </dgm:pt>
    <dgm:pt modelId="{A296CA22-B284-4D34-9F94-A94708762938}" type="pres">
      <dgm:prSet presAssocID="{EA998676-D032-4C2A-B8CC-A09ABB25E80C}" presName="parentText" presStyleLbl="alignNode1" presStyleIdx="3" presStyleCnt="5">
        <dgm:presLayoutVars>
          <dgm:chMax val="1"/>
          <dgm:bulletEnabled val="1"/>
        </dgm:presLayoutVars>
      </dgm:prSet>
      <dgm:spPr>
        <a:prstGeom prst="chevron">
          <a:avLst/>
        </a:prstGeom>
      </dgm:spPr>
      <dgm:t>
        <a:bodyPr/>
        <a:lstStyle/>
        <a:p>
          <a:endParaRPr lang="en-AU"/>
        </a:p>
      </dgm:t>
    </dgm:pt>
    <dgm:pt modelId="{3AB939D9-96D8-41FA-82EE-F9C0D0FD5726}" type="pres">
      <dgm:prSet presAssocID="{EA998676-D032-4C2A-B8CC-A09ABB25E80C}" presName="descendantText" presStyleLbl="alignAcc1" presStyleIdx="3" presStyleCnt="5">
        <dgm:presLayoutVars>
          <dgm:bulletEnabled val="1"/>
        </dgm:presLayoutVars>
      </dgm:prSet>
      <dgm:spPr>
        <a:prstGeom prst="round2SameRect">
          <a:avLst/>
        </a:prstGeom>
      </dgm:spPr>
      <dgm:t>
        <a:bodyPr/>
        <a:lstStyle/>
        <a:p>
          <a:endParaRPr lang="en-AU"/>
        </a:p>
      </dgm:t>
    </dgm:pt>
    <dgm:pt modelId="{6CB5D057-05BB-42A0-B1BF-62AF67370830}" type="pres">
      <dgm:prSet presAssocID="{FD1BA9E2-EAC2-419A-9C88-4FA1486B612F}" presName="sp" presStyleCnt="0"/>
      <dgm:spPr/>
      <dgm:t>
        <a:bodyPr/>
        <a:lstStyle/>
        <a:p>
          <a:endParaRPr lang="en-AU"/>
        </a:p>
      </dgm:t>
    </dgm:pt>
    <dgm:pt modelId="{FF70175A-984B-45EC-A360-97F847F2111C}" type="pres">
      <dgm:prSet presAssocID="{E8EE49B9-7512-4AE7-8B18-4D60EB31DDC1}" presName="composite" presStyleCnt="0"/>
      <dgm:spPr/>
      <dgm:t>
        <a:bodyPr/>
        <a:lstStyle/>
        <a:p>
          <a:endParaRPr lang="en-AU"/>
        </a:p>
      </dgm:t>
    </dgm:pt>
    <dgm:pt modelId="{62EA4D15-C833-454D-89B8-43A673CF47B3}" type="pres">
      <dgm:prSet presAssocID="{E8EE49B9-7512-4AE7-8B18-4D60EB31DDC1}" presName="parentText" presStyleLbl="alignNode1" presStyleIdx="4" presStyleCnt="5">
        <dgm:presLayoutVars>
          <dgm:chMax val="1"/>
          <dgm:bulletEnabled val="1"/>
        </dgm:presLayoutVars>
      </dgm:prSet>
      <dgm:spPr>
        <a:prstGeom prst="chevron">
          <a:avLst/>
        </a:prstGeom>
      </dgm:spPr>
      <dgm:t>
        <a:bodyPr/>
        <a:lstStyle/>
        <a:p>
          <a:endParaRPr lang="en-AU"/>
        </a:p>
      </dgm:t>
    </dgm:pt>
    <dgm:pt modelId="{5E460B61-EA47-4B14-BCB0-12BAD926E429}" type="pres">
      <dgm:prSet presAssocID="{E8EE49B9-7512-4AE7-8B18-4D60EB31DDC1}" presName="descendantText" presStyleLbl="alignAcc1" presStyleIdx="4" presStyleCnt="5">
        <dgm:presLayoutVars>
          <dgm:bulletEnabled val="1"/>
        </dgm:presLayoutVars>
      </dgm:prSet>
      <dgm:spPr>
        <a:prstGeom prst="round2SameRect">
          <a:avLst/>
        </a:prstGeom>
      </dgm:spPr>
      <dgm:t>
        <a:bodyPr/>
        <a:lstStyle/>
        <a:p>
          <a:endParaRPr lang="en-AU"/>
        </a:p>
      </dgm:t>
    </dgm:pt>
  </dgm:ptLst>
  <dgm:cxnLst>
    <dgm:cxn modelId="{8C8AA395-A5B0-4645-A360-13E275C8E15A}" type="presOf" srcId="{4C8B50CD-FF74-4239-99D6-F75581DCD7BD}" destId="{3AB939D9-96D8-41FA-82EE-F9C0D0FD5726}" srcOrd="0" destOrd="0" presId="urn:microsoft.com/office/officeart/2005/8/layout/chevron2"/>
    <dgm:cxn modelId="{40E7A121-76EF-4E46-91AD-E984DFD3922D}" type="presOf" srcId="{5FBDB8A9-5AE3-4DD4-AEC1-8762E6542E38}" destId="{2416FDD9-A7D6-4FAA-A9CF-316002C42331}" srcOrd="0" destOrd="0" presId="urn:microsoft.com/office/officeart/2005/8/layout/chevron2"/>
    <dgm:cxn modelId="{A7924D80-4AE6-443E-9D7F-717B945947EE}" type="presOf" srcId="{977B54CA-2912-44CF-BEE4-7269F15A130D}" destId="{C9D8FEDC-921F-4D48-A4ED-FA066E867325}" srcOrd="0" destOrd="1" presId="urn:microsoft.com/office/officeart/2005/8/layout/chevron2"/>
    <dgm:cxn modelId="{295EF249-E9CB-4107-A4DD-6A124A150995}" type="presOf" srcId="{029A35D7-2665-4E8E-8564-91C1FB01DB7F}" destId="{3AB939D9-96D8-41FA-82EE-F9C0D0FD5726}" srcOrd="0" destOrd="1" presId="urn:microsoft.com/office/officeart/2005/8/layout/chevron2"/>
    <dgm:cxn modelId="{2012BC19-235C-4535-AC9C-E5DAACF619BB}" type="presOf" srcId="{7FEF9C9F-ECFB-4B46-B25F-1AC38EE02704}" destId="{8D5C1A41-BBA4-4245-8765-C76337823F14}" srcOrd="0" destOrd="0" presId="urn:microsoft.com/office/officeart/2005/8/layout/chevron2"/>
    <dgm:cxn modelId="{4BE1A4D8-6CE9-4EDA-8BC8-DA3D4605D0ED}" srcId="{F45615BC-2787-4F3C-9643-807DE05A3961}" destId="{3B57DC33-6348-46C0-BD2D-D8B6A0DB6737}" srcOrd="1" destOrd="0" parTransId="{ACC7CBC2-9AFD-41D8-9D49-80C9A9923A84}" sibTransId="{9DB98790-4026-46FE-A53A-13AAE2BEAADD}"/>
    <dgm:cxn modelId="{0932B8A0-FA60-436A-8DE8-A39AC9E639E9}" srcId="{5FBDB8A9-5AE3-4DD4-AEC1-8762E6542E38}" destId="{8B1D7392-B708-4B93-A644-70801A830FEA}" srcOrd="2" destOrd="0" parTransId="{032CD11A-B23A-4337-8B60-53B0364A15DF}" sibTransId="{5F480FE1-E568-4435-8F2F-8EB2E3F96AA9}"/>
    <dgm:cxn modelId="{BD2B06A6-448C-47E3-A7D1-160619798E0C}" type="presOf" srcId="{F45615BC-2787-4F3C-9643-807DE05A3961}" destId="{33759B57-EFB0-4644-A26A-3925AA7D03C8}" srcOrd="0" destOrd="0" presId="urn:microsoft.com/office/officeart/2005/8/layout/chevron2"/>
    <dgm:cxn modelId="{9B756949-F104-47BF-A96D-A1A9457EBC00}" srcId="{E8EE49B9-7512-4AE7-8B18-4D60EB31DDC1}" destId="{05DC41E3-F7C2-44EB-A30A-A0D31211256E}" srcOrd="0" destOrd="0" parTransId="{E156B7B9-CDE4-46F9-A4E3-DCB13AFEF239}" sibTransId="{D654F141-DAD0-43F9-A0D4-2CE4F5E7346C}"/>
    <dgm:cxn modelId="{7FCD05C3-1A99-4A96-9E27-51AE2F38CF43}" type="presOf" srcId="{8B1D7392-B708-4B93-A644-70801A830FEA}" destId="{7AC585D0-814D-46A5-8ED8-7688A6CA4830}" srcOrd="0" destOrd="0" presId="urn:microsoft.com/office/officeart/2005/8/layout/chevron2"/>
    <dgm:cxn modelId="{25420F95-0AF1-4641-9158-11B333C8334D}" type="presOf" srcId="{34B65278-8260-4065-BCC4-07E26BB8733F}" destId="{716A903B-F5D3-4BF2-8FF3-2671053BCEAB}" srcOrd="0" destOrd="0" presId="urn:microsoft.com/office/officeart/2005/8/layout/chevron2"/>
    <dgm:cxn modelId="{7CDD8D9C-D9BE-4C9C-8C7B-2A8C93DED446}" srcId="{F45615BC-2787-4F3C-9643-807DE05A3961}" destId="{4FB7BEB9-C945-4DB2-8720-857EBDFE9C13}" srcOrd="0" destOrd="0" parTransId="{A7256E6A-E35A-459C-9961-C3E9CDB22094}" sibTransId="{3114C5A0-8838-41D6-A6E0-73A93BF8BF93}"/>
    <dgm:cxn modelId="{5FE3EF5C-011D-4C76-B056-F515F2624209}" type="presOf" srcId="{E487222E-3F36-4786-95B6-90973EC6D5E4}" destId="{5E460B61-EA47-4B14-BCB0-12BAD926E429}" srcOrd="0" destOrd="1" presId="urn:microsoft.com/office/officeart/2005/8/layout/chevron2"/>
    <dgm:cxn modelId="{09176EA5-7B93-4761-86E9-0F7EF45310FD}" type="presOf" srcId="{190ABCDA-D9AF-4060-B6DB-B9281ADE4AE8}" destId="{716A903B-F5D3-4BF2-8FF3-2671053BCEAB}" srcOrd="0" destOrd="1" presId="urn:microsoft.com/office/officeart/2005/8/layout/chevron2"/>
    <dgm:cxn modelId="{F4C20D87-763F-4F36-9E18-E37E12DDF5EE}" srcId="{5FBDB8A9-5AE3-4DD4-AEC1-8762E6542E38}" destId="{EA998676-D032-4C2A-B8CC-A09ABB25E80C}" srcOrd="3" destOrd="0" parTransId="{976923B2-27E0-4A19-B7B0-86DFE65937B4}" sibTransId="{FD1BA9E2-EAC2-419A-9C88-4FA1486B612F}"/>
    <dgm:cxn modelId="{EBCD0692-67D7-4EAB-9B2A-57FAC3A6EC8B}" srcId="{E8EE49B9-7512-4AE7-8B18-4D60EB31DDC1}" destId="{E487222E-3F36-4786-95B6-90973EC6D5E4}" srcOrd="1" destOrd="0" parTransId="{95D66012-94A8-4C54-8AC9-87AE6166549A}" sibTransId="{DE08C3A1-65ED-41AF-8DC9-50F0DE25B33A}"/>
    <dgm:cxn modelId="{954EF6A5-8AC5-4A33-BE92-0EBB33CBCFC2}" srcId="{EA998676-D032-4C2A-B8CC-A09ABB25E80C}" destId="{029A35D7-2665-4E8E-8564-91C1FB01DB7F}" srcOrd="1" destOrd="0" parTransId="{B3DE0491-2240-4063-94A4-E086FF96524B}" sibTransId="{7A5905FE-CAB9-47FC-9E2C-2828931CF288}"/>
    <dgm:cxn modelId="{5B6D1224-EA8A-46E7-8446-BA54D71432A9}" srcId="{7FEF9C9F-ECFB-4B46-B25F-1AC38EE02704}" destId="{190ABCDA-D9AF-4060-B6DB-B9281ADE4AE8}" srcOrd="1" destOrd="0" parTransId="{59523F12-6389-48CF-A2A8-DE6A1C90EAB9}" sibTransId="{C2CFC827-91E7-4444-8BD9-33F60894C20B}"/>
    <dgm:cxn modelId="{9C518E6A-D788-4253-A1C6-7C8981E0E1C1}" srcId="{7FEF9C9F-ECFB-4B46-B25F-1AC38EE02704}" destId="{34B65278-8260-4065-BCC4-07E26BB8733F}" srcOrd="0" destOrd="0" parTransId="{45E3DC71-2EFC-40F6-97F7-F60C9C85A9A6}" sibTransId="{DD38C74C-4583-4C85-820D-50A27BE16B76}"/>
    <dgm:cxn modelId="{56375BBD-BAE9-4226-92C3-E45F021A1938}" type="presOf" srcId="{0CBDEA71-E16B-4431-B7BB-E0567CCD96B8}" destId="{C9D8FEDC-921F-4D48-A4ED-FA066E867325}" srcOrd="0" destOrd="0" presId="urn:microsoft.com/office/officeart/2005/8/layout/chevron2"/>
    <dgm:cxn modelId="{844F0868-4ED6-4363-9180-CE83A1798E82}" srcId="{8B1D7392-B708-4B93-A644-70801A830FEA}" destId="{977B54CA-2912-44CF-BEE4-7269F15A130D}" srcOrd="1" destOrd="0" parTransId="{815BF41C-2C04-4169-8A3E-809EEE3C6765}" sibTransId="{115EB07C-5C8C-4DAE-A110-2FB9C0FF0AB6}"/>
    <dgm:cxn modelId="{0E53C630-AE65-4470-98E1-AC9ED83D3B72}" srcId="{5FBDB8A9-5AE3-4DD4-AEC1-8762E6542E38}" destId="{7FEF9C9F-ECFB-4B46-B25F-1AC38EE02704}" srcOrd="1" destOrd="0" parTransId="{B630F218-D7D4-4C85-A394-F22211291E9E}" sibTransId="{1266ADCC-554D-45E4-BA67-6524F5322000}"/>
    <dgm:cxn modelId="{D502F35C-FB9B-4597-A32B-DA55A3C78CCE}" type="presOf" srcId="{05DC41E3-F7C2-44EB-A30A-A0D31211256E}" destId="{5E460B61-EA47-4B14-BCB0-12BAD926E429}" srcOrd="0" destOrd="0" presId="urn:microsoft.com/office/officeart/2005/8/layout/chevron2"/>
    <dgm:cxn modelId="{0CE20E7F-D945-46CA-9F00-DA0F45845B20}" srcId="{EA998676-D032-4C2A-B8CC-A09ABB25E80C}" destId="{4C8B50CD-FF74-4239-99D6-F75581DCD7BD}" srcOrd="0" destOrd="0" parTransId="{DDC8B00D-BACA-4982-9B70-4D1216AAC034}" sibTransId="{5A99CCE9-D3A4-4433-A6BF-C55DC577F7E5}"/>
    <dgm:cxn modelId="{241AB264-1078-41A0-ACBE-D5264A29F5CF}" type="presOf" srcId="{E8EE49B9-7512-4AE7-8B18-4D60EB31DDC1}" destId="{62EA4D15-C833-454D-89B8-43A673CF47B3}" srcOrd="0" destOrd="0" presId="urn:microsoft.com/office/officeart/2005/8/layout/chevron2"/>
    <dgm:cxn modelId="{448CF6A7-666C-47B3-AEC3-FC536277A829}" type="presOf" srcId="{4FB7BEB9-C945-4DB2-8720-857EBDFE9C13}" destId="{F2C4177E-1AA4-4A36-B248-A67E45A71D84}" srcOrd="0" destOrd="0" presId="urn:microsoft.com/office/officeart/2005/8/layout/chevron2"/>
    <dgm:cxn modelId="{D7B84573-1640-4FB6-89E8-A0B68B77E29C}" type="presOf" srcId="{EA998676-D032-4C2A-B8CC-A09ABB25E80C}" destId="{A296CA22-B284-4D34-9F94-A94708762938}" srcOrd="0" destOrd="0" presId="urn:microsoft.com/office/officeart/2005/8/layout/chevron2"/>
    <dgm:cxn modelId="{2443A64D-05E7-4655-87E2-FD6B433E6D20}" srcId="{5FBDB8A9-5AE3-4DD4-AEC1-8762E6542E38}" destId="{E8EE49B9-7512-4AE7-8B18-4D60EB31DDC1}" srcOrd="4" destOrd="0" parTransId="{021EBBA4-D993-4FE9-8EED-33F54B47C165}" sibTransId="{2F4A3E92-88FD-458D-95FB-48BC8C8B76CF}"/>
    <dgm:cxn modelId="{448AF4C1-27BA-40FB-AEBE-3BE29FFACCF9}" srcId="{5FBDB8A9-5AE3-4DD4-AEC1-8762E6542E38}" destId="{F45615BC-2787-4F3C-9643-807DE05A3961}" srcOrd="0" destOrd="0" parTransId="{4E8F3F6C-82CB-4914-B2C2-8F5028BE0510}" sibTransId="{861D2875-909B-4DB0-AE19-516B9918242A}"/>
    <dgm:cxn modelId="{E120C568-0DB3-409C-BA41-6311C2FFF3B3}" srcId="{8B1D7392-B708-4B93-A644-70801A830FEA}" destId="{0CBDEA71-E16B-4431-B7BB-E0567CCD96B8}" srcOrd="0" destOrd="0" parTransId="{F95639AD-83F7-40C0-B1F5-7A8996A6C7E4}" sibTransId="{13C3924E-7AD4-4671-AD9E-42C284EC991D}"/>
    <dgm:cxn modelId="{9C69C88C-6BDD-466F-9B3D-D493F82019C7}" type="presOf" srcId="{3B57DC33-6348-46C0-BD2D-D8B6A0DB6737}" destId="{F2C4177E-1AA4-4A36-B248-A67E45A71D84}" srcOrd="0" destOrd="1" presId="urn:microsoft.com/office/officeart/2005/8/layout/chevron2"/>
    <dgm:cxn modelId="{B03C1DAF-CC5E-43F2-8974-14C078EA747A}" type="presParOf" srcId="{2416FDD9-A7D6-4FAA-A9CF-316002C42331}" destId="{134A1B9A-A447-43AE-8339-6A82AA0BA4D8}" srcOrd="0" destOrd="0" presId="urn:microsoft.com/office/officeart/2005/8/layout/chevron2"/>
    <dgm:cxn modelId="{1551A6DB-85CE-49B7-BC85-40D27467BB87}" type="presParOf" srcId="{134A1B9A-A447-43AE-8339-6A82AA0BA4D8}" destId="{33759B57-EFB0-4644-A26A-3925AA7D03C8}" srcOrd="0" destOrd="0" presId="urn:microsoft.com/office/officeart/2005/8/layout/chevron2"/>
    <dgm:cxn modelId="{658C817D-D8E5-496C-BC8F-3C3A52DB54C6}" type="presParOf" srcId="{134A1B9A-A447-43AE-8339-6A82AA0BA4D8}" destId="{F2C4177E-1AA4-4A36-B248-A67E45A71D84}" srcOrd="1" destOrd="0" presId="urn:microsoft.com/office/officeart/2005/8/layout/chevron2"/>
    <dgm:cxn modelId="{1B9A83CA-0EE3-4B44-8D66-4CD9D8E19486}" type="presParOf" srcId="{2416FDD9-A7D6-4FAA-A9CF-316002C42331}" destId="{4CE447BC-F426-4A66-8E76-841D8B0F955C}" srcOrd="1" destOrd="0" presId="urn:microsoft.com/office/officeart/2005/8/layout/chevron2"/>
    <dgm:cxn modelId="{6268FB7B-0CC6-4D72-B56C-9CBCE122424D}" type="presParOf" srcId="{2416FDD9-A7D6-4FAA-A9CF-316002C42331}" destId="{EB1994EC-B775-4878-B7F7-9DA9BCDB9018}" srcOrd="2" destOrd="0" presId="urn:microsoft.com/office/officeart/2005/8/layout/chevron2"/>
    <dgm:cxn modelId="{EBB4861F-7898-4055-8EA9-21A5C8C61A73}" type="presParOf" srcId="{EB1994EC-B775-4878-B7F7-9DA9BCDB9018}" destId="{8D5C1A41-BBA4-4245-8765-C76337823F14}" srcOrd="0" destOrd="0" presId="urn:microsoft.com/office/officeart/2005/8/layout/chevron2"/>
    <dgm:cxn modelId="{9060F134-D961-4659-BC14-76FE8D1F1B38}" type="presParOf" srcId="{EB1994EC-B775-4878-B7F7-9DA9BCDB9018}" destId="{716A903B-F5D3-4BF2-8FF3-2671053BCEAB}" srcOrd="1" destOrd="0" presId="urn:microsoft.com/office/officeart/2005/8/layout/chevron2"/>
    <dgm:cxn modelId="{134F90A9-FF0D-45E0-BFED-182B2BA6B5B7}" type="presParOf" srcId="{2416FDD9-A7D6-4FAA-A9CF-316002C42331}" destId="{B9270B9F-5B9D-4219-85DC-701DD1A25C76}" srcOrd="3" destOrd="0" presId="urn:microsoft.com/office/officeart/2005/8/layout/chevron2"/>
    <dgm:cxn modelId="{252F467D-B460-4028-8613-D709A811F922}" type="presParOf" srcId="{2416FDD9-A7D6-4FAA-A9CF-316002C42331}" destId="{59275EE0-5AFA-4306-8CCB-CC6851C729CF}" srcOrd="4" destOrd="0" presId="urn:microsoft.com/office/officeart/2005/8/layout/chevron2"/>
    <dgm:cxn modelId="{09507FBC-F08B-4964-BC95-7E70C24074FE}" type="presParOf" srcId="{59275EE0-5AFA-4306-8CCB-CC6851C729CF}" destId="{7AC585D0-814D-46A5-8ED8-7688A6CA4830}" srcOrd="0" destOrd="0" presId="urn:microsoft.com/office/officeart/2005/8/layout/chevron2"/>
    <dgm:cxn modelId="{FF816D1E-40C7-40CC-94EC-D7CDD50A3EAD}" type="presParOf" srcId="{59275EE0-5AFA-4306-8CCB-CC6851C729CF}" destId="{C9D8FEDC-921F-4D48-A4ED-FA066E867325}" srcOrd="1" destOrd="0" presId="urn:microsoft.com/office/officeart/2005/8/layout/chevron2"/>
    <dgm:cxn modelId="{3343DFDF-E302-43A0-A6E3-0C0EC99DB90F}" type="presParOf" srcId="{2416FDD9-A7D6-4FAA-A9CF-316002C42331}" destId="{F6AD70AD-50C6-4EC5-BEE8-022E94802E2D}" srcOrd="5" destOrd="0" presId="urn:microsoft.com/office/officeart/2005/8/layout/chevron2"/>
    <dgm:cxn modelId="{7E3DDFBE-143B-4413-99E2-E7AE2CA78CB6}" type="presParOf" srcId="{2416FDD9-A7D6-4FAA-A9CF-316002C42331}" destId="{21CA6636-D5E9-44D2-BDE9-C02648DDFCE9}" srcOrd="6" destOrd="0" presId="urn:microsoft.com/office/officeart/2005/8/layout/chevron2"/>
    <dgm:cxn modelId="{B297FD41-530C-497E-A45D-E2E04465EE95}" type="presParOf" srcId="{21CA6636-D5E9-44D2-BDE9-C02648DDFCE9}" destId="{A296CA22-B284-4D34-9F94-A94708762938}" srcOrd="0" destOrd="0" presId="urn:microsoft.com/office/officeart/2005/8/layout/chevron2"/>
    <dgm:cxn modelId="{D6CBA075-581D-41F3-A103-6953278DFE53}" type="presParOf" srcId="{21CA6636-D5E9-44D2-BDE9-C02648DDFCE9}" destId="{3AB939D9-96D8-41FA-82EE-F9C0D0FD5726}" srcOrd="1" destOrd="0" presId="urn:microsoft.com/office/officeart/2005/8/layout/chevron2"/>
    <dgm:cxn modelId="{5247BC7F-F783-41DD-8BF6-FED18A43426A}" type="presParOf" srcId="{2416FDD9-A7D6-4FAA-A9CF-316002C42331}" destId="{6CB5D057-05BB-42A0-B1BF-62AF67370830}" srcOrd="7" destOrd="0" presId="urn:microsoft.com/office/officeart/2005/8/layout/chevron2"/>
    <dgm:cxn modelId="{7D7E8D2B-9E58-41F0-9496-BFE0F61171A6}" type="presParOf" srcId="{2416FDD9-A7D6-4FAA-A9CF-316002C42331}" destId="{FF70175A-984B-45EC-A360-97F847F2111C}" srcOrd="8" destOrd="0" presId="urn:microsoft.com/office/officeart/2005/8/layout/chevron2"/>
    <dgm:cxn modelId="{7F047FD0-E221-4A55-A462-F77BDCC10BAB}" type="presParOf" srcId="{FF70175A-984B-45EC-A360-97F847F2111C}" destId="{62EA4D15-C833-454D-89B8-43A673CF47B3}" srcOrd="0" destOrd="0" presId="urn:microsoft.com/office/officeart/2005/8/layout/chevron2"/>
    <dgm:cxn modelId="{1009EB86-91D8-4AC8-BF40-BD0080D2F62B}" type="presParOf" srcId="{FF70175A-984B-45EC-A360-97F847F2111C}" destId="{5E460B61-EA47-4B14-BCB0-12BAD926E429}"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759B57-EFB0-4644-A26A-3925AA7D03C8}">
      <dsp:nvSpPr>
        <dsp:cNvPr id="0" name=""/>
        <dsp:cNvSpPr/>
      </dsp:nvSpPr>
      <dsp:spPr>
        <a:xfrm rot="5400000">
          <a:off x="-153180" y="154753"/>
          <a:ext cx="1021205" cy="71484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Narrow" panose="020B0606020202030204" pitchFamily="34" charset="0"/>
              <a:ea typeface="+mn-ea"/>
              <a:cs typeface="+mn-cs"/>
            </a:rPr>
            <a:t>HPA Launch</a:t>
          </a:r>
        </a:p>
      </dsp:txBody>
      <dsp:txXfrm rot="-5400000">
        <a:off x="2" y="358994"/>
        <a:ext cx="714843" cy="306362"/>
      </dsp:txXfrm>
    </dsp:sp>
    <dsp:sp modelId="{F2C4177E-1AA4-4A36-B248-A67E45A71D84}">
      <dsp:nvSpPr>
        <dsp:cNvPr id="0" name=""/>
        <dsp:cNvSpPr/>
      </dsp:nvSpPr>
      <dsp:spPr>
        <a:xfrm rot="5400000">
          <a:off x="2890452" y="-2174871"/>
          <a:ext cx="663783" cy="5015000"/>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Narrow" panose="020B0606020202030204" pitchFamily="34" charset="0"/>
              <a:ea typeface="+mn-ea"/>
              <a:cs typeface="+mn-cs"/>
            </a:rPr>
            <a:t>DFAT launches HPA mechanism for funding following rapid-onset disaster or escalation in a protracted crisis.</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Narrow" panose="020B0606020202030204" pitchFamily="34" charset="0"/>
              <a:ea typeface="+mn-ea"/>
              <a:cs typeface="+mn-cs"/>
            </a:rPr>
            <a:t>DFAT teleconference with 6 NGOs to discuss parameters (sector, location, number of agencies eligible, funding available, etc).</a:t>
          </a:r>
        </a:p>
      </dsp:txBody>
      <dsp:txXfrm rot="-5400000">
        <a:off x="714844" y="33140"/>
        <a:ext cx="4982597" cy="598977"/>
      </dsp:txXfrm>
    </dsp:sp>
    <dsp:sp modelId="{8D5C1A41-BBA4-4245-8765-C76337823F14}">
      <dsp:nvSpPr>
        <dsp:cNvPr id="0" name=""/>
        <dsp:cNvSpPr/>
      </dsp:nvSpPr>
      <dsp:spPr>
        <a:xfrm rot="5400000">
          <a:off x="-153180" y="1057994"/>
          <a:ext cx="1021205" cy="714843"/>
        </a:xfrm>
        <a:prstGeom prst="chevron">
          <a:avLst/>
        </a:prstGeom>
        <a:solidFill>
          <a:srgbClr val="9BBB59">
            <a:hueOff val="0"/>
            <a:satOff val="0"/>
            <a:lumOff val="0"/>
            <a:alphaOff val="0"/>
          </a:srgb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Narrow" panose="020B0606020202030204" pitchFamily="34" charset="0"/>
              <a:ea typeface="+mn-ea"/>
              <a:cs typeface="+mn-cs"/>
            </a:rPr>
            <a:t>Preparation of ICPs</a:t>
          </a:r>
        </a:p>
      </dsp:txBody>
      <dsp:txXfrm rot="-5400000">
        <a:off x="2" y="1262235"/>
        <a:ext cx="714843" cy="306362"/>
      </dsp:txXfrm>
    </dsp:sp>
    <dsp:sp modelId="{716A903B-F5D3-4BF2-8FF3-2671053BCEAB}">
      <dsp:nvSpPr>
        <dsp:cNvPr id="0" name=""/>
        <dsp:cNvSpPr/>
      </dsp:nvSpPr>
      <dsp:spPr>
        <a:xfrm rot="5400000">
          <a:off x="2890452" y="-1270794"/>
          <a:ext cx="663783" cy="5015000"/>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Narrow" panose="020B0606020202030204" pitchFamily="34" charset="0"/>
              <a:ea typeface="+mn-ea"/>
              <a:cs typeface="+mn-cs"/>
            </a:rPr>
            <a:t>Each NGO prepares Individual Concept Paper (ICP) outlining proposal.</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Narrow" panose="020B0606020202030204" pitchFamily="34" charset="0"/>
              <a:ea typeface="+mn-ea"/>
              <a:cs typeface="+mn-cs"/>
            </a:rPr>
            <a:t>ICPs submitted to HPA Director in specified time (normally 48 hours) who collates and distributes to HPA NGOs.</a:t>
          </a:r>
        </a:p>
      </dsp:txBody>
      <dsp:txXfrm rot="-5400000">
        <a:off x="714844" y="937217"/>
        <a:ext cx="4982597" cy="598977"/>
      </dsp:txXfrm>
    </dsp:sp>
    <dsp:sp modelId="{7AC585D0-814D-46A5-8ED8-7688A6CA4830}">
      <dsp:nvSpPr>
        <dsp:cNvPr id="0" name=""/>
        <dsp:cNvSpPr/>
      </dsp:nvSpPr>
      <dsp:spPr>
        <a:xfrm rot="5400000">
          <a:off x="-153180" y="1961235"/>
          <a:ext cx="1021205" cy="714843"/>
        </a:xfrm>
        <a:prstGeom prst="chevron">
          <a:avLst/>
        </a:prstGeom>
        <a:solidFill>
          <a:srgbClr val="8064A2">
            <a:hueOff val="0"/>
            <a:satOff val="0"/>
            <a:lumOff val="0"/>
            <a:alphaOff val="0"/>
          </a:srgb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Narrow" panose="020B0606020202030204" pitchFamily="34" charset="0"/>
              <a:ea typeface="+mn-ea"/>
              <a:cs typeface="+mn-cs"/>
            </a:rPr>
            <a:t>Scoring of ICPs</a:t>
          </a:r>
        </a:p>
      </dsp:txBody>
      <dsp:txXfrm rot="-5400000">
        <a:off x="2" y="2165476"/>
        <a:ext cx="714843" cy="306362"/>
      </dsp:txXfrm>
    </dsp:sp>
    <dsp:sp modelId="{C9D8FEDC-921F-4D48-A4ED-FA066E867325}">
      <dsp:nvSpPr>
        <dsp:cNvPr id="0" name=""/>
        <dsp:cNvSpPr/>
      </dsp:nvSpPr>
      <dsp:spPr>
        <a:xfrm rot="5400000">
          <a:off x="2890452" y="-367554"/>
          <a:ext cx="663783" cy="5015000"/>
        </a:xfrm>
        <a:prstGeom prst="round2Same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Narrow" panose="020B0606020202030204" pitchFamily="34" charset="0"/>
              <a:ea typeface="+mn-ea"/>
              <a:cs typeface="+mn-cs"/>
            </a:rPr>
            <a:t>Each NGO scores each-others' ICPs against set criteria and submits results to HPA Director.</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Narrow" panose="020B0606020202030204" pitchFamily="34" charset="0"/>
              <a:ea typeface="+mn-ea"/>
              <a:cs typeface="+mn-cs"/>
            </a:rPr>
            <a:t>HPA Director collates scores and holds until Response Committee meeting. </a:t>
          </a:r>
        </a:p>
      </dsp:txBody>
      <dsp:txXfrm rot="-5400000">
        <a:off x="714844" y="1840457"/>
        <a:ext cx="4982597" cy="598977"/>
      </dsp:txXfrm>
    </dsp:sp>
    <dsp:sp modelId="{A296CA22-B284-4D34-9F94-A94708762938}">
      <dsp:nvSpPr>
        <dsp:cNvPr id="0" name=""/>
        <dsp:cNvSpPr/>
      </dsp:nvSpPr>
      <dsp:spPr>
        <a:xfrm rot="5400000">
          <a:off x="-153180" y="2864475"/>
          <a:ext cx="1021205" cy="714843"/>
        </a:xfrm>
        <a:prstGeom prst="chevron">
          <a:avLst/>
        </a:prstGeom>
        <a:solidFill>
          <a:srgbClr val="4BACC6">
            <a:hueOff val="0"/>
            <a:satOff val="0"/>
            <a:lumOff val="0"/>
            <a:alphaOff val="0"/>
          </a:srgb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Narrow" panose="020B0606020202030204" pitchFamily="34" charset="0"/>
              <a:ea typeface="+mn-ea"/>
              <a:cs typeface="+mn-cs"/>
            </a:rPr>
            <a:t>Response Committee</a:t>
          </a:r>
        </a:p>
      </dsp:txBody>
      <dsp:txXfrm rot="-5400000">
        <a:off x="2" y="3068716"/>
        <a:ext cx="714843" cy="306362"/>
      </dsp:txXfrm>
    </dsp:sp>
    <dsp:sp modelId="{3AB939D9-96D8-41FA-82EE-F9C0D0FD5726}">
      <dsp:nvSpPr>
        <dsp:cNvPr id="0" name=""/>
        <dsp:cNvSpPr/>
      </dsp:nvSpPr>
      <dsp:spPr>
        <a:xfrm rot="5400000">
          <a:off x="2890452" y="535686"/>
          <a:ext cx="663783" cy="5015000"/>
        </a:xfrm>
        <a:prstGeom prst="round2Same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Narrow" panose="020B0606020202030204" pitchFamily="34" charset="0"/>
              <a:ea typeface="+mn-ea"/>
              <a:cs typeface="+mn-cs"/>
            </a:rPr>
            <a:t>Each agency meets in Melbourne to present ICPs, answer questions and pose quesions to other agencies regarding proposals.</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Narrow" panose="020B0606020202030204" pitchFamily="34" charset="0"/>
              <a:ea typeface="+mn-ea"/>
              <a:cs typeface="+mn-cs"/>
            </a:rPr>
            <a:t>Agencies are able to resubmit scores prior to final revealing of scores by HPA Director. </a:t>
          </a:r>
        </a:p>
      </dsp:txBody>
      <dsp:txXfrm rot="-5400000">
        <a:off x="714844" y="2743698"/>
        <a:ext cx="4982597" cy="598977"/>
      </dsp:txXfrm>
    </dsp:sp>
    <dsp:sp modelId="{62EA4D15-C833-454D-89B8-43A673CF47B3}">
      <dsp:nvSpPr>
        <dsp:cNvPr id="0" name=""/>
        <dsp:cNvSpPr/>
      </dsp:nvSpPr>
      <dsp:spPr>
        <a:xfrm rot="5400000">
          <a:off x="-153180" y="3767716"/>
          <a:ext cx="1021205" cy="714843"/>
        </a:xfrm>
        <a:prstGeom prst="chevron">
          <a:avLst/>
        </a:prstGeom>
        <a:solidFill>
          <a:srgbClr val="F79646">
            <a:hueOff val="0"/>
            <a:satOff val="0"/>
            <a:lumOff val="0"/>
            <a:alphaOff val="0"/>
          </a:srgb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Narrow" panose="020B0606020202030204" pitchFamily="34" charset="0"/>
              <a:ea typeface="+mn-ea"/>
              <a:cs typeface="+mn-cs"/>
            </a:rPr>
            <a:t>Final Decision</a:t>
          </a:r>
        </a:p>
      </dsp:txBody>
      <dsp:txXfrm rot="-5400000">
        <a:off x="2" y="3971957"/>
        <a:ext cx="714843" cy="306362"/>
      </dsp:txXfrm>
    </dsp:sp>
    <dsp:sp modelId="{5E460B61-EA47-4B14-BCB0-12BAD926E429}">
      <dsp:nvSpPr>
        <dsp:cNvPr id="0" name=""/>
        <dsp:cNvSpPr/>
      </dsp:nvSpPr>
      <dsp:spPr>
        <a:xfrm rot="5400000">
          <a:off x="2890452" y="1438927"/>
          <a:ext cx="663783" cy="5015000"/>
        </a:xfrm>
        <a:prstGeom prst="round2Same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Narrow" panose="020B0606020202030204" pitchFamily="34" charset="0"/>
              <a:ea typeface="+mn-ea"/>
              <a:cs typeface="+mn-cs"/>
            </a:rPr>
            <a:t>HPA Director announces successful agencies which are determined by ranking of final scores.</a:t>
          </a:r>
        </a:p>
        <a:p>
          <a:pPr marL="57150" lvl="1" indent="-57150" algn="l" defTabSz="355600">
            <a:lnSpc>
              <a:spcPct val="90000"/>
            </a:lnSpc>
            <a:spcBef>
              <a:spcPct val="0"/>
            </a:spcBef>
            <a:spcAft>
              <a:spcPct val="15000"/>
            </a:spcAft>
            <a:buChar char="••"/>
          </a:pPr>
          <a:r>
            <a:rPr lang="en-AU" sz="800" kern="1200">
              <a:solidFill>
                <a:sysClr val="windowText" lastClr="000000">
                  <a:hueOff val="0"/>
                  <a:satOff val="0"/>
                  <a:lumOff val="0"/>
                  <a:alphaOff val="0"/>
                </a:sysClr>
              </a:solidFill>
              <a:latin typeface="Arial Narrow" panose="020B0606020202030204" pitchFamily="34" charset="0"/>
              <a:ea typeface="+mn-ea"/>
              <a:cs typeface="+mn-cs"/>
            </a:rPr>
            <a:t>HPA Director contacts DFAT to advise of decision and combined proposal is submitted to DFAT (called JERCP).</a:t>
          </a:r>
        </a:p>
      </dsp:txBody>
      <dsp:txXfrm rot="-5400000">
        <a:off x="714844" y="3646939"/>
        <a:ext cx="4982597" cy="59897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FA0935-4323-4C81-B45F-F1A87B521252}"/>
</file>

<file path=customXml/itemProps2.xml><?xml version="1.0" encoding="utf-8"?>
<ds:datastoreItem xmlns:ds="http://schemas.openxmlformats.org/officeDocument/2006/customXml" ds:itemID="{CD570F73-D3B3-4F12-BB2E-162E5DA17743}"/>
</file>

<file path=customXml/itemProps3.xml><?xml version="1.0" encoding="utf-8"?>
<ds:datastoreItem xmlns:ds="http://schemas.openxmlformats.org/officeDocument/2006/customXml" ds:itemID="{229A3909-AC97-4A4A-8533-C2AB1E2A2327}"/>
</file>

<file path=customXml/itemProps4.xml><?xml version="1.0" encoding="utf-8"?>
<ds:datastoreItem xmlns:ds="http://schemas.openxmlformats.org/officeDocument/2006/customXml" ds:itemID="{AF6E1917-C02C-45BF-9FEA-1E2A789FE125}"/>
</file>

<file path=docProps/app.xml><?xml version="1.0" encoding="utf-8"?>
<Properties xmlns="http://schemas.openxmlformats.org/officeDocument/2006/extended-properties" xmlns:vt="http://schemas.openxmlformats.org/officeDocument/2006/docPropsVTypes">
  <Template>CC554B54</Template>
  <TotalTime>0</TotalTime>
  <Pages>35</Pages>
  <Words>12033</Words>
  <Characters>67993</Characters>
  <Application>Microsoft Office Word</Application>
  <DocSecurity>0</DocSecurity>
  <Lines>1387</Lines>
  <Paragraphs>792</Paragraphs>
  <ScaleCrop>false</ScaleCrop>
  <Company/>
  <LinksUpToDate>false</LinksUpToDate>
  <CharactersWithSpaces>79234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2015-08-14T00:30:00Z</dcterms:created>
  <dcterms:modified xsi:type="dcterms:W3CDTF">2015-08-14T00:30:00Z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961700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