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2C90E" w14:textId="77777777" w:rsidR="0051426A" w:rsidRPr="0051426A" w:rsidRDefault="0051426A" w:rsidP="0051426A">
      <w:pPr>
        <w:tabs>
          <w:tab w:val="left" w:pos="1300"/>
        </w:tabs>
        <w:spacing w:before="120" w:after="80" w:line="280" w:lineRule="atLeast"/>
        <w:rPr>
          <w:rFonts w:ascii="Arial" w:eastAsia="Times New Roman" w:hAnsi="Arial" w:cs="Arial"/>
          <w:sz w:val="50"/>
          <w:szCs w:val="50"/>
          <w:lang w:eastAsia="en-AU"/>
        </w:rPr>
      </w:pPr>
      <w:r w:rsidRPr="0051426A">
        <w:rPr>
          <w:rFonts w:ascii="Arial" w:eastAsia="Times New Roman" w:hAnsi="Arial" w:cs="Arial"/>
          <w:sz w:val="50"/>
          <w:szCs w:val="50"/>
          <w:lang w:eastAsia="en-AU"/>
        </w:rPr>
        <w:t>Re</w:t>
      </w:r>
      <w:r>
        <w:rPr>
          <w:rFonts w:ascii="Arial" w:eastAsia="Times New Roman" w:hAnsi="Arial" w:cs="Arial"/>
          <w:sz w:val="50"/>
          <w:szCs w:val="50"/>
          <w:lang w:eastAsia="en-AU"/>
        </w:rPr>
        <w:t>search Brief</w:t>
      </w:r>
      <w:bookmarkStart w:id="0" w:name="_GoBack"/>
      <w:bookmarkEnd w:id="0"/>
    </w:p>
    <w:p w14:paraId="304808DC" w14:textId="77777777" w:rsidR="0051426A" w:rsidRPr="0051426A" w:rsidRDefault="0051426A" w:rsidP="0051426A">
      <w:pPr>
        <w:tabs>
          <w:tab w:val="left" w:pos="1300"/>
        </w:tabs>
        <w:spacing w:before="80" w:after="80" w:line="280" w:lineRule="atLeast"/>
        <w:rPr>
          <w:rFonts w:ascii="Arial" w:eastAsia="Times New Roman" w:hAnsi="Arial" w:cs="Arial"/>
          <w:sz w:val="32"/>
          <w:szCs w:val="32"/>
          <w:lang w:eastAsia="en-AU"/>
        </w:rPr>
      </w:pPr>
      <w:r w:rsidRPr="0051426A">
        <w:rPr>
          <w:rFonts w:ascii="Arial" w:eastAsia="Times New Roman" w:hAnsi="Arial" w:cs="Arial"/>
          <w:sz w:val="32"/>
          <w:szCs w:val="32"/>
          <w:lang w:eastAsia="en-AU"/>
        </w:rPr>
        <w:t>Australian Development Research Awards Scheme</w:t>
      </w:r>
    </w:p>
    <w:p w14:paraId="5688B39E" w14:textId="77777777" w:rsidR="0051426A" w:rsidRPr="0051426A" w:rsidRDefault="0051426A" w:rsidP="0051426A">
      <w:pPr>
        <w:tabs>
          <w:tab w:val="left" w:pos="1300"/>
        </w:tabs>
        <w:spacing w:before="80" w:after="80" w:line="280" w:lineRule="atLeast"/>
        <w:rPr>
          <w:rFonts w:ascii="Arial" w:eastAsia="Times New Roman" w:hAnsi="Arial" w:cs="Arial"/>
          <w:sz w:val="24"/>
          <w:szCs w:val="24"/>
          <w:lang w:eastAsia="en-AU"/>
        </w:rPr>
      </w:pPr>
      <w:r w:rsidRPr="0051426A">
        <w:rPr>
          <w:rFonts w:ascii="Arial" w:eastAsia="Times New Roman" w:hAnsi="Arial" w:cs="Arial"/>
          <w:sz w:val="24"/>
          <w:szCs w:val="24"/>
          <w:lang w:eastAsia="en-AU"/>
        </w:rPr>
        <w:t>2012 Funding Round</w:t>
      </w:r>
    </w:p>
    <w:p w14:paraId="555F8A1E" w14:textId="77777777" w:rsidR="001E7785" w:rsidRPr="0051426A" w:rsidRDefault="0051426A" w:rsidP="008100CF">
      <w:pPr>
        <w:spacing w:before="360" w:line="276" w:lineRule="auto"/>
        <w:rPr>
          <w:rFonts w:ascii="Arial" w:hAnsi="Arial" w:cs="Arial"/>
        </w:rPr>
      </w:pPr>
      <w:r>
        <w:rPr>
          <w:rFonts w:ascii="Arial" w:eastAsia="Times New Roman" w:hAnsi="Arial" w:cs="Arial"/>
          <w:sz w:val="32"/>
          <w:szCs w:val="32"/>
          <w:lang w:eastAsia="en-AU"/>
        </w:rPr>
        <w:t>Title:</w:t>
      </w:r>
      <w:r w:rsidR="008100CF" w:rsidRPr="008100CF">
        <w:t xml:space="preserve"> </w:t>
      </w:r>
      <w:r w:rsidR="008100CF" w:rsidRPr="008100CF">
        <w:rPr>
          <w:rFonts w:ascii="Arial" w:eastAsia="Times New Roman" w:hAnsi="Arial" w:cs="Arial"/>
          <w:sz w:val="32"/>
          <w:szCs w:val="32"/>
          <w:lang w:eastAsia="en-AU"/>
        </w:rPr>
        <w:t>How does the transition from school to work affect later lifetime prospects?</w:t>
      </w:r>
    </w:p>
    <w:p w14:paraId="4D4272F2" w14:textId="77777777" w:rsidR="0051426A" w:rsidRPr="0051426A" w:rsidRDefault="0051426A">
      <w:pPr>
        <w:rPr>
          <w:rFonts w:ascii="Arial" w:hAnsi="Arial" w:cs="Arial"/>
        </w:rPr>
      </w:pPr>
    </w:p>
    <w:p w14:paraId="094083C9" w14:textId="77777777" w:rsidR="0051426A" w:rsidRPr="00E30F34" w:rsidRDefault="00E8134B">
      <w:pPr>
        <w:rPr>
          <w:rFonts w:ascii="Arial" w:hAnsi="Arial" w:cs="Arial"/>
          <w:b/>
        </w:rPr>
      </w:pPr>
      <w:r w:rsidRPr="00E30F34">
        <w:rPr>
          <w:rFonts w:ascii="Arial" w:hAnsi="Arial" w:cs="Arial"/>
          <w:b/>
        </w:rPr>
        <w:t>Introduction</w:t>
      </w:r>
    </w:p>
    <w:p w14:paraId="0B0C6FA5" w14:textId="19E1F444" w:rsidR="0051426A" w:rsidRPr="0051426A" w:rsidRDefault="00A13650" w:rsidP="00FF6339">
      <w:pPr>
        <w:spacing w:line="276" w:lineRule="auto"/>
        <w:jc w:val="both"/>
        <w:rPr>
          <w:rFonts w:ascii="Arial" w:hAnsi="Arial" w:cs="Arial"/>
        </w:rPr>
      </w:pPr>
      <w:r>
        <w:rPr>
          <w:rFonts w:ascii="Arial" w:hAnsi="Arial" w:cs="Arial"/>
        </w:rPr>
        <w:t>E</w:t>
      </w:r>
      <w:r w:rsidR="00FF6339" w:rsidRPr="00FF6339">
        <w:rPr>
          <w:rFonts w:ascii="Arial" w:hAnsi="Arial" w:cs="Arial"/>
        </w:rPr>
        <w:t xml:space="preserve">ducation is </w:t>
      </w:r>
      <w:r w:rsidR="004B062C">
        <w:rPr>
          <w:rFonts w:ascii="Arial" w:hAnsi="Arial" w:cs="Arial"/>
        </w:rPr>
        <w:t xml:space="preserve">generally </w:t>
      </w:r>
      <w:r w:rsidR="00FF6339" w:rsidRPr="00FF6339">
        <w:rPr>
          <w:rFonts w:ascii="Arial" w:hAnsi="Arial" w:cs="Arial"/>
        </w:rPr>
        <w:t>a profitable investment for individual</w:t>
      </w:r>
      <w:r w:rsidR="00811FB4">
        <w:rPr>
          <w:rFonts w:ascii="Arial" w:hAnsi="Arial" w:cs="Arial"/>
        </w:rPr>
        <w:t xml:space="preserve"> as well as for countries. </w:t>
      </w:r>
      <w:r w:rsidR="00811FB4" w:rsidRPr="00811FB4">
        <w:rPr>
          <w:rFonts w:ascii="Arial" w:hAnsi="Arial" w:cs="Arial"/>
        </w:rPr>
        <w:t>Shultz (1960), Lucas (1988) and more recently Baldwin et al</w:t>
      </w:r>
      <w:r w:rsidR="00811FB4">
        <w:rPr>
          <w:rFonts w:ascii="Arial" w:hAnsi="Arial" w:cs="Arial"/>
        </w:rPr>
        <w:t>.</w:t>
      </w:r>
      <w:r w:rsidR="00811FB4" w:rsidRPr="00811FB4">
        <w:rPr>
          <w:rFonts w:ascii="Arial" w:hAnsi="Arial" w:cs="Arial"/>
        </w:rPr>
        <w:t xml:space="preserve"> (2008) attribute</w:t>
      </w:r>
      <w:r w:rsidR="006C0C1F">
        <w:rPr>
          <w:rFonts w:ascii="Arial" w:hAnsi="Arial" w:cs="Arial"/>
        </w:rPr>
        <w:t xml:space="preserve"> growth in per capita GDP in the US to its</w:t>
      </w:r>
      <w:r w:rsidR="00811FB4" w:rsidRPr="00811FB4">
        <w:rPr>
          <w:rFonts w:ascii="Arial" w:hAnsi="Arial" w:cs="Arial"/>
        </w:rPr>
        <w:t xml:space="preserve"> increase</w:t>
      </w:r>
      <w:r w:rsidR="004B062C">
        <w:rPr>
          <w:rFonts w:ascii="Arial" w:hAnsi="Arial" w:cs="Arial"/>
        </w:rPr>
        <w:t>d</w:t>
      </w:r>
      <w:r w:rsidR="00811FB4" w:rsidRPr="00811FB4">
        <w:rPr>
          <w:rFonts w:ascii="Arial" w:hAnsi="Arial" w:cs="Arial"/>
        </w:rPr>
        <w:t xml:space="preserve"> investment in education</w:t>
      </w:r>
      <w:r w:rsidR="006C0C1F">
        <w:rPr>
          <w:rFonts w:ascii="Arial" w:hAnsi="Arial" w:cs="Arial"/>
        </w:rPr>
        <w:t>.</w:t>
      </w:r>
      <w:r w:rsidR="00811FB4">
        <w:rPr>
          <w:rFonts w:ascii="Arial" w:hAnsi="Arial" w:cs="Arial"/>
        </w:rPr>
        <w:t xml:space="preserve"> </w:t>
      </w:r>
      <w:r w:rsidR="00FF6339" w:rsidRPr="00FF6339">
        <w:rPr>
          <w:rFonts w:ascii="Arial" w:hAnsi="Arial" w:cs="Arial"/>
        </w:rPr>
        <w:t xml:space="preserve">Research undertaken for Indonesia has revealed, however, </w:t>
      </w:r>
      <w:r w:rsidR="006C0C1F">
        <w:rPr>
          <w:rFonts w:ascii="Arial" w:hAnsi="Arial" w:cs="Arial"/>
        </w:rPr>
        <w:t xml:space="preserve">has shown </w:t>
      </w:r>
      <w:r w:rsidR="00FF6339" w:rsidRPr="00FF6339">
        <w:rPr>
          <w:rFonts w:ascii="Arial" w:hAnsi="Arial" w:cs="Arial"/>
        </w:rPr>
        <w:t>that the payoff to the acquisition of extra years of education is much lower than in many</w:t>
      </w:r>
      <w:r w:rsidR="00811FB4">
        <w:rPr>
          <w:rFonts w:ascii="Arial" w:hAnsi="Arial" w:cs="Arial"/>
        </w:rPr>
        <w:t xml:space="preserve"> other comparable</w:t>
      </w:r>
      <w:r w:rsidR="00FF6339" w:rsidRPr="00FF6339">
        <w:rPr>
          <w:rFonts w:ascii="Arial" w:hAnsi="Arial" w:cs="Arial"/>
        </w:rPr>
        <w:t xml:space="preserve"> countries. Moreover, at many levels of educational attainment, the payoff to the investment in </w:t>
      </w:r>
      <w:r w:rsidR="006C0C1F">
        <w:rPr>
          <w:rFonts w:ascii="Arial" w:hAnsi="Arial" w:cs="Arial"/>
        </w:rPr>
        <w:t>higher</w:t>
      </w:r>
      <w:r w:rsidR="006C0C1F" w:rsidRPr="00FF6339">
        <w:rPr>
          <w:rFonts w:ascii="Arial" w:hAnsi="Arial" w:cs="Arial"/>
        </w:rPr>
        <w:t xml:space="preserve"> </w:t>
      </w:r>
      <w:r w:rsidR="00FF6339" w:rsidRPr="00FF6339">
        <w:rPr>
          <w:rFonts w:ascii="Arial" w:hAnsi="Arial" w:cs="Arial"/>
        </w:rPr>
        <w:t xml:space="preserve">education has declined over the past decade (Purnastuti et al., 2012). It has also been shown that the returns to education do not vary greatly according to the attributes of </w:t>
      </w:r>
      <w:r w:rsidR="006C0C1F">
        <w:rPr>
          <w:rFonts w:ascii="Arial" w:hAnsi="Arial" w:cs="Arial"/>
        </w:rPr>
        <w:t>individuals, such as</w:t>
      </w:r>
      <w:r w:rsidR="00302D45">
        <w:rPr>
          <w:rFonts w:ascii="Arial" w:hAnsi="Arial" w:cs="Arial"/>
        </w:rPr>
        <w:t xml:space="preserve"> gender </w:t>
      </w:r>
      <w:r w:rsidR="00FF6339" w:rsidRPr="00FF6339">
        <w:rPr>
          <w:rFonts w:ascii="Arial" w:hAnsi="Arial" w:cs="Arial"/>
        </w:rPr>
        <w:t>(see Patrinos et al., 2006</w:t>
      </w:r>
      <w:r w:rsidR="004A5FCD">
        <w:rPr>
          <w:rFonts w:ascii="Arial" w:hAnsi="Arial" w:cs="Arial"/>
        </w:rPr>
        <w:t xml:space="preserve">; </w:t>
      </w:r>
      <w:r w:rsidR="004A5FCD" w:rsidRPr="004A5FCD">
        <w:rPr>
          <w:rFonts w:ascii="Arial" w:hAnsi="Arial" w:cs="Arial"/>
        </w:rPr>
        <w:t>Blossfeld</w:t>
      </w:r>
      <w:r w:rsidR="004A5FCD">
        <w:rPr>
          <w:rFonts w:ascii="Arial" w:hAnsi="Arial" w:cs="Arial"/>
        </w:rPr>
        <w:t xml:space="preserve"> et al. 2015</w:t>
      </w:r>
      <w:r w:rsidR="00FF6339" w:rsidRPr="00FF6339">
        <w:rPr>
          <w:rFonts w:ascii="Arial" w:hAnsi="Arial" w:cs="Arial"/>
        </w:rPr>
        <w:t>).</w:t>
      </w:r>
    </w:p>
    <w:p w14:paraId="7723B433" w14:textId="358014DB" w:rsidR="00B37038" w:rsidRDefault="00FF6339" w:rsidP="00FF6339">
      <w:pPr>
        <w:spacing w:line="276" w:lineRule="auto"/>
        <w:jc w:val="both"/>
        <w:rPr>
          <w:rFonts w:ascii="Arial" w:hAnsi="Arial" w:cs="Arial"/>
        </w:rPr>
      </w:pPr>
      <w:r w:rsidRPr="00FF6339">
        <w:rPr>
          <w:rFonts w:ascii="Arial" w:hAnsi="Arial" w:cs="Arial"/>
        </w:rPr>
        <w:t>This study provides</w:t>
      </w:r>
      <w:r w:rsidR="006C0C1F">
        <w:rPr>
          <w:rFonts w:ascii="Arial" w:hAnsi="Arial" w:cs="Arial"/>
        </w:rPr>
        <w:t xml:space="preserve"> new knowledge on the relationship between educational investments and labour market outcomes in Indonesia. It does this by conducting a </w:t>
      </w:r>
      <w:r w:rsidRPr="00FF6339">
        <w:rPr>
          <w:rFonts w:ascii="Arial" w:hAnsi="Arial" w:cs="Arial"/>
        </w:rPr>
        <w:t xml:space="preserve">detailed examination of the transition from school to work </w:t>
      </w:r>
      <w:r w:rsidR="0045533F">
        <w:rPr>
          <w:rFonts w:ascii="Arial" w:hAnsi="Arial" w:cs="Arial"/>
        </w:rPr>
        <w:t>of young Indonesia</w:t>
      </w:r>
      <w:r w:rsidR="006C0C1F">
        <w:rPr>
          <w:rFonts w:ascii="Arial" w:hAnsi="Arial" w:cs="Arial"/>
        </w:rPr>
        <w:t>ns</w:t>
      </w:r>
      <w:r w:rsidRPr="00FF6339">
        <w:rPr>
          <w:rFonts w:ascii="Arial" w:hAnsi="Arial" w:cs="Arial"/>
        </w:rPr>
        <w:t>, using multiple data sets, including data from a field survey and focus groups.</w:t>
      </w:r>
      <w:r w:rsidR="006C0C1F">
        <w:rPr>
          <w:rFonts w:ascii="Arial" w:hAnsi="Arial" w:cs="Arial"/>
        </w:rPr>
        <w:t xml:space="preserve"> Initial and follow up surveys have been conducted with more than 3,000 Indonesians aged 15-29 in 12 provinces.</w:t>
      </w:r>
      <w:r w:rsidR="0045533F">
        <w:rPr>
          <w:rFonts w:ascii="Arial" w:hAnsi="Arial" w:cs="Arial"/>
        </w:rPr>
        <w:t xml:space="preserve"> </w:t>
      </w:r>
      <w:r w:rsidRPr="00FF6339">
        <w:rPr>
          <w:rFonts w:ascii="Arial" w:hAnsi="Arial" w:cs="Arial"/>
        </w:rPr>
        <w:t xml:space="preserve">The focus </w:t>
      </w:r>
      <w:r w:rsidR="006C0C1F">
        <w:rPr>
          <w:rFonts w:ascii="Arial" w:hAnsi="Arial" w:cs="Arial"/>
        </w:rPr>
        <w:t xml:space="preserve">of the analysis of this new and rich data set </w:t>
      </w:r>
      <w:r w:rsidRPr="00FF6339">
        <w:rPr>
          <w:rFonts w:ascii="Arial" w:hAnsi="Arial" w:cs="Arial"/>
        </w:rPr>
        <w:t>is on variations in the way that the transition from school to work affects the lifetime prospects of men, women, the children of various social classes and children in urban and rural areas.</w:t>
      </w:r>
      <w:r w:rsidR="00B37038">
        <w:rPr>
          <w:rFonts w:ascii="Arial" w:hAnsi="Arial" w:cs="Arial"/>
        </w:rPr>
        <w:t xml:space="preserve"> </w:t>
      </w:r>
      <w:r w:rsidR="00B37038" w:rsidRPr="00B37038">
        <w:rPr>
          <w:rFonts w:ascii="Arial" w:hAnsi="Arial" w:cs="Arial"/>
        </w:rPr>
        <w:t>The main objective is to better understand the links between education and training of young people and their labour market integration.</w:t>
      </w:r>
      <w:r w:rsidR="00D23A68">
        <w:rPr>
          <w:rFonts w:ascii="Arial" w:hAnsi="Arial" w:cs="Arial"/>
        </w:rPr>
        <w:t xml:space="preserve"> </w:t>
      </w:r>
    </w:p>
    <w:p w14:paraId="2FC50FA0" w14:textId="77777777" w:rsidR="00E8134B" w:rsidRPr="00E30F34" w:rsidRDefault="00E8134B">
      <w:pPr>
        <w:rPr>
          <w:rFonts w:ascii="Arial" w:hAnsi="Arial" w:cs="Arial"/>
          <w:b/>
        </w:rPr>
      </w:pPr>
      <w:r w:rsidRPr="00E30F34">
        <w:rPr>
          <w:rFonts w:ascii="Arial" w:hAnsi="Arial" w:cs="Arial"/>
          <w:b/>
        </w:rPr>
        <w:t>Issues and questions</w:t>
      </w:r>
    </w:p>
    <w:p w14:paraId="35F533C9" w14:textId="7AD30B64" w:rsidR="00FF6339" w:rsidRPr="00FF6339" w:rsidRDefault="006C0C1F" w:rsidP="00FF6339">
      <w:pPr>
        <w:spacing w:line="276" w:lineRule="auto"/>
        <w:jc w:val="both"/>
        <w:rPr>
          <w:rFonts w:ascii="Arial" w:hAnsi="Arial" w:cs="Arial"/>
        </w:rPr>
      </w:pPr>
      <w:r>
        <w:rPr>
          <w:rFonts w:ascii="Arial" w:hAnsi="Arial" w:cs="Arial"/>
        </w:rPr>
        <w:t>This study explores the role of</w:t>
      </w:r>
      <w:r w:rsidR="00FF6339" w:rsidRPr="00FF6339">
        <w:rPr>
          <w:rFonts w:ascii="Arial" w:hAnsi="Arial" w:cs="Arial"/>
        </w:rPr>
        <w:t xml:space="preserve"> three related factors </w:t>
      </w:r>
      <w:r>
        <w:rPr>
          <w:rFonts w:ascii="Arial" w:hAnsi="Arial" w:cs="Arial"/>
        </w:rPr>
        <w:t>in producing</w:t>
      </w:r>
      <w:r w:rsidR="000E5D48">
        <w:rPr>
          <w:rFonts w:ascii="Arial" w:hAnsi="Arial" w:cs="Arial"/>
        </w:rPr>
        <w:t xml:space="preserve"> the variation</w:t>
      </w:r>
      <w:r>
        <w:rPr>
          <w:rFonts w:ascii="Arial" w:hAnsi="Arial" w:cs="Arial"/>
        </w:rPr>
        <w:t xml:space="preserve">s in the </w:t>
      </w:r>
      <w:r w:rsidR="00DD4B15">
        <w:rPr>
          <w:rFonts w:ascii="Arial" w:hAnsi="Arial" w:cs="Arial"/>
        </w:rPr>
        <w:t>labour market outcomes</w:t>
      </w:r>
      <w:r>
        <w:rPr>
          <w:rFonts w:ascii="Arial" w:hAnsi="Arial" w:cs="Arial"/>
        </w:rPr>
        <w:t xml:space="preserve"> of young Indonesians</w:t>
      </w:r>
      <w:r w:rsidR="00DD4B15">
        <w:rPr>
          <w:rFonts w:ascii="Arial" w:hAnsi="Arial" w:cs="Arial"/>
        </w:rPr>
        <w:t>:</w:t>
      </w:r>
    </w:p>
    <w:p w14:paraId="1AD06483" w14:textId="3B913840" w:rsidR="00FF6339" w:rsidRPr="00FF6339" w:rsidRDefault="00FF6339" w:rsidP="00FF6339">
      <w:pPr>
        <w:spacing w:line="276" w:lineRule="auto"/>
        <w:jc w:val="both"/>
        <w:rPr>
          <w:rFonts w:ascii="Arial" w:hAnsi="Arial" w:cs="Arial"/>
        </w:rPr>
      </w:pPr>
      <w:r w:rsidRPr="00FF6339">
        <w:rPr>
          <w:rFonts w:ascii="Arial" w:hAnsi="Arial" w:cs="Arial"/>
        </w:rPr>
        <w:t xml:space="preserve">First, </w:t>
      </w:r>
      <w:r w:rsidR="00DD4B15">
        <w:rPr>
          <w:rFonts w:ascii="Arial" w:hAnsi="Arial" w:cs="Arial"/>
        </w:rPr>
        <w:t xml:space="preserve">we explore </w:t>
      </w:r>
      <w:r w:rsidR="006C0C1F">
        <w:rPr>
          <w:rFonts w:ascii="Arial" w:hAnsi="Arial" w:cs="Arial"/>
        </w:rPr>
        <w:t xml:space="preserve">the importance of </w:t>
      </w:r>
      <w:r w:rsidR="00131967">
        <w:rPr>
          <w:rFonts w:ascii="Arial" w:hAnsi="Arial" w:cs="Arial"/>
        </w:rPr>
        <w:t>e</w:t>
      </w:r>
      <w:r w:rsidRPr="00FF6339">
        <w:rPr>
          <w:rFonts w:ascii="Arial" w:hAnsi="Arial" w:cs="Arial"/>
        </w:rPr>
        <w:t>arly childhood</w:t>
      </w:r>
      <w:r w:rsidR="00131967">
        <w:rPr>
          <w:rFonts w:ascii="Arial" w:hAnsi="Arial" w:cs="Arial"/>
        </w:rPr>
        <w:t xml:space="preserve"> health and the quality of </w:t>
      </w:r>
      <w:r w:rsidRPr="00FF6339">
        <w:rPr>
          <w:rFonts w:ascii="Arial" w:hAnsi="Arial" w:cs="Arial"/>
        </w:rPr>
        <w:t>schooling</w:t>
      </w:r>
      <w:r w:rsidR="00131967">
        <w:rPr>
          <w:rFonts w:ascii="Arial" w:hAnsi="Arial" w:cs="Arial"/>
        </w:rPr>
        <w:t xml:space="preserve"> or education</w:t>
      </w:r>
      <w:r w:rsidR="006C0C1F">
        <w:rPr>
          <w:rFonts w:ascii="Arial" w:hAnsi="Arial" w:cs="Arial"/>
        </w:rPr>
        <w:t>. The extant literature on the economics of education highlights the likely importance of these factors (</w:t>
      </w:r>
      <w:r w:rsidR="00DD4B15">
        <w:rPr>
          <w:rFonts w:ascii="Arial" w:hAnsi="Arial" w:cs="Arial"/>
        </w:rPr>
        <w:t>see</w:t>
      </w:r>
      <w:r w:rsidR="00131967">
        <w:rPr>
          <w:rFonts w:ascii="Arial" w:hAnsi="Arial" w:cs="Arial"/>
        </w:rPr>
        <w:t xml:space="preserve"> Le at al. 2004; Betts 2010). </w:t>
      </w:r>
      <w:r w:rsidRPr="00FF6339">
        <w:rPr>
          <w:rFonts w:ascii="Arial" w:hAnsi="Arial" w:cs="Arial"/>
        </w:rPr>
        <w:t>Factors such as poor childhood health have been shown in studies of Western countries to lead to double disadvantages in later life. In the first instance, poor childhood health and associated problems are associated with lower educational attainments. This by itself results in lower lifetime earnings. However, in addition</w:t>
      </w:r>
      <w:r w:rsidR="00DD4B15">
        <w:rPr>
          <w:rFonts w:ascii="Arial" w:hAnsi="Arial" w:cs="Arial"/>
        </w:rPr>
        <w:t>,</w:t>
      </w:r>
      <w:r w:rsidRPr="00FF6339">
        <w:rPr>
          <w:rFonts w:ascii="Arial" w:hAnsi="Arial" w:cs="Arial"/>
        </w:rPr>
        <w:t xml:space="preserve"> poor childhood health and related problems are also linked to lower lifetime earnings even when account is taken of these lower educational attainments. This line of research has accelerated in recent years, and has covered a much wider range of issues, following the papers written on the topic by Nobel Laureate James Heckman and his co-authors (see Heckman and Kautz, 2012). The important lesson from this research is that early childhood and schooling events can have lasting impacts that affect a person's lifetime prospects.</w:t>
      </w:r>
    </w:p>
    <w:p w14:paraId="47ACBBCC" w14:textId="2413D283" w:rsidR="00FF6339" w:rsidRPr="00FF6339" w:rsidRDefault="00FF6339" w:rsidP="00FF6339">
      <w:pPr>
        <w:spacing w:line="276" w:lineRule="auto"/>
        <w:jc w:val="both"/>
        <w:rPr>
          <w:rFonts w:ascii="Arial" w:hAnsi="Arial" w:cs="Arial"/>
        </w:rPr>
      </w:pPr>
      <w:r w:rsidRPr="00FF6339">
        <w:rPr>
          <w:rFonts w:ascii="Arial" w:hAnsi="Arial" w:cs="Arial"/>
        </w:rPr>
        <w:lastRenderedPageBreak/>
        <w:t xml:space="preserve">Second, </w:t>
      </w:r>
      <w:r w:rsidR="00DD4B15">
        <w:rPr>
          <w:rFonts w:ascii="Arial" w:hAnsi="Arial" w:cs="Arial"/>
        </w:rPr>
        <w:t>the study explores aspects of</w:t>
      </w:r>
      <w:r w:rsidRPr="00FF6339">
        <w:rPr>
          <w:rFonts w:ascii="Arial" w:hAnsi="Arial" w:cs="Arial"/>
        </w:rPr>
        <w:t xml:space="preserve"> the transition from school to work </w:t>
      </w:r>
      <w:r w:rsidR="00DD4B15">
        <w:rPr>
          <w:rFonts w:ascii="Arial" w:hAnsi="Arial" w:cs="Arial"/>
        </w:rPr>
        <w:t xml:space="preserve">that can </w:t>
      </w:r>
      <w:r w:rsidRPr="00FF6339">
        <w:rPr>
          <w:rFonts w:ascii="Arial" w:hAnsi="Arial" w:cs="Arial"/>
        </w:rPr>
        <w:t>lead some individuals to do better than average</w:t>
      </w:r>
      <w:r w:rsidR="00DD4B15">
        <w:rPr>
          <w:rFonts w:ascii="Arial" w:hAnsi="Arial" w:cs="Arial"/>
        </w:rPr>
        <w:t xml:space="preserve"> in the labour market</w:t>
      </w:r>
      <w:r w:rsidRPr="00FF6339">
        <w:rPr>
          <w:rFonts w:ascii="Arial" w:hAnsi="Arial" w:cs="Arial"/>
        </w:rPr>
        <w:t xml:space="preserve">, and also result in some individuals </w:t>
      </w:r>
      <w:r w:rsidR="00DD4B15">
        <w:rPr>
          <w:rFonts w:ascii="Arial" w:hAnsi="Arial" w:cs="Arial"/>
        </w:rPr>
        <w:t>‘</w:t>
      </w:r>
      <w:r w:rsidRPr="00FF6339">
        <w:rPr>
          <w:rFonts w:ascii="Arial" w:hAnsi="Arial" w:cs="Arial"/>
        </w:rPr>
        <w:t>under-performing</w:t>
      </w:r>
      <w:r w:rsidR="00DD4B15">
        <w:rPr>
          <w:rFonts w:ascii="Arial" w:hAnsi="Arial" w:cs="Arial"/>
        </w:rPr>
        <w:t>’.</w:t>
      </w:r>
      <w:r w:rsidRPr="00FF6339">
        <w:rPr>
          <w:rFonts w:ascii="Arial" w:hAnsi="Arial" w:cs="Arial"/>
        </w:rPr>
        <w:t xml:space="preserve"> This is a heterogeneity across individuals approach. </w:t>
      </w:r>
      <w:r w:rsidR="00DD4B15">
        <w:rPr>
          <w:rFonts w:ascii="Arial" w:hAnsi="Arial" w:cs="Arial"/>
        </w:rPr>
        <w:t>Previous r</w:t>
      </w:r>
      <w:r w:rsidRPr="00FF6339">
        <w:rPr>
          <w:rFonts w:ascii="Arial" w:hAnsi="Arial" w:cs="Arial"/>
        </w:rPr>
        <w:t>esearch</w:t>
      </w:r>
      <w:r w:rsidR="00DD4B15">
        <w:rPr>
          <w:rFonts w:ascii="Arial" w:hAnsi="Arial" w:cs="Arial"/>
        </w:rPr>
        <w:t xml:space="preserve"> on this topic</w:t>
      </w:r>
      <w:r w:rsidRPr="00FF6339">
        <w:rPr>
          <w:rFonts w:ascii="Arial" w:hAnsi="Arial" w:cs="Arial"/>
        </w:rPr>
        <w:t xml:space="preserve"> has covered many matters, including the role of the initial job placement as a stepping stone to better jobs in the future, and the role of further study</w:t>
      </w:r>
      <w:r w:rsidR="00486FF0">
        <w:rPr>
          <w:rFonts w:ascii="Arial" w:hAnsi="Arial" w:cs="Arial"/>
        </w:rPr>
        <w:t xml:space="preserve"> (</w:t>
      </w:r>
      <w:r w:rsidR="00486FF0" w:rsidRPr="00486FF0">
        <w:rPr>
          <w:rFonts w:ascii="Arial" w:hAnsi="Arial" w:cs="Arial"/>
        </w:rPr>
        <w:t>Buchmann</w:t>
      </w:r>
      <w:r w:rsidR="00486FF0">
        <w:rPr>
          <w:rFonts w:ascii="Arial" w:hAnsi="Arial" w:cs="Arial"/>
        </w:rPr>
        <w:t>2011; Bukudi and Dex 2010)</w:t>
      </w:r>
      <w:r w:rsidRPr="00FF6339">
        <w:rPr>
          <w:rFonts w:ascii="Arial" w:hAnsi="Arial" w:cs="Arial"/>
        </w:rPr>
        <w:t>. Th</w:t>
      </w:r>
      <w:r w:rsidR="00DD4B15">
        <w:rPr>
          <w:rFonts w:ascii="Arial" w:hAnsi="Arial" w:cs="Arial"/>
        </w:rPr>
        <w:t>e current study</w:t>
      </w:r>
      <w:r w:rsidRPr="00FF6339">
        <w:rPr>
          <w:rFonts w:ascii="Arial" w:hAnsi="Arial" w:cs="Arial"/>
        </w:rPr>
        <w:t xml:space="preserve"> focus</w:t>
      </w:r>
      <w:r w:rsidR="00DD4B15">
        <w:rPr>
          <w:rFonts w:ascii="Arial" w:hAnsi="Arial" w:cs="Arial"/>
        </w:rPr>
        <w:t>es</w:t>
      </w:r>
      <w:r w:rsidRPr="00FF6339">
        <w:rPr>
          <w:rFonts w:ascii="Arial" w:hAnsi="Arial" w:cs="Arial"/>
        </w:rPr>
        <w:t xml:space="preserve"> on the links between family and schooling background (an inter-generational transmission of inequality argument), and the transition from school to work. It has addressed key issues such as whether the better educated are more rapidly absorbed into the labour market, whether spatial mobility is conducive to a more successful transition to more rewarding jobs, and whether education can be used to break the inter-generational transmission of inequality.</w:t>
      </w:r>
    </w:p>
    <w:p w14:paraId="48AD6284" w14:textId="514F6C7A" w:rsidR="00FF6339" w:rsidRDefault="00FF6339" w:rsidP="00FF6339">
      <w:pPr>
        <w:spacing w:line="276" w:lineRule="auto"/>
        <w:jc w:val="both"/>
        <w:rPr>
          <w:rFonts w:ascii="Arial" w:hAnsi="Arial" w:cs="Arial"/>
        </w:rPr>
      </w:pPr>
      <w:r w:rsidRPr="00FF6339">
        <w:rPr>
          <w:rFonts w:ascii="Arial" w:hAnsi="Arial" w:cs="Arial"/>
        </w:rPr>
        <w:t xml:space="preserve">Third, </w:t>
      </w:r>
      <w:r w:rsidR="00DD4B15">
        <w:rPr>
          <w:rFonts w:ascii="Arial" w:hAnsi="Arial" w:cs="Arial"/>
        </w:rPr>
        <w:t xml:space="preserve">the study examines </w:t>
      </w:r>
      <w:r w:rsidRPr="00FF6339">
        <w:rPr>
          <w:rFonts w:ascii="Arial" w:hAnsi="Arial" w:cs="Arial"/>
        </w:rPr>
        <w:t xml:space="preserve">the allocative function of the labour market, to ascertain the extent to which workers are employed in jobs that make effective use of their educational qualifications. It has been established </w:t>
      </w:r>
      <w:r w:rsidR="00DD4B15">
        <w:rPr>
          <w:rFonts w:ascii="Arial" w:hAnsi="Arial" w:cs="Arial"/>
        </w:rPr>
        <w:t xml:space="preserve">in previous research </w:t>
      </w:r>
      <w:r w:rsidRPr="00FF6339">
        <w:rPr>
          <w:rFonts w:ascii="Arial" w:hAnsi="Arial" w:cs="Arial"/>
        </w:rPr>
        <w:t>that large numbers of workers are employed in jobs that do not appear to make effective use of their qualifications: that is, these workers are not effectively absorbed into the labour market. This phenomenon of over-education is a prominent characteristic of the labour markets of Western countries (</w:t>
      </w:r>
      <w:r w:rsidR="00DD4B15">
        <w:rPr>
          <w:rFonts w:ascii="Arial" w:hAnsi="Arial" w:cs="Arial"/>
        </w:rPr>
        <w:t xml:space="preserve">see </w:t>
      </w:r>
      <w:r w:rsidRPr="00FF6339">
        <w:rPr>
          <w:rFonts w:ascii="Arial" w:hAnsi="Arial" w:cs="Arial"/>
        </w:rPr>
        <w:t>Hartog, 2000). It has also been shown to be highly relevant to the labour market of transitional economies (Ren and Miller, 2012)</w:t>
      </w:r>
      <w:r w:rsidR="00DD4B15">
        <w:rPr>
          <w:rFonts w:ascii="Arial" w:hAnsi="Arial" w:cs="Arial"/>
        </w:rPr>
        <w:t>, which is i</w:t>
      </w:r>
      <w:r w:rsidRPr="00FF6339">
        <w:rPr>
          <w:rFonts w:ascii="Arial" w:hAnsi="Arial" w:cs="Arial"/>
        </w:rPr>
        <w:t>mportan</w:t>
      </w:r>
      <w:r w:rsidR="00DD4B15">
        <w:rPr>
          <w:rFonts w:ascii="Arial" w:hAnsi="Arial" w:cs="Arial"/>
        </w:rPr>
        <w:t xml:space="preserve">t because </w:t>
      </w:r>
      <w:r w:rsidRPr="00FF6339">
        <w:rPr>
          <w:rFonts w:ascii="Arial" w:hAnsi="Arial" w:cs="Arial"/>
        </w:rPr>
        <w:t>it calls into question whether the expansion of a country's education sector is the panacea that it is often seen as. For example, Dolton and Silles (2008, p. 125) argued, “Yet, as the average educational attainment of the workforce has increased, there is an indication that the occupational structure of the labour market does not have the capacity to absorb the increased number of educated workers into traditional graduate occupations”. In this situation, a cost-effective approach may be to focus on achieving a better match of the skills of workers and the requirements of the occupations in which they work rather than engage in further expansion of the education sector.</w:t>
      </w:r>
    </w:p>
    <w:p w14:paraId="63AFB2A0" w14:textId="259E773F" w:rsidR="00A867A9" w:rsidRPr="00333543" w:rsidRDefault="00E8134B" w:rsidP="00333543">
      <w:pPr>
        <w:spacing w:line="276" w:lineRule="auto"/>
        <w:rPr>
          <w:rFonts w:ascii="Arial" w:hAnsi="Arial" w:cs="Arial"/>
          <w:b/>
        </w:rPr>
      </w:pPr>
      <w:r w:rsidRPr="004928C0">
        <w:rPr>
          <w:rFonts w:ascii="Arial" w:hAnsi="Arial" w:cs="Arial"/>
          <w:b/>
        </w:rPr>
        <w:t>Major research findings</w:t>
      </w:r>
    </w:p>
    <w:p w14:paraId="153687D6" w14:textId="1C021283" w:rsidR="00DD4B15" w:rsidRPr="007914A5" w:rsidRDefault="00DD4B15" w:rsidP="007914A5">
      <w:pPr>
        <w:widowControl w:val="0"/>
        <w:autoSpaceDE w:val="0"/>
        <w:autoSpaceDN w:val="0"/>
        <w:adjustRightInd w:val="0"/>
        <w:spacing w:after="240" w:line="276" w:lineRule="auto"/>
        <w:rPr>
          <w:rFonts w:ascii="Arial" w:hAnsi="Arial" w:cs="Arial"/>
          <w:lang w:val="en-US"/>
        </w:rPr>
      </w:pPr>
      <w:r>
        <w:rPr>
          <w:rFonts w:ascii="Arial" w:hAnsi="Arial" w:cs="Arial"/>
          <w:lang w:val="en-US"/>
        </w:rPr>
        <w:t>To date the study has uncovered important features of the school to work transition:</w:t>
      </w:r>
    </w:p>
    <w:p w14:paraId="1804CC90" w14:textId="22738151" w:rsidR="0076436D" w:rsidRPr="004928C0" w:rsidRDefault="000B1A1C" w:rsidP="004928C0">
      <w:pPr>
        <w:pStyle w:val="BodyText"/>
        <w:numPr>
          <w:ilvl w:val="0"/>
          <w:numId w:val="10"/>
        </w:numPr>
        <w:tabs>
          <w:tab w:val="left" w:pos="1300"/>
        </w:tabs>
        <w:spacing w:before="0" w:after="60" w:line="276" w:lineRule="auto"/>
        <w:ind w:left="993" w:hanging="284"/>
        <w:jc w:val="both"/>
        <w:rPr>
          <w:rFonts w:ascii="Arial" w:hAnsi="Arial" w:cs="Arial"/>
          <w:spacing w:val="-2"/>
          <w:kern w:val="28"/>
          <w:sz w:val="22"/>
          <w:szCs w:val="22"/>
          <w:lang w:val="en-ID"/>
        </w:rPr>
      </w:pPr>
      <w:r>
        <w:rPr>
          <w:rFonts w:ascii="Arial" w:hAnsi="Arial" w:cs="Arial"/>
          <w:lang w:val="en-US"/>
        </w:rPr>
        <w:t>A</w:t>
      </w:r>
      <w:r w:rsidR="009E79ED" w:rsidRPr="004928C0">
        <w:rPr>
          <w:rFonts w:ascii="Arial" w:hAnsi="Arial" w:cs="Arial"/>
          <w:sz w:val="22"/>
          <w:szCs w:val="22"/>
          <w:lang w:val="en-US"/>
        </w:rPr>
        <w:t xml:space="preserve"> significant share </w:t>
      </w:r>
      <w:r>
        <w:rPr>
          <w:rFonts w:ascii="Arial" w:hAnsi="Arial" w:cs="Arial"/>
          <w:sz w:val="22"/>
          <w:szCs w:val="22"/>
          <w:lang w:val="en-US"/>
        </w:rPr>
        <w:t xml:space="preserve">of ‘older’ youth </w:t>
      </w:r>
      <w:r w:rsidR="009E79ED" w:rsidRPr="004928C0">
        <w:rPr>
          <w:rFonts w:ascii="Arial" w:hAnsi="Arial" w:cs="Arial"/>
          <w:sz w:val="22"/>
          <w:szCs w:val="22"/>
          <w:lang w:val="en-US"/>
        </w:rPr>
        <w:t>remain stuck</w:t>
      </w:r>
      <w:r w:rsidR="00797B6C" w:rsidRPr="004928C0">
        <w:rPr>
          <w:rFonts w:ascii="Arial" w:hAnsi="Arial" w:cs="Arial"/>
          <w:sz w:val="22"/>
          <w:szCs w:val="22"/>
          <w:lang w:val="en-US"/>
        </w:rPr>
        <w:t xml:space="preserve"> in transition, having yet to achieve stable and/or satisfactory employment</w:t>
      </w:r>
      <w:r w:rsidR="009E79ED" w:rsidRPr="004928C0">
        <w:rPr>
          <w:rFonts w:ascii="Arial" w:hAnsi="Arial" w:cs="Arial"/>
          <w:spacing w:val="-2"/>
          <w:kern w:val="28"/>
          <w:sz w:val="22"/>
          <w:szCs w:val="22"/>
          <w:lang w:val="en-ID"/>
        </w:rPr>
        <w:t xml:space="preserve">. </w:t>
      </w:r>
      <w:r>
        <w:rPr>
          <w:rFonts w:ascii="Arial" w:hAnsi="Arial" w:cs="Arial"/>
          <w:spacing w:val="-2"/>
          <w:kern w:val="28"/>
          <w:sz w:val="22"/>
          <w:szCs w:val="22"/>
          <w:lang w:val="en-ID"/>
        </w:rPr>
        <w:t xml:space="preserve">The 2016 </w:t>
      </w:r>
      <w:r w:rsidR="0076436D" w:rsidRPr="004928C0">
        <w:rPr>
          <w:rFonts w:ascii="Arial" w:hAnsi="Arial" w:cs="Arial"/>
          <w:spacing w:val="-2"/>
          <w:kern w:val="28"/>
          <w:sz w:val="22"/>
          <w:szCs w:val="22"/>
          <w:lang w:val="en-ID"/>
        </w:rPr>
        <w:t>survey</w:t>
      </w:r>
      <w:r>
        <w:rPr>
          <w:rFonts w:ascii="Arial" w:hAnsi="Arial" w:cs="Arial"/>
          <w:spacing w:val="-2"/>
          <w:kern w:val="28"/>
          <w:sz w:val="22"/>
          <w:szCs w:val="22"/>
          <w:lang w:val="en-ID"/>
        </w:rPr>
        <w:t xml:space="preserve"> data reveal that</w:t>
      </w:r>
      <w:r w:rsidR="0076436D" w:rsidRPr="004928C0">
        <w:rPr>
          <w:rFonts w:ascii="Arial" w:hAnsi="Arial" w:cs="Arial"/>
          <w:spacing w:val="-2"/>
          <w:kern w:val="28"/>
          <w:sz w:val="22"/>
          <w:szCs w:val="22"/>
          <w:lang w:val="en-ID"/>
        </w:rPr>
        <w:t xml:space="preserve"> 44.3 p</w:t>
      </w:r>
      <w:r>
        <w:rPr>
          <w:rFonts w:ascii="Arial" w:hAnsi="Arial" w:cs="Arial"/>
          <w:spacing w:val="-2"/>
          <w:kern w:val="28"/>
          <w:sz w:val="22"/>
          <w:szCs w:val="22"/>
          <w:lang w:val="en-ID"/>
        </w:rPr>
        <w:t>er</w:t>
      </w:r>
      <w:r w:rsidR="0076436D" w:rsidRPr="004928C0">
        <w:rPr>
          <w:rFonts w:ascii="Arial" w:hAnsi="Arial" w:cs="Arial"/>
          <w:spacing w:val="-2"/>
          <w:kern w:val="28"/>
          <w:sz w:val="22"/>
          <w:szCs w:val="22"/>
          <w:lang w:val="en-ID"/>
        </w:rPr>
        <w:t xml:space="preserve"> cent</w:t>
      </w:r>
      <w:r>
        <w:rPr>
          <w:rFonts w:ascii="Arial" w:hAnsi="Arial" w:cs="Arial"/>
          <w:spacing w:val="-2"/>
          <w:kern w:val="28"/>
          <w:sz w:val="22"/>
          <w:szCs w:val="22"/>
          <w:lang w:val="en-ID"/>
        </w:rPr>
        <w:t xml:space="preserve"> of all the youth had achieved a school-to-work </w:t>
      </w:r>
      <w:r w:rsidR="00797B6C" w:rsidRPr="004928C0">
        <w:rPr>
          <w:rFonts w:ascii="Arial" w:hAnsi="Arial" w:cs="Arial"/>
          <w:spacing w:val="-2"/>
          <w:kern w:val="28"/>
          <w:sz w:val="22"/>
          <w:szCs w:val="22"/>
          <w:lang w:val="en-ID"/>
        </w:rPr>
        <w:t>transi</w:t>
      </w:r>
      <w:r>
        <w:rPr>
          <w:rFonts w:ascii="Arial" w:hAnsi="Arial" w:cs="Arial"/>
          <w:spacing w:val="-2"/>
          <w:kern w:val="28"/>
          <w:sz w:val="22"/>
          <w:szCs w:val="22"/>
          <w:lang w:val="en-ID"/>
        </w:rPr>
        <w:t>tion; 39.5</w:t>
      </w:r>
      <w:r w:rsidR="00797B6C" w:rsidRPr="004928C0">
        <w:rPr>
          <w:rFonts w:ascii="Arial" w:hAnsi="Arial" w:cs="Arial"/>
          <w:spacing w:val="-2"/>
          <w:kern w:val="28"/>
          <w:sz w:val="22"/>
          <w:szCs w:val="22"/>
          <w:lang w:val="en-ID"/>
        </w:rPr>
        <w:t xml:space="preserve"> per cent are </w:t>
      </w:r>
      <w:r>
        <w:rPr>
          <w:rFonts w:ascii="Arial" w:hAnsi="Arial" w:cs="Arial"/>
          <w:spacing w:val="-2"/>
          <w:kern w:val="28"/>
          <w:sz w:val="22"/>
          <w:szCs w:val="22"/>
          <w:lang w:val="en-ID"/>
        </w:rPr>
        <w:t xml:space="preserve">still </w:t>
      </w:r>
      <w:r w:rsidR="00797B6C" w:rsidRPr="004928C0">
        <w:rPr>
          <w:rFonts w:ascii="Arial" w:hAnsi="Arial" w:cs="Arial"/>
          <w:spacing w:val="-2"/>
          <w:kern w:val="28"/>
          <w:sz w:val="22"/>
          <w:szCs w:val="22"/>
          <w:lang w:val="en-ID"/>
        </w:rPr>
        <w:t>in transition</w:t>
      </w:r>
      <w:r>
        <w:rPr>
          <w:rFonts w:ascii="Arial" w:hAnsi="Arial" w:cs="Arial"/>
          <w:spacing w:val="-2"/>
          <w:kern w:val="28"/>
          <w:sz w:val="22"/>
          <w:szCs w:val="22"/>
          <w:lang w:val="en-ID"/>
        </w:rPr>
        <w:t>; and</w:t>
      </w:r>
      <w:r w:rsidR="00797B6C" w:rsidRPr="004928C0">
        <w:rPr>
          <w:rFonts w:ascii="Arial" w:hAnsi="Arial" w:cs="Arial"/>
          <w:spacing w:val="-2"/>
          <w:kern w:val="28"/>
          <w:sz w:val="22"/>
          <w:szCs w:val="22"/>
          <w:lang w:val="en-ID"/>
        </w:rPr>
        <w:t xml:space="preserve"> 19.0 per cent</w:t>
      </w:r>
      <w:r>
        <w:rPr>
          <w:rFonts w:ascii="Arial" w:hAnsi="Arial" w:cs="Arial"/>
          <w:spacing w:val="-2"/>
          <w:kern w:val="28"/>
          <w:sz w:val="22"/>
          <w:szCs w:val="22"/>
          <w:lang w:val="en-ID"/>
        </w:rPr>
        <w:t xml:space="preserve"> have yet to start a school-to-work</w:t>
      </w:r>
      <w:r w:rsidR="00797B6C" w:rsidRPr="004928C0">
        <w:rPr>
          <w:rFonts w:ascii="Arial" w:hAnsi="Arial" w:cs="Arial"/>
          <w:spacing w:val="-2"/>
          <w:kern w:val="28"/>
          <w:sz w:val="22"/>
          <w:szCs w:val="22"/>
          <w:lang w:val="en-ID"/>
        </w:rPr>
        <w:t xml:space="preserve"> transition</w:t>
      </w:r>
      <w:r>
        <w:rPr>
          <w:rFonts w:ascii="Arial" w:hAnsi="Arial" w:cs="Arial"/>
          <w:spacing w:val="-2"/>
          <w:kern w:val="28"/>
          <w:sz w:val="22"/>
          <w:szCs w:val="22"/>
          <w:lang w:val="en-ID"/>
        </w:rPr>
        <w:t>.</w:t>
      </w:r>
    </w:p>
    <w:p w14:paraId="6EBCDFE5" w14:textId="77777777" w:rsidR="00530008" w:rsidRPr="004928C0" w:rsidRDefault="00530008" w:rsidP="004928C0">
      <w:pPr>
        <w:pStyle w:val="BodyText"/>
        <w:numPr>
          <w:ilvl w:val="0"/>
          <w:numId w:val="10"/>
        </w:numPr>
        <w:tabs>
          <w:tab w:val="left" w:pos="1300"/>
        </w:tabs>
        <w:spacing w:before="0" w:after="60" w:line="276" w:lineRule="auto"/>
        <w:ind w:left="993" w:hanging="284"/>
        <w:jc w:val="both"/>
        <w:rPr>
          <w:rFonts w:ascii="Arial" w:hAnsi="Arial" w:cs="Arial"/>
          <w:spacing w:val="-2"/>
          <w:kern w:val="28"/>
          <w:sz w:val="22"/>
          <w:szCs w:val="22"/>
          <w:lang w:val="en-ID"/>
        </w:rPr>
      </w:pPr>
      <w:r w:rsidRPr="004928C0">
        <w:rPr>
          <w:rFonts w:ascii="Arial" w:hAnsi="Arial" w:cs="Arial"/>
          <w:spacing w:val="-2"/>
          <w:kern w:val="28"/>
          <w:sz w:val="22"/>
          <w:szCs w:val="22"/>
          <w:lang w:val="en-US"/>
        </w:rPr>
        <w:t xml:space="preserve">Better education does not mean easier/faster transition: contrary to popular belief, attainment of higher education levels among youth is evidently not enough to improve their chances for an easier and more successful transition. </w:t>
      </w:r>
    </w:p>
    <w:p w14:paraId="5EE64C00" w14:textId="77777777" w:rsidR="00530008" w:rsidRPr="004928C0" w:rsidRDefault="00530008" w:rsidP="004928C0">
      <w:pPr>
        <w:pStyle w:val="BodyText"/>
        <w:numPr>
          <w:ilvl w:val="0"/>
          <w:numId w:val="10"/>
        </w:numPr>
        <w:tabs>
          <w:tab w:val="left" w:pos="1300"/>
        </w:tabs>
        <w:spacing w:before="0" w:after="60" w:line="276" w:lineRule="auto"/>
        <w:ind w:left="993" w:hanging="284"/>
        <w:jc w:val="both"/>
        <w:rPr>
          <w:rFonts w:ascii="Arial" w:hAnsi="Arial" w:cs="Arial"/>
          <w:spacing w:val="-2"/>
          <w:kern w:val="28"/>
          <w:sz w:val="22"/>
          <w:szCs w:val="22"/>
          <w:lang w:val="en-ID"/>
        </w:rPr>
      </w:pPr>
      <w:r w:rsidRPr="004928C0">
        <w:rPr>
          <w:rFonts w:ascii="Arial" w:hAnsi="Arial" w:cs="Arial"/>
          <w:spacing w:val="-2"/>
          <w:kern w:val="28"/>
          <w:sz w:val="22"/>
          <w:szCs w:val="22"/>
          <w:lang w:val="en-US"/>
        </w:rPr>
        <w:t xml:space="preserve">The largest share of successfully transited youth had finished their education at the secondary level only. </w:t>
      </w:r>
    </w:p>
    <w:p w14:paraId="130DF12C" w14:textId="4434B70C" w:rsidR="00797B6C" w:rsidRPr="004928C0" w:rsidRDefault="00333543" w:rsidP="004928C0">
      <w:pPr>
        <w:pStyle w:val="ListParagraph"/>
        <w:widowControl w:val="0"/>
        <w:numPr>
          <w:ilvl w:val="0"/>
          <w:numId w:val="10"/>
        </w:numPr>
        <w:autoSpaceDE w:val="0"/>
        <w:autoSpaceDN w:val="0"/>
        <w:adjustRightInd w:val="0"/>
        <w:spacing w:after="0" w:line="276" w:lineRule="auto"/>
        <w:ind w:left="993" w:hanging="284"/>
        <w:rPr>
          <w:rFonts w:ascii="Arial" w:hAnsi="Arial" w:cs="Arial"/>
          <w:lang w:val="en-US"/>
        </w:rPr>
      </w:pPr>
      <w:r>
        <w:rPr>
          <w:rFonts w:ascii="Arial" w:hAnsi="Arial" w:cs="Arial"/>
          <w:lang w:val="en-US"/>
        </w:rPr>
        <w:t>The labo</w:t>
      </w:r>
      <w:r w:rsidR="009E79ED" w:rsidRPr="004928C0">
        <w:rPr>
          <w:rFonts w:ascii="Arial" w:hAnsi="Arial" w:cs="Arial"/>
          <w:lang w:val="en-US"/>
        </w:rPr>
        <w:t xml:space="preserve">r market transition </w:t>
      </w:r>
      <w:r w:rsidR="00A914FD">
        <w:rPr>
          <w:rFonts w:ascii="Arial" w:hAnsi="Arial" w:cs="Arial"/>
          <w:lang w:val="en-US"/>
        </w:rPr>
        <w:t>proc</w:t>
      </w:r>
      <w:r w:rsidR="004928C0" w:rsidRPr="004928C0">
        <w:rPr>
          <w:rFonts w:ascii="Arial" w:hAnsi="Arial" w:cs="Arial"/>
          <w:lang w:val="en-US"/>
        </w:rPr>
        <w:t xml:space="preserve">ess </w:t>
      </w:r>
      <w:r w:rsidR="009E79ED" w:rsidRPr="004928C0">
        <w:rPr>
          <w:rFonts w:ascii="Arial" w:hAnsi="Arial" w:cs="Arial"/>
          <w:lang w:val="en-US"/>
        </w:rPr>
        <w:t xml:space="preserve">of many </w:t>
      </w:r>
      <w:r w:rsidR="004928C0" w:rsidRPr="004928C0">
        <w:rPr>
          <w:rFonts w:ascii="Arial" w:hAnsi="Arial" w:cs="Arial"/>
          <w:lang w:val="en-US"/>
        </w:rPr>
        <w:t>young people is not smooth and take</w:t>
      </w:r>
      <w:r w:rsidR="000B1A1C">
        <w:rPr>
          <w:rFonts w:ascii="Arial" w:hAnsi="Arial" w:cs="Arial"/>
          <w:lang w:val="en-US"/>
        </w:rPr>
        <w:t>s</w:t>
      </w:r>
      <w:r w:rsidR="004928C0" w:rsidRPr="004928C0">
        <w:rPr>
          <w:rFonts w:ascii="Arial" w:hAnsi="Arial" w:cs="Arial"/>
          <w:lang w:val="en-US"/>
        </w:rPr>
        <w:t xml:space="preserve"> times</w:t>
      </w:r>
      <w:r w:rsidR="009E79ED" w:rsidRPr="004928C0">
        <w:rPr>
          <w:rFonts w:ascii="Arial" w:hAnsi="Arial" w:cs="Arial"/>
          <w:lang w:val="en-US"/>
        </w:rPr>
        <w:t xml:space="preserve">. More than 20 per cent of </w:t>
      </w:r>
      <w:r w:rsidR="000B1A1C">
        <w:rPr>
          <w:rFonts w:ascii="Arial" w:hAnsi="Arial" w:cs="Arial"/>
          <w:lang w:val="en-US"/>
        </w:rPr>
        <w:t xml:space="preserve">the </w:t>
      </w:r>
      <w:r w:rsidR="009E79ED" w:rsidRPr="004928C0">
        <w:rPr>
          <w:rFonts w:ascii="Arial" w:hAnsi="Arial" w:cs="Arial"/>
          <w:lang w:val="en-US"/>
        </w:rPr>
        <w:t>unemployed</w:t>
      </w:r>
      <w:r w:rsidR="000B1A1C">
        <w:rPr>
          <w:rFonts w:ascii="Arial" w:hAnsi="Arial" w:cs="Arial"/>
          <w:lang w:val="en-US"/>
        </w:rPr>
        <w:t xml:space="preserve"> youth that we surveyed</w:t>
      </w:r>
      <w:r w:rsidR="009E79ED" w:rsidRPr="004928C0">
        <w:rPr>
          <w:rFonts w:ascii="Arial" w:hAnsi="Arial" w:cs="Arial"/>
          <w:lang w:val="en-US"/>
        </w:rPr>
        <w:t xml:space="preserve"> ha</w:t>
      </w:r>
      <w:r w:rsidR="000B1A1C">
        <w:rPr>
          <w:rFonts w:ascii="Arial" w:hAnsi="Arial" w:cs="Arial"/>
          <w:lang w:val="en-US"/>
        </w:rPr>
        <w:t>d</w:t>
      </w:r>
      <w:r w:rsidR="009E79ED" w:rsidRPr="004928C0">
        <w:rPr>
          <w:rFonts w:ascii="Arial" w:hAnsi="Arial" w:cs="Arial"/>
          <w:lang w:val="en-US"/>
        </w:rPr>
        <w:t xml:space="preserve"> been actively looking for job more than 12 months.</w:t>
      </w:r>
    </w:p>
    <w:p w14:paraId="43FE86EC" w14:textId="0F747A81" w:rsidR="00530008" w:rsidRPr="004928C0" w:rsidRDefault="00530008" w:rsidP="00333543">
      <w:pPr>
        <w:pStyle w:val="BodyText"/>
        <w:tabs>
          <w:tab w:val="left" w:pos="1300"/>
        </w:tabs>
        <w:spacing w:before="0" w:after="0" w:line="276" w:lineRule="auto"/>
        <w:ind w:left="993"/>
        <w:jc w:val="both"/>
        <w:rPr>
          <w:rFonts w:ascii="Arial" w:hAnsi="Arial" w:cs="Arial"/>
          <w:spacing w:val="-2"/>
          <w:kern w:val="28"/>
          <w:sz w:val="22"/>
          <w:szCs w:val="22"/>
          <w:lang w:val="en-ID"/>
        </w:rPr>
      </w:pPr>
    </w:p>
    <w:p w14:paraId="2CAF67E8" w14:textId="77777777" w:rsidR="00A867A9" w:rsidRPr="004928C0" w:rsidRDefault="00A867A9" w:rsidP="004928C0">
      <w:pPr>
        <w:widowControl w:val="0"/>
        <w:autoSpaceDE w:val="0"/>
        <w:autoSpaceDN w:val="0"/>
        <w:adjustRightInd w:val="0"/>
        <w:spacing w:after="0" w:line="276" w:lineRule="auto"/>
        <w:rPr>
          <w:rFonts w:ascii="Arial" w:hAnsi="Arial" w:cs="Arial"/>
          <w:lang w:val="en-US"/>
        </w:rPr>
      </w:pPr>
    </w:p>
    <w:p w14:paraId="1F30C2D7" w14:textId="77777777" w:rsidR="00A867A9" w:rsidRPr="004928C0" w:rsidRDefault="00A867A9" w:rsidP="004928C0">
      <w:pPr>
        <w:pStyle w:val="ListParagraph"/>
        <w:widowControl w:val="0"/>
        <w:autoSpaceDE w:val="0"/>
        <w:autoSpaceDN w:val="0"/>
        <w:adjustRightInd w:val="0"/>
        <w:spacing w:after="240" w:line="276" w:lineRule="auto"/>
        <w:rPr>
          <w:rFonts w:ascii="Arial" w:hAnsi="Arial" w:cs="Arial"/>
          <w:lang w:val="en-US"/>
        </w:rPr>
      </w:pPr>
    </w:p>
    <w:p w14:paraId="3B7461F6" w14:textId="1FEDB7A8" w:rsidR="0076436D" w:rsidRPr="007914A5" w:rsidRDefault="000B1A1C" w:rsidP="007914A5">
      <w:pPr>
        <w:widowControl w:val="0"/>
        <w:autoSpaceDE w:val="0"/>
        <w:autoSpaceDN w:val="0"/>
        <w:adjustRightInd w:val="0"/>
        <w:spacing w:after="0" w:line="276" w:lineRule="auto"/>
        <w:rPr>
          <w:rFonts w:ascii="Arial" w:hAnsi="Arial" w:cs="Arial"/>
          <w:lang w:val="en-US"/>
        </w:rPr>
      </w:pPr>
      <w:r>
        <w:rPr>
          <w:rFonts w:ascii="Arial" w:hAnsi="Arial" w:cs="Arial"/>
          <w:lang w:val="en-US"/>
        </w:rPr>
        <w:lastRenderedPageBreak/>
        <w:t>The study has also revealed significant g</w:t>
      </w:r>
      <w:r w:rsidR="0076436D" w:rsidRPr="007914A5">
        <w:rPr>
          <w:rFonts w:ascii="Arial" w:hAnsi="Arial" w:cs="Arial"/>
          <w:lang w:val="en-US"/>
        </w:rPr>
        <w:t xml:space="preserve">ender </w:t>
      </w:r>
      <w:r>
        <w:rPr>
          <w:rFonts w:ascii="Arial" w:hAnsi="Arial" w:cs="Arial"/>
          <w:lang w:val="en-US"/>
        </w:rPr>
        <w:t>g</w:t>
      </w:r>
      <w:r w:rsidR="0076436D" w:rsidRPr="007914A5">
        <w:rPr>
          <w:rFonts w:ascii="Arial" w:hAnsi="Arial" w:cs="Arial"/>
          <w:lang w:val="en-US"/>
        </w:rPr>
        <w:t>ap</w:t>
      </w:r>
      <w:r>
        <w:rPr>
          <w:rFonts w:ascii="Arial" w:hAnsi="Arial" w:cs="Arial"/>
          <w:lang w:val="en-US"/>
        </w:rPr>
        <w:t>s in the school-to-work transition</w:t>
      </w:r>
      <w:r w:rsidR="0076436D" w:rsidRPr="007914A5">
        <w:rPr>
          <w:rFonts w:ascii="Arial" w:hAnsi="Arial" w:cs="Arial"/>
          <w:lang w:val="en-US"/>
        </w:rPr>
        <w:t>:</w:t>
      </w:r>
    </w:p>
    <w:p w14:paraId="2274F4CB" w14:textId="77777777" w:rsidR="0076436D" w:rsidRPr="004928C0" w:rsidRDefault="0076436D" w:rsidP="004928C0">
      <w:pPr>
        <w:pStyle w:val="ListParagraph"/>
        <w:widowControl w:val="0"/>
        <w:numPr>
          <w:ilvl w:val="0"/>
          <w:numId w:val="11"/>
        </w:numPr>
        <w:autoSpaceDE w:val="0"/>
        <w:autoSpaceDN w:val="0"/>
        <w:adjustRightInd w:val="0"/>
        <w:spacing w:after="0" w:line="276" w:lineRule="auto"/>
        <w:ind w:left="993" w:hanging="284"/>
        <w:rPr>
          <w:rFonts w:ascii="Arial" w:hAnsi="Arial" w:cs="Arial"/>
          <w:lang w:val="en-US"/>
        </w:rPr>
      </w:pPr>
      <w:r w:rsidRPr="004928C0">
        <w:rPr>
          <w:rFonts w:ascii="Arial" w:hAnsi="Arial" w:cs="Arial"/>
          <w:lang w:val="en-US"/>
        </w:rPr>
        <w:t xml:space="preserve">Young women are disadvantaged with regard to their activity status and face a gap in pay. </w:t>
      </w:r>
    </w:p>
    <w:p w14:paraId="7BDFCC6F" w14:textId="77777777" w:rsidR="0076436D" w:rsidRPr="004928C0" w:rsidRDefault="0076436D" w:rsidP="004928C0">
      <w:pPr>
        <w:pStyle w:val="BodyText"/>
        <w:numPr>
          <w:ilvl w:val="0"/>
          <w:numId w:val="11"/>
        </w:numPr>
        <w:tabs>
          <w:tab w:val="left" w:pos="1300"/>
        </w:tabs>
        <w:spacing w:before="0" w:after="0" w:line="276" w:lineRule="auto"/>
        <w:ind w:left="993" w:hanging="284"/>
        <w:jc w:val="both"/>
        <w:rPr>
          <w:rFonts w:ascii="Arial" w:hAnsi="Arial" w:cs="Arial"/>
          <w:spacing w:val="-2"/>
          <w:kern w:val="28"/>
          <w:sz w:val="22"/>
          <w:szCs w:val="22"/>
          <w:lang w:val="en-ID"/>
        </w:rPr>
      </w:pPr>
      <w:r w:rsidRPr="004928C0">
        <w:rPr>
          <w:rFonts w:ascii="Arial" w:hAnsi="Arial" w:cs="Arial"/>
          <w:sz w:val="22"/>
          <w:szCs w:val="22"/>
          <w:lang w:val="en-US"/>
        </w:rPr>
        <w:t xml:space="preserve">In spite of their higher educational attainment, young women have a lower labour force participation rate than young men (38 per cent against 48 per cent for young men). </w:t>
      </w:r>
    </w:p>
    <w:p w14:paraId="53B2C379" w14:textId="77777777" w:rsidR="0076436D" w:rsidRPr="004928C0" w:rsidRDefault="0076436D" w:rsidP="004928C0">
      <w:pPr>
        <w:pStyle w:val="BodyText"/>
        <w:numPr>
          <w:ilvl w:val="0"/>
          <w:numId w:val="11"/>
        </w:numPr>
        <w:tabs>
          <w:tab w:val="left" w:pos="1300"/>
        </w:tabs>
        <w:spacing w:before="0" w:after="60" w:line="276" w:lineRule="auto"/>
        <w:ind w:left="993" w:hanging="284"/>
        <w:jc w:val="both"/>
        <w:rPr>
          <w:rFonts w:ascii="Arial" w:hAnsi="Arial" w:cs="Arial"/>
          <w:spacing w:val="-2"/>
          <w:kern w:val="28"/>
          <w:sz w:val="22"/>
          <w:szCs w:val="22"/>
          <w:lang w:val="en-ID"/>
        </w:rPr>
      </w:pPr>
      <w:r w:rsidRPr="004928C0">
        <w:rPr>
          <w:rFonts w:ascii="Arial" w:hAnsi="Arial" w:cs="Arial"/>
          <w:spacing w:val="-2"/>
          <w:kern w:val="28"/>
          <w:sz w:val="22"/>
          <w:szCs w:val="22"/>
          <w:lang w:val="en-US"/>
        </w:rPr>
        <w:t xml:space="preserve">The survey findings confirm the national statistical finding that the gender gap in education is decreasing. However, this should not be interpreted to mean that the gender gap no longer exists in Indonesia. </w:t>
      </w:r>
    </w:p>
    <w:p w14:paraId="7ADEEFA2" w14:textId="31D7C5CB" w:rsidR="0076436D" w:rsidRPr="004928C0" w:rsidRDefault="0076436D" w:rsidP="004928C0">
      <w:pPr>
        <w:pStyle w:val="BodyText"/>
        <w:numPr>
          <w:ilvl w:val="0"/>
          <w:numId w:val="11"/>
        </w:numPr>
        <w:tabs>
          <w:tab w:val="left" w:pos="1300"/>
        </w:tabs>
        <w:spacing w:after="60" w:line="276" w:lineRule="auto"/>
        <w:ind w:left="993" w:hanging="284"/>
        <w:jc w:val="both"/>
        <w:rPr>
          <w:rFonts w:ascii="Arial" w:hAnsi="Arial" w:cs="Arial"/>
          <w:spacing w:val="-2"/>
          <w:kern w:val="28"/>
          <w:sz w:val="22"/>
          <w:szCs w:val="22"/>
          <w:lang w:val="en-US"/>
        </w:rPr>
      </w:pPr>
      <w:r w:rsidRPr="004928C0">
        <w:rPr>
          <w:rFonts w:ascii="Arial" w:hAnsi="Arial" w:cs="Arial"/>
          <w:sz w:val="22"/>
          <w:szCs w:val="22"/>
          <w:lang w:val="en-US"/>
        </w:rPr>
        <w:t>There are important disadvantages for young women in the labour market, despite their higher educational attainment. They work with lower wages than their male counterparts.</w:t>
      </w:r>
    </w:p>
    <w:p w14:paraId="3DCBD5D6" w14:textId="77777777" w:rsidR="004928C0" w:rsidRPr="004928C0" w:rsidRDefault="004928C0" w:rsidP="004928C0">
      <w:pPr>
        <w:pStyle w:val="BodyText"/>
        <w:tabs>
          <w:tab w:val="left" w:pos="1300"/>
        </w:tabs>
        <w:spacing w:after="60" w:line="276" w:lineRule="auto"/>
        <w:ind w:left="993"/>
        <w:jc w:val="both"/>
        <w:rPr>
          <w:rFonts w:ascii="Arial" w:hAnsi="Arial" w:cs="Arial"/>
          <w:spacing w:val="-2"/>
          <w:kern w:val="28"/>
          <w:sz w:val="22"/>
          <w:szCs w:val="22"/>
          <w:lang w:val="en-US"/>
        </w:rPr>
      </w:pPr>
    </w:p>
    <w:p w14:paraId="3C1C7691" w14:textId="21B7797E" w:rsidR="00A867A9" w:rsidRPr="007914A5" w:rsidRDefault="000B1A1C" w:rsidP="007914A5">
      <w:pPr>
        <w:widowControl w:val="0"/>
        <w:autoSpaceDE w:val="0"/>
        <w:autoSpaceDN w:val="0"/>
        <w:adjustRightInd w:val="0"/>
        <w:spacing w:after="240" w:line="276" w:lineRule="auto"/>
        <w:rPr>
          <w:rFonts w:ascii="Arial" w:hAnsi="Arial" w:cs="Arial"/>
          <w:lang w:val="en-US"/>
        </w:rPr>
      </w:pPr>
      <w:r>
        <w:rPr>
          <w:rFonts w:ascii="Arial" w:hAnsi="Arial" w:cs="Arial"/>
          <w:lang w:val="en-US"/>
        </w:rPr>
        <w:t>The study provides important new data on the e</w:t>
      </w:r>
      <w:r w:rsidR="00333543" w:rsidRPr="007914A5">
        <w:rPr>
          <w:rFonts w:ascii="Arial" w:hAnsi="Arial" w:cs="Arial"/>
          <w:lang w:val="en-US"/>
        </w:rPr>
        <w:t xml:space="preserve">ducation, </w:t>
      </w:r>
      <w:r>
        <w:rPr>
          <w:rFonts w:ascii="Arial" w:hAnsi="Arial" w:cs="Arial"/>
          <w:lang w:val="en-US"/>
        </w:rPr>
        <w:t>j</w:t>
      </w:r>
      <w:r w:rsidR="00A867A9" w:rsidRPr="007914A5">
        <w:rPr>
          <w:rFonts w:ascii="Arial" w:hAnsi="Arial" w:cs="Arial"/>
          <w:lang w:val="en-US"/>
        </w:rPr>
        <w:t>ob</w:t>
      </w:r>
      <w:r>
        <w:rPr>
          <w:rFonts w:ascii="Arial" w:hAnsi="Arial" w:cs="Arial"/>
          <w:lang w:val="en-US"/>
        </w:rPr>
        <w:t xml:space="preserve"> s</w:t>
      </w:r>
      <w:r w:rsidR="00A867A9" w:rsidRPr="007914A5">
        <w:rPr>
          <w:rFonts w:ascii="Arial" w:hAnsi="Arial" w:cs="Arial"/>
          <w:lang w:val="en-US"/>
        </w:rPr>
        <w:t>earch</w:t>
      </w:r>
      <w:r>
        <w:rPr>
          <w:rFonts w:ascii="Arial" w:hAnsi="Arial" w:cs="Arial"/>
          <w:lang w:val="en-US"/>
        </w:rPr>
        <w:t>, employment and earnings experiences of young Indones</w:t>
      </w:r>
      <w:r w:rsidR="007D5765">
        <w:rPr>
          <w:rFonts w:ascii="Arial" w:hAnsi="Arial" w:cs="Arial"/>
          <w:lang w:val="en-US"/>
        </w:rPr>
        <w:t>ia</w:t>
      </w:r>
      <w:r>
        <w:rPr>
          <w:rFonts w:ascii="Arial" w:hAnsi="Arial" w:cs="Arial"/>
          <w:lang w:val="en-US"/>
        </w:rPr>
        <w:t>ns, as well as insights to their expectations:</w:t>
      </w:r>
    </w:p>
    <w:p w14:paraId="75C304EE" w14:textId="4CAC93E8" w:rsidR="00333543" w:rsidRPr="00333543" w:rsidRDefault="00333543" w:rsidP="00333543">
      <w:pPr>
        <w:pStyle w:val="ListParagraph"/>
        <w:widowControl w:val="0"/>
        <w:numPr>
          <w:ilvl w:val="0"/>
          <w:numId w:val="12"/>
        </w:numPr>
        <w:autoSpaceDE w:val="0"/>
        <w:autoSpaceDN w:val="0"/>
        <w:adjustRightInd w:val="0"/>
        <w:spacing w:after="0" w:line="276" w:lineRule="auto"/>
        <w:ind w:left="993" w:hanging="284"/>
        <w:jc w:val="both"/>
        <w:rPr>
          <w:rFonts w:ascii="Arial" w:hAnsi="Arial" w:cs="Arial"/>
          <w:lang w:val="en-US"/>
        </w:rPr>
      </w:pPr>
      <w:r w:rsidRPr="004928C0">
        <w:rPr>
          <w:rFonts w:ascii="Arial" w:hAnsi="Arial" w:cs="Arial"/>
          <w:lang w:val="en-US"/>
        </w:rPr>
        <w:t xml:space="preserve">Four per cent of the respondents graduated from primary school. Twelve percent finished their junior secondary school. Nearly one-half (46 per cent) of youth graduated from senior high school (general and vocational), and twenty seven per cent graduated from tertiary education. </w:t>
      </w:r>
    </w:p>
    <w:p w14:paraId="0227CBD5" w14:textId="77777777" w:rsidR="00715B52" w:rsidRPr="004928C0" w:rsidRDefault="00715B52" w:rsidP="00333543">
      <w:pPr>
        <w:pStyle w:val="BodyText"/>
        <w:numPr>
          <w:ilvl w:val="0"/>
          <w:numId w:val="9"/>
        </w:numPr>
        <w:tabs>
          <w:tab w:val="left" w:pos="1300"/>
        </w:tabs>
        <w:spacing w:before="0" w:after="0" w:line="276" w:lineRule="auto"/>
        <w:ind w:left="993" w:hanging="284"/>
        <w:jc w:val="both"/>
        <w:rPr>
          <w:rFonts w:ascii="Arial" w:hAnsi="Arial" w:cs="Arial"/>
          <w:spacing w:val="-2"/>
          <w:kern w:val="28"/>
          <w:sz w:val="22"/>
          <w:szCs w:val="22"/>
        </w:rPr>
      </w:pPr>
      <w:r w:rsidRPr="004928C0">
        <w:rPr>
          <w:rFonts w:ascii="Arial" w:hAnsi="Arial" w:cs="Arial"/>
          <w:spacing w:val="-2"/>
          <w:kern w:val="28"/>
          <w:sz w:val="22"/>
          <w:szCs w:val="22"/>
        </w:rPr>
        <w:t xml:space="preserve">About 40% … stated that his/her </w:t>
      </w:r>
      <w:r w:rsidRPr="004928C0">
        <w:rPr>
          <w:rFonts w:ascii="Arial" w:hAnsi="Arial" w:cs="Arial"/>
          <w:spacing w:val="-2"/>
          <w:kern w:val="28"/>
          <w:sz w:val="22"/>
          <w:szCs w:val="22"/>
          <w:lang w:val="en-US"/>
        </w:rPr>
        <w:t>job is in a different field to his/her ed</w:t>
      </w:r>
      <w:r w:rsidRPr="004928C0">
        <w:rPr>
          <w:rFonts w:ascii="Arial" w:hAnsi="Arial" w:cs="Arial"/>
          <w:spacing w:val="-2"/>
          <w:kern w:val="28"/>
          <w:sz w:val="22"/>
          <w:szCs w:val="22"/>
          <w:lang w:val="id-ID"/>
        </w:rPr>
        <w:t>ucation</w:t>
      </w:r>
    </w:p>
    <w:p w14:paraId="4BC34F18" w14:textId="77777777" w:rsidR="00715B52" w:rsidRPr="004928C0" w:rsidRDefault="00715B52" w:rsidP="00333543">
      <w:pPr>
        <w:pStyle w:val="BodyText"/>
        <w:numPr>
          <w:ilvl w:val="0"/>
          <w:numId w:val="9"/>
        </w:numPr>
        <w:tabs>
          <w:tab w:val="left" w:pos="1300"/>
        </w:tabs>
        <w:spacing w:before="0" w:after="0" w:line="276" w:lineRule="auto"/>
        <w:ind w:left="993" w:hanging="284"/>
        <w:jc w:val="both"/>
        <w:rPr>
          <w:rFonts w:ascii="Arial" w:hAnsi="Arial" w:cs="Arial"/>
          <w:spacing w:val="-2"/>
          <w:kern w:val="28"/>
          <w:sz w:val="22"/>
          <w:szCs w:val="22"/>
        </w:rPr>
      </w:pPr>
      <w:r w:rsidRPr="004928C0">
        <w:rPr>
          <w:rFonts w:ascii="Arial" w:hAnsi="Arial" w:cs="Arial"/>
          <w:spacing w:val="-2"/>
          <w:kern w:val="28"/>
          <w:sz w:val="22"/>
          <w:szCs w:val="22"/>
          <w:lang w:val="id-ID"/>
        </w:rPr>
        <w:t>11% and 12 % of respondents revealed that they experienced under education and overeducation respectively.</w:t>
      </w:r>
    </w:p>
    <w:p w14:paraId="028C6F79" w14:textId="609D28CE" w:rsidR="004928C0" w:rsidRPr="004928C0" w:rsidRDefault="004928C0" w:rsidP="004928C0">
      <w:pPr>
        <w:pStyle w:val="BodyText"/>
        <w:numPr>
          <w:ilvl w:val="0"/>
          <w:numId w:val="9"/>
        </w:numPr>
        <w:tabs>
          <w:tab w:val="left" w:pos="1300"/>
        </w:tabs>
        <w:spacing w:before="0" w:after="60" w:line="276" w:lineRule="auto"/>
        <w:ind w:left="993" w:hanging="284"/>
        <w:jc w:val="both"/>
        <w:rPr>
          <w:rFonts w:ascii="Arial" w:hAnsi="Arial" w:cs="Arial"/>
          <w:spacing w:val="-2"/>
          <w:kern w:val="28"/>
          <w:sz w:val="22"/>
          <w:szCs w:val="22"/>
        </w:rPr>
      </w:pPr>
      <w:r w:rsidRPr="004928C0">
        <w:rPr>
          <w:rFonts w:ascii="Arial" w:hAnsi="Arial" w:cs="Arial"/>
          <w:bCs/>
          <w:sz w:val="22"/>
          <w:szCs w:val="22"/>
          <w:lang w:val="en-US"/>
        </w:rPr>
        <w:t xml:space="preserve">Subject selection by students </w:t>
      </w:r>
      <w:r w:rsidRPr="004928C0">
        <w:rPr>
          <w:rFonts w:ascii="Arial" w:hAnsi="Arial" w:cs="Arial"/>
          <w:sz w:val="22"/>
          <w:szCs w:val="22"/>
          <w:lang w:val="en-US"/>
        </w:rPr>
        <w:t>is often not driven by job market considerations or availability of jobs in that specific sector.</w:t>
      </w:r>
    </w:p>
    <w:p w14:paraId="1EBE25B6" w14:textId="77777777" w:rsidR="00715B52" w:rsidRPr="004928C0" w:rsidRDefault="00715B52" w:rsidP="004928C0">
      <w:pPr>
        <w:pStyle w:val="BodyText"/>
        <w:numPr>
          <w:ilvl w:val="0"/>
          <w:numId w:val="9"/>
        </w:numPr>
        <w:tabs>
          <w:tab w:val="left" w:pos="1300"/>
        </w:tabs>
        <w:spacing w:after="60" w:line="276" w:lineRule="auto"/>
        <w:ind w:left="993" w:hanging="284"/>
        <w:jc w:val="both"/>
        <w:rPr>
          <w:rFonts w:ascii="Arial" w:hAnsi="Arial" w:cs="Arial"/>
          <w:spacing w:val="-2"/>
          <w:kern w:val="28"/>
          <w:sz w:val="22"/>
          <w:szCs w:val="22"/>
          <w:lang w:val="en-US"/>
        </w:rPr>
      </w:pPr>
      <w:r w:rsidRPr="004928C0">
        <w:rPr>
          <w:rFonts w:ascii="Arial" w:hAnsi="Arial" w:cs="Arial"/>
          <w:spacing w:val="-2"/>
          <w:kern w:val="28"/>
          <w:sz w:val="22"/>
          <w:szCs w:val="22"/>
          <w:lang w:val="en-US"/>
        </w:rPr>
        <w:t>More than 10% employees respond that they need more than 12 months to find their first job.</w:t>
      </w:r>
    </w:p>
    <w:p w14:paraId="7FB9875D" w14:textId="77777777" w:rsidR="00715B52" w:rsidRPr="004928C0" w:rsidRDefault="00715B52" w:rsidP="004928C0">
      <w:pPr>
        <w:pStyle w:val="BodyText"/>
        <w:numPr>
          <w:ilvl w:val="0"/>
          <w:numId w:val="9"/>
        </w:numPr>
        <w:tabs>
          <w:tab w:val="left" w:pos="1300"/>
        </w:tabs>
        <w:spacing w:before="0" w:after="60" w:line="276" w:lineRule="auto"/>
        <w:ind w:left="993" w:hanging="284"/>
        <w:jc w:val="both"/>
        <w:rPr>
          <w:rFonts w:ascii="Arial" w:hAnsi="Arial" w:cs="Arial"/>
          <w:spacing w:val="-2"/>
          <w:kern w:val="28"/>
          <w:sz w:val="22"/>
          <w:szCs w:val="22"/>
        </w:rPr>
      </w:pPr>
      <w:r w:rsidRPr="004928C0">
        <w:rPr>
          <w:rFonts w:ascii="Arial" w:hAnsi="Arial" w:cs="Arial"/>
          <w:spacing w:val="-2"/>
          <w:kern w:val="28"/>
          <w:sz w:val="22"/>
          <w:szCs w:val="22"/>
        </w:rPr>
        <w:t>More than 20 % of unemployed have been actively looking for job more than 12 months.</w:t>
      </w:r>
    </w:p>
    <w:p w14:paraId="43524DDE" w14:textId="77777777" w:rsidR="004928C0" w:rsidRPr="004928C0" w:rsidRDefault="00715B52" w:rsidP="004928C0">
      <w:pPr>
        <w:pStyle w:val="BodyText"/>
        <w:numPr>
          <w:ilvl w:val="0"/>
          <w:numId w:val="9"/>
        </w:numPr>
        <w:tabs>
          <w:tab w:val="left" w:pos="1300"/>
        </w:tabs>
        <w:spacing w:before="0" w:after="60" w:line="276" w:lineRule="auto"/>
        <w:ind w:left="993" w:hanging="284"/>
        <w:jc w:val="both"/>
        <w:rPr>
          <w:rFonts w:ascii="Arial" w:hAnsi="Arial" w:cs="Arial"/>
          <w:spacing w:val="-2"/>
          <w:kern w:val="28"/>
          <w:sz w:val="22"/>
          <w:szCs w:val="22"/>
        </w:rPr>
      </w:pPr>
      <w:r w:rsidRPr="004928C0">
        <w:rPr>
          <w:rFonts w:ascii="Arial" w:hAnsi="Arial" w:cs="Arial"/>
          <w:sz w:val="22"/>
          <w:szCs w:val="22"/>
          <w:lang w:val="en-US"/>
        </w:rPr>
        <w:t>It has been found that entry into the labour markets most frequently took place through social ties of family and friends (more than 52%), regardless of youth characteristics.</w:t>
      </w:r>
    </w:p>
    <w:p w14:paraId="1A68C132" w14:textId="47822713" w:rsidR="004928C0" w:rsidRPr="00333543" w:rsidRDefault="004928C0" w:rsidP="004928C0">
      <w:pPr>
        <w:pStyle w:val="BodyText"/>
        <w:numPr>
          <w:ilvl w:val="0"/>
          <w:numId w:val="9"/>
        </w:numPr>
        <w:tabs>
          <w:tab w:val="left" w:pos="1300"/>
        </w:tabs>
        <w:spacing w:before="0" w:after="60" w:line="276" w:lineRule="auto"/>
        <w:ind w:left="993" w:hanging="284"/>
        <w:jc w:val="both"/>
        <w:rPr>
          <w:rFonts w:ascii="Arial" w:hAnsi="Arial" w:cs="Arial"/>
          <w:spacing w:val="-2"/>
          <w:kern w:val="28"/>
          <w:sz w:val="22"/>
          <w:szCs w:val="22"/>
        </w:rPr>
      </w:pPr>
      <w:r w:rsidRPr="004928C0">
        <w:rPr>
          <w:rFonts w:ascii="Arial" w:hAnsi="Arial" w:cs="Arial"/>
          <w:sz w:val="22"/>
          <w:szCs w:val="22"/>
          <w:lang w:val="en-US"/>
        </w:rPr>
        <w:t>Generally youth prefer non-agricultural jobs to jobs in the agricultural sector.</w:t>
      </w:r>
    </w:p>
    <w:p w14:paraId="0EBF5C68" w14:textId="77777777" w:rsidR="00333543" w:rsidRPr="004928C0" w:rsidRDefault="00333543" w:rsidP="00333543">
      <w:pPr>
        <w:pStyle w:val="ListParagraph"/>
        <w:widowControl w:val="0"/>
        <w:numPr>
          <w:ilvl w:val="0"/>
          <w:numId w:val="9"/>
        </w:numPr>
        <w:autoSpaceDE w:val="0"/>
        <w:autoSpaceDN w:val="0"/>
        <w:adjustRightInd w:val="0"/>
        <w:spacing w:after="240" w:line="276" w:lineRule="auto"/>
        <w:ind w:left="993" w:hanging="284"/>
        <w:jc w:val="both"/>
        <w:rPr>
          <w:rFonts w:ascii="Arial" w:hAnsi="Arial" w:cs="Arial"/>
          <w:lang w:val="en-US"/>
        </w:rPr>
      </w:pPr>
      <w:r w:rsidRPr="004928C0">
        <w:rPr>
          <w:rFonts w:ascii="Arial" w:hAnsi="Arial" w:cs="Arial"/>
          <w:kern w:val="28"/>
          <w:lang w:val="en-US"/>
        </w:rPr>
        <w:t xml:space="preserve">Twelve per cent of the respondents is self-employed, this does not mean that all respondents considered self-employment to be ideal. Instead, many are unable to find wage employment. </w:t>
      </w:r>
    </w:p>
    <w:p w14:paraId="413DBF79" w14:textId="7FBA30C5" w:rsidR="00E8134B" w:rsidRPr="007943C6" w:rsidRDefault="00333543" w:rsidP="004928C0">
      <w:pPr>
        <w:pStyle w:val="ListParagraph"/>
        <w:widowControl w:val="0"/>
        <w:numPr>
          <w:ilvl w:val="0"/>
          <w:numId w:val="9"/>
        </w:numPr>
        <w:autoSpaceDE w:val="0"/>
        <w:autoSpaceDN w:val="0"/>
        <w:adjustRightInd w:val="0"/>
        <w:spacing w:after="240" w:line="276" w:lineRule="auto"/>
        <w:ind w:left="993" w:hanging="284"/>
        <w:jc w:val="both"/>
        <w:rPr>
          <w:rFonts w:ascii="Arial" w:hAnsi="Arial" w:cs="Arial"/>
          <w:lang w:val="en-US"/>
        </w:rPr>
      </w:pPr>
      <w:r w:rsidRPr="004928C0">
        <w:rPr>
          <w:rFonts w:ascii="Arial" w:hAnsi="Arial" w:cs="Arial"/>
          <w:lang w:val="en-US"/>
        </w:rPr>
        <w:t>Many Indonesia youth are involved in informal employment.</w:t>
      </w:r>
    </w:p>
    <w:p w14:paraId="77F3B39A" w14:textId="77777777" w:rsidR="00E8134B" w:rsidRPr="004928C0" w:rsidRDefault="00E8134B" w:rsidP="004928C0">
      <w:pPr>
        <w:spacing w:line="276" w:lineRule="auto"/>
        <w:rPr>
          <w:rFonts w:ascii="Arial" w:hAnsi="Arial" w:cs="Arial"/>
          <w:b/>
        </w:rPr>
      </w:pPr>
      <w:r w:rsidRPr="004928C0">
        <w:rPr>
          <w:rFonts w:ascii="Arial" w:hAnsi="Arial" w:cs="Arial"/>
          <w:b/>
        </w:rPr>
        <w:t>Concluding remarks</w:t>
      </w:r>
    </w:p>
    <w:p w14:paraId="5CC84B46" w14:textId="298A6208" w:rsidR="00FF6339" w:rsidRPr="004928C0" w:rsidRDefault="00F2540B" w:rsidP="00CE6E7F">
      <w:pPr>
        <w:widowControl w:val="0"/>
        <w:autoSpaceDE w:val="0"/>
        <w:autoSpaceDN w:val="0"/>
        <w:adjustRightInd w:val="0"/>
        <w:spacing w:after="240" w:line="360" w:lineRule="auto"/>
        <w:jc w:val="both"/>
        <w:rPr>
          <w:rFonts w:ascii="Arial" w:hAnsi="Arial" w:cs="Arial"/>
        </w:rPr>
      </w:pPr>
      <w:r w:rsidRPr="00F2540B">
        <w:rPr>
          <w:rFonts w:ascii="Arial" w:hAnsi="Arial" w:cs="Arial"/>
          <w:lang w:val="en-US"/>
        </w:rPr>
        <w:t>The results of this survey confirm that the seriousness of the national employment problems in Indonesia. This study has revealed major challenges for the Indonesian youth labo</w:t>
      </w:r>
      <w:r w:rsidR="00CE6E7F">
        <w:rPr>
          <w:rFonts w:ascii="Arial" w:hAnsi="Arial" w:cs="Arial"/>
          <w:lang w:val="en-US"/>
        </w:rPr>
        <w:t>u</w:t>
      </w:r>
      <w:r w:rsidRPr="00F2540B">
        <w:rPr>
          <w:rFonts w:ascii="Arial" w:hAnsi="Arial" w:cs="Arial"/>
          <w:lang w:val="en-US"/>
        </w:rPr>
        <w:t xml:space="preserve">r market. Policies aimed at improving the overall quality of education and creating a </w:t>
      </w:r>
      <w:r>
        <w:rPr>
          <w:rFonts w:ascii="Arial" w:hAnsi="Arial" w:cs="Arial"/>
          <w:lang w:val="en-US"/>
        </w:rPr>
        <w:t xml:space="preserve">match and </w:t>
      </w:r>
      <w:r w:rsidRPr="00F2540B">
        <w:rPr>
          <w:rFonts w:ascii="Arial" w:hAnsi="Arial" w:cs="Arial"/>
          <w:lang w:val="en-US"/>
        </w:rPr>
        <w:t xml:space="preserve">highly skilled young workforce are needed, </w:t>
      </w:r>
      <w:r w:rsidR="00A43B2A" w:rsidRPr="00F2540B">
        <w:rPr>
          <w:rFonts w:ascii="Arial" w:hAnsi="Arial" w:cs="Arial"/>
          <w:lang w:val="en-US"/>
        </w:rPr>
        <w:t xml:space="preserve">Equipping young people with the skills and knowledge to successfully transition and integrate into the labour market will help them reach </w:t>
      </w:r>
      <w:r w:rsidR="00A43B2A" w:rsidRPr="00F2540B">
        <w:rPr>
          <w:rFonts w:ascii="Arial" w:hAnsi="Arial" w:cs="Arial"/>
          <w:lang w:val="en-US"/>
        </w:rPr>
        <w:lastRenderedPageBreak/>
        <w:t>their full potential</w:t>
      </w:r>
      <w:r>
        <w:rPr>
          <w:rFonts w:ascii="Arial" w:hAnsi="Arial" w:cs="Arial"/>
          <w:lang w:val="en-US"/>
        </w:rPr>
        <w:t>.</w:t>
      </w:r>
      <w:r w:rsidRPr="00F2540B">
        <w:rPr>
          <w:rFonts w:ascii="Arial" w:hAnsi="Arial" w:cs="Arial"/>
        </w:rPr>
        <w:t xml:space="preserve"> </w:t>
      </w:r>
    </w:p>
    <w:p w14:paraId="0AFC93CD" w14:textId="116E12B8" w:rsidR="00FF6339" w:rsidRDefault="00DF36F1" w:rsidP="004928C0">
      <w:pPr>
        <w:spacing w:line="276" w:lineRule="auto"/>
        <w:rPr>
          <w:rFonts w:ascii="Arial" w:hAnsi="Arial" w:cs="Arial"/>
        </w:rPr>
      </w:pPr>
      <w:r>
        <w:rPr>
          <w:rFonts w:ascii="Arial" w:hAnsi="Arial" w:cs="Arial"/>
        </w:rPr>
        <w:t>References</w:t>
      </w:r>
    </w:p>
    <w:p w14:paraId="766D604B" w14:textId="77777777" w:rsidR="00B41B69" w:rsidRDefault="00B41B69" w:rsidP="00433066">
      <w:pPr>
        <w:spacing w:line="360" w:lineRule="auto"/>
        <w:jc w:val="both"/>
        <w:rPr>
          <w:rFonts w:ascii="Arial" w:hAnsi="Arial" w:cs="Arial"/>
        </w:rPr>
      </w:pPr>
      <w:r>
        <w:rPr>
          <w:rFonts w:ascii="Arial" w:hAnsi="Arial" w:cs="Arial"/>
        </w:rPr>
        <w:t>Baldwin, N. and</w:t>
      </w:r>
      <w:r w:rsidRPr="00B41B69">
        <w:t xml:space="preserve"> </w:t>
      </w:r>
      <w:r w:rsidRPr="00B41B69">
        <w:rPr>
          <w:rFonts w:ascii="Arial" w:hAnsi="Arial" w:cs="Arial"/>
        </w:rPr>
        <w:t>Borrelli</w:t>
      </w:r>
      <w:r>
        <w:rPr>
          <w:rFonts w:ascii="Arial" w:hAnsi="Arial" w:cs="Arial"/>
        </w:rPr>
        <w:t xml:space="preserve">, S. A. (2008) </w:t>
      </w:r>
      <w:r w:rsidRPr="00B41B69">
        <w:rPr>
          <w:rFonts w:ascii="Arial" w:hAnsi="Arial" w:cs="Arial"/>
        </w:rPr>
        <w:t>Education and economic growth in the United States: cross-national applications for an intra-national path analysis</w:t>
      </w:r>
      <w:r>
        <w:rPr>
          <w:rFonts w:ascii="Arial" w:hAnsi="Arial" w:cs="Arial"/>
        </w:rPr>
        <w:t xml:space="preserve">, </w:t>
      </w:r>
      <w:r w:rsidRPr="00B41B69">
        <w:rPr>
          <w:rFonts w:ascii="Arial" w:hAnsi="Arial" w:cs="Arial"/>
        </w:rPr>
        <w:t>Policy Sciences</w:t>
      </w:r>
      <w:r>
        <w:rPr>
          <w:rFonts w:ascii="Arial" w:hAnsi="Arial" w:cs="Arial"/>
        </w:rPr>
        <w:t>, 41: 183-204.</w:t>
      </w:r>
    </w:p>
    <w:p w14:paraId="48E014C6" w14:textId="04698240" w:rsidR="00B07050" w:rsidRPr="004928C0" w:rsidRDefault="00B07050" w:rsidP="00433066">
      <w:pPr>
        <w:spacing w:line="360" w:lineRule="auto"/>
        <w:jc w:val="both"/>
        <w:rPr>
          <w:rFonts w:ascii="Arial" w:hAnsi="Arial" w:cs="Arial"/>
        </w:rPr>
      </w:pPr>
      <w:r w:rsidRPr="00B07050">
        <w:rPr>
          <w:rFonts w:ascii="Arial" w:hAnsi="Arial" w:cs="Arial"/>
        </w:rPr>
        <w:t>Blossfeld HP, Skopek J, Triventi M, Buchholz S (2015) Gender, education and employment. an international comparison of school-to-work transitions. Edward Elgar, Cheltenham</w:t>
      </w:r>
    </w:p>
    <w:p w14:paraId="5D14264A" w14:textId="09CE0095" w:rsidR="00B41B69" w:rsidRDefault="00B41B69" w:rsidP="00433066">
      <w:pPr>
        <w:spacing w:line="360" w:lineRule="auto"/>
        <w:jc w:val="both"/>
        <w:rPr>
          <w:rFonts w:ascii="Arial" w:hAnsi="Arial" w:cs="Arial"/>
        </w:rPr>
      </w:pPr>
      <w:r w:rsidRPr="009A155A">
        <w:rPr>
          <w:rFonts w:ascii="Arial" w:hAnsi="Arial" w:cs="Arial"/>
        </w:rPr>
        <w:t xml:space="preserve">Betts, J.R., (2010), "School Quality and Earnings", in P. Peterson, E. Baker and B. McGaw, International </w:t>
      </w:r>
      <w:r w:rsidR="007D5765" w:rsidRPr="009A155A">
        <w:rPr>
          <w:rFonts w:ascii="Arial" w:hAnsi="Arial" w:cs="Arial"/>
        </w:rPr>
        <w:t>Encyclopaedia</w:t>
      </w:r>
      <w:r w:rsidRPr="009A155A">
        <w:rPr>
          <w:rFonts w:ascii="Arial" w:hAnsi="Arial" w:cs="Arial"/>
        </w:rPr>
        <w:t xml:space="preserve"> of Education, vol. 2, pp.313-320, Oxford: Elsevier.</w:t>
      </w:r>
    </w:p>
    <w:p w14:paraId="0AB1B646" w14:textId="0AE445BE" w:rsidR="00486FF0" w:rsidRDefault="00486FF0" w:rsidP="00433066">
      <w:pPr>
        <w:spacing w:line="360" w:lineRule="auto"/>
        <w:jc w:val="both"/>
        <w:rPr>
          <w:rFonts w:ascii="Arial" w:hAnsi="Arial" w:cs="Arial"/>
        </w:rPr>
      </w:pPr>
      <w:r w:rsidRPr="00486FF0">
        <w:rPr>
          <w:rFonts w:ascii="Arial" w:hAnsi="Arial" w:cs="Arial"/>
        </w:rPr>
        <w:t>Buchmann MC (2011) School to work transitions. In: Brown BB, Prinstein MJ (eds) Encyclopedia of adolescence, vol 2E. Elsevier, London, pp 306–313</w:t>
      </w:r>
      <w:r>
        <w:rPr>
          <w:rFonts w:ascii="Arial" w:hAnsi="Arial" w:cs="Arial"/>
        </w:rPr>
        <w:t>.</w:t>
      </w:r>
    </w:p>
    <w:p w14:paraId="5A681129" w14:textId="285373D3" w:rsidR="00486FF0" w:rsidRDefault="00486FF0" w:rsidP="00433066">
      <w:pPr>
        <w:spacing w:line="360" w:lineRule="auto"/>
        <w:jc w:val="both"/>
        <w:rPr>
          <w:rFonts w:ascii="Arial" w:hAnsi="Arial" w:cs="Arial"/>
        </w:rPr>
      </w:pPr>
      <w:r w:rsidRPr="00486FF0">
        <w:rPr>
          <w:rFonts w:ascii="Arial" w:hAnsi="Arial" w:cs="Arial"/>
        </w:rPr>
        <w:t>Bukodi E, Dex S (2010) Bad start: is there a way up? gender differences in the effect of initial occupation on early career mobility in britain. Eur Sociol Rev 26:431–446</w:t>
      </w:r>
    </w:p>
    <w:p w14:paraId="690DC743" w14:textId="77777777" w:rsidR="00B41B69" w:rsidRDefault="00B41B69" w:rsidP="00433066">
      <w:pPr>
        <w:spacing w:line="360" w:lineRule="auto"/>
        <w:jc w:val="both"/>
        <w:rPr>
          <w:rFonts w:ascii="Arial" w:hAnsi="Arial" w:cs="Arial"/>
        </w:rPr>
      </w:pPr>
      <w:r w:rsidRPr="00176204">
        <w:rPr>
          <w:rFonts w:ascii="Arial" w:hAnsi="Arial" w:cs="Arial"/>
        </w:rPr>
        <w:t>Dolton, P.J. and Silles, M.A., (2008), “The Effects of Over-education on Earnings in the Graduate Labour Market”, Economics of Education Review, vol. 27, no. 2, pp. 125-139.</w:t>
      </w:r>
    </w:p>
    <w:p w14:paraId="50A24223" w14:textId="77777777" w:rsidR="00B41B69" w:rsidRDefault="00B41B69" w:rsidP="00433066">
      <w:pPr>
        <w:spacing w:line="360" w:lineRule="auto"/>
        <w:jc w:val="both"/>
        <w:rPr>
          <w:rFonts w:ascii="Arial" w:hAnsi="Arial" w:cs="Arial"/>
        </w:rPr>
      </w:pPr>
      <w:r w:rsidRPr="00176204">
        <w:rPr>
          <w:rFonts w:ascii="Arial" w:hAnsi="Arial" w:cs="Arial"/>
        </w:rPr>
        <w:t>Hartog, J., (2000). "Over-education and Earnings: Where are We, Where Should We Go?", Economics of Education Review, vol. 19, no. 2, pp.131-147.</w:t>
      </w:r>
    </w:p>
    <w:p w14:paraId="7BD008A9" w14:textId="77777777" w:rsidR="00B41B69" w:rsidRDefault="00B41B69" w:rsidP="00433066">
      <w:pPr>
        <w:spacing w:line="360" w:lineRule="auto"/>
        <w:jc w:val="both"/>
        <w:rPr>
          <w:rFonts w:ascii="Arial" w:hAnsi="Arial" w:cs="Arial"/>
        </w:rPr>
      </w:pPr>
      <w:r w:rsidRPr="00176204">
        <w:rPr>
          <w:rFonts w:ascii="Arial" w:hAnsi="Arial" w:cs="Arial"/>
        </w:rPr>
        <w:t>Heckman, J.J. and Kautz, T., (2012), "Hard Evidence on Soft Skills", Labour Economics, vol. 19, no. 4, pp.451- 464.</w:t>
      </w:r>
    </w:p>
    <w:p w14:paraId="76E93453" w14:textId="77777777" w:rsidR="00B41B69" w:rsidRDefault="00B41B69" w:rsidP="00433066">
      <w:pPr>
        <w:spacing w:line="360" w:lineRule="auto"/>
        <w:jc w:val="both"/>
        <w:rPr>
          <w:rFonts w:ascii="Arial" w:hAnsi="Arial" w:cs="Arial"/>
        </w:rPr>
      </w:pPr>
      <w:r w:rsidRPr="00176204">
        <w:rPr>
          <w:rFonts w:ascii="Arial" w:hAnsi="Arial" w:cs="Arial"/>
        </w:rPr>
        <w:t>Le, A.T., Miller, P.W., Heath, A. and Martin, N., (2005), “Early Childhood Behaviours, Schooling and Labour Market Outcomes: Estimates from a Sample of Twins”, Economics of Education Review, vol. 24, no. 1, pp.1-17.</w:t>
      </w:r>
    </w:p>
    <w:p w14:paraId="6B895AF2" w14:textId="77777777" w:rsidR="00B41B69" w:rsidRDefault="00B41B69" w:rsidP="00433066">
      <w:pPr>
        <w:spacing w:line="360" w:lineRule="auto"/>
        <w:jc w:val="both"/>
        <w:rPr>
          <w:rFonts w:ascii="Arial" w:hAnsi="Arial" w:cs="Arial"/>
        </w:rPr>
      </w:pPr>
      <w:r w:rsidRPr="006D726D">
        <w:rPr>
          <w:rFonts w:ascii="Arial" w:hAnsi="Arial" w:cs="Arial"/>
        </w:rPr>
        <w:t>Lucas, R.E. Jr., 1988. On the mechanics of economic developm</w:t>
      </w:r>
      <w:r>
        <w:rPr>
          <w:rFonts w:ascii="Arial" w:hAnsi="Arial" w:cs="Arial"/>
        </w:rPr>
        <w:t>ent. J. Monetary Econ. 22, 3-42.</w:t>
      </w:r>
    </w:p>
    <w:p w14:paraId="0F72ED6E" w14:textId="77777777" w:rsidR="00B41B69" w:rsidRDefault="00B41B69" w:rsidP="00433066">
      <w:pPr>
        <w:spacing w:line="360" w:lineRule="auto"/>
        <w:jc w:val="both"/>
        <w:rPr>
          <w:rFonts w:ascii="Arial" w:hAnsi="Arial" w:cs="Arial"/>
        </w:rPr>
      </w:pPr>
      <w:r w:rsidRPr="00433066">
        <w:rPr>
          <w:rFonts w:ascii="Arial" w:hAnsi="Arial" w:cs="Arial"/>
        </w:rPr>
        <w:t>Patrinos, H.A., Ridao-Cano, C. and Sakellariou, C., (2006), "‘Estimating the Returns to Education: Accounting for Heterogeneity in Ability", World Bank Policy Research Working Paper 4040.</w:t>
      </w:r>
    </w:p>
    <w:p w14:paraId="470B3DA6" w14:textId="77777777" w:rsidR="00B41B69" w:rsidRDefault="00B41B69" w:rsidP="00433066">
      <w:pPr>
        <w:spacing w:line="360" w:lineRule="auto"/>
        <w:jc w:val="both"/>
        <w:rPr>
          <w:rFonts w:ascii="Arial" w:hAnsi="Arial" w:cs="Arial"/>
        </w:rPr>
      </w:pPr>
      <w:r w:rsidRPr="009B35E9">
        <w:rPr>
          <w:rFonts w:ascii="Arial" w:hAnsi="Arial" w:cs="Arial"/>
        </w:rPr>
        <w:t>Purnastuti, L. Miller, P. and Salim, R. (2012) Economic Returns to Schooling in a Less Developed Country: Evidence for Indonesia, Journal of European Economy, 11 (special issue): 328-342.</w:t>
      </w:r>
    </w:p>
    <w:p w14:paraId="1548D4FC" w14:textId="77777777" w:rsidR="00B41B69" w:rsidRDefault="00B41B69" w:rsidP="00433066">
      <w:pPr>
        <w:spacing w:line="360" w:lineRule="auto"/>
        <w:jc w:val="both"/>
        <w:rPr>
          <w:rFonts w:ascii="Arial" w:hAnsi="Arial" w:cs="Arial"/>
        </w:rPr>
      </w:pPr>
      <w:r w:rsidRPr="00A96EA6">
        <w:rPr>
          <w:rFonts w:ascii="Arial" w:hAnsi="Arial" w:cs="Arial"/>
        </w:rPr>
        <w:t>Ren, W. and Miller, P.W., (2012), “Gender Differences in the Return to Schooling in Rural China”, Journal of Development Studies, vol. 48, no. 1, pp.133-150.</w:t>
      </w:r>
    </w:p>
    <w:p w14:paraId="261F8C8F" w14:textId="77777777" w:rsidR="00B41B69" w:rsidRDefault="00B41B69" w:rsidP="00433066">
      <w:pPr>
        <w:spacing w:line="360" w:lineRule="auto"/>
        <w:jc w:val="both"/>
        <w:rPr>
          <w:rFonts w:ascii="Arial" w:hAnsi="Arial" w:cs="Arial"/>
        </w:rPr>
      </w:pPr>
      <w:r>
        <w:rPr>
          <w:rFonts w:ascii="Arial" w:hAnsi="Arial" w:cs="Arial"/>
        </w:rPr>
        <w:lastRenderedPageBreak/>
        <w:t xml:space="preserve">Schultz, </w:t>
      </w:r>
      <w:r w:rsidRPr="00D7784B">
        <w:rPr>
          <w:rFonts w:ascii="Arial" w:hAnsi="Arial" w:cs="Arial"/>
        </w:rPr>
        <w:t>T</w:t>
      </w:r>
      <w:r>
        <w:rPr>
          <w:rFonts w:ascii="Arial" w:hAnsi="Arial" w:cs="Arial"/>
        </w:rPr>
        <w:t>. W. (1960)</w:t>
      </w:r>
      <w:r w:rsidRPr="00D7784B">
        <w:rPr>
          <w:rFonts w:ascii="Arial" w:hAnsi="Arial" w:cs="Arial"/>
        </w:rPr>
        <w:t xml:space="preserve"> "Capital Formation by Education," Journal of Political Economy 68, no. 6 (Dec., 1960): 571-583. "Capital Formation by Education," Journal of Political Economy 68, no. 6: 571-583.</w:t>
      </w:r>
    </w:p>
    <w:p w14:paraId="52D3197D" w14:textId="21294F9E" w:rsidR="004A5FCD" w:rsidRDefault="004A5FCD" w:rsidP="00433066">
      <w:pPr>
        <w:spacing w:line="360" w:lineRule="auto"/>
        <w:jc w:val="both"/>
        <w:rPr>
          <w:rFonts w:ascii="Arial" w:hAnsi="Arial" w:cs="Arial"/>
        </w:rPr>
      </w:pPr>
    </w:p>
    <w:p w14:paraId="16BECB02" w14:textId="77777777" w:rsidR="008C1923" w:rsidRPr="004928C0" w:rsidRDefault="008C1923" w:rsidP="004928C0">
      <w:pPr>
        <w:spacing w:line="276" w:lineRule="auto"/>
        <w:rPr>
          <w:rFonts w:ascii="Arial" w:hAnsi="Arial" w:cs="Arial"/>
        </w:rPr>
      </w:pPr>
    </w:p>
    <w:sectPr w:rsidR="008C1923" w:rsidRPr="004928C0">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32D9D" w14:textId="77777777" w:rsidR="00A542AD" w:rsidRDefault="00A542AD" w:rsidP="00791D3C">
      <w:pPr>
        <w:spacing w:after="0" w:line="240" w:lineRule="auto"/>
      </w:pPr>
      <w:r>
        <w:separator/>
      </w:r>
    </w:p>
  </w:endnote>
  <w:endnote w:type="continuationSeparator" w:id="0">
    <w:p w14:paraId="6FB77A1E" w14:textId="77777777" w:rsidR="00A542AD" w:rsidRDefault="00A542AD" w:rsidP="0079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B5DF4" w14:textId="77777777" w:rsidR="00A914FD" w:rsidRDefault="00A914FD" w:rsidP="009C46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B31076" w14:textId="77777777" w:rsidR="00A914FD" w:rsidRDefault="00A914FD" w:rsidP="009C46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F7607" w14:textId="554B21EE" w:rsidR="00A914FD" w:rsidRDefault="00A914FD" w:rsidP="009C46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63BA">
      <w:rPr>
        <w:rStyle w:val="PageNumber"/>
        <w:noProof/>
      </w:rPr>
      <w:t>4</w:t>
    </w:r>
    <w:r>
      <w:rPr>
        <w:rStyle w:val="PageNumber"/>
      </w:rPr>
      <w:fldChar w:fldCharType="end"/>
    </w:r>
  </w:p>
  <w:p w14:paraId="10BFFDD8" w14:textId="2B79CB8B" w:rsidR="00A914FD" w:rsidRDefault="00A914FD" w:rsidP="009C46DD">
    <w:pPr>
      <w:pStyle w:val="Footer"/>
      <w:ind w:right="360"/>
      <w:jc w:val="center"/>
    </w:pPr>
  </w:p>
  <w:p w14:paraId="307A097B" w14:textId="77777777" w:rsidR="00A914FD" w:rsidRDefault="00A91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E5AF4" w14:textId="77777777" w:rsidR="00A542AD" w:rsidRDefault="00A542AD" w:rsidP="00791D3C">
      <w:pPr>
        <w:spacing w:after="0" w:line="240" w:lineRule="auto"/>
      </w:pPr>
      <w:r>
        <w:separator/>
      </w:r>
    </w:p>
  </w:footnote>
  <w:footnote w:type="continuationSeparator" w:id="0">
    <w:p w14:paraId="3EA90F12" w14:textId="77777777" w:rsidR="00A542AD" w:rsidRDefault="00A542AD" w:rsidP="00791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310B3"/>
    <w:multiLevelType w:val="hybridMultilevel"/>
    <w:tmpl w:val="AB92B3C2"/>
    <w:lvl w:ilvl="0" w:tplc="B6DED318">
      <w:start w:val="1"/>
      <w:numFmt w:val="bullet"/>
      <w:lvlText w:val="•"/>
      <w:lvlJc w:val="left"/>
      <w:pPr>
        <w:tabs>
          <w:tab w:val="num" w:pos="720"/>
        </w:tabs>
        <w:ind w:left="720" w:hanging="360"/>
      </w:pPr>
      <w:rPr>
        <w:rFonts w:ascii="Times" w:hAnsi="Times" w:hint="default"/>
      </w:rPr>
    </w:lvl>
    <w:lvl w:ilvl="1" w:tplc="D8E097D0" w:tentative="1">
      <w:start w:val="1"/>
      <w:numFmt w:val="bullet"/>
      <w:lvlText w:val="•"/>
      <w:lvlJc w:val="left"/>
      <w:pPr>
        <w:tabs>
          <w:tab w:val="num" w:pos="1440"/>
        </w:tabs>
        <w:ind w:left="1440" w:hanging="360"/>
      </w:pPr>
      <w:rPr>
        <w:rFonts w:ascii="Times" w:hAnsi="Times" w:hint="default"/>
      </w:rPr>
    </w:lvl>
    <w:lvl w:ilvl="2" w:tplc="7E560A0E" w:tentative="1">
      <w:start w:val="1"/>
      <w:numFmt w:val="bullet"/>
      <w:lvlText w:val="•"/>
      <w:lvlJc w:val="left"/>
      <w:pPr>
        <w:tabs>
          <w:tab w:val="num" w:pos="2160"/>
        </w:tabs>
        <w:ind w:left="2160" w:hanging="360"/>
      </w:pPr>
      <w:rPr>
        <w:rFonts w:ascii="Times" w:hAnsi="Times" w:hint="default"/>
      </w:rPr>
    </w:lvl>
    <w:lvl w:ilvl="3" w:tplc="25C442CE" w:tentative="1">
      <w:start w:val="1"/>
      <w:numFmt w:val="bullet"/>
      <w:lvlText w:val="•"/>
      <w:lvlJc w:val="left"/>
      <w:pPr>
        <w:tabs>
          <w:tab w:val="num" w:pos="2880"/>
        </w:tabs>
        <w:ind w:left="2880" w:hanging="360"/>
      </w:pPr>
      <w:rPr>
        <w:rFonts w:ascii="Times" w:hAnsi="Times" w:hint="default"/>
      </w:rPr>
    </w:lvl>
    <w:lvl w:ilvl="4" w:tplc="4C90C5D4" w:tentative="1">
      <w:start w:val="1"/>
      <w:numFmt w:val="bullet"/>
      <w:lvlText w:val="•"/>
      <w:lvlJc w:val="left"/>
      <w:pPr>
        <w:tabs>
          <w:tab w:val="num" w:pos="3600"/>
        </w:tabs>
        <w:ind w:left="3600" w:hanging="360"/>
      </w:pPr>
      <w:rPr>
        <w:rFonts w:ascii="Times" w:hAnsi="Times" w:hint="default"/>
      </w:rPr>
    </w:lvl>
    <w:lvl w:ilvl="5" w:tplc="DDD82F8A" w:tentative="1">
      <w:start w:val="1"/>
      <w:numFmt w:val="bullet"/>
      <w:lvlText w:val="•"/>
      <w:lvlJc w:val="left"/>
      <w:pPr>
        <w:tabs>
          <w:tab w:val="num" w:pos="4320"/>
        </w:tabs>
        <w:ind w:left="4320" w:hanging="360"/>
      </w:pPr>
      <w:rPr>
        <w:rFonts w:ascii="Times" w:hAnsi="Times" w:hint="default"/>
      </w:rPr>
    </w:lvl>
    <w:lvl w:ilvl="6" w:tplc="4E10498C" w:tentative="1">
      <w:start w:val="1"/>
      <w:numFmt w:val="bullet"/>
      <w:lvlText w:val="•"/>
      <w:lvlJc w:val="left"/>
      <w:pPr>
        <w:tabs>
          <w:tab w:val="num" w:pos="5040"/>
        </w:tabs>
        <w:ind w:left="5040" w:hanging="360"/>
      </w:pPr>
      <w:rPr>
        <w:rFonts w:ascii="Times" w:hAnsi="Times" w:hint="default"/>
      </w:rPr>
    </w:lvl>
    <w:lvl w:ilvl="7" w:tplc="D6E82C02" w:tentative="1">
      <w:start w:val="1"/>
      <w:numFmt w:val="bullet"/>
      <w:lvlText w:val="•"/>
      <w:lvlJc w:val="left"/>
      <w:pPr>
        <w:tabs>
          <w:tab w:val="num" w:pos="5760"/>
        </w:tabs>
        <w:ind w:left="5760" w:hanging="360"/>
      </w:pPr>
      <w:rPr>
        <w:rFonts w:ascii="Times" w:hAnsi="Times" w:hint="default"/>
      </w:rPr>
    </w:lvl>
    <w:lvl w:ilvl="8" w:tplc="B78E6A4E"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168A6ABD"/>
    <w:multiLevelType w:val="hybridMultilevel"/>
    <w:tmpl w:val="34C2743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04407"/>
    <w:multiLevelType w:val="hybridMultilevel"/>
    <w:tmpl w:val="075A5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62C94"/>
    <w:multiLevelType w:val="hybridMultilevel"/>
    <w:tmpl w:val="EA6E12F2"/>
    <w:lvl w:ilvl="0" w:tplc="3F32C2E4">
      <w:start w:val="1"/>
      <w:numFmt w:val="bullet"/>
      <w:lvlText w:val="•"/>
      <w:lvlJc w:val="left"/>
      <w:pPr>
        <w:tabs>
          <w:tab w:val="num" w:pos="720"/>
        </w:tabs>
        <w:ind w:left="720" w:hanging="360"/>
      </w:pPr>
      <w:rPr>
        <w:rFonts w:ascii="Arial" w:hAnsi="Arial" w:hint="default"/>
      </w:rPr>
    </w:lvl>
    <w:lvl w:ilvl="1" w:tplc="3848B2C6" w:tentative="1">
      <w:start w:val="1"/>
      <w:numFmt w:val="bullet"/>
      <w:lvlText w:val="•"/>
      <w:lvlJc w:val="left"/>
      <w:pPr>
        <w:tabs>
          <w:tab w:val="num" w:pos="1440"/>
        </w:tabs>
        <w:ind w:left="1440" w:hanging="360"/>
      </w:pPr>
      <w:rPr>
        <w:rFonts w:ascii="Arial" w:hAnsi="Arial" w:hint="default"/>
      </w:rPr>
    </w:lvl>
    <w:lvl w:ilvl="2" w:tplc="F816F440" w:tentative="1">
      <w:start w:val="1"/>
      <w:numFmt w:val="bullet"/>
      <w:lvlText w:val="•"/>
      <w:lvlJc w:val="left"/>
      <w:pPr>
        <w:tabs>
          <w:tab w:val="num" w:pos="2160"/>
        </w:tabs>
        <w:ind w:left="2160" w:hanging="360"/>
      </w:pPr>
      <w:rPr>
        <w:rFonts w:ascii="Arial" w:hAnsi="Arial" w:hint="default"/>
      </w:rPr>
    </w:lvl>
    <w:lvl w:ilvl="3" w:tplc="FEC453D8" w:tentative="1">
      <w:start w:val="1"/>
      <w:numFmt w:val="bullet"/>
      <w:lvlText w:val="•"/>
      <w:lvlJc w:val="left"/>
      <w:pPr>
        <w:tabs>
          <w:tab w:val="num" w:pos="2880"/>
        </w:tabs>
        <w:ind w:left="2880" w:hanging="360"/>
      </w:pPr>
      <w:rPr>
        <w:rFonts w:ascii="Arial" w:hAnsi="Arial" w:hint="default"/>
      </w:rPr>
    </w:lvl>
    <w:lvl w:ilvl="4" w:tplc="EE388A92" w:tentative="1">
      <w:start w:val="1"/>
      <w:numFmt w:val="bullet"/>
      <w:lvlText w:val="•"/>
      <w:lvlJc w:val="left"/>
      <w:pPr>
        <w:tabs>
          <w:tab w:val="num" w:pos="3600"/>
        </w:tabs>
        <w:ind w:left="3600" w:hanging="360"/>
      </w:pPr>
      <w:rPr>
        <w:rFonts w:ascii="Arial" w:hAnsi="Arial" w:hint="default"/>
      </w:rPr>
    </w:lvl>
    <w:lvl w:ilvl="5" w:tplc="981ABA9A" w:tentative="1">
      <w:start w:val="1"/>
      <w:numFmt w:val="bullet"/>
      <w:lvlText w:val="•"/>
      <w:lvlJc w:val="left"/>
      <w:pPr>
        <w:tabs>
          <w:tab w:val="num" w:pos="4320"/>
        </w:tabs>
        <w:ind w:left="4320" w:hanging="360"/>
      </w:pPr>
      <w:rPr>
        <w:rFonts w:ascii="Arial" w:hAnsi="Arial" w:hint="default"/>
      </w:rPr>
    </w:lvl>
    <w:lvl w:ilvl="6" w:tplc="416C43C8" w:tentative="1">
      <w:start w:val="1"/>
      <w:numFmt w:val="bullet"/>
      <w:lvlText w:val="•"/>
      <w:lvlJc w:val="left"/>
      <w:pPr>
        <w:tabs>
          <w:tab w:val="num" w:pos="5040"/>
        </w:tabs>
        <w:ind w:left="5040" w:hanging="360"/>
      </w:pPr>
      <w:rPr>
        <w:rFonts w:ascii="Arial" w:hAnsi="Arial" w:hint="default"/>
      </w:rPr>
    </w:lvl>
    <w:lvl w:ilvl="7" w:tplc="C8E8073A" w:tentative="1">
      <w:start w:val="1"/>
      <w:numFmt w:val="bullet"/>
      <w:lvlText w:val="•"/>
      <w:lvlJc w:val="left"/>
      <w:pPr>
        <w:tabs>
          <w:tab w:val="num" w:pos="5760"/>
        </w:tabs>
        <w:ind w:left="5760" w:hanging="360"/>
      </w:pPr>
      <w:rPr>
        <w:rFonts w:ascii="Arial" w:hAnsi="Arial" w:hint="default"/>
      </w:rPr>
    </w:lvl>
    <w:lvl w:ilvl="8" w:tplc="91F876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67719D"/>
    <w:multiLevelType w:val="hybridMultilevel"/>
    <w:tmpl w:val="AAE0BDE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63318"/>
    <w:multiLevelType w:val="hybridMultilevel"/>
    <w:tmpl w:val="ADD0A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175FE"/>
    <w:multiLevelType w:val="hybridMultilevel"/>
    <w:tmpl w:val="0B1A22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BB550D"/>
    <w:multiLevelType w:val="hybridMultilevel"/>
    <w:tmpl w:val="2B024D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76E47"/>
    <w:multiLevelType w:val="hybridMultilevel"/>
    <w:tmpl w:val="B01CBC72"/>
    <w:lvl w:ilvl="0" w:tplc="09AAFB3A">
      <w:start w:val="1"/>
      <w:numFmt w:val="bullet"/>
      <w:lvlText w:val="•"/>
      <w:lvlJc w:val="left"/>
      <w:pPr>
        <w:tabs>
          <w:tab w:val="num" w:pos="720"/>
        </w:tabs>
        <w:ind w:left="720" w:hanging="360"/>
      </w:pPr>
      <w:rPr>
        <w:rFonts w:ascii="Arial" w:hAnsi="Arial" w:hint="default"/>
      </w:rPr>
    </w:lvl>
    <w:lvl w:ilvl="1" w:tplc="7BF86664" w:tentative="1">
      <w:start w:val="1"/>
      <w:numFmt w:val="bullet"/>
      <w:lvlText w:val="•"/>
      <w:lvlJc w:val="left"/>
      <w:pPr>
        <w:tabs>
          <w:tab w:val="num" w:pos="1440"/>
        </w:tabs>
        <w:ind w:left="1440" w:hanging="360"/>
      </w:pPr>
      <w:rPr>
        <w:rFonts w:ascii="Arial" w:hAnsi="Arial" w:hint="default"/>
      </w:rPr>
    </w:lvl>
    <w:lvl w:ilvl="2" w:tplc="9196A6BC" w:tentative="1">
      <w:start w:val="1"/>
      <w:numFmt w:val="bullet"/>
      <w:lvlText w:val="•"/>
      <w:lvlJc w:val="left"/>
      <w:pPr>
        <w:tabs>
          <w:tab w:val="num" w:pos="2160"/>
        </w:tabs>
        <w:ind w:left="2160" w:hanging="360"/>
      </w:pPr>
      <w:rPr>
        <w:rFonts w:ascii="Arial" w:hAnsi="Arial" w:hint="default"/>
      </w:rPr>
    </w:lvl>
    <w:lvl w:ilvl="3" w:tplc="F982BBEC" w:tentative="1">
      <w:start w:val="1"/>
      <w:numFmt w:val="bullet"/>
      <w:lvlText w:val="•"/>
      <w:lvlJc w:val="left"/>
      <w:pPr>
        <w:tabs>
          <w:tab w:val="num" w:pos="2880"/>
        </w:tabs>
        <w:ind w:left="2880" w:hanging="360"/>
      </w:pPr>
      <w:rPr>
        <w:rFonts w:ascii="Arial" w:hAnsi="Arial" w:hint="default"/>
      </w:rPr>
    </w:lvl>
    <w:lvl w:ilvl="4" w:tplc="BD04E77A" w:tentative="1">
      <w:start w:val="1"/>
      <w:numFmt w:val="bullet"/>
      <w:lvlText w:val="•"/>
      <w:lvlJc w:val="left"/>
      <w:pPr>
        <w:tabs>
          <w:tab w:val="num" w:pos="3600"/>
        </w:tabs>
        <w:ind w:left="3600" w:hanging="360"/>
      </w:pPr>
      <w:rPr>
        <w:rFonts w:ascii="Arial" w:hAnsi="Arial" w:hint="default"/>
      </w:rPr>
    </w:lvl>
    <w:lvl w:ilvl="5" w:tplc="E67E2B92" w:tentative="1">
      <w:start w:val="1"/>
      <w:numFmt w:val="bullet"/>
      <w:lvlText w:val="•"/>
      <w:lvlJc w:val="left"/>
      <w:pPr>
        <w:tabs>
          <w:tab w:val="num" w:pos="4320"/>
        </w:tabs>
        <w:ind w:left="4320" w:hanging="360"/>
      </w:pPr>
      <w:rPr>
        <w:rFonts w:ascii="Arial" w:hAnsi="Arial" w:hint="default"/>
      </w:rPr>
    </w:lvl>
    <w:lvl w:ilvl="6" w:tplc="FAEA814C" w:tentative="1">
      <w:start w:val="1"/>
      <w:numFmt w:val="bullet"/>
      <w:lvlText w:val="•"/>
      <w:lvlJc w:val="left"/>
      <w:pPr>
        <w:tabs>
          <w:tab w:val="num" w:pos="5040"/>
        </w:tabs>
        <w:ind w:left="5040" w:hanging="360"/>
      </w:pPr>
      <w:rPr>
        <w:rFonts w:ascii="Arial" w:hAnsi="Arial" w:hint="default"/>
      </w:rPr>
    </w:lvl>
    <w:lvl w:ilvl="7" w:tplc="C9BCC708" w:tentative="1">
      <w:start w:val="1"/>
      <w:numFmt w:val="bullet"/>
      <w:lvlText w:val="•"/>
      <w:lvlJc w:val="left"/>
      <w:pPr>
        <w:tabs>
          <w:tab w:val="num" w:pos="5760"/>
        </w:tabs>
        <w:ind w:left="5760" w:hanging="360"/>
      </w:pPr>
      <w:rPr>
        <w:rFonts w:ascii="Arial" w:hAnsi="Arial" w:hint="default"/>
      </w:rPr>
    </w:lvl>
    <w:lvl w:ilvl="8" w:tplc="F216D9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9366D7"/>
    <w:multiLevelType w:val="hybridMultilevel"/>
    <w:tmpl w:val="3C6A2170"/>
    <w:lvl w:ilvl="0" w:tplc="251C2C6A">
      <w:start w:val="1"/>
      <w:numFmt w:val="bullet"/>
      <w:lvlText w:val=""/>
      <w:lvlJc w:val="left"/>
      <w:pPr>
        <w:tabs>
          <w:tab w:val="num" w:pos="720"/>
        </w:tabs>
        <w:ind w:left="720" w:hanging="360"/>
      </w:pPr>
      <w:rPr>
        <w:rFonts w:ascii="Wingdings" w:hAnsi="Wingdings" w:hint="default"/>
      </w:rPr>
    </w:lvl>
    <w:lvl w:ilvl="1" w:tplc="40FA05AC">
      <w:numFmt w:val="bullet"/>
      <w:lvlText w:val="–"/>
      <w:lvlJc w:val="left"/>
      <w:pPr>
        <w:tabs>
          <w:tab w:val="num" w:pos="1440"/>
        </w:tabs>
        <w:ind w:left="1440" w:hanging="360"/>
      </w:pPr>
      <w:rPr>
        <w:rFonts w:ascii="Times" w:hAnsi="Times" w:hint="default"/>
      </w:rPr>
    </w:lvl>
    <w:lvl w:ilvl="2" w:tplc="F438A172" w:tentative="1">
      <w:start w:val="1"/>
      <w:numFmt w:val="bullet"/>
      <w:lvlText w:val=""/>
      <w:lvlJc w:val="left"/>
      <w:pPr>
        <w:tabs>
          <w:tab w:val="num" w:pos="2160"/>
        </w:tabs>
        <w:ind w:left="2160" w:hanging="360"/>
      </w:pPr>
      <w:rPr>
        <w:rFonts w:ascii="Wingdings" w:hAnsi="Wingdings" w:hint="default"/>
      </w:rPr>
    </w:lvl>
    <w:lvl w:ilvl="3" w:tplc="38D23578" w:tentative="1">
      <w:start w:val="1"/>
      <w:numFmt w:val="bullet"/>
      <w:lvlText w:val=""/>
      <w:lvlJc w:val="left"/>
      <w:pPr>
        <w:tabs>
          <w:tab w:val="num" w:pos="2880"/>
        </w:tabs>
        <w:ind w:left="2880" w:hanging="360"/>
      </w:pPr>
      <w:rPr>
        <w:rFonts w:ascii="Wingdings" w:hAnsi="Wingdings" w:hint="default"/>
      </w:rPr>
    </w:lvl>
    <w:lvl w:ilvl="4" w:tplc="B5842972" w:tentative="1">
      <w:start w:val="1"/>
      <w:numFmt w:val="bullet"/>
      <w:lvlText w:val=""/>
      <w:lvlJc w:val="left"/>
      <w:pPr>
        <w:tabs>
          <w:tab w:val="num" w:pos="3600"/>
        </w:tabs>
        <w:ind w:left="3600" w:hanging="360"/>
      </w:pPr>
      <w:rPr>
        <w:rFonts w:ascii="Wingdings" w:hAnsi="Wingdings" w:hint="default"/>
      </w:rPr>
    </w:lvl>
    <w:lvl w:ilvl="5" w:tplc="7FA68E0E" w:tentative="1">
      <w:start w:val="1"/>
      <w:numFmt w:val="bullet"/>
      <w:lvlText w:val=""/>
      <w:lvlJc w:val="left"/>
      <w:pPr>
        <w:tabs>
          <w:tab w:val="num" w:pos="4320"/>
        </w:tabs>
        <w:ind w:left="4320" w:hanging="360"/>
      </w:pPr>
      <w:rPr>
        <w:rFonts w:ascii="Wingdings" w:hAnsi="Wingdings" w:hint="default"/>
      </w:rPr>
    </w:lvl>
    <w:lvl w:ilvl="6" w:tplc="39BA24F4" w:tentative="1">
      <w:start w:val="1"/>
      <w:numFmt w:val="bullet"/>
      <w:lvlText w:val=""/>
      <w:lvlJc w:val="left"/>
      <w:pPr>
        <w:tabs>
          <w:tab w:val="num" w:pos="5040"/>
        </w:tabs>
        <w:ind w:left="5040" w:hanging="360"/>
      </w:pPr>
      <w:rPr>
        <w:rFonts w:ascii="Wingdings" w:hAnsi="Wingdings" w:hint="default"/>
      </w:rPr>
    </w:lvl>
    <w:lvl w:ilvl="7" w:tplc="F48EAC2C" w:tentative="1">
      <w:start w:val="1"/>
      <w:numFmt w:val="bullet"/>
      <w:lvlText w:val=""/>
      <w:lvlJc w:val="left"/>
      <w:pPr>
        <w:tabs>
          <w:tab w:val="num" w:pos="5760"/>
        </w:tabs>
        <w:ind w:left="5760" w:hanging="360"/>
      </w:pPr>
      <w:rPr>
        <w:rFonts w:ascii="Wingdings" w:hAnsi="Wingdings" w:hint="default"/>
      </w:rPr>
    </w:lvl>
    <w:lvl w:ilvl="8" w:tplc="AE800C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B9729E"/>
    <w:multiLevelType w:val="hybridMultilevel"/>
    <w:tmpl w:val="D2C4294C"/>
    <w:lvl w:ilvl="0" w:tplc="1442A5D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1"/>
  </w:num>
  <w:num w:numId="5">
    <w:abstractNumId w:val="10"/>
  </w:num>
  <w:num w:numId="6">
    <w:abstractNumId w:val="0"/>
  </w:num>
  <w:num w:numId="7">
    <w:abstractNumId w:val="7"/>
  </w:num>
  <w:num w:numId="8">
    <w:abstractNumId w:val="6"/>
  </w:num>
  <w:num w:numId="9">
    <w:abstractNumId w:val="5"/>
  </w:num>
  <w:num w:numId="10">
    <w:abstractNumId w:val="2"/>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6A"/>
    <w:rsid w:val="000B1A1C"/>
    <w:rsid w:val="000E5D48"/>
    <w:rsid w:val="00131967"/>
    <w:rsid w:val="00176204"/>
    <w:rsid w:val="001E7785"/>
    <w:rsid w:val="001F4C7B"/>
    <w:rsid w:val="002063BA"/>
    <w:rsid w:val="00231B05"/>
    <w:rsid w:val="0028400C"/>
    <w:rsid w:val="00301737"/>
    <w:rsid w:val="00302D45"/>
    <w:rsid w:val="00333543"/>
    <w:rsid w:val="003D5D17"/>
    <w:rsid w:val="00433066"/>
    <w:rsid w:val="0045533F"/>
    <w:rsid w:val="00486FF0"/>
    <w:rsid w:val="004928C0"/>
    <w:rsid w:val="004A5FCD"/>
    <w:rsid w:val="004B062C"/>
    <w:rsid w:val="004F0204"/>
    <w:rsid w:val="0051426A"/>
    <w:rsid w:val="00530008"/>
    <w:rsid w:val="005967A3"/>
    <w:rsid w:val="00660B3D"/>
    <w:rsid w:val="006874FF"/>
    <w:rsid w:val="006C0C1F"/>
    <w:rsid w:val="006D726D"/>
    <w:rsid w:val="00715B52"/>
    <w:rsid w:val="00761AFF"/>
    <w:rsid w:val="0076436D"/>
    <w:rsid w:val="00771546"/>
    <w:rsid w:val="007914A5"/>
    <w:rsid w:val="00791D3C"/>
    <w:rsid w:val="007932D1"/>
    <w:rsid w:val="007943C6"/>
    <w:rsid w:val="00797B6C"/>
    <w:rsid w:val="007D5765"/>
    <w:rsid w:val="008100CF"/>
    <w:rsid w:val="00811FB4"/>
    <w:rsid w:val="008C1923"/>
    <w:rsid w:val="008E0057"/>
    <w:rsid w:val="008E1CCF"/>
    <w:rsid w:val="009A155A"/>
    <w:rsid w:val="009B35E9"/>
    <w:rsid w:val="009C46DD"/>
    <w:rsid w:val="009E79ED"/>
    <w:rsid w:val="00A13650"/>
    <w:rsid w:val="00A43B2A"/>
    <w:rsid w:val="00A542AD"/>
    <w:rsid w:val="00A62573"/>
    <w:rsid w:val="00A66B4E"/>
    <w:rsid w:val="00A867A9"/>
    <w:rsid w:val="00A914FD"/>
    <w:rsid w:val="00A96EA6"/>
    <w:rsid w:val="00AB251B"/>
    <w:rsid w:val="00AF4055"/>
    <w:rsid w:val="00B02BE4"/>
    <w:rsid w:val="00B07050"/>
    <w:rsid w:val="00B37038"/>
    <w:rsid w:val="00B41B69"/>
    <w:rsid w:val="00C87009"/>
    <w:rsid w:val="00CC3579"/>
    <w:rsid w:val="00CE6E7F"/>
    <w:rsid w:val="00D2386B"/>
    <w:rsid w:val="00D23A68"/>
    <w:rsid w:val="00D7784B"/>
    <w:rsid w:val="00DA01A9"/>
    <w:rsid w:val="00DD4B15"/>
    <w:rsid w:val="00DF36F1"/>
    <w:rsid w:val="00E30F34"/>
    <w:rsid w:val="00E8134B"/>
    <w:rsid w:val="00E956CD"/>
    <w:rsid w:val="00EB4119"/>
    <w:rsid w:val="00F2540B"/>
    <w:rsid w:val="00F37CCF"/>
    <w:rsid w:val="00F5007D"/>
    <w:rsid w:val="00FF63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04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D3C"/>
  </w:style>
  <w:style w:type="paragraph" w:styleId="Footer">
    <w:name w:val="footer"/>
    <w:basedOn w:val="Normal"/>
    <w:link w:val="FooterChar"/>
    <w:uiPriority w:val="99"/>
    <w:unhideWhenUsed/>
    <w:rsid w:val="00791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D3C"/>
  </w:style>
  <w:style w:type="paragraph" w:styleId="BodyText">
    <w:name w:val="Body Text"/>
    <w:basedOn w:val="Normal"/>
    <w:link w:val="BodyTextChar"/>
    <w:rsid w:val="00A43B2A"/>
    <w:pPr>
      <w:spacing w:before="80" w:after="80" w:line="280" w:lineRule="atLeast"/>
    </w:pPr>
    <w:rPr>
      <w:rFonts w:ascii="Times New Roman" w:eastAsia="Times New Roman" w:hAnsi="Times New Roman" w:cs="Times New Roman"/>
      <w:sz w:val="24"/>
      <w:szCs w:val="19"/>
      <w:lang w:eastAsia="en-AU"/>
    </w:rPr>
  </w:style>
  <w:style w:type="character" w:customStyle="1" w:styleId="BodyTextChar">
    <w:name w:val="Body Text Char"/>
    <w:basedOn w:val="DefaultParagraphFont"/>
    <w:link w:val="BodyText"/>
    <w:rsid w:val="00A43B2A"/>
    <w:rPr>
      <w:rFonts w:ascii="Times New Roman" w:eastAsia="Times New Roman" w:hAnsi="Times New Roman" w:cs="Times New Roman"/>
      <w:sz w:val="24"/>
      <w:szCs w:val="19"/>
      <w:lang w:eastAsia="en-AU"/>
    </w:rPr>
  </w:style>
  <w:style w:type="paragraph" w:styleId="BalloonText">
    <w:name w:val="Balloon Text"/>
    <w:basedOn w:val="Normal"/>
    <w:link w:val="BalloonTextChar"/>
    <w:uiPriority w:val="99"/>
    <w:semiHidden/>
    <w:unhideWhenUsed/>
    <w:rsid w:val="00231B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1B05"/>
    <w:rPr>
      <w:rFonts w:ascii="Lucida Grande" w:hAnsi="Lucida Grande" w:cs="Lucida Grande"/>
      <w:sz w:val="18"/>
      <w:szCs w:val="18"/>
    </w:rPr>
  </w:style>
  <w:style w:type="paragraph" w:styleId="ListParagraph">
    <w:name w:val="List Paragraph"/>
    <w:basedOn w:val="Normal"/>
    <w:uiPriority w:val="34"/>
    <w:qFormat/>
    <w:rsid w:val="00301737"/>
    <w:pPr>
      <w:ind w:left="720"/>
      <w:contextualSpacing/>
    </w:pPr>
  </w:style>
  <w:style w:type="character" w:styleId="PageNumber">
    <w:name w:val="page number"/>
    <w:basedOn w:val="DefaultParagraphFont"/>
    <w:uiPriority w:val="99"/>
    <w:semiHidden/>
    <w:unhideWhenUsed/>
    <w:rsid w:val="009C46DD"/>
  </w:style>
  <w:style w:type="character" w:styleId="CommentReference">
    <w:name w:val="annotation reference"/>
    <w:basedOn w:val="DefaultParagraphFont"/>
    <w:uiPriority w:val="99"/>
    <w:semiHidden/>
    <w:unhideWhenUsed/>
    <w:rsid w:val="00DD4B15"/>
    <w:rPr>
      <w:sz w:val="18"/>
      <w:szCs w:val="18"/>
    </w:rPr>
  </w:style>
  <w:style w:type="paragraph" w:styleId="CommentText">
    <w:name w:val="annotation text"/>
    <w:basedOn w:val="Normal"/>
    <w:link w:val="CommentTextChar"/>
    <w:uiPriority w:val="99"/>
    <w:semiHidden/>
    <w:unhideWhenUsed/>
    <w:rsid w:val="00DD4B15"/>
    <w:pPr>
      <w:spacing w:line="240" w:lineRule="auto"/>
    </w:pPr>
    <w:rPr>
      <w:sz w:val="24"/>
      <w:szCs w:val="24"/>
    </w:rPr>
  </w:style>
  <w:style w:type="character" w:customStyle="1" w:styleId="CommentTextChar">
    <w:name w:val="Comment Text Char"/>
    <w:basedOn w:val="DefaultParagraphFont"/>
    <w:link w:val="CommentText"/>
    <w:uiPriority w:val="99"/>
    <w:semiHidden/>
    <w:rsid w:val="00DD4B15"/>
    <w:rPr>
      <w:sz w:val="24"/>
      <w:szCs w:val="24"/>
    </w:rPr>
  </w:style>
  <w:style w:type="paragraph" w:styleId="CommentSubject">
    <w:name w:val="annotation subject"/>
    <w:basedOn w:val="CommentText"/>
    <w:next w:val="CommentText"/>
    <w:link w:val="CommentSubjectChar"/>
    <w:uiPriority w:val="99"/>
    <w:semiHidden/>
    <w:unhideWhenUsed/>
    <w:rsid w:val="00DD4B15"/>
    <w:rPr>
      <w:b/>
      <w:bCs/>
      <w:sz w:val="20"/>
      <w:szCs w:val="20"/>
    </w:rPr>
  </w:style>
  <w:style w:type="character" w:customStyle="1" w:styleId="CommentSubjectChar">
    <w:name w:val="Comment Subject Char"/>
    <w:basedOn w:val="CommentTextChar"/>
    <w:link w:val="CommentSubject"/>
    <w:uiPriority w:val="99"/>
    <w:semiHidden/>
    <w:rsid w:val="00DD4B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271620">
      <w:bodyDiv w:val="1"/>
      <w:marLeft w:val="0"/>
      <w:marRight w:val="0"/>
      <w:marTop w:val="0"/>
      <w:marBottom w:val="0"/>
      <w:divBdr>
        <w:top w:val="none" w:sz="0" w:space="0" w:color="auto"/>
        <w:left w:val="none" w:sz="0" w:space="0" w:color="auto"/>
        <w:bottom w:val="none" w:sz="0" w:space="0" w:color="auto"/>
        <w:right w:val="none" w:sz="0" w:space="0" w:color="auto"/>
      </w:divBdr>
      <w:divsChild>
        <w:div w:id="171065403">
          <w:marLeft w:val="547"/>
          <w:marRight w:val="0"/>
          <w:marTop w:val="134"/>
          <w:marBottom w:val="0"/>
          <w:divBdr>
            <w:top w:val="none" w:sz="0" w:space="0" w:color="auto"/>
            <w:left w:val="none" w:sz="0" w:space="0" w:color="auto"/>
            <w:bottom w:val="none" w:sz="0" w:space="0" w:color="auto"/>
            <w:right w:val="none" w:sz="0" w:space="0" w:color="auto"/>
          </w:divBdr>
        </w:div>
        <w:div w:id="252979749">
          <w:marLeft w:val="1166"/>
          <w:marRight w:val="0"/>
          <w:marTop w:val="115"/>
          <w:marBottom w:val="0"/>
          <w:divBdr>
            <w:top w:val="none" w:sz="0" w:space="0" w:color="auto"/>
            <w:left w:val="none" w:sz="0" w:space="0" w:color="auto"/>
            <w:bottom w:val="none" w:sz="0" w:space="0" w:color="auto"/>
            <w:right w:val="none" w:sz="0" w:space="0" w:color="auto"/>
          </w:divBdr>
        </w:div>
        <w:div w:id="1532525372">
          <w:marLeft w:val="547"/>
          <w:marRight w:val="0"/>
          <w:marTop w:val="134"/>
          <w:marBottom w:val="0"/>
          <w:divBdr>
            <w:top w:val="none" w:sz="0" w:space="0" w:color="auto"/>
            <w:left w:val="none" w:sz="0" w:space="0" w:color="auto"/>
            <w:bottom w:val="none" w:sz="0" w:space="0" w:color="auto"/>
            <w:right w:val="none" w:sz="0" w:space="0" w:color="auto"/>
          </w:divBdr>
        </w:div>
        <w:div w:id="156848902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DE3568-4332-4426-9DE0-248D17407724}"/>
</file>

<file path=customXml/itemProps2.xml><?xml version="1.0" encoding="utf-8"?>
<ds:datastoreItem xmlns:ds="http://schemas.openxmlformats.org/officeDocument/2006/customXml" ds:itemID="{D4BB0F02-0251-4F64-9E55-4F6FE898F5D1}"/>
</file>

<file path=customXml/itemProps3.xml><?xml version="1.0" encoding="utf-8"?>
<ds:datastoreItem xmlns:ds="http://schemas.openxmlformats.org/officeDocument/2006/customXml" ds:itemID="{C16C752C-DC6A-48A2-A413-F0B26845D3E5}"/>
</file>

<file path=customXml/itemProps4.xml><?xml version="1.0" encoding="utf-8"?>
<ds:datastoreItem xmlns:ds="http://schemas.openxmlformats.org/officeDocument/2006/customXml" ds:itemID="{93155C2C-FFFF-4D1B-AB74-1F3FDFFECF03}"/>
</file>

<file path=docProps/app.xml><?xml version="1.0" encoding="utf-8"?>
<Properties xmlns="http://schemas.openxmlformats.org/officeDocument/2006/extended-properties" xmlns:vt="http://schemas.openxmlformats.org/officeDocument/2006/docPropsVTypes">
  <Template>Normal.dotm</Template>
  <TotalTime>0</TotalTime>
  <Pages>5</Pages>
  <Words>1696</Words>
  <Characters>9670</Characters>
  <Application>Microsoft Office Word</Application>
  <DocSecurity>0</DocSecurity>
  <Lines>80</Lines>
  <Paragraphs>22</Paragraphs>
  <ScaleCrop>false</ScaleCrop>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2019-08-27T23:21:00Z</dcterms:created>
  <dcterms:modified xsi:type="dcterms:W3CDTF">2019-08-27T23:21:00Z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0116f2e0-beaa-4432-baed-19842b2e3f5f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1258200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