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7DE7" w14:textId="01DE0609" w:rsidR="00155FDA" w:rsidRPr="00FB0C91" w:rsidRDefault="00857755" w:rsidP="00FB0C91">
      <w:pPr>
        <w:pStyle w:val="Heading1"/>
      </w:pPr>
      <w:r w:rsidRPr="00FB0C91">
        <w:t xml:space="preserve">Recommendations and Management Response arising from the Australia Awards and Alumni Engagement Program-Philippines Final Program Evaluation </w:t>
      </w:r>
    </w:p>
    <w:p w14:paraId="18494C3D" w14:textId="7AD6DB51" w:rsidR="00857755" w:rsidRDefault="009F43E0">
      <w:r>
        <w:t>DFAT welcomes the recommendations proposed by the independent evaluation team. Since AAAEP-P is in its final stage of implementation, DFAT notes that most of the recommendations can feasibly be taken forward in the successor program</w:t>
      </w:r>
      <w:r w:rsidR="00B40184">
        <w:t>, particularly those that are GEDSI-related.</w:t>
      </w:r>
      <w:r>
        <w:t xml:space="preserve"> </w:t>
      </w:r>
    </w:p>
    <w:p w14:paraId="2535C3AF" w14:textId="5B602FA0" w:rsidR="00B40184" w:rsidRDefault="00B40184">
      <w:r>
        <w:t>Detailed responses are set out below.</w:t>
      </w:r>
    </w:p>
    <w:tbl>
      <w:tblPr>
        <w:tblStyle w:val="TableGrid"/>
        <w:tblW w:w="9175" w:type="dxa"/>
        <w:jc w:val="center"/>
        <w:tblLook w:val="06A0" w:firstRow="1" w:lastRow="0" w:firstColumn="1" w:lastColumn="0" w:noHBand="1" w:noVBand="1"/>
      </w:tblPr>
      <w:tblGrid>
        <w:gridCol w:w="4031"/>
        <w:gridCol w:w="1117"/>
        <w:gridCol w:w="2512"/>
        <w:gridCol w:w="1515"/>
      </w:tblGrid>
      <w:tr w:rsidR="00155FDA" w:rsidRPr="00155FDA" w14:paraId="31F32D99" w14:textId="77777777" w:rsidTr="007F0693">
        <w:trPr>
          <w:tblHeader/>
          <w:jc w:val="center"/>
        </w:trPr>
        <w:tc>
          <w:tcPr>
            <w:tcW w:w="4031" w:type="dxa"/>
          </w:tcPr>
          <w:p w14:paraId="22B07E29" w14:textId="77848994" w:rsidR="00155FDA" w:rsidRPr="00155FDA" w:rsidRDefault="00155FDA">
            <w:pPr>
              <w:rPr>
                <w:b/>
                <w:bCs/>
                <w:sz w:val="20"/>
                <w:szCs w:val="20"/>
              </w:rPr>
            </w:pPr>
            <w:r w:rsidRPr="00155FDA">
              <w:rPr>
                <w:b/>
                <w:bCs/>
                <w:sz w:val="20"/>
                <w:szCs w:val="20"/>
              </w:rPr>
              <w:t>Recommendation</w:t>
            </w:r>
          </w:p>
        </w:tc>
        <w:tc>
          <w:tcPr>
            <w:tcW w:w="1117" w:type="dxa"/>
          </w:tcPr>
          <w:p w14:paraId="67E4C2A2" w14:textId="566C3DBE" w:rsidR="00155FDA" w:rsidRPr="00155FDA" w:rsidRDefault="00155FDA">
            <w:pPr>
              <w:rPr>
                <w:b/>
                <w:bCs/>
                <w:sz w:val="20"/>
                <w:szCs w:val="20"/>
              </w:rPr>
            </w:pPr>
            <w:r w:rsidRPr="00155FDA">
              <w:rPr>
                <w:b/>
                <w:bCs/>
                <w:sz w:val="20"/>
                <w:szCs w:val="20"/>
              </w:rPr>
              <w:t>Response</w:t>
            </w:r>
          </w:p>
        </w:tc>
        <w:tc>
          <w:tcPr>
            <w:tcW w:w="2512" w:type="dxa"/>
          </w:tcPr>
          <w:p w14:paraId="4E0BB597" w14:textId="2A69D8B0" w:rsidR="00155FDA" w:rsidRPr="00155FDA" w:rsidRDefault="00155FDA">
            <w:pPr>
              <w:rPr>
                <w:b/>
                <w:bCs/>
                <w:sz w:val="20"/>
                <w:szCs w:val="20"/>
              </w:rPr>
            </w:pPr>
            <w:r w:rsidRPr="00155FDA">
              <w:rPr>
                <w:b/>
                <w:bCs/>
                <w:sz w:val="20"/>
                <w:szCs w:val="20"/>
              </w:rPr>
              <w:t>Actions</w:t>
            </w:r>
          </w:p>
        </w:tc>
        <w:tc>
          <w:tcPr>
            <w:tcW w:w="1515" w:type="dxa"/>
          </w:tcPr>
          <w:p w14:paraId="32423B8C" w14:textId="2D33A85F" w:rsidR="00155FDA" w:rsidRPr="00155FDA" w:rsidRDefault="00155FDA">
            <w:pPr>
              <w:rPr>
                <w:b/>
                <w:bCs/>
                <w:sz w:val="20"/>
                <w:szCs w:val="20"/>
              </w:rPr>
            </w:pPr>
            <w:r w:rsidRPr="00155FDA">
              <w:rPr>
                <w:b/>
                <w:bCs/>
                <w:sz w:val="20"/>
                <w:szCs w:val="20"/>
              </w:rPr>
              <w:t>Responsibility</w:t>
            </w:r>
          </w:p>
        </w:tc>
      </w:tr>
      <w:tr w:rsidR="00155FDA" w:rsidRPr="00155FDA" w14:paraId="4A1BFC52" w14:textId="77777777" w:rsidTr="007F0693">
        <w:trPr>
          <w:jc w:val="center"/>
        </w:trPr>
        <w:tc>
          <w:tcPr>
            <w:tcW w:w="4031" w:type="dxa"/>
          </w:tcPr>
          <w:p w14:paraId="592901D9" w14:textId="6F68F075" w:rsidR="00155FDA" w:rsidRPr="00155FDA" w:rsidRDefault="00155FDA" w:rsidP="00155FDA">
            <w:pPr>
              <w:suppressAutoHyphens w:val="0"/>
              <w:spacing w:line="259" w:lineRule="auto"/>
              <w:rPr>
                <w:sz w:val="20"/>
                <w:szCs w:val="20"/>
              </w:rPr>
            </w:pPr>
            <w:r w:rsidRPr="00155FDA">
              <w:rPr>
                <w:b/>
                <w:bCs/>
                <w:sz w:val="20"/>
                <w:szCs w:val="20"/>
              </w:rPr>
              <w:t>Recommendation 1</w:t>
            </w:r>
            <w:r w:rsidRPr="00155FDA">
              <w:rPr>
                <w:sz w:val="20"/>
                <w:szCs w:val="20"/>
              </w:rPr>
              <w:t>: Flag emerging priority activities early to minimise adverse impacts on the work plan and consider additional resourcing if necessary. (Operational)</w:t>
            </w:r>
          </w:p>
        </w:tc>
        <w:tc>
          <w:tcPr>
            <w:tcW w:w="1117" w:type="dxa"/>
          </w:tcPr>
          <w:p w14:paraId="1538D5AD" w14:textId="25F13DF3" w:rsidR="00155FDA" w:rsidRPr="00155FDA" w:rsidRDefault="00155FDA">
            <w:pPr>
              <w:rPr>
                <w:sz w:val="20"/>
                <w:szCs w:val="20"/>
              </w:rPr>
            </w:pPr>
            <w:r>
              <w:rPr>
                <w:sz w:val="20"/>
                <w:szCs w:val="20"/>
              </w:rPr>
              <w:t>Agree</w:t>
            </w:r>
          </w:p>
        </w:tc>
        <w:tc>
          <w:tcPr>
            <w:tcW w:w="2512" w:type="dxa"/>
          </w:tcPr>
          <w:p w14:paraId="4069FA48" w14:textId="4E4E698E" w:rsidR="00155FDA" w:rsidRPr="00155FDA" w:rsidRDefault="00155FDA">
            <w:pPr>
              <w:rPr>
                <w:sz w:val="20"/>
                <w:szCs w:val="20"/>
              </w:rPr>
            </w:pPr>
            <w:r>
              <w:rPr>
                <w:sz w:val="20"/>
                <w:szCs w:val="20"/>
              </w:rPr>
              <w:t>DFAT endeavours to inform Tetra Tech about possible activities addressing emerging priority sectors as early as possible and in advance of its annual planning process. It notes, however, that requests for support by the Philippine Government cannot always be anticipated.</w:t>
            </w:r>
          </w:p>
        </w:tc>
        <w:tc>
          <w:tcPr>
            <w:tcW w:w="1515" w:type="dxa"/>
          </w:tcPr>
          <w:p w14:paraId="3CB36AFB" w14:textId="05F68A99" w:rsidR="00155FDA" w:rsidRPr="00155FDA" w:rsidRDefault="00155FDA">
            <w:pPr>
              <w:rPr>
                <w:sz w:val="20"/>
                <w:szCs w:val="20"/>
              </w:rPr>
            </w:pPr>
            <w:r>
              <w:rPr>
                <w:sz w:val="20"/>
                <w:szCs w:val="20"/>
              </w:rPr>
              <w:t>DFAT</w:t>
            </w:r>
          </w:p>
        </w:tc>
      </w:tr>
      <w:tr w:rsidR="00155FDA" w:rsidRPr="00155FDA" w14:paraId="0F884B57" w14:textId="77777777" w:rsidTr="007F0693">
        <w:trPr>
          <w:jc w:val="center"/>
        </w:trPr>
        <w:tc>
          <w:tcPr>
            <w:tcW w:w="4031" w:type="dxa"/>
          </w:tcPr>
          <w:p w14:paraId="712BA199" w14:textId="00A1E278" w:rsidR="00155FDA" w:rsidRPr="00155FDA" w:rsidRDefault="00155FDA" w:rsidP="00155FDA">
            <w:pPr>
              <w:suppressAutoHyphens w:val="0"/>
              <w:spacing w:line="259" w:lineRule="auto"/>
              <w:rPr>
                <w:sz w:val="20"/>
                <w:szCs w:val="20"/>
              </w:rPr>
            </w:pPr>
            <w:r w:rsidRPr="00155FDA">
              <w:rPr>
                <w:b/>
                <w:bCs/>
                <w:sz w:val="20"/>
                <w:szCs w:val="20"/>
              </w:rPr>
              <w:t>Recommendation 2</w:t>
            </w:r>
            <w:r w:rsidRPr="00155FDA">
              <w:rPr>
                <w:sz w:val="20"/>
                <w:szCs w:val="20"/>
              </w:rPr>
              <w:t>: Regularly convene key governance meetings, both operational and strategic, to maximise engagement and build strong constituencies. (Operational)</w:t>
            </w:r>
          </w:p>
        </w:tc>
        <w:tc>
          <w:tcPr>
            <w:tcW w:w="1117" w:type="dxa"/>
          </w:tcPr>
          <w:p w14:paraId="31E34C71" w14:textId="37E61FCE" w:rsidR="00155FDA" w:rsidRPr="00155FDA" w:rsidRDefault="00155FDA">
            <w:pPr>
              <w:rPr>
                <w:sz w:val="20"/>
                <w:szCs w:val="20"/>
              </w:rPr>
            </w:pPr>
            <w:r>
              <w:rPr>
                <w:sz w:val="20"/>
                <w:szCs w:val="20"/>
              </w:rPr>
              <w:t>Agree</w:t>
            </w:r>
          </w:p>
        </w:tc>
        <w:tc>
          <w:tcPr>
            <w:tcW w:w="2512" w:type="dxa"/>
          </w:tcPr>
          <w:p w14:paraId="21DB46F8" w14:textId="703B9E0D" w:rsidR="00155FDA" w:rsidRDefault="00155FDA">
            <w:pPr>
              <w:rPr>
                <w:sz w:val="20"/>
                <w:szCs w:val="20"/>
              </w:rPr>
            </w:pPr>
            <w:r>
              <w:rPr>
                <w:sz w:val="20"/>
                <w:szCs w:val="20"/>
              </w:rPr>
              <w:t>The Program Board and Program Coordinating Committee were convened in FY 2025.</w:t>
            </w:r>
          </w:p>
          <w:p w14:paraId="17869374" w14:textId="77777777" w:rsidR="00155FDA" w:rsidRDefault="00155FDA">
            <w:pPr>
              <w:rPr>
                <w:sz w:val="20"/>
                <w:szCs w:val="20"/>
              </w:rPr>
            </w:pPr>
          </w:p>
          <w:p w14:paraId="77F84737" w14:textId="5DE4FAE6" w:rsidR="00155FDA" w:rsidRPr="00155FDA" w:rsidRDefault="00155FDA">
            <w:pPr>
              <w:rPr>
                <w:sz w:val="20"/>
                <w:szCs w:val="20"/>
              </w:rPr>
            </w:pPr>
            <w:r>
              <w:rPr>
                <w:sz w:val="20"/>
                <w:szCs w:val="20"/>
              </w:rPr>
              <w:t>Tetra Tech will continue coordinating schedules with members.</w:t>
            </w:r>
          </w:p>
        </w:tc>
        <w:tc>
          <w:tcPr>
            <w:tcW w:w="1515" w:type="dxa"/>
          </w:tcPr>
          <w:p w14:paraId="4D170694" w14:textId="77777777" w:rsidR="00155FDA" w:rsidRDefault="00155FDA">
            <w:pPr>
              <w:rPr>
                <w:sz w:val="20"/>
                <w:szCs w:val="20"/>
              </w:rPr>
            </w:pPr>
            <w:r>
              <w:rPr>
                <w:sz w:val="20"/>
                <w:szCs w:val="20"/>
              </w:rPr>
              <w:t>DFAT</w:t>
            </w:r>
          </w:p>
          <w:p w14:paraId="2A7D6C14" w14:textId="77777777" w:rsidR="00155FDA" w:rsidRDefault="00155FDA">
            <w:pPr>
              <w:rPr>
                <w:sz w:val="20"/>
                <w:szCs w:val="20"/>
              </w:rPr>
            </w:pPr>
          </w:p>
          <w:p w14:paraId="4EDA910C" w14:textId="77777777" w:rsidR="00155FDA" w:rsidRDefault="00155FDA">
            <w:pPr>
              <w:rPr>
                <w:sz w:val="20"/>
                <w:szCs w:val="20"/>
              </w:rPr>
            </w:pPr>
          </w:p>
          <w:p w14:paraId="11A53DD9" w14:textId="77777777" w:rsidR="00155FDA" w:rsidRDefault="00155FDA">
            <w:pPr>
              <w:rPr>
                <w:sz w:val="20"/>
                <w:szCs w:val="20"/>
              </w:rPr>
            </w:pPr>
          </w:p>
          <w:p w14:paraId="0AD103B7" w14:textId="6DA6452D" w:rsidR="00155FDA" w:rsidRPr="00155FDA" w:rsidRDefault="00155FDA">
            <w:pPr>
              <w:rPr>
                <w:sz w:val="20"/>
                <w:szCs w:val="20"/>
              </w:rPr>
            </w:pPr>
            <w:r>
              <w:rPr>
                <w:sz w:val="20"/>
                <w:szCs w:val="20"/>
              </w:rPr>
              <w:t>Tetra Tech</w:t>
            </w:r>
          </w:p>
        </w:tc>
      </w:tr>
      <w:tr w:rsidR="00155FDA" w:rsidRPr="00155FDA" w14:paraId="7E894BF0" w14:textId="77777777" w:rsidTr="007F0693">
        <w:trPr>
          <w:jc w:val="center"/>
        </w:trPr>
        <w:tc>
          <w:tcPr>
            <w:tcW w:w="4031" w:type="dxa"/>
          </w:tcPr>
          <w:p w14:paraId="45229FDE" w14:textId="77777777" w:rsidR="00155FDA" w:rsidRPr="00155FDA" w:rsidRDefault="00155FDA" w:rsidP="00155FDA">
            <w:pPr>
              <w:suppressAutoHyphens w:val="0"/>
              <w:spacing w:line="259" w:lineRule="auto"/>
              <w:rPr>
                <w:sz w:val="20"/>
                <w:szCs w:val="20"/>
              </w:rPr>
            </w:pPr>
            <w:r w:rsidRPr="00155FDA">
              <w:rPr>
                <w:b/>
                <w:bCs/>
                <w:sz w:val="20"/>
                <w:szCs w:val="20"/>
              </w:rPr>
              <w:t>Recommendation 3</w:t>
            </w:r>
            <w:r w:rsidRPr="00155FDA">
              <w:rPr>
                <w:sz w:val="20"/>
                <w:szCs w:val="20"/>
              </w:rPr>
              <w:t>: Recruit a senior advisor to the Embassy in the future program to:</w:t>
            </w:r>
          </w:p>
          <w:p w14:paraId="1F20437D" w14:textId="77777777" w:rsidR="00155FDA" w:rsidRPr="00155FDA" w:rsidRDefault="00155FDA" w:rsidP="00155FDA">
            <w:pPr>
              <w:pStyle w:val="ListParagraph"/>
              <w:numPr>
                <w:ilvl w:val="1"/>
                <w:numId w:val="1"/>
              </w:numPr>
              <w:suppressAutoHyphens w:val="0"/>
              <w:spacing w:line="259" w:lineRule="auto"/>
              <w:ind w:left="567" w:hanging="283"/>
              <w:rPr>
                <w:sz w:val="20"/>
                <w:szCs w:val="20"/>
              </w:rPr>
            </w:pPr>
            <w:r w:rsidRPr="00155FDA">
              <w:rPr>
                <w:sz w:val="20"/>
                <w:szCs w:val="20"/>
              </w:rPr>
              <w:t>analyse how a future program’s processes can be applied to different contexts (sectors and stakeholders), such as fellowships, study visits, targeted sectoral scholarships (e.g., PhDs in forensics or soil science), and Transnational Education (TNE) initiatives linked to Austrade’s efforts, and</w:t>
            </w:r>
          </w:p>
          <w:p w14:paraId="52ED3980" w14:textId="55DD1FF8" w:rsidR="00155FDA" w:rsidRPr="00155FDA" w:rsidRDefault="00155FDA" w:rsidP="00155FDA">
            <w:pPr>
              <w:pStyle w:val="ListParagraph"/>
              <w:numPr>
                <w:ilvl w:val="1"/>
                <w:numId w:val="1"/>
              </w:numPr>
              <w:suppressAutoHyphens w:val="0"/>
              <w:spacing w:line="259" w:lineRule="auto"/>
              <w:ind w:left="567" w:hanging="283"/>
              <w:rPr>
                <w:sz w:val="20"/>
                <w:szCs w:val="20"/>
              </w:rPr>
            </w:pPr>
            <w:r w:rsidRPr="00155FDA">
              <w:rPr>
                <w:sz w:val="20"/>
                <w:szCs w:val="20"/>
              </w:rPr>
              <w:t>proactively link REAPs to policy dialogue. This could be achieved by working with GPH agencies to closely link scholarships (and hence REAPs) to specific reform efforts beyond Human Resource Development (HRD). This would heighten Embassy engagement and visibility on GPH reform issues. (Strategic)</w:t>
            </w:r>
          </w:p>
        </w:tc>
        <w:tc>
          <w:tcPr>
            <w:tcW w:w="1117" w:type="dxa"/>
          </w:tcPr>
          <w:p w14:paraId="71C3C55B" w14:textId="0058D969" w:rsidR="00155FDA" w:rsidRPr="00155FDA" w:rsidRDefault="004B2087">
            <w:pPr>
              <w:rPr>
                <w:sz w:val="20"/>
                <w:szCs w:val="20"/>
              </w:rPr>
            </w:pPr>
            <w:r>
              <w:rPr>
                <w:sz w:val="20"/>
                <w:szCs w:val="20"/>
              </w:rPr>
              <w:t>Partially agree/ Noted</w:t>
            </w:r>
          </w:p>
        </w:tc>
        <w:tc>
          <w:tcPr>
            <w:tcW w:w="2512" w:type="dxa"/>
          </w:tcPr>
          <w:p w14:paraId="2E89CACC" w14:textId="1670093D" w:rsidR="00155FDA" w:rsidRDefault="00155FDA">
            <w:pPr>
              <w:rPr>
                <w:sz w:val="20"/>
                <w:szCs w:val="20"/>
              </w:rPr>
            </w:pPr>
            <w:r>
              <w:rPr>
                <w:sz w:val="20"/>
                <w:szCs w:val="20"/>
              </w:rPr>
              <w:t xml:space="preserve">DFAT recognises the need to align the successor program’s processes and activities to different sectors and stakeholders </w:t>
            </w:r>
            <w:r w:rsidR="00FE0EA6">
              <w:rPr>
                <w:sz w:val="20"/>
                <w:szCs w:val="20"/>
              </w:rPr>
              <w:t>as guided by</w:t>
            </w:r>
            <w:r>
              <w:rPr>
                <w:sz w:val="20"/>
                <w:szCs w:val="20"/>
              </w:rPr>
              <w:t xml:space="preserve"> the Philippines-Australia Development Partnership Plan </w:t>
            </w:r>
            <w:r w:rsidR="00FE0EA6">
              <w:rPr>
                <w:sz w:val="20"/>
                <w:szCs w:val="20"/>
              </w:rPr>
              <w:t>and</w:t>
            </w:r>
            <w:r>
              <w:rPr>
                <w:sz w:val="20"/>
                <w:szCs w:val="20"/>
              </w:rPr>
              <w:t xml:space="preserve"> for REAPs to be proactively linked to policy dialogue. </w:t>
            </w:r>
          </w:p>
          <w:p w14:paraId="623CA236" w14:textId="77777777" w:rsidR="00155FDA" w:rsidRDefault="00155FDA">
            <w:pPr>
              <w:rPr>
                <w:sz w:val="20"/>
                <w:szCs w:val="20"/>
              </w:rPr>
            </w:pPr>
          </w:p>
          <w:p w14:paraId="7E771670" w14:textId="0249C561" w:rsidR="00BB1102" w:rsidRPr="00155FDA" w:rsidRDefault="00155FDA">
            <w:pPr>
              <w:rPr>
                <w:sz w:val="20"/>
                <w:szCs w:val="20"/>
              </w:rPr>
            </w:pPr>
            <w:r>
              <w:rPr>
                <w:sz w:val="20"/>
                <w:szCs w:val="20"/>
              </w:rPr>
              <w:t>However, this may not necessarily require a senior advisor embedded in the Embassy</w:t>
            </w:r>
            <w:r w:rsidR="00FE0EA6">
              <w:rPr>
                <w:sz w:val="20"/>
                <w:szCs w:val="20"/>
              </w:rPr>
              <w:t xml:space="preserve">. </w:t>
            </w:r>
            <w:r w:rsidR="009511E6">
              <w:rPr>
                <w:sz w:val="20"/>
                <w:szCs w:val="20"/>
              </w:rPr>
              <w:t xml:space="preserve">How this </w:t>
            </w:r>
            <w:r w:rsidR="00A00DC4">
              <w:rPr>
                <w:sz w:val="20"/>
                <w:szCs w:val="20"/>
              </w:rPr>
              <w:t>could</w:t>
            </w:r>
            <w:r w:rsidR="009511E6">
              <w:rPr>
                <w:sz w:val="20"/>
                <w:szCs w:val="20"/>
              </w:rPr>
              <w:t xml:space="preserve"> </w:t>
            </w:r>
            <w:r w:rsidR="005444CA">
              <w:rPr>
                <w:sz w:val="20"/>
                <w:szCs w:val="20"/>
              </w:rPr>
              <w:t xml:space="preserve">potentially </w:t>
            </w:r>
            <w:r w:rsidR="009511E6">
              <w:rPr>
                <w:sz w:val="20"/>
                <w:szCs w:val="20"/>
              </w:rPr>
              <w:t>be operationalised</w:t>
            </w:r>
            <w:r w:rsidR="00A00DC4">
              <w:rPr>
                <w:sz w:val="20"/>
                <w:szCs w:val="20"/>
              </w:rPr>
              <w:t xml:space="preserve"> will</w:t>
            </w:r>
            <w:r w:rsidR="00726C3F">
              <w:rPr>
                <w:sz w:val="20"/>
                <w:szCs w:val="20"/>
              </w:rPr>
              <w:t xml:space="preserve"> be</w:t>
            </w:r>
            <w:r w:rsidR="009511E6">
              <w:rPr>
                <w:sz w:val="20"/>
                <w:szCs w:val="20"/>
              </w:rPr>
              <w:t xml:space="preserve"> considered in the design and implementation of the successor program.</w:t>
            </w:r>
          </w:p>
        </w:tc>
        <w:tc>
          <w:tcPr>
            <w:tcW w:w="1515" w:type="dxa"/>
          </w:tcPr>
          <w:p w14:paraId="39A4B38F" w14:textId="35A7A17C" w:rsidR="00155FDA" w:rsidRPr="00155FDA" w:rsidRDefault="00155FDA">
            <w:pPr>
              <w:rPr>
                <w:sz w:val="20"/>
                <w:szCs w:val="20"/>
              </w:rPr>
            </w:pPr>
            <w:r>
              <w:rPr>
                <w:sz w:val="20"/>
                <w:szCs w:val="20"/>
              </w:rPr>
              <w:t>DFAT</w:t>
            </w:r>
          </w:p>
        </w:tc>
      </w:tr>
      <w:tr w:rsidR="00155FDA" w:rsidRPr="00155FDA" w14:paraId="10052182" w14:textId="77777777" w:rsidTr="007F0693">
        <w:trPr>
          <w:jc w:val="center"/>
        </w:trPr>
        <w:tc>
          <w:tcPr>
            <w:tcW w:w="4031" w:type="dxa"/>
          </w:tcPr>
          <w:p w14:paraId="45671E92" w14:textId="0E128947" w:rsidR="00155FDA" w:rsidRPr="00155FDA" w:rsidRDefault="00155FDA" w:rsidP="00155FDA">
            <w:pPr>
              <w:suppressAutoHyphens w:val="0"/>
              <w:spacing w:line="259" w:lineRule="auto"/>
              <w:rPr>
                <w:b/>
                <w:bCs/>
                <w:sz w:val="20"/>
                <w:szCs w:val="20"/>
              </w:rPr>
            </w:pPr>
            <w:r w:rsidRPr="00155FDA">
              <w:rPr>
                <w:b/>
                <w:bCs/>
                <w:sz w:val="20"/>
                <w:szCs w:val="20"/>
              </w:rPr>
              <w:t>Recommendation 4</w:t>
            </w:r>
            <w:r w:rsidRPr="00155FDA">
              <w:rPr>
                <w:sz w:val="20"/>
                <w:szCs w:val="20"/>
              </w:rPr>
              <w:t xml:space="preserve">: For the program’s increased responsiveness to emerging </w:t>
            </w:r>
            <w:r w:rsidRPr="00155FDA">
              <w:rPr>
                <w:sz w:val="20"/>
                <w:szCs w:val="20"/>
              </w:rPr>
              <w:lastRenderedPageBreak/>
              <w:t>priorities, develop a second, parallel workstream alongside the core AA workstream, with tailored objectives, selection criteria, and appropriate resourcing, to engage and offer scholarships to targeted stakeholders in specific sectors for strategic purposes while leveraging the quality of AAAEP–P brand and operational platform. It is important that this second workstream is specifically and appropriately resourced to emphasise its strategic contribution to both governments’ priorities. This ‘twin-track’ approach would allow the flexibility for responsiveness to changing priorities and emerging leaders (and key stakeholders) while maintaining the core AAAEP–P program’s integrity and reputation. (Strategic)</w:t>
            </w:r>
          </w:p>
        </w:tc>
        <w:tc>
          <w:tcPr>
            <w:tcW w:w="1117" w:type="dxa"/>
          </w:tcPr>
          <w:p w14:paraId="200C9E7C" w14:textId="189989DB" w:rsidR="00155FDA" w:rsidRPr="00155FDA" w:rsidRDefault="00BB1102">
            <w:pPr>
              <w:rPr>
                <w:sz w:val="20"/>
                <w:szCs w:val="20"/>
              </w:rPr>
            </w:pPr>
            <w:r>
              <w:rPr>
                <w:sz w:val="20"/>
                <w:szCs w:val="20"/>
              </w:rPr>
              <w:lastRenderedPageBreak/>
              <w:t>Noted</w:t>
            </w:r>
          </w:p>
        </w:tc>
        <w:tc>
          <w:tcPr>
            <w:tcW w:w="2512" w:type="dxa"/>
          </w:tcPr>
          <w:p w14:paraId="4A879C21" w14:textId="77777777" w:rsidR="00155FDA" w:rsidRDefault="00BB1102">
            <w:pPr>
              <w:rPr>
                <w:sz w:val="20"/>
                <w:szCs w:val="20"/>
              </w:rPr>
            </w:pPr>
            <w:r>
              <w:rPr>
                <w:sz w:val="20"/>
                <w:szCs w:val="20"/>
              </w:rPr>
              <w:t xml:space="preserve">This cannot be implemented within the </w:t>
            </w:r>
            <w:r>
              <w:rPr>
                <w:sz w:val="20"/>
                <w:szCs w:val="20"/>
              </w:rPr>
              <w:lastRenderedPageBreak/>
              <w:t>current Program, which is in its final stage of implementation.</w:t>
            </w:r>
          </w:p>
          <w:p w14:paraId="1E5BEFCE" w14:textId="77777777" w:rsidR="00BB1102" w:rsidRDefault="00BB1102">
            <w:pPr>
              <w:rPr>
                <w:sz w:val="20"/>
                <w:szCs w:val="20"/>
              </w:rPr>
            </w:pPr>
          </w:p>
          <w:p w14:paraId="6C9A94F6" w14:textId="77777777" w:rsidR="00340830" w:rsidRDefault="00340830">
            <w:pPr>
              <w:rPr>
                <w:sz w:val="20"/>
                <w:szCs w:val="20"/>
              </w:rPr>
            </w:pPr>
          </w:p>
          <w:p w14:paraId="1F28AD8D" w14:textId="0BDEC4F4" w:rsidR="00BB1102" w:rsidRPr="00155FDA" w:rsidRDefault="00A1443F">
            <w:pPr>
              <w:rPr>
                <w:sz w:val="20"/>
                <w:szCs w:val="20"/>
              </w:rPr>
            </w:pPr>
            <w:r>
              <w:rPr>
                <w:sz w:val="20"/>
                <w:szCs w:val="20"/>
              </w:rPr>
              <w:t>However, t</w:t>
            </w:r>
            <w:r w:rsidR="00BB1102">
              <w:rPr>
                <w:sz w:val="20"/>
                <w:szCs w:val="20"/>
              </w:rPr>
              <w:t xml:space="preserve">his will be considered </w:t>
            </w:r>
            <w:r w:rsidR="009D7049">
              <w:rPr>
                <w:sz w:val="20"/>
                <w:szCs w:val="20"/>
              </w:rPr>
              <w:t xml:space="preserve">once </w:t>
            </w:r>
            <w:r w:rsidR="004C172E">
              <w:rPr>
                <w:sz w:val="20"/>
                <w:szCs w:val="20"/>
              </w:rPr>
              <w:t>t</w:t>
            </w:r>
            <w:r w:rsidR="00BB1102">
              <w:rPr>
                <w:sz w:val="20"/>
                <w:szCs w:val="20"/>
              </w:rPr>
              <w:t xml:space="preserve">he successor program is </w:t>
            </w:r>
            <w:r w:rsidR="004C172E">
              <w:rPr>
                <w:sz w:val="20"/>
                <w:szCs w:val="20"/>
              </w:rPr>
              <w:t xml:space="preserve">established </w:t>
            </w:r>
            <w:r w:rsidR="005B519E">
              <w:rPr>
                <w:sz w:val="20"/>
                <w:szCs w:val="20"/>
              </w:rPr>
              <w:t xml:space="preserve">and </w:t>
            </w:r>
            <w:r w:rsidR="00A77255">
              <w:rPr>
                <w:sz w:val="20"/>
                <w:szCs w:val="20"/>
              </w:rPr>
              <w:t xml:space="preserve">begin </w:t>
            </w:r>
            <w:r w:rsidR="008C2FDB">
              <w:rPr>
                <w:sz w:val="20"/>
                <w:szCs w:val="20"/>
              </w:rPr>
              <w:t xml:space="preserve">to </w:t>
            </w:r>
            <w:r w:rsidR="005B519E">
              <w:rPr>
                <w:sz w:val="20"/>
                <w:szCs w:val="20"/>
              </w:rPr>
              <w:t xml:space="preserve">develop </w:t>
            </w:r>
            <w:r w:rsidR="00A77255">
              <w:rPr>
                <w:sz w:val="20"/>
                <w:szCs w:val="20"/>
              </w:rPr>
              <w:t>workplan and operational</w:t>
            </w:r>
            <w:r w:rsidR="008C2FDB">
              <w:rPr>
                <w:sz w:val="20"/>
                <w:szCs w:val="20"/>
              </w:rPr>
              <w:t xml:space="preserve"> strategies. </w:t>
            </w:r>
          </w:p>
        </w:tc>
        <w:tc>
          <w:tcPr>
            <w:tcW w:w="1515" w:type="dxa"/>
          </w:tcPr>
          <w:p w14:paraId="6EEAF110" w14:textId="77777777" w:rsidR="00155FDA" w:rsidRDefault="00BB1102">
            <w:pPr>
              <w:rPr>
                <w:sz w:val="20"/>
                <w:szCs w:val="20"/>
              </w:rPr>
            </w:pPr>
            <w:r>
              <w:rPr>
                <w:sz w:val="20"/>
                <w:szCs w:val="20"/>
              </w:rPr>
              <w:lastRenderedPageBreak/>
              <w:t>DFAT</w:t>
            </w:r>
          </w:p>
          <w:p w14:paraId="11C636DC" w14:textId="77777777" w:rsidR="0020693D" w:rsidRDefault="0020693D">
            <w:pPr>
              <w:rPr>
                <w:sz w:val="20"/>
                <w:szCs w:val="20"/>
              </w:rPr>
            </w:pPr>
          </w:p>
          <w:p w14:paraId="56CA3D45" w14:textId="77777777" w:rsidR="0020693D" w:rsidRDefault="0020693D">
            <w:pPr>
              <w:rPr>
                <w:sz w:val="20"/>
                <w:szCs w:val="20"/>
              </w:rPr>
            </w:pPr>
          </w:p>
          <w:p w14:paraId="5A442E50" w14:textId="77777777" w:rsidR="0020693D" w:rsidRDefault="0020693D">
            <w:pPr>
              <w:rPr>
                <w:sz w:val="20"/>
                <w:szCs w:val="20"/>
              </w:rPr>
            </w:pPr>
          </w:p>
          <w:p w14:paraId="2EE4C6EF" w14:textId="77777777" w:rsidR="00340830" w:rsidRDefault="00340830">
            <w:pPr>
              <w:rPr>
                <w:sz w:val="20"/>
                <w:szCs w:val="20"/>
              </w:rPr>
            </w:pPr>
          </w:p>
          <w:p w14:paraId="7696BE08" w14:textId="409848F4" w:rsidR="0020693D" w:rsidRPr="00155FDA" w:rsidRDefault="0020693D">
            <w:pPr>
              <w:rPr>
                <w:sz w:val="20"/>
                <w:szCs w:val="20"/>
              </w:rPr>
            </w:pPr>
            <w:r>
              <w:rPr>
                <w:sz w:val="20"/>
                <w:szCs w:val="20"/>
              </w:rPr>
              <w:t>Successor program managing contractor</w:t>
            </w:r>
          </w:p>
        </w:tc>
      </w:tr>
      <w:tr w:rsidR="00155FDA" w:rsidRPr="00155FDA" w14:paraId="6C8F2934" w14:textId="77777777" w:rsidTr="007F0693">
        <w:trPr>
          <w:jc w:val="center"/>
        </w:trPr>
        <w:tc>
          <w:tcPr>
            <w:tcW w:w="4031" w:type="dxa"/>
          </w:tcPr>
          <w:p w14:paraId="2F6D3D92" w14:textId="6325C013" w:rsidR="00155FDA" w:rsidRPr="00155FDA" w:rsidRDefault="00155FDA" w:rsidP="00155FDA">
            <w:pPr>
              <w:suppressAutoHyphens w:val="0"/>
              <w:spacing w:line="259" w:lineRule="auto"/>
              <w:rPr>
                <w:b/>
                <w:bCs/>
                <w:sz w:val="20"/>
                <w:szCs w:val="20"/>
              </w:rPr>
            </w:pPr>
            <w:r w:rsidRPr="00155FDA">
              <w:rPr>
                <w:b/>
                <w:bCs/>
                <w:sz w:val="20"/>
                <w:szCs w:val="20"/>
              </w:rPr>
              <w:lastRenderedPageBreak/>
              <w:t>Recommendation 5</w:t>
            </w:r>
            <w:r w:rsidRPr="00155FDA">
              <w:rPr>
                <w:sz w:val="20"/>
                <w:szCs w:val="20"/>
              </w:rPr>
              <w:t>: Enhance alumni engagement by establishing targeted groups (e.g. defence alumni, Science, Technology, Engineering, and Mathematics (STEM) alumni) linked to the Embassy’s development and public diplomacy objectives/sectors, ensuring alumni and their organisations see value in participation. This approach would need to be informed by political economy analysis and would need to be appropriately resourced. Inclusion in a future program of financial and human resources to support Embassy-wide alumni would add to the strategic coherence (e.g., support for managing defence alumni, including establishing an accessible database of alumni). (Strategic)</w:t>
            </w:r>
          </w:p>
        </w:tc>
        <w:tc>
          <w:tcPr>
            <w:tcW w:w="1117" w:type="dxa"/>
          </w:tcPr>
          <w:p w14:paraId="0CDFC71C" w14:textId="2B7BD0BC" w:rsidR="00155FDA" w:rsidRPr="00155FDA" w:rsidRDefault="00BB1102">
            <w:pPr>
              <w:rPr>
                <w:sz w:val="20"/>
                <w:szCs w:val="20"/>
              </w:rPr>
            </w:pPr>
            <w:r>
              <w:rPr>
                <w:sz w:val="20"/>
                <w:szCs w:val="20"/>
              </w:rPr>
              <w:t>Agree</w:t>
            </w:r>
          </w:p>
        </w:tc>
        <w:tc>
          <w:tcPr>
            <w:tcW w:w="2512" w:type="dxa"/>
          </w:tcPr>
          <w:p w14:paraId="769DC98A" w14:textId="56B23533" w:rsidR="00155FDA" w:rsidRDefault="00BB1102">
            <w:pPr>
              <w:rPr>
                <w:sz w:val="20"/>
                <w:szCs w:val="20"/>
              </w:rPr>
            </w:pPr>
            <w:r>
              <w:rPr>
                <w:sz w:val="20"/>
                <w:szCs w:val="20"/>
              </w:rPr>
              <w:t xml:space="preserve">Outreach has </w:t>
            </w:r>
            <w:r w:rsidR="00166570">
              <w:rPr>
                <w:sz w:val="20"/>
                <w:szCs w:val="20"/>
              </w:rPr>
              <w:t>begun</w:t>
            </w:r>
            <w:r>
              <w:rPr>
                <w:sz w:val="20"/>
                <w:szCs w:val="20"/>
              </w:rPr>
              <w:t xml:space="preserve"> with Defence at Post regarding information sharing</w:t>
            </w:r>
            <w:r w:rsidR="00921974">
              <w:rPr>
                <w:sz w:val="20"/>
                <w:szCs w:val="20"/>
              </w:rPr>
              <w:t xml:space="preserve"> </w:t>
            </w:r>
            <w:r w:rsidR="001773E2">
              <w:rPr>
                <w:sz w:val="20"/>
                <w:szCs w:val="20"/>
              </w:rPr>
              <w:t>on</w:t>
            </w:r>
            <w:r w:rsidR="00921974">
              <w:rPr>
                <w:sz w:val="20"/>
                <w:szCs w:val="20"/>
              </w:rPr>
              <w:t xml:space="preserve"> alumni</w:t>
            </w:r>
            <w:r w:rsidR="00A50DC3">
              <w:rPr>
                <w:sz w:val="20"/>
                <w:szCs w:val="20"/>
              </w:rPr>
              <w:t xml:space="preserve"> engagement strategy</w:t>
            </w:r>
            <w:r w:rsidR="00921974">
              <w:rPr>
                <w:sz w:val="20"/>
                <w:szCs w:val="20"/>
              </w:rPr>
              <w:t>.</w:t>
            </w:r>
          </w:p>
          <w:p w14:paraId="092D418D" w14:textId="77777777" w:rsidR="00BB1102" w:rsidRDefault="00BB1102">
            <w:pPr>
              <w:rPr>
                <w:sz w:val="20"/>
                <w:szCs w:val="20"/>
              </w:rPr>
            </w:pPr>
          </w:p>
          <w:p w14:paraId="27686FB2" w14:textId="2CBE1E4C" w:rsidR="00BB1102" w:rsidRDefault="00BB1102">
            <w:pPr>
              <w:rPr>
                <w:sz w:val="20"/>
                <w:szCs w:val="20"/>
              </w:rPr>
            </w:pPr>
            <w:r>
              <w:rPr>
                <w:sz w:val="20"/>
                <w:szCs w:val="20"/>
              </w:rPr>
              <w:t>Tetra Tech has also been tasked to begin grouping alumni according to sectors and for introductory calls to be organised with relevant DFAT officers</w:t>
            </w:r>
            <w:r w:rsidR="00A50DC3">
              <w:rPr>
                <w:sz w:val="20"/>
                <w:szCs w:val="20"/>
              </w:rPr>
              <w:t xml:space="preserve"> and teams</w:t>
            </w:r>
            <w:r>
              <w:rPr>
                <w:sz w:val="20"/>
                <w:szCs w:val="20"/>
              </w:rPr>
              <w:t>.</w:t>
            </w:r>
          </w:p>
          <w:p w14:paraId="2CCE9B09" w14:textId="77777777" w:rsidR="00BB1102" w:rsidRDefault="00BB1102">
            <w:pPr>
              <w:rPr>
                <w:sz w:val="20"/>
                <w:szCs w:val="20"/>
              </w:rPr>
            </w:pPr>
          </w:p>
          <w:p w14:paraId="7FE63211" w14:textId="49C16E58" w:rsidR="00BB1102" w:rsidRPr="00155FDA" w:rsidRDefault="00E71964">
            <w:pPr>
              <w:rPr>
                <w:sz w:val="20"/>
                <w:szCs w:val="20"/>
              </w:rPr>
            </w:pPr>
            <w:r>
              <w:rPr>
                <w:sz w:val="20"/>
                <w:szCs w:val="20"/>
              </w:rPr>
              <w:t xml:space="preserve">This recommendation will be taken up </w:t>
            </w:r>
            <w:r w:rsidR="00AA56EE">
              <w:rPr>
                <w:sz w:val="20"/>
                <w:szCs w:val="20"/>
              </w:rPr>
              <w:t xml:space="preserve">in </w:t>
            </w:r>
            <w:r>
              <w:rPr>
                <w:sz w:val="20"/>
                <w:szCs w:val="20"/>
              </w:rPr>
              <w:t xml:space="preserve">the </w:t>
            </w:r>
            <w:r w:rsidR="00BB1102">
              <w:rPr>
                <w:sz w:val="20"/>
                <w:szCs w:val="20"/>
              </w:rPr>
              <w:t>successor program.</w:t>
            </w:r>
          </w:p>
        </w:tc>
        <w:tc>
          <w:tcPr>
            <w:tcW w:w="1515" w:type="dxa"/>
          </w:tcPr>
          <w:p w14:paraId="5E4C1ABC" w14:textId="77777777" w:rsidR="00155FDA" w:rsidRDefault="00BB1102">
            <w:pPr>
              <w:rPr>
                <w:sz w:val="20"/>
                <w:szCs w:val="20"/>
              </w:rPr>
            </w:pPr>
            <w:r>
              <w:rPr>
                <w:sz w:val="20"/>
                <w:szCs w:val="20"/>
              </w:rPr>
              <w:t>DFAT</w:t>
            </w:r>
          </w:p>
          <w:p w14:paraId="31F1A44E" w14:textId="77777777" w:rsidR="00BB1102" w:rsidRDefault="00BB1102">
            <w:pPr>
              <w:rPr>
                <w:sz w:val="20"/>
                <w:szCs w:val="20"/>
              </w:rPr>
            </w:pPr>
          </w:p>
          <w:p w14:paraId="106154DC" w14:textId="77777777" w:rsidR="00BB1102" w:rsidRDefault="00BB1102">
            <w:pPr>
              <w:rPr>
                <w:sz w:val="20"/>
                <w:szCs w:val="20"/>
              </w:rPr>
            </w:pPr>
          </w:p>
          <w:p w14:paraId="25A3CC4E" w14:textId="77777777" w:rsidR="00BB1102" w:rsidRDefault="00BB1102">
            <w:pPr>
              <w:rPr>
                <w:sz w:val="20"/>
                <w:szCs w:val="20"/>
              </w:rPr>
            </w:pPr>
          </w:p>
          <w:p w14:paraId="77893821" w14:textId="77777777" w:rsidR="00BB1102" w:rsidRDefault="00BB1102">
            <w:pPr>
              <w:rPr>
                <w:sz w:val="20"/>
                <w:szCs w:val="20"/>
              </w:rPr>
            </w:pPr>
            <w:r>
              <w:rPr>
                <w:sz w:val="20"/>
                <w:szCs w:val="20"/>
              </w:rPr>
              <w:t>Tetra Tech</w:t>
            </w:r>
          </w:p>
          <w:p w14:paraId="082A8A0E" w14:textId="77777777" w:rsidR="00BB1102" w:rsidRDefault="00BB1102">
            <w:pPr>
              <w:rPr>
                <w:sz w:val="20"/>
                <w:szCs w:val="20"/>
              </w:rPr>
            </w:pPr>
          </w:p>
          <w:p w14:paraId="66E814F1" w14:textId="77777777" w:rsidR="00BB1102" w:rsidRDefault="00BB1102">
            <w:pPr>
              <w:rPr>
                <w:sz w:val="20"/>
                <w:szCs w:val="20"/>
              </w:rPr>
            </w:pPr>
          </w:p>
          <w:p w14:paraId="53AFED47" w14:textId="77777777" w:rsidR="00BB1102" w:rsidRDefault="00BB1102">
            <w:pPr>
              <w:rPr>
                <w:sz w:val="20"/>
                <w:szCs w:val="20"/>
              </w:rPr>
            </w:pPr>
          </w:p>
          <w:p w14:paraId="5B5AFF3E" w14:textId="77777777" w:rsidR="00BB1102" w:rsidRDefault="00BB1102">
            <w:pPr>
              <w:rPr>
                <w:sz w:val="20"/>
                <w:szCs w:val="20"/>
              </w:rPr>
            </w:pPr>
          </w:p>
          <w:p w14:paraId="68F32143" w14:textId="77777777" w:rsidR="00BB1102" w:rsidRDefault="00BB1102">
            <w:pPr>
              <w:rPr>
                <w:sz w:val="20"/>
                <w:szCs w:val="20"/>
              </w:rPr>
            </w:pPr>
          </w:p>
          <w:p w14:paraId="3D1BBF85" w14:textId="571C00EC" w:rsidR="00BB1102" w:rsidRPr="00155FDA" w:rsidRDefault="00BB1102">
            <w:pPr>
              <w:rPr>
                <w:sz w:val="20"/>
                <w:szCs w:val="20"/>
              </w:rPr>
            </w:pPr>
            <w:r>
              <w:rPr>
                <w:sz w:val="20"/>
                <w:szCs w:val="20"/>
              </w:rPr>
              <w:t>DFAT</w:t>
            </w:r>
          </w:p>
        </w:tc>
      </w:tr>
      <w:tr w:rsidR="00155FDA" w:rsidRPr="00155FDA" w14:paraId="01FC318D" w14:textId="77777777" w:rsidTr="007F0693">
        <w:trPr>
          <w:jc w:val="center"/>
        </w:trPr>
        <w:tc>
          <w:tcPr>
            <w:tcW w:w="4031" w:type="dxa"/>
          </w:tcPr>
          <w:p w14:paraId="3FC5FD9B" w14:textId="5D449698" w:rsidR="00155FDA" w:rsidRPr="00155FDA" w:rsidRDefault="00155FDA" w:rsidP="00155FDA">
            <w:pPr>
              <w:suppressAutoHyphens w:val="0"/>
              <w:spacing w:line="259" w:lineRule="auto"/>
              <w:rPr>
                <w:b/>
                <w:bCs/>
                <w:sz w:val="20"/>
                <w:szCs w:val="20"/>
              </w:rPr>
            </w:pPr>
            <w:r w:rsidRPr="00155FDA">
              <w:rPr>
                <w:b/>
                <w:bCs/>
                <w:sz w:val="20"/>
                <w:szCs w:val="20"/>
              </w:rPr>
              <w:t>Recommendation 6</w:t>
            </w:r>
            <w:r w:rsidRPr="00155FDA">
              <w:rPr>
                <w:sz w:val="20"/>
                <w:szCs w:val="20"/>
              </w:rPr>
              <w:t>: Strengthen program implementation to align with Australian values and policies (e.g., GEDSI) by ensuring meaningful engagement with scholars from vulnerable or marginalised groups. (Operational)</w:t>
            </w:r>
          </w:p>
        </w:tc>
        <w:tc>
          <w:tcPr>
            <w:tcW w:w="1117" w:type="dxa"/>
          </w:tcPr>
          <w:p w14:paraId="299EECF7" w14:textId="70AB6585" w:rsidR="00155FDA" w:rsidRPr="00155FDA" w:rsidRDefault="00BB1102">
            <w:pPr>
              <w:rPr>
                <w:sz w:val="20"/>
                <w:szCs w:val="20"/>
              </w:rPr>
            </w:pPr>
            <w:r>
              <w:rPr>
                <w:sz w:val="20"/>
                <w:szCs w:val="20"/>
              </w:rPr>
              <w:t>Agree</w:t>
            </w:r>
          </w:p>
        </w:tc>
        <w:tc>
          <w:tcPr>
            <w:tcW w:w="2512" w:type="dxa"/>
          </w:tcPr>
          <w:p w14:paraId="50F58869" w14:textId="60028E7D" w:rsidR="00155FDA" w:rsidRPr="00155FDA" w:rsidRDefault="00BB1102">
            <w:pPr>
              <w:rPr>
                <w:sz w:val="20"/>
                <w:szCs w:val="20"/>
              </w:rPr>
            </w:pPr>
            <w:r>
              <w:rPr>
                <w:sz w:val="20"/>
                <w:szCs w:val="20"/>
              </w:rPr>
              <w:t xml:space="preserve">The updated GEDSI Strategy was submitted to DFAT in March 2025. Among its improvements is the development of an </w:t>
            </w:r>
            <w:r w:rsidRPr="00BB1102">
              <w:rPr>
                <w:sz w:val="20"/>
                <w:szCs w:val="20"/>
              </w:rPr>
              <w:t>intersectionality reporting tool, which will help AAAEP-P better understand the lived experiences of people with multiple marginalised identities</w:t>
            </w:r>
            <w:r>
              <w:rPr>
                <w:sz w:val="20"/>
                <w:szCs w:val="20"/>
              </w:rPr>
              <w:t>. This</w:t>
            </w:r>
            <w:r w:rsidR="00671630">
              <w:rPr>
                <w:sz w:val="20"/>
                <w:szCs w:val="20"/>
              </w:rPr>
              <w:t xml:space="preserve"> tool</w:t>
            </w:r>
            <w:r>
              <w:rPr>
                <w:sz w:val="20"/>
                <w:szCs w:val="20"/>
              </w:rPr>
              <w:t xml:space="preserve"> </w:t>
            </w:r>
            <w:r w:rsidR="00671630">
              <w:rPr>
                <w:sz w:val="20"/>
                <w:szCs w:val="20"/>
              </w:rPr>
              <w:t xml:space="preserve">will also inform </w:t>
            </w:r>
            <w:r>
              <w:rPr>
                <w:sz w:val="20"/>
                <w:szCs w:val="20"/>
              </w:rPr>
              <w:t>the design and implementation of future activities, including for the successor program.</w:t>
            </w:r>
          </w:p>
        </w:tc>
        <w:tc>
          <w:tcPr>
            <w:tcW w:w="1515" w:type="dxa"/>
          </w:tcPr>
          <w:p w14:paraId="767F0553" w14:textId="58878286" w:rsidR="00155FDA" w:rsidRPr="00155FDA" w:rsidRDefault="00BB1102">
            <w:pPr>
              <w:rPr>
                <w:sz w:val="20"/>
                <w:szCs w:val="20"/>
              </w:rPr>
            </w:pPr>
            <w:r>
              <w:rPr>
                <w:sz w:val="20"/>
                <w:szCs w:val="20"/>
              </w:rPr>
              <w:t>DFAT</w:t>
            </w:r>
          </w:p>
        </w:tc>
      </w:tr>
      <w:tr w:rsidR="00155FDA" w:rsidRPr="00155FDA" w14:paraId="7B65F8B4" w14:textId="77777777" w:rsidTr="007F0693">
        <w:trPr>
          <w:jc w:val="center"/>
        </w:trPr>
        <w:tc>
          <w:tcPr>
            <w:tcW w:w="4031" w:type="dxa"/>
          </w:tcPr>
          <w:p w14:paraId="7F97A67B" w14:textId="333DA2FC" w:rsidR="00E10DE4" w:rsidRPr="00545AE3" w:rsidRDefault="00155FDA" w:rsidP="00155FDA">
            <w:pPr>
              <w:suppressAutoHyphens w:val="0"/>
              <w:spacing w:line="259" w:lineRule="auto"/>
              <w:rPr>
                <w:sz w:val="20"/>
                <w:szCs w:val="20"/>
              </w:rPr>
            </w:pPr>
            <w:r w:rsidRPr="00155FDA">
              <w:rPr>
                <w:b/>
                <w:bCs/>
                <w:sz w:val="20"/>
                <w:szCs w:val="20"/>
              </w:rPr>
              <w:lastRenderedPageBreak/>
              <w:t>Recommendation 7</w:t>
            </w:r>
            <w:r w:rsidRPr="00155FDA">
              <w:rPr>
                <w:sz w:val="20"/>
                <w:szCs w:val="20"/>
              </w:rPr>
              <w:t xml:space="preserve">: Allocate specific GEDSI resourcing in the future program to complement mainstreaming with targeted activities, leveraging the alumni talent pool and supporting </w:t>
            </w:r>
            <w:r w:rsidR="00BB1102">
              <w:rPr>
                <w:sz w:val="20"/>
                <w:szCs w:val="20"/>
              </w:rPr>
              <w:t>the Philippine Government’s</w:t>
            </w:r>
            <w:r w:rsidRPr="00155FDA">
              <w:rPr>
                <w:sz w:val="20"/>
                <w:szCs w:val="20"/>
              </w:rPr>
              <w:t xml:space="preserve"> understanding and application of GEDSI principles. (Operational)</w:t>
            </w:r>
          </w:p>
        </w:tc>
        <w:tc>
          <w:tcPr>
            <w:tcW w:w="1117" w:type="dxa"/>
          </w:tcPr>
          <w:p w14:paraId="77DAB517" w14:textId="3319A081" w:rsidR="00155FDA" w:rsidRPr="00155FDA" w:rsidRDefault="00BB1102" w:rsidP="00AC6BB8">
            <w:pPr>
              <w:jc w:val="center"/>
              <w:rPr>
                <w:sz w:val="20"/>
                <w:szCs w:val="20"/>
              </w:rPr>
            </w:pPr>
            <w:r>
              <w:rPr>
                <w:sz w:val="20"/>
                <w:szCs w:val="20"/>
              </w:rPr>
              <w:t>Agree</w:t>
            </w:r>
          </w:p>
        </w:tc>
        <w:tc>
          <w:tcPr>
            <w:tcW w:w="2512" w:type="dxa"/>
          </w:tcPr>
          <w:p w14:paraId="1C622FAA" w14:textId="0D00FE68" w:rsidR="00155FDA" w:rsidRPr="00155FDA" w:rsidRDefault="00BE4A4E">
            <w:pPr>
              <w:rPr>
                <w:sz w:val="20"/>
                <w:szCs w:val="20"/>
              </w:rPr>
            </w:pPr>
            <w:r>
              <w:rPr>
                <w:sz w:val="20"/>
                <w:szCs w:val="20"/>
              </w:rPr>
              <w:t>This will be undertaken in the success</w:t>
            </w:r>
            <w:r w:rsidR="006C6FD7">
              <w:rPr>
                <w:sz w:val="20"/>
                <w:szCs w:val="20"/>
              </w:rPr>
              <w:t>or</w:t>
            </w:r>
            <w:r>
              <w:rPr>
                <w:sz w:val="20"/>
                <w:szCs w:val="20"/>
              </w:rPr>
              <w:t xml:space="preserve"> program, noting the requirement that all official development assistance investments valued at $3 million and </w:t>
            </w:r>
            <w:r w:rsidR="004919BA">
              <w:rPr>
                <w:sz w:val="20"/>
                <w:szCs w:val="20"/>
              </w:rPr>
              <w:t xml:space="preserve">above </w:t>
            </w:r>
            <w:r>
              <w:rPr>
                <w:sz w:val="20"/>
                <w:szCs w:val="20"/>
              </w:rPr>
              <w:t>to include a gender equality objective.</w:t>
            </w:r>
          </w:p>
        </w:tc>
        <w:tc>
          <w:tcPr>
            <w:tcW w:w="1515" w:type="dxa"/>
          </w:tcPr>
          <w:p w14:paraId="7DCB4D6B" w14:textId="7297A58A" w:rsidR="00155FDA" w:rsidRPr="00155FDA" w:rsidRDefault="00BE4A4E">
            <w:pPr>
              <w:rPr>
                <w:sz w:val="20"/>
                <w:szCs w:val="20"/>
              </w:rPr>
            </w:pPr>
            <w:r>
              <w:rPr>
                <w:sz w:val="20"/>
                <w:szCs w:val="20"/>
              </w:rPr>
              <w:t>DFAT</w:t>
            </w:r>
          </w:p>
        </w:tc>
      </w:tr>
    </w:tbl>
    <w:p w14:paraId="42AE0433" w14:textId="77777777" w:rsidR="00EF60BF" w:rsidRPr="00214E92" w:rsidRDefault="00EF60BF" w:rsidP="00091C20">
      <w:pPr>
        <w:spacing w:after="0"/>
        <w:rPr>
          <w:b/>
          <w:bCs/>
          <w:sz w:val="14"/>
          <w:szCs w:val="14"/>
        </w:rPr>
      </w:pPr>
    </w:p>
    <w:p w14:paraId="3F86FA52" w14:textId="6C7E41C5" w:rsidR="00EF60BF" w:rsidRPr="00FB0C91" w:rsidRDefault="00EF60BF" w:rsidP="00FB0C91">
      <w:pPr>
        <w:pStyle w:val="Heading2"/>
      </w:pPr>
      <w:r w:rsidRPr="00FB0C91">
        <w:t>GEDSI-related recommendations:</w:t>
      </w:r>
    </w:p>
    <w:tbl>
      <w:tblPr>
        <w:tblStyle w:val="TableGrid"/>
        <w:tblW w:w="9265" w:type="dxa"/>
        <w:jc w:val="center"/>
        <w:tblLook w:val="06A0" w:firstRow="1" w:lastRow="0" w:firstColumn="1" w:lastColumn="0" w:noHBand="1" w:noVBand="1"/>
      </w:tblPr>
      <w:tblGrid>
        <w:gridCol w:w="2873"/>
        <w:gridCol w:w="1117"/>
        <w:gridCol w:w="3677"/>
        <w:gridCol w:w="1598"/>
      </w:tblGrid>
      <w:tr w:rsidR="007A6EF4" w:rsidRPr="00155FDA" w14:paraId="57C9F53B" w14:textId="77777777" w:rsidTr="00214E92">
        <w:trPr>
          <w:tblHeader/>
          <w:jc w:val="center"/>
        </w:trPr>
        <w:tc>
          <w:tcPr>
            <w:tcW w:w="2965" w:type="dxa"/>
          </w:tcPr>
          <w:p w14:paraId="369E6FBF" w14:textId="77777777" w:rsidR="00EF60BF" w:rsidRPr="00155FDA" w:rsidRDefault="00EF60BF" w:rsidP="00477294">
            <w:pPr>
              <w:rPr>
                <w:b/>
                <w:bCs/>
                <w:sz w:val="20"/>
                <w:szCs w:val="20"/>
              </w:rPr>
            </w:pPr>
            <w:r w:rsidRPr="00155FDA">
              <w:rPr>
                <w:b/>
                <w:bCs/>
                <w:sz w:val="20"/>
                <w:szCs w:val="20"/>
              </w:rPr>
              <w:t>Recommendation</w:t>
            </w:r>
          </w:p>
        </w:tc>
        <w:tc>
          <w:tcPr>
            <w:tcW w:w="861" w:type="dxa"/>
          </w:tcPr>
          <w:p w14:paraId="7731B931" w14:textId="77777777" w:rsidR="00EF60BF" w:rsidRPr="00155FDA" w:rsidRDefault="00EF60BF" w:rsidP="00214E92">
            <w:pPr>
              <w:jc w:val="center"/>
              <w:rPr>
                <w:b/>
                <w:bCs/>
                <w:sz w:val="20"/>
                <w:szCs w:val="20"/>
              </w:rPr>
            </w:pPr>
            <w:r w:rsidRPr="00155FDA">
              <w:rPr>
                <w:b/>
                <w:bCs/>
                <w:sz w:val="20"/>
                <w:szCs w:val="20"/>
              </w:rPr>
              <w:t>Response</w:t>
            </w:r>
          </w:p>
        </w:tc>
        <w:tc>
          <w:tcPr>
            <w:tcW w:w="3834" w:type="dxa"/>
          </w:tcPr>
          <w:p w14:paraId="499A7F97" w14:textId="77777777" w:rsidR="00EF60BF" w:rsidRPr="00155FDA" w:rsidRDefault="00EF60BF" w:rsidP="00477294">
            <w:pPr>
              <w:rPr>
                <w:b/>
                <w:bCs/>
                <w:sz w:val="20"/>
                <w:szCs w:val="20"/>
              </w:rPr>
            </w:pPr>
            <w:r w:rsidRPr="00155FDA">
              <w:rPr>
                <w:b/>
                <w:bCs/>
                <w:sz w:val="20"/>
                <w:szCs w:val="20"/>
              </w:rPr>
              <w:t>Actions</w:t>
            </w:r>
          </w:p>
        </w:tc>
        <w:tc>
          <w:tcPr>
            <w:tcW w:w="1605" w:type="dxa"/>
          </w:tcPr>
          <w:p w14:paraId="471DA82F" w14:textId="77777777" w:rsidR="00EF60BF" w:rsidRPr="00155FDA" w:rsidRDefault="00EF60BF" w:rsidP="00477294">
            <w:pPr>
              <w:rPr>
                <w:b/>
                <w:bCs/>
                <w:sz w:val="20"/>
                <w:szCs w:val="20"/>
              </w:rPr>
            </w:pPr>
            <w:r w:rsidRPr="00155FDA">
              <w:rPr>
                <w:b/>
                <w:bCs/>
                <w:sz w:val="20"/>
                <w:szCs w:val="20"/>
              </w:rPr>
              <w:t>Responsibility</w:t>
            </w:r>
          </w:p>
        </w:tc>
      </w:tr>
      <w:tr w:rsidR="007A6EF4" w:rsidRPr="00155FDA" w14:paraId="7B10CAC8" w14:textId="77777777" w:rsidTr="00214E92">
        <w:tblPrEx>
          <w:jc w:val="left"/>
          <w:tblLook w:val="04A0" w:firstRow="1" w:lastRow="0" w:firstColumn="1" w:lastColumn="0" w:noHBand="0" w:noVBand="1"/>
        </w:tblPrEx>
        <w:tc>
          <w:tcPr>
            <w:tcW w:w="2965" w:type="dxa"/>
          </w:tcPr>
          <w:p w14:paraId="56345875" w14:textId="77777777" w:rsidR="007A6EF4" w:rsidRPr="00155FDA" w:rsidRDefault="007A6EF4" w:rsidP="00477294">
            <w:pPr>
              <w:suppressAutoHyphens w:val="0"/>
              <w:spacing w:line="259" w:lineRule="auto"/>
              <w:rPr>
                <w:b/>
                <w:bCs/>
                <w:sz w:val="20"/>
                <w:szCs w:val="20"/>
              </w:rPr>
            </w:pPr>
            <w:r w:rsidRPr="00155FDA">
              <w:rPr>
                <w:rFonts w:eastAsiaTheme="minorEastAsia"/>
                <w:b/>
                <w:sz w:val="20"/>
                <w:szCs w:val="20"/>
              </w:rPr>
              <w:t>Recommendation 8</w:t>
            </w:r>
            <w:r w:rsidRPr="00155FDA">
              <w:rPr>
                <w:rFonts w:eastAsiaTheme="minorEastAsia"/>
                <w:sz w:val="20"/>
                <w:szCs w:val="20"/>
              </w:rPr>
              <w:t xml:space="preserve">: </w:t>
            </w:r>
            <w:r w:rsidRPr="00155FDA">
              <w:rPr>
                <w:sz w:val="20"/>
                <w:szCs w:val="20"/>
              </w:rPr>
              <w:t>Have allocation/slots per region, and more equitable distribution (rural vs urban focus, Metro Manila vs non-Metro Manila placements).</w:t>
            </w:r>
          </w:p>
        </w:tc>
        <w:tc>
          <w:tcPr>
            <w:tcW w:w="861" w:type="dxa"/>
          </w:tcPr>
          <w:p w14:paraId="31326A61" w14:textId="77777777" w:rsidR="007A6EF4" w:rsidRPr="00155FDA" w:rsidRDefault="007A6EF4" w:rsidP="00214E92">
            <w:pPr>
              <w:jc w:val="center"/>
              <w:rPr>
                <w:sz w:val="20"/>
                <w:szCs w:val="20"/>
              </w:rPr>
            </w:pPr>
            <w:r>
              <w:rPr>
                <w:sz w:val="20"/>
                <w:szCs w:val="20"/>
              </w:rPr>
              <w:t>Noted</w:t>
            </w:r>
          </w:p>
        </w:tc>
        <w:tc>
          <w:tcPr>
            <w:tcW w:w="3834" w:type="dxa"/>
          </w:tcPr>
          <w:p w14:paraId="7627D7F6" w14:textId="77777777" w:rsidR="007A6EF4" w:rsidRPr="00155FDA" w:rsidRDefault="007A6EF4" w:rsidP="00477294">
            <w:pPr>
              <w:rPr>
                <w:sz w:val="20"/>
                <w:szCs w:val="20"/>
              </w:rPr>
            </w:pPr>
            <w:r>
              <w:rPr>
                <w:sz w:val="20"/>
                <w:szCs w:val="20"/>
              </w:rPr>
              <w:t>DFAT notes that certain geographic regions within the Philippines are underrepresented in terms of scholars/alumni. A targeting mechanism will be considered in the planning and implementation of the successor program.</w:t>
            </w:r>
          </w:p>
        </w:tc>
        <w:tc>
          <w:tcPr>
            <w:tcW w:w="1605" w:type="dxa"/>
          </w:tcPr>
          <w:p w14:paraId="7194F891" w14:textId="77777777" w:rsidR="007A6EF4" w:rsidRPr="00155FDA" w:rsidRDefault="007A6EF4" w:rsidP="00477294">
            <w:pPr>
              <w:rPr>
                <w:sz w:val="20"/>
                <w:szCs w:val="20"/>
              </w:rPr>
            </w:pPr>
            <w:r>
              <w:rPr>
                <w:sz w:val="20"/>
                <w:szCs w:val="20"/>
              </w:rPr>
              <w:t>DFAT, successor program managing contractor</w:t>
            </w:r>
          </w:p>
        </w:tc>
      </w:tr>
      <w:tr w:rsidR="007A6EF4" w:rsidRPr="00155FDA" w14:paraId="35C2F83B" w14:textId="77777777" w:rsidTr="00214E92">
        <w:tblPrEx>
          <w:jc w:val="left"/>
          <w:tblLook w:val="04A0" w:firstRow="1" w:lastRow="0" w:firstColumn="1" w:lastColumn="0" w:noHBand="0" w:noVBand="1"/>
        </w:tblPrEx>
        <w:tc>
          <w:tcPr>
            <w:tcW w:w="2965" w:type="dxa"/>
          </w:tcPr>
          <w:p w14:paraId="4E406174" w14:textId="77777777" w:rsidR="007A6EF4" w:rsidRPr="00155FDA" w:rsidRDefault="007A6EF4" w:rsidP="00477294">
            <w:pPr>
              <w:suppressAutoHyphens w:val="0"/>
              <w:spacing w:line="259" w:lineRule="auto"/>
              <w:rPr>
                <w:rFonts w:eastAsiaTheme="minorEastAsia"/>
                <w:b/>
                <w:sz w:val="20"/>
                <w:szCs w:val="20"/>
              </w:rPr>
            </w:pPr>
            <w:r w:rsidRPr="00155FDA">
              <w:rPr>
                <w:rFonts w:eastAsiaTheme="minorEastAsia"/>
                <w:b/>
                <w:sz w:val="20"/>
                <w:szCs w:val="20"/>
              </w:rPr>
              <w:t>Recommendation 9</w:t>
            </w:r>
            <w:r w:rsidRPr="00155FDA">
              <w:rPr>
                <w:rFonts w:eastAsiaTheme="minorEastAsia"/>
                <w:sz w:val="20"/>
                <w:szCs w:val="20"/>
              </w:rPr>
              <w:t xml:space="preserve">: </w:t>
            </w:r>
            <w:r w:rsidRPr="00155FDA">
              <w:rPr>
                <w:sz w:val="20"/>
                <w:szCs w:val="20"/>
              </w:rPr>
              <w:t>Deepen the discussion on GEDSI as a conceptual framework and as a practice and clarify how it aligns or differs from intersectionality.</w:t>
            </w:r>
          </w:p>
        </w:tc>
        <w:tc>
          <w:tcPr>
            <w:tcW w:w="861" w:type="dxa"/>
          </w:tcPr>
          <w:p w14:paraId="16E7704A" w14:textId="77777777" w:rsidR="007A6EF4" w:rsidRPr="00155FDA" w:rsidRDefault="007A6EF4" w:rsidP="00214E92">
            <w:pPr>
              <w:jc w:val="center"/>
              <w:rPr>
                <w:sz w:val="20"/>
                <w:szCs w:val="20"/>
              </w:rPr>
            </w:pPr>
            <w:r>
              <w:rPr>
                <w:sz w:val="20"/>
                <w:szCs w:val="20"/>
              </w:rPr>
              <w:t>Noted</w:t>
            </w:r>
          </w:p>
        </w:tc>
        <w:tc>
          <w:tcPr>
            <w:tcW w:w="3834" w:type="dxa"/>
          </w:tcPr>
          <w:p w14:paraId="47CB95DB" w14:textId="77777777" w:rsidR="007A6EF4" w:rsidRDefault="007A6EF4" w:rsidP="00477294">
            <w:pPr>
              <w:rPr>
                <w:sz w:val="20"/>
                <w:szCs w:val="20"/>
              </w:rPr>
            </w:pPr>
            <w:r>
              <w:rPr>
                <w:sz w:val="20"/>
                <w:szCs w:val="20"/>
              </w:rPr>
              <w:t xml:space="preserve">DFAT notes the evaluation’s assessment regarding AAAEP-P’s strength </w:t>
            </w:r>
            <w:r w:rsidRPr="00155FDA">
              <w:rPr>
                <w:sz w:val="20"/>
                <w:szCs w:val="20"/>
              </w:rPr>
              <w:t xml:space="preserve">in supporting women empowerment and disability inclusion, and in supporting the capacity-building of scholars from </w:t>
            </w:r>
            <w:r>
              <w:rPr>
                <w:sz w:val="20"/>
                <w:szCs w:val="20"/>
              </w:rPr>
              <w:t>I</w:t>
            </w:r>
            <w:r w:rsidRPr="00155FDA">
              <w:rPr>
                <w:sz w:val="20"/>
                <w:szCs w:val="20"/>
              </w:rPr>
              <w:t>ndigenous communities.</w:t>
            </w:r>
          </w:p>
          <w:p w14:paraId="6840DDA1" w14:textId="77777777" w:rsidR="007A6EF4" w:rsidRDefault="007A6EF4" w:rsidP="00477294">
            <w:pPr>
              <w:rPr>
                <w:sz w:val="20"/>
                <w:szCs w:val="20"/>
              </w:rPr>
            </w:pPr>
          </w:p>
          <w:p w14:paraId="1B8358FC" w14:textId="77777777" w:rsidR="007A6EF4" w:rsidRPr="00155FDA" w:rsidRDefault="007A6EF4" w:rsidP="00477294">
            <w:pPr>
              <w:rPr>
                <w:sz w:val="20"/>
                <w:szCs w:val="20"/>
              </w:rPr>
            </w:pPr>
            <w:r>
              <w:rPr>
                <w:sz w:val="20"/>
                <w:szCs w:val="20"/>
              </w:rPr>
              <w:t xml:space="preserve">As the successor program is designed and implemented, other facets of social inclusion (e.g., </w:t>
            </w:r>
            <w:r w:rsidRPr="00155FDA">
              <w:rPr>
                <w:sz w:val="20"/>
                <w:szCs w:val="20"/>
              </w:rPr>
              <w:t xml:space="preserve">sexual orientation and gender identity/expression, LGBTQIA+, </w:t>
            </w:r>
            <w:r>
              <w:rPr>
                <w:sz w:val="20"/>
                <w:szCs w:val="20"/>
              </w:rPr>
              <w:t>etc) will be considered for program interventions.</w:t>
            </w:r>
          </w:p>
        </w:tc>
        <w:tc>
          <w:tcPr>
            <w:tcW w:w="1605" w:type="dxa"/>
          </w:tcPr>
          <w:p w14:paraId="18F979D1" w14:textId="77777777" w:rsidR="007A6EF4" w:rsidRPr="00155FDA" w:rsidRDefault="007A6EF4" w:rsidP="00477294">
            <w:pPr>
              <w:rPr>
                <w:sz w:val="20"/>
                <w:szCs w:val="20"/>
              </w:rPr>
            </w:pPr>
            <w:r>
              <w:rPr>
                <w:sz w:val="20"/>
                <w:szCs w:val="20"/>
              </w:rPr>
              <w:t>DFAT, successor program managing contractor</w:t>
            </w:r>
          </w:p>
        </w:tc>
      </w:tr>
      <w:tr w:rsidR="007A6EF4" w:rsidRPr="00155FDA" w14:paraId="5AA2AEE7" w14:textId="77777777" w:rsidTr="00214E92">
        <w:tblPrEx>
          <w:jc w:val="left"/>
          <w:tblLook w:val="04A0" w:firstRow="1" w:lastRow="0" w:firstColumn="1" w:lastColumn="0" w:noHBand="0" w:noVBand="1"/>
        </w:tblPrEx>
        <w:tc>
          <w:tcPr>
            <w:tcW w:w="2965" w:type="dxa"/>
          </w:tcPr>
          <w:p w14:paraId="13B9B6D8" w14:textId="77777777" w:rsidR="007A6EF4" w:rsidRPr="00155FDA" w:rsidRDefault="007A6EF4" w:rsidP="00477294">
            <w:pPr>
              <w:rPr>
                <w:sz w:val="20"/>
                <w:szCs w:val="20"/>
              </w:rPr>
            </w:pPr>
            <w:r w:rsidRPr="00155FDA">
              <w:rPr>
                <w:rFonts w:eastAsiaTheme="minorEastAsia"/>
                <w:b/>
                <w:sz w:val="20"/>
                <w:szCs w:val="20"/>
              </w:rPr>
              <w:t>Recommendation 10</w:t>
            </w:r>
            <w:r w:rsidRPr="00155FDA">
              <w:rPr>
                <w:rFonts w:eastAsiaTheme="minorEastAsia"/>
                <w:sz w:val="20"/>
                <w:szCs w:val="20"/>
              </w:rPr>
              <w:t xml:space="preserve">: </w:t>
            </w:r>
          </w:p>
          <w:p w14:paraId="56A833EA" w14:textId="11EA25CA" w:rsidR="00214E92" w:rsidRPr="00BE4A4E" w:rsidRDefault="007A6EF4" w:rsidP="00477294">
            <w:pPr>
              <w:rPr>
                <w:sz w:val="20"/>
                <w:szCs w:val="20"/>
              </w:rPr>
            </w:pPr>
            <w:r w:rsidRPr="00155FDA">
              <w:rPr>
                <w:sz w:val="20"/>
                <w:szCs w:val="20"/>
              </w:rPr>
              <w:t xml:space="preserve">As one of the lead development partners of </w:t>
            </w:r>
            <w:r>
              <w:rPr>
                <w:sz w:val="20"/>
                <w:szCs w:val="20"/>
              </w:rPr>
              <w:t>the Philippines</w:t>
            </w:r>
            <w:r w:rsidRPr="00155FDA">
              <w:rPr>
                <w:sz w:val="20"/>
                <w:szCs w:val="20"/>
              </w:rPr>
              <w:t xml:space="preserve">, Australia can further </w:t>
            </w:r>
            <w:proofErr w:type="spellStart"/>
            <w:r w:rsidRPr="00155FDA">
              <w:rPr>
                <w:sz w:val="20"/>
                <w:szCs w:val="20"/>
              </w:rPr>
              <w:t>strategise</w:t>
            </w:r>
            <w:proofErr w:type="spellEnd"/>
            <w:r w:rsidRPr="00155FDA">
              <w:rPr>
                <w:sz w:val="20"/>
                <w:szCs w:val="20"/>
              </w:rPr>
              <w:t xml:space="preserve"> how GEDSI can advance in the form of policy, budget, and practice in its key government partners. This will also influence the meaningful execution of GEDSI which can facilitate sustainability over time.</w:t>
            </w:r>
          </w:p>
        </w:tc>
        <w:tc>
          <w:tcPr>
            <w:tcW w:w="861" w:type="dxa"/>
          </w:tcPr>
          <w:p w14:paraId="0DDC81BC" w14:textId="77777777" w:rsidR="007A6EF4" w:rsidRPr="00155FDA" w:rsidRDefault="007A6EF4" w:rsidP="00214E92">
            <w:pPr>
              <w:jc w:val="center"/>
              <w:rPr>
                <w:sz w:val="20"/>
                <w:szCs w:val="20"/>
              </w:rPr>
            </w:pPr>
            <w:r>
              <w:rPr>
                <w:sz w:val="20"/>
                <w:szCs w:val="20"/>
              </w:rPr>
              <w:t>Noted</w:t>
            </w:r>
          </w:p>
        </w:tc>
        <w:tc>
          <w:tcPr>
            <w:tcW w:w="3834" w:type="dxa"/>
          </w:tcPr>
          <w:p w14:paraId="5F69C816" w14:textId="77777777" w:rsidR="007A6EF4" w:rsidRDefault="007A6EF4" w:rsidP="00477294">
            <w:pPr>
              <w:rPr>
                <w:sz w:val="20"/>
                <w:szCs w:val="20"/>
              </w:rPr>
            </w:pPr>
            <w:r>
              <w:rPr>
                <w:sz w:val="20"/>
                <w:szCs w:val="20"/>
              </w:rPr>
              <w:t>See response to Recommendation 3.</w:t>
            </w:r>
          </w:p>
          <w:p w14:paraId="782DD612" w14:textId="77777777" w:rsidR="007A6EF4" w:rsidRDefault="007A6EF4" w:rsidP="00477294">
            <w:pPr>
              <w:rPr>
                <w:sz w:val="20"/>
                <w:szCs w:val="20"/>
              </w:rPr>
            </w:pPr>
          </w:p>
          <w:p w14:paraId="117A67D4" w14:textId="77777777" w:rsidR="007A6EF4" w:rsidRDefault="007A6EF4" w:rsidP="00477294">
            <w:pPr>
              <w:rPr>
                <w:sz w:val="20"/>
                <w:szCs w:val="20"/>
              </w:rPr>
            </w:pPr>
            <w:r>
              <w:rPr>
                <w:sz w:val="20"/>
                <w:szCs w:val="20"/>
              </w:rPr>
              <w:t xml:space="preserve">DFAT recognises the need for REAPs to be proactively linked to policy dialogue. </w:t>
            </w:r>
          </w:p>
          <w:p w14:paraId="1FEDEA16" w14:textId="77777777" w:rsidR="007A6EF4" w:rsidRDefault="007A6EF4" w:rsidP="00477294">
            <w:pPr>
              <w:rPr>
                <w:sz w:val="20"/>
                <w:szCs w:val="20"/>
              </w:rPr>
            </w:pPr>
          </w:p>
          <w:p w14:paraId="053A1F12" w14:textId="77777777" w:rsidR="007A6EF4" w:rsidRPr="00155FDA" w:rsidRDefault="007A6EF4" w:rsidP="00477294">
            <w:pPr>
              <w:rPr>
                <w:sz w:val="20"/>
                <w:szCs w:val="20"/>
              </w:rPr>
            </w:pPr>
            <w:r>
              <w:rPr>
                <w:sz w:val="20"/>
                <w:szCs w:val="20"/>
              </w:rPr>
              <w:t>This recommendation will be reiterated as the successor program is designed and implemented.</w:t>
            </w:r>
          </w:p>
        </w:tc>
        <w:tc>
          <w:tcPr>
            <w:tcW w:w="1605" w:type="dxa"/>
          </w:tcPr>
          <w:p w14:paraId="21C6972F" w14:textId="77777777" w:rsidR="007A6EF4" w:rsidRPr="00155FDA" w:rsidRDefault="007A6EF4" w:rsidP="00477294">
            <w:pPr>
              <w:rPr>
                <w:sz w:val="20"/>
                <w:szCs w:val="20"/>
              </w:rPr>
            </w:pPr>
            <w:r>
              <w:rPr>
                <w:sz w:val="20"/>
                <w:szCs w:val="20"/>
              </w:rPr>
              <w:t>DFAT, successor program managing contractor</w:t>
            </w:r>
          </w:p>
        </w:tc>
      </w:tr>
      <w:tr w:rsidR="007A6EF4" w:rsidRPr="00155FDA" w14:paraId="782AA04E" w14:textId="77777777" w:rsidTr="00214E92">
        <w:tblPrEx>
          <w:jc w:val="left"/>
          <w:tblLook w:val="04A0" w:firstRow="1" w:lastRow="0" w:firstColumn="1" w:lastColumn="0" w:noHBand="0" w:noVBand="1"/>
        </w:tblPrEx>
        <w:trPr>
          <w:trHeight w:val="1682"/>
        </w:trPr>
        <w:tc>
          <w:tcPr>
            <w:tcW w:w="2965" w:type="dxa"/>
          </w:tcPr>
          <w:p w14:paraId="2E1CC30A" w14:textId="77777777" w:rsidR="007A6EF4" w:rsidRPr="00155FDA" w:rsidRDefault="007A6EF4" w:rsidP="00477294">
            <w:pPr>
              <w:rPr>
                <w:rFonts w:eastAsiaTheme="minorEastAsia"/>
                <w:b/>
                <w:sz w:val="20"/>
                <w:szCs w:val="20"/>
              </w:rPr>
            </w:pPr>
            <w:r w:rsidRPr="00155FDA">
              <w:rPr>
                <w:rFonts w:eastAsiaTheme="minorEastAsia"/>
                <w:b/>
                <w:sz w:val="20"/>
                <w:szCs w:val="20"/>
              </w:rPr>
              <w:t>Recommendation 11</w:t>
            </w:r>
            <w:r w:rsidRPr="00155FDA">
              <w:rPr>
                <w:rFonts w:eastAsiaTheme="minorEastAsia"/>
                <w:sz w:val="20"/>
                <w:szCs w:val="20"/>
              </w:rPr>
              <w:t xml:space="preserve">: </w:t>
            </w:r>
            <w:r w:rsidRPr="00155FDA">
              <w:rPr>
                <w:sz w:val="20"/>
                <w:szCs w:val="20"/>
              </w:rPr>
              <w:t>AAAEP</w:t>
            </w:r>
            <w:r>
              <w:rPr>
                <w:sz w:val="20"/>
                <w:szCs w:val="20"/>
              </w:rPr>
              <w:t>-</w:t>
            </w:r>
            <w:r w:rsidRPr="00155FDA">
              <w:rPr>
                <w:sz w:val="20"/>
                <w:szCs w:val="20"/>
              </w:rPr>
              <w:t xml:space="preserve">P should also consider hiring a person with disability as a member of the team, to identify the meaningful points of participation by persons with disabilities as a standard operation procedure. </w:t>
            </w:r>
          </w:p>
        </w:tc>
        <w:tc>
          <w:tcPr>
            <w:tcW w:w="861" w:type="dxa"/>
          </w:tcPr>
          <w:p w14:paraId="2073186C" w14:textId="77777777" w:rsidR="007A6EF4" w:rsidRPr="00155FDA" w:rsidRDefault="007A6EF4" w:rsidP="00214E92">
            <w:pPr>
              <w:jc w:val="center"/>
              <w:rPr>
                <w:sz w:val="20"/>
                <w:szCs w:val="20"/>
              </w:rPr>
            </w:pPr>
            <w:r>
              <w:rPr>
                <w:sz w:val="20"/>
                <w:szCs w:val="20"/>
              </w:rPr>
              <w:t>Noted</w:t>
            </w:r>
          </w:p>
        </w:tc>
        <w:tc>
          <w:tcPr>
            <w:tcW w:w="3834" w:type="dxa"/>
          </w:tcPr>
          <w:p w14:paraId="1C0B29FA" w14:textId="5A3D5E98" w:rsidR="007A6EF4" w:rsidRDefault="007A6EF4" w:rsidP="00477294">
            <w:pPr>
              <w:rPr>
                <w:sz w:val="20"/>
                <w:szCs w:val="20"/>
              </w:rPr>
            </w:pPr>
            <w:r>
              <w:rPr>
                <w:sz w:val="20"/>
                <w:szCs w:val="20"/>
              </w:rPr>
              <w:t>Tetra Tech is</w:t>
            </w:r>
            <w:r w:rsidRPr="00857755">
              <w:rPr>
                <w:sz w:val="20"/>
                <w:szCs w:val="20"/>
              </w:rPr>
              <w:t xml:space="preserve"> an equal opportunities employer and encourages applications from suitably qualified and eligible candidates regardless of</w:t>
            </w:r>
            <w:r>
              <w:rPr>
                <w:sz w:val="20"/>
                <w:szCs w:val="20"/>
              </w:rPr>
              <w:t xml:space="preserve">, among others, </w:t>
            </w:r>
            <w:r w:rsidRPr="00857755">
              <w:rPr>
                <w:sz w:val="20"/>
                <w:szCs w:val="20"/>
              </w:rPr>
              <w:t>disability.</w:t>
            </w:r>
          </w:p>
          <w:p w14:paraId="2798420B" w14:textId="77777777" w:rsidR="00091C20" w:rsidRDefault="00091C20" w:rsidP="00477294">
            <w:pPr>
              <w:rPr>
                <w:sz w:val="20"/>
                <w:szCs w:val="20"/>
              </w:rPr>
            </w:pPr>
          </w:p>
          <w:p w14:paraId="735624DF" w14:textId="6436DBB9" w:rsidR="007A6EF4" w:rsidRPr="00155FDA" w:rsidRDefault="007A6EF4" w:rsidP="00477294">
            <w:pPr>
              <w:rPr>
                <w:sz w:val="20"/>
                <w:szCs w:val="20"/>
              </w:rPr>
            </w:pPr>
            <w:r>
              <w:rPr>
                <w:sz w:val="20"/>
                <w:szCs w:val="20"/>
              </w:rPr>
              <w:t>The same will be expected for the managing contractor of the successor program.</w:t>
            </w:r>
          </w:p>
        </w:tc>
        <w:tc>
          <w:tcPr>
            <w:tcW w:w="1605" w:type="dxa"/>
          </w:tcPr>
          <w:p w14:paraId="4AD18309" w14:textId="77777777" w:rsidR="007A6EF4" w:rsidRDefault="007A6EF4" w:rsidP="00477294">
            <w:pPr>
              <w:rPr>
                <w:sz w:val="20"/>
                <w:szCs w:val="20"/>
              </w:rPr>
            </w:pPr>
            <w:r>
              <w:rPr>
                <w:sz w:val="20"/>
                <w:szCs w:val="20"/>
              </w:rPr>
              <w:t>Tetra Tech</w:t>
            </w:r>
          </w:p>
          <w:p w14:paraId="629CCC34" w14:textId="77777777" w:rsidR="007A6EF4" w:rsidRDefault="007A6EF4" w:rsidP="00477294">
            <w:pPr>
              <w:rPr>
                <w:sz w:val="20"/>
                <w:szCs w:val="20"/>
              </w:rPr>
            </w:pPr>
          </w:p>
          <w:p w14:paraId="3452E239" w14:textId="77777777" w:rsidR="007A6EF4" w:rsidRDefault="007A6EF4" w:rsidP="00477294">
            <w:pPr>
              <w:rPr>
                <w:sz w:val="20"/>
                <w:szCs w:val="20"/>
              </w:rPr>
            </w:pPr>
          </w:p>
          <w:p w14:paraId="62BE21E3" w14:textId="77777777" w:rsidR="007A6EF4" w:rsidRDefault="007A6EF4" w:rsidP="00477294">
            <w:pPr>
              <w:rPr>
                <w:sz w:val="20"/>
                <w:szCs w:val="20"/>
              </w:rPr>
            </w:pPr>
          </w:p>
          <w:p w14:paraId="76F55612" w14:textId="77777777" w:rsidR="00214E92" w:rsidRDefault="00214E92" w:rsidP="00477294">
            <w:pPr>
              <w:rPr>
                <w:sz w:val="20"/>
                <w:szCs w:val="20"/>
              </w:rPr>
            </w:pPr>
          </w:p>
          <w:p w14:paraId="64544783" w14:textId="77777777" w:rsidR="00214E92" w:rsidRDefault="00214E92" w:rsidP="00477294">
            <w:pPr>
              <w:rPr>
                <w:sz w:val="20"/>
                <w:szCs w:val="20"/>
              </w:rPr>
            </w:pPr>
            <w:r>
              <w:rPr>
                <w:sz w:val="20"/>
                <w:szCs w:val="20"/>
              </w:rPr>
              <w:t xml:space="preserve"> </w:t>
            </w:r>
          </w:p>
          <w:p w14:paraId="3326F24F" w14:textId="551A12E9" w:rsidR="007A6EF4" w:rsidRPr="00155FDA" w:rsidRDefault="007A6EF4" w:rsidP="00477294">
            <w:pPr>
              <w:rPr>
                <w:sz w:val="20"/>
                <w:szCs w:val="20"/>
              </w:rPr>
            </w:pPr>
            <w:r>
              <w:rPr>
                <w:sz w:val="20"/>
                <w:szCs w:val="20"/>
              </w:rPr>
              <w:t>Successor program managing contractor</w:t>
            </w:r>
          </w:p>
        </w:tc>
      </w:tr>
    </w:tbl>
    <w:p w14:paraId="29AD3D4C" w14:textId="77777777" w:rsidR="00EF60BF" w:rsidRDefault="00EF60BF"/>
    <w:sectPr w:rsidR="00EF60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AD3C" w14:textId="77777777" w:rsidR="008E0CA5" w:rsidRDefault="008E0CA5" w:rsidP="00155FDA">
      <w:pPr>
        <w:spacing w:after="0"/>
      </w:pPr>
      <w:r>
        <w:separator/>
      </w:r>
    </w:p>
  </w:endnote>
  <w:endnote w:type="continuationSeparator" w:id="0">
    <w:p w14:paraId="1E1AE449" w14:textId="77777777" w:rsidR="008E0CA5" w:rsidRDefault="008E0CA5" w:rsidP="00155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253217"/>
      <w:docPartObj>
        <w:docPartGallery w:val="Page Numbers (Bottom of Page)"/>
        <w:docPartUnique/>
      </w:docPartObj>
    </w:sdtPr>
    <w:sdtEndPr/>
    <w:sdtContent>
      <w:sdt>
        <w:sdtPr>
          <w:id w:val="1728636285"/>
          <w:docPartObj>
            <w:docPartGallery w:val="Page Numbers (Top of Page)"/>
            <w:docPartUnique/>
          </w:docPartObj>
        </w:sdtPr>
        <w:sdtEndPr/>
        <w:sdtContent>
          <w:p w14:paraId="2CCAAA44" w14:textId="0816CFF7" w:rsidR="00B40184" w:rsidRDefault="00B40184" w:rsidP="00B4018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AC10" w14:textId="77777777" w:rsidR="008E0CA5" w:rsidRDefault="008E0CA5" w:rsidP="00155FDA">
      <w:pPr>
        <w:spacing w:after="0"/>
      </w:pPr>
      <w:r>
        <w:separator/>
      </w:r>
    </w:p>
  </w:footnote>
  <w:footnote w:type="continuationSeparator" w:id="0">
    <w:p w14:paraId="252211F2" w14:textId="77777777" w:rsidR="008E0CA5" w:rsidRDefault="008E0CA5" w:rsidP="00155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86E55"/>
    <w:multiLevelType w:val="hybridMultilevel"/>
    <w:tmpl w:val="8F369144"/>
    <w:lvl w:ilvl="0" w:tplc="A58202D2">
      <w:start w:val="1"/>
      <w:numFmt w:val="bullet"/>
      <w:lvlText w:val="›"/>
      <w:lvlJc w:val="left"/>
      <w:pPr>
        <w:ind w:left="720" w:hanging="360"/>
      </w:pPr>
      <w:rPr>
        <w:rFonts w:ascii="Calibri Light" w:hAnsi="Calibri Light" w:hint="default"/>
        <w:color w:val="002060"/>
      </w:rPr>
    </w:lvl>
    <w:lvl w:ilvl="1" w:tplc="0060AF52">
      <w:start w:val="1"/>
      <w:numFmt w:val="bullet"/>
      <w:lvlText w:val=""/>
      <w:lvlJc w:val="left"/>
      <w:pPr>
        <w:ind w:left="1440" w:hanging="360"/>
      </w:pPr>
      <w:rPr>
        <w:rFonts w:ascii="Symbol" w:hAnsi="Symbol" w:hint="default"/>
        <w:color w:val="7F7F7F" w:themeColor="text1" w:themeTint="80"/>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09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DA"/>
    <w:rsid w:val="00004DF9"/>
    <w:rsid w:val="00056153"/>
    <w:rsid w:val="00091C20"/>
    <w:rsid w:val="000C795B"/>
    <w:rsid w:val="000D083A"/>
    <w:rsid w:val="00155FDA"/>
    <w:rsid w:val="00166570"/>
    <w:rsid w:val="001773E2"/>
    <w:rsid w:val="00177F3C"/>
    <w:rsid w:val="0020693D"/>
    <w:rsid w:val="00214E92"/>
    <w:rsid w:val="00340830"/>
    <w:rsid w:val="00345179"/>
    <w:rsid w:val="003A64F7"/>
    <w:rsid w:val="003B689F"/>
    <w:rsid w:val="003B78D9"/>
    <w:rsid w:val="004277CF"/>
    <w:rsid w:val="00436762"/>
    <w:rsid w:val="00453C58"/>
    <w:rsid w:val="00467725"/>
    <w:rsid w:val="004919BA"/>
    <w:rsid w:val="004926A6"/>
    <w:rsid w:val="004B2087"/>
    <w:rsid w:val="004C172E"/>
    <w:rsid w:val="005444CA"/>
    <w:rsid w:val="00545AE3"/>
    <w:rsid w:val="005B519E"/>
    <w:rsid w:val="005D776B"/>
    <w:rsid w:val="00622C05"/>
    <w:rsid w:val="00653482"/>
    <w:rsid w:val="00671630"/>
    <w:rsid w:val="006B01D7"/>
    <w:rsid w:val="006C6FD7"/>
    <w:rsid w:val="006F0C22"/>
    <w:rsid w:val="00701C02"/>
    <w:rsid w:val="00723E23"/>
    <w:rsid w:val="00726C3F"/>
    <w:rsid w:val="007753C0"/>
    <w:rsid w:val="007A6EF4"/>
    <w:rsid w:val="007C0296"/>
    <w:rsid w:val="007F0693"/>
    <w:rsid w:val="007F3C43"/>
    <w:rsid w:val="00814050"/>
    <w:rsid w:val="00857755"/>
    <w:rsid w:val="008A5FAF"/>
    <w:rsid w:val="008C2FDB"/>
    <w:rsid w:val="008E0CA5"/>
    <w:rsid w:val="008F7BAD"/>
    <w:rsid w:val="00921974"/>
    <w:rsid w:val="009511E6"/>
    <w:rsid w:val="0097201E"/>
    <w:rsid w:val="009D7049"/>
    <w:rsid w:val="009F43E0"/>
    <w:rsid w:val="00A00DC4"/>
    <w:rsid w:val="00A1443F"/>
    <w:rsid w:val="00A50DC3"/>
    <w:rsid w:val="00A55ED3"/>
    <w:rsid w:val="00A73AF3"/>
    <w:rsid w:val="00A77255"/>
    <w:rsid w:val="00A80EBB"/>
    <w:rsid w:val="00A858C3"/>
    <w:rsid w:val="00A94D8D"/>
    <w:rsid w:val="00AA56EE"/>
    <w:rsid w:val="00AC6BB8"/>
    <w:rsid w:val="00B02660"/>
    <w:rsid w:val="00B40184"/>
    <w:rsid w:val="00B4676C"/>
    <w:rsid w:val="00B740C6"/>
    <w:rsid w:val="00BB1102"/>
    <w:rsid w:val="00BE4A4E"/>
    <w:rsid w:val="00C109D8"/>
    <w:rsid w:val="00C17DE9"/>
    <w:rsid w:val="00C262D3"/>
    <w:rsid w:val="00C43937"/>
    <w:rsid w:val="00C75BE3"/>
    <w:rsid w:val="00CF7FC7"/>
    <w:rsid w:val="00D13A1B"/>
    <w:rsid w:val="00D32312"/>
    <w:rsid w:val="00D62857"/>
    <w:rsid w:val="00DC52FF"/>
    <w:rsid w:val="00DF013C"/>
    <w:rsid w:val="00E10DE4"/>
    <w:rsid w:val="00E11E04"/>
    <w:rsid w:val="00E71964"/>
    <w:rsid w:val="00EF60BF"/>
    <w:rsid w:val="00F73804"/>
    <w:rsid w:val="00FB0C91"/>
    <w:rsid w:val="00FC408F"/>
    <w:rsid w:val="00FD70CC"/>
    <w:rsid w:val="00FE0EA6"/>
    <w:rsid w:val="00FF6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5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4E"/>
    <w:pPr>
      <w:suppressAutoHyphens/>
      <w:spacing w:line="240" w:lineRule="auto"/>
    </w:pPr>
    <w:rPr>
      <w:sz w:val="24"/>
      <w:szCs w:val="24"/>
      <w:lang w:eastAsia="en-GB"/>
    </w:rPr>
  </w:style>
  <w:style w:type="paragraph" w:styleId="Heading1">
    <w:name w:val="heading 1"/>
    <w:basedOn w:val="Normal"/>
    <w:next w:val="Normal"/>
    <w:link w:val="Heading1Char"/>
    <w:uiPriority w:val="9"/>
    <w:qFormat/>
    <w:rsid w:val="00FB0C91"/>
    <w:pPr>
      <w:outlineLvl w:val="0"/>
    </w:pPr>
    <w:rPr>
      <w:b/>
      <w:bCs/>
    </w:rPr>
  </w:style>
  <w:style w:type="paragraph" w:styleId="Heading2">
    <w:name w:val="heading 2"/>
    <w:basedOn w:val="Normal"/>
    <w:next w:val="Normal"/>
    <w:link w:val="Heading2Char"/>
    <w:uiPriority w:val="9"/>
    <w:unhideWhenUsed/>
    <w:qFormat/>
    <w:rsid w:val="00FB0C91"/>
    <w:pPr>
      <w:outlineLvl w:val="1"/>
    </w:pPr>
    <w:rPr>
      <w:b/>
      <w:bCs/>
    </w:rPr>
  </w:style>
  <w:style w:type="paragraph" w:styleId="Heading3">
    <w:name w:val="heading 3"/>
    <w:basedOn w:val="Normal"/>
    <w:next w:val="Normal"/>
    <w:link w:val="Heading3Char"/>
    <w:uiPriority w:val="9"/>
    <w:semiHidden/>
    <w:unhideWhenUsed/>
    <w:qFormat/>
    <w:rsid w:val="00155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C91"/>
    <w:rPr>
      <w:b/>
      <w:bCs/>
      <w:sz w:val="24"/>
      <w:szCs w:val="24"/>
      <w:lang w:eastAsia="en-GB"/>
    </w:rPr>
  </w:style>
  <w:style w:type="character" w:customStyle="1" w:styleId="Heading2Char">
    <w:name w:val="Heading 2 Char"/>
    <w:basedOn w:val="DefaultParagraphFont"/>
    <w:link w:val="Heading2"/>
    <w:uiPriority w:val="9"/>
    <w:rsid w:val="00FB0C91"/>
    <w:rPr>
      <w:b/>
      <w:bCs/>
      <w:sz w:val="24"/>
      <w:szCs w:val="24"/>
      <w:lang w:eastAsia="en-GB"/>
    </w:rPr>
  </w:style>
  <w:style w:type="character" w:customStyle="1" w:styleId="Heading3Char">
    <w:name w:val="Heading 3 Char"/>
    <w:basedOn w:val="DefaultParagraphFont"/>
    <w:link w:val="Heading3"/>
    <w:uiPriority w:val="9"/>
    <w:semiHidden/>
    <w:rsid w:val="00155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FDA"/>
    <w:rPr>
      <w:rFonts w:eastAsiaTheme="majorEastAsia" w:cstheme="majorBidi"/>
      <w:color w:val="272727" w:themeColor="text1" w:themeTint="D8"/>
    </w:rPr>
  </w:style>
  <w:style w:type="paragraph" w:styleId="Title">
    <w:name w:val="Title"/>
    <w:basedOn w:val="Normal"/>
    <w:next w:val="Normal"/>
    <w:link w:val="TitleChar"/>
    <w:uiPriority w:val="10"/>
    <w:qFormat/>
    <w:rsid w:val="00155F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FDA"/>
    <w:pPr>
      <w:spacing w:before="160"/>
      <w:jc w:val="center"/>
    </w:pPr>
    <w:rPr>
      <w:i/>
      <w:iCs/>
      <w:color w:val="404040" w:themeColor="text1" w:themeTint="BF"/>
    </w:rPr>
  </w:style>
  <w:style w:type="character" w:customStyle="1" w:styleId="QuoteChar">
    <w:name w:val="Quote Char"/>
    <w:basedOn w:val="DefaultParagraphFont"/>
    <w:link w:val="Quote"/>
    <w:uiPriority w:val="29"/>
    <w:rsid w:val="00155FDA"/>
    <w:rPr>
      <w:i/>
      <w:iCs/>
      <w:color w:val="404040" w:themeColor="text1" w:themeTint="BF"/>
    </w:rPr>
  </w:style>
  <w:style w:type="paragraph" w:styleId="ListParagraph">
    <w:name w:val="List Paragraph"/>
    <w:aliases w:val="List Paragraph1,List Paragraph11,L,Recommendation,CV text,List Paragraph2,F5 List Paragraph,Dot pt,List Paragraph111,Medium Grid 1 - Accent 21,Numbered Paragraph,Bullet text,Bulleted Para,NFP GP Bulleted List,FooterText,列出段落1"/>
    <w:basedOn w:val="Normal"/>
    <w:link w:val="ListParagraphChar"/>
    <w:uiPriority w:val="34"/>
    <w:qFormat/>
    <w:rsid w:val="00155FDA"/>
    <w:pPr>
      <w:ind w:left="720"/>
      <w:contextualSpacing/>
    </w:pPr>
  </w:style>
  <w:style w:type="character" w:styleId="IntenseEmphasis">
    <w:name w:val="Intense Emphasis"/>
    <w:basedOn w:val="DefaultParagraphFont"/>
    <w:uiPriority w:val="21"/>
    <w:qFormat/>
    <w:rsid w:val="00155FDA"/>
    <w:rPr>
      <w:i/>
      <w:iCs/>
      <w:color w:val="0F4761" w:themeColor="accent1" w:themeShade="BF"/>
    </w:rPr>
  </w:style>
  <w:style w:type="paragraph" w:styleId="IntenseQuote">
    <w:name w:val="Intense Quote"/>
    <w:basedOn w:val="Normal"/>
    <w:next w:val="Normal"/>
    <w:link w:val="IntenseQuoteChar"/>
    <w:uiPriority w:val="30"/>
    <w:qFormat/>
    <w:rsid w:val="00155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FDA"/>
    <w:rPr>
      <w:i/>
      <w:iCs/>
      <w:color w:val="0F4761" w:themeColor="accent1" w:themeShade="BF"/>
    </w:rPr>
  </w:style>
  <w:style w:type="character" w:styleId="IntenseReference">
    <w:name w:val="Intense Reference"/>
    <w:basedOn w:val="DefaultParagraphFont"/>
    <w:uiPriority w:val="32"/>
    <w:qFormat/>
    <w:rsid w:val="00155FDA"/>
    <w:rPr>
      <w:b/>
      <w:bCs/>
      <w:smallCaps/>
      <w:color w:val="0F4761" w:themeColor="accent1" w:themeShade="BF"/>
      <w:spacing w:val="5"/>
    </w:rPr>
  </w:style>
  <w:style w:type="table" w:styleId="TableGrid">
    <w:name w:val="Table Grid"/>
    <w:basedOn w:val="TableNormal"/>
    <w:uiPriority w:val="39"/>
    <w:rsid w:val="0015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 Char,Recommendation Char,CV text Char,List Paragraph2 Char,F5 List Paragraph Char,Dot pt Char,List Paragraph111 Char,Medium Grid 1 - Accent 21 Char,Numbered Paragraph Char,Bullet text Char"/>
    <w:link w:val="ListParagraph"/>
    <w:uiPriority w:val="34"/>
    <w:qFormat/>
    <w:rsid w:val="00155FDA"/>
  </w:style>
  <w:style w:type="paragraph" w:styleId="FootnoteText">
    <w:name w:val="footnote text"/>
    <w:basedOn w:val="Normal"/>
    <w:link w:val="FootnoteTextChar"/>
    <w:uiPriority w:val="99"/>
    <w:unhideWhenUsed/>
    <w:rsid w:val="00155FDA"/>
    <w:rPr>
      <w:sz w:val="20"/>
      <w:szCs w:val="20"/>
    </w:rPr>
  </w:style>
  <w:style w:type="character" w:customStyle="1" w:styleId="FootnoteTextChar">
    <w:name w:val="Footnote Text Char"/>
    <w:basedOn w:val="DefaultParagraphFont"/>
    <w:link w:val="FootnoteText"/>
    <w:uiPriority w:val="99"/>
    <w:rsid w:val="00155FDA"/>
    <w:rPr>
      <w:sz w:val="20"/>
      <w:szCs w:val="20"/>
      <w:lang w:eastAsia="en-GB"/>
    </w:rPr>
  </w:style>
  <w:style w:type="character" w:styleId="FootnoteReference">
    <w:name w:val="footnote reference"/>
    <w:aliases w:val="ftref,footnote ref,16 Point,Superscript 6 Point,Fußnotenzeichen DISS,fr,BVI fnr,(NECG) Footnote Reference,Char Char Char Char Car Char"/>
    <w:basedOn w:val="DefaultParagraphFont"/>
    <w:uiPriority w:val="99"/>
    <w:unhideWhenUsed/>
    <w:rsid w:val="00155FDA"/>
    <w:rPr>
      <w:vertAlign w:val="superscript"/>
    </w:rPr>
  </w:style>
  <w:style w:type="paragraph" w:styleId="Header">
    <w:name w:val="header"/>
    <w:basedOn w:val="Normal"/>
    <w:link w:val="HeaderChar"/>
    <w:uiPriority w:val="99"/>
    <w:unhideWhenUsed/>
    <w:rsid w:val="00B40184"/>
    <w:pPr>
      <w:tabs>
        <w:tab w:val="center" w:pos="4513"/>
        <w:tab w:val="right" w:pos="9026"/>
      </w:tabs>
      <w:spacing w:after="0"/>
    </w:pPr>
  </w:style>
  <w:style w:type="character" w:customStyle="1" w:styleId="HeaderChar">
    <w:name w:val="Header Char"/>
    <w:basedOn w:val="DefaultParagraphFont"/>
    <w:link w:val="Header"/>
    <w:uiPriority w:val="99"/>
    <w:rsid w:val="00B40184"/>
    <w:rPr>
      <w:sz w:val="24"/>
      <w:szCs w:val="24"/>
      <w:lang w:eastAsia="en-GB"/>
    </w:rPr>
  </w:style>
  <w:style w:type="paragraph" w:styleId="Footer">
    <w:name w:val="footer"/>
    <w:basedOn w:val="Normal"/>
    <w:link w:val="FooterChar"/>
    <w:uiPriority w:val="99"/>
    <w:unhideWhenUsed/>
    <w:rsid w:val="00B40184"/>
    <w:pPr>
      <w:tabs>
        <w:tab w:val="center" w:pos="4513"/>
        <w:tab w:val="right" w:pos="9026"/>
      </w:tabs>
      <w:spacing w:after="0"/>
    </w:pPr>
  </w:style>
  <w:style w:type="character" w:customStyle="1" w:styleId="FooterChar">
    <w:name w:val="Footer Char"/>
    <w:basedOn w:val="DefaultParagraphFont"/>
    <w:link w:val="Footer"/>
    <w:uiPriority w:val="99"/>
    <w:rsid w:val="00B40184"/>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515717">
      <w:bodyDiv w:val="1"/>
      <w:marLeft w:val="0"/>
      <w:marRight w:val="0"/>
      <w:marTop w:val="0"/>
      <w:marBottom w:val="0"/>
      <w:divBdr>
        <w:top w:val="none" w:sz="0" w:space="0" w:color="auto"/>
        <w:left w:val="none" w:sz="0" w:space="0" w:color="auto"/>
        <w:bottom w:val="none" w:sz="0" w:space="0" w:color="auto"/>
        <w:right w:val="none" w:sz="0" w:space="0" w:color="auto"/>
      </w:divBdr>
    </w:div>
    <w:div w:id="12380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6744</Characters>
  <Application>Microsoft Office Word</Application>
  <DocSecurity>0</DocSecurity>
  <Lines>329</Lines>
  <Paragraphs>73</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and Management Response arising from the Australia Awards and Alumni Engagement Program-Philippines Final Program Evaluation</dc:title>
  <dc:subject/>
  <dc:creator/>
  <cp:keywords>[SEC=OFFICIAL]</cp:keywords>
  <dc:description/>
  <cp:lastModifiedBy/>
  <cp:revision>1</cp:revision>
  <dcterms:created xsi:type="dcterms:W3CDTF">2025-06-24T23:56:00Z</dcterms:created>
  <dcterms:modified xsi:type="dcterms:W3CDTF">2025-06-24T23:56:00Z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v=2022.1;a=SHA256;h=DE0F71DC6624578640F27DBD93ED74FD26B7AEA1EA2D3A8793D667036D9C3011</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2025-04-09T07:42:01Z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3DA3A8C10DB741A59B8C352389904781</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0D0DB3522FE2DFEA447E3C25BB825492</vt:lpwstr>
  </property>
  <property fmtid="{D5CDD505-2E9C-101B-9397-08002B2CF9AE}" pid="24" name="PM_Hash_Salt">
    <vt:lpwstr>E3A08F42D26670EDA3CC67CA7C9E5E60</vt:lpwstr>
  </property>
  <property fmtid="{D5CDD505-2E9C-101B-9397-08002B2CF9AE}" pid="25" name="PM_Hash_SHA1">
    <vt:lpwstr>F33DEACCBA4FAD41455B8564B97B43B2619E4F05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