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F6D2C" w14:textId="77777777" w:rsidR="00D4311F" w:rsidRDefault="00D4311F" w:rsidP="002820BE">
      <w:pPr>
        <w:pStyle w:val="Heading1"/>
        <w:spacing w:before="0" w:line="240" w:lineRule="auto"/>
        <w:jc w:val="both"/>
        <w:rPr>
          <w:rFonts w:cstheme="majorHAnsi"/>
          <w:sz w:val="32"/>
        </w:rPr>
      </w:pPr>
    </w:p>
    <w:p w14:paraId="2CF593B5" w14:textId="04CD7BB4" w:rsidR="00EA25DF" w:rsidRPr="00D4311F" w:rsidRDefault="00F66E72" w:rsidP="002820BE">
      <w:pPr>
        <w:pStyle w:val="Heading1"/>
        <w:spacing w:before="0" w:line="240" w:lineRule="auto"/>
        <w:jc w:val="both"/>
        <w:rPr>
          <w:rFonts w:cstheme="majorHAnsi"/>
          <w:sz w:val="22"/>
          <w:szCs w:val="22"/>
          <w:lang w:val="en-NZ"/>
        </w:rPr>
      </w:pPr>
      <w:r w:rsidRPr="00297868">
        <w:rPr>
          <w:rFonts w:cstheme="majorHAnsi"/>
          <w:color w:val="auto"/>
          <w:sz w:val="32"/>
        </w:rPr>
        <w:t xml:space="preserve">Overview: </w:t>
      </w:r>
      <w:r w:rsidR="00D12FE7" w:rsidRPr="00297868">
        <w:rPr>
          <w:rFonts w:cstheme="majorHAnsi"/>
          <w:color w:val="auto"/>
          <w:sz w:val="32"/>
        </w:rPr>
        <w:t>T</w:t>
      </w:r>
      <w:r w:rsidR="00427EC5" w:rsidRPr="00297868">
        <w:rPr>
          <w:rFonts w:cstheme="majorHAnsi"/>
          <w:color w:val="auto"/>
          <w:sz w:val="32"/>
        </w:rPr>
        <w:t>he Regional Comprehensive Economic Partnership</w:t>
      </w:r>
      <w:r w:rsidR="00EA25DF" w:rsidRPr="00297868">
        <w:rPr>
          <w:rFonts w:cstheme="majorHAnsi"/>
          <w:color w:val="auto"/>
          <w:sz w:val="32"/>
        </w:rPr>
        <w:t xml:space="preserve"> (RCEP)</w:t>
      </w:r>
    </w:p>
    <w:p w14:paraId="2C3ED830" w14:textId="77777777" w:rsidR="00EA25DF" w:rsidRPr="00297868" w:rsidRDefault="00EA25DF" w:rsidP="00297868">
      <w:pPr>
        <w:pStyle w:val="Heading2"/>
      </w:pPr>
    </w:p>
    <w:p w14:paraId="65A7399B" w14:textId="6B2A68CA" w:rsidR="00427EC5" w:rsidRPr="00297868" w:rsidRDefault="00D12FE7" w:rsidP="00297868">
      <w:pPr>
        <w:pStyle w:val="Heading2"/>
      </w:pPr>
      <w:r w:rsidRPr="00297868">
        <w:t xml:space="preserve">What is </w:t>
      </w:r>
      <w:r w:rsidR="00EA25DF" w:rsidRPr="00297868">
        <w:t>RCEP</w:t>
      </w:r>
      <w:r w:rsidR="00427EC5" w:rsidRPr="00297868">
        <w:t>?</w:t>
      </w:r>
      <w:bookmarkStart w:id="0" w:name="_GoBack"/>
      <w:bookmarkEnd w:id="0"/>
    </w:p>
    <w:p w14:paraId="4B25D0F1" w14:textId="77777777" w:rsidR="00D4311F" w:rsidRDefault="00D4311F" w:rsidP="002820BE">
      <w:pPr>
        <w:pStyle w:val="NormalWeb"/>
        <w:spacing w:before="0" w:beforeAutospacing="0" w:after="0" w:afterAutospacing="0"/>
        <w:jc w:val="both"/>
        <w:rPr>
          <w:rFonts w:asciiTheme="majorHAnsi" w:hAnsiTheme="majorHAnsi" w:cstheme="majorHAnsi"/>
          <w:sz w:val="22"/>
          <w:szCs w:val="22"/>
          <w:lang w:val="en-NZ"/>
        </w:rPr>
      </w:pPr>
    </w:p>
    <w:p w14:paraId="1CBDA4C1" w14:textId="7608D023" w:rsidR="00427EC5" w:rsidRPr="00D4311F" w:rsidRDefault="00EA25DF" w:rsidP="002820BE">
      <w:pPr>
        <w:pStyle w:val="NormalWeb"/>
        <w:spacing w:before="0" w:beforeAutospacing="0" w:after="0" w:afterAutospacing="0"/>
        <w:jc w:val="both"/>
        <w:rPr>
          <w:rFonts w:asciiTheme="majorHAnsi" w:hAnsiTheme="majorHAnsi" w:cstheme="majorHAnsi"/>
          <w:sz w:val="22"/>
          <w:szCs w:val="22"/>
          <w:lang w:val="en-NZ"/>
        </w:rPr>
      </w:pPr>
      <w:r w:rsidRPr="00D4311F">
        <w:rPr>
          <w:rFonts w:asciiTheme="majorHAnsi" w:hAnsiTheme="majorHAnsi" w:cstheme="majorHAnsi"/>
          <w:sz w:val="22"/>
          <w:szCs w:val="22"/>
          <w:lang w:val="en-NZ"/>
        </w:rPr>
        <w:t>RCEP</w:t>
      </w:r>
      <w:r w:rsidR="00427EC5" w:rsidRPr="00D4311F">
        <w:rPr>
          <w:rFonts w:asciiTheme="majorHAnsi" w:hAnsiTheme="majorHAnsi" w:cstheme="majorHAnsi"/>
          <w:sz w:val="22"/>
          <w:szCs w:val="22"/>
          <w:lang w:val="en-NZ"/>
        </w:rPr>
        <w:t xml:space="preserve"> is a regional free trade agreement that </w:t>
      </w:r>
      <w:r w:rsidR="00205DE2" w:rsidRPr="00D4311F">
        <w:rPr>
          <w:rFonts w:asciiTheme="majorHAnsi" w:hAnsiTheme="majorHAnsi" w:cstheme="majorHAnsi"/>
          <w:sz w:val="22"/>
          <w:szCs w:val="22"/>
          <w:lang w:val="en-NZ"/>
        </w:rPr>
        <w:t>will</w:t>
      </w:r>
      <w:r w:rsidR="00427EC5" w:rsidRPr="00D4311F">
        <w:rPr>
          <w:rFonts w:asciiTheme="majorHAnsi" w:hAnsiTheme="majorHAnsi" w:cstheme="majorHAnsi"/>
          <w:sz w:val="22"/>
          <w:szCs w:val="22"/>
          <w:lang w:val="en-NZ"/>
        </w:rPr>
        <w:t xml:space="preserve"> </w:t>
      </w:r>
      <w:r w:rsidR="0029095A" w:rsidRPr="00D4311F">
        <w:rPr>
          <w:rFonts w:asciiTheme="majorHAnsi" w:hAnsiTheme="majorHAnsi" w:cstheme="majorHAnsi"/>
          <w:sz w:val="22"/>
          <w:szCs w:val="22"/>
          <w:lang w:val="en-NZ"/>
        </w:rPr>
        <w:t>complement and build upon</w:t>
      </w:r>
      <w:r w:rsidR="00427EC5" w:rsidRPr="00D4311F">
        <w:rPr>
          <w:rFonts w:asciiTheme="majorHAnsi" w:hAnsiTheme="majorHAnsi" w:cstheme="majorHAnsi"/>
          <w:sz w:val="22"/>
          <w:szCs w:val="22"/>
          <w:lang w:val="en-NZ"/>
        </w:rPr>
        <w:t xml:space="preserve"> </w:t>
      </w:r>
      <w:r w:rsidR="00A36BAA" w:rsidRPr="00D4311F">
        <w:rPr>
          <w:rFonts w:asciiTheme="majorHAnsi" w:hAnsiTheme="majorHAnsi" w:cstheme="majorHAnsi"/>
          <w:sz w:val="22"/>
          <w:szCs w:val="22"/>
          <w:lang w:val="en-NZ"/>
        </w:rPr>
        <w:t xml:space="preserve">Australia’s </w:t>
      </w:r>
      <w:r w:rsidR="00427EC5" w:rsidRPr="00D4311F">
        <w:rPr>
          <w:rFonts w:asciiTheme="majorHAnsi" w:hAnsiTheme="majorHAnsi" w:cstheme="majorHAnsi"/>
          <w:sz w:val="22"/>
          <w:szCs w:val="22"/>
          <w:lang w:val="en-NZ"/>
        </w:rPr>
        <w:t xml:space="preserve">existing </w:t>
      </w:r>
      <w:r w:rsidR="00DE2F14" w:rsidRPr="00D4311F">
        <w:rPr>
          <w:rFonts w:asciiTheme="majorHAnsi" w:hAnsiTheme="majorHAnsi" w:cstheme="majorHAnsi"/>
          <w:sz w:val="22"/>
          <w:szCs w:val="22"/>
          <w:lang w:val="en-NZ"/>
        </w:rPr>
        <w:t xml:space="preserve">free trade agreements </w:t>
      </w:r>
      <w:r w:rsidR="00205DE2" w:rsidRPr="00D4311F">
        <w:rPr>
          <w:rFonts w:asciiTheme="majorHAnsi" w:hAnsiTheme="majorHAnsi" w:cstheme="majorHAnsi"/>
          <w:sz w:val="22"/>
          <w:szCs w:val="22"/>
          <w:lang w:val="en-NZ"/>
        </w:rPr>
        <w:t>with 14</w:t>
      </w:r>
      <w:r w:rsidR="00801781" w:rsidRPr="00D4311F">
        <w:rPr>
          <w:rFonts w:asciiTheme="majorHAnsi" w:hAnsiTheme="majorHAnsi" w:cstheme="majorHAnsi"/>
          <w:sz w:val="22"/>
          <w:szCs w:val="22"/>
          <w:lang w:val="en-NZ"/>
        </w:rPr>
        <w:t xml:space="preserve"> other</w:t>
      </w:r>
      <w:r w:rsidRPr="00D4311F">
        <w:rPr>
          <w:rFonts w:asciiTheme="majorHAnsi" w:hAnsiTheme="majorHAnsi" w:cstheme="majorHAnsi"/>
          <w:sz w:val="22"/>
          <w:szCs w:val="22"/>
          <w:lang w:val="en-NZ"/>
        </w:rPr>
        <w:t xml:space="preserve"> Indo-Pacific countries. It </w:t>
      </w:r>
      <w:r w:rsidR="00801781" w:rsidRPr="00D4311F">
        <w:rPr>
          <w:rFonts w:asciiTheme="majorHAnsi" w:hAnsiTheme="majorHAnsi" w:cstheme="majorHAnsi"/>
          <w:sz w:val="22"/>
          <w:szCs w:val="22"/>
          <w:lang w:val="en-US"/>
        </w:rPr>
        <w:t>is a modern</w:t>
      </w:r>
      <w:r w:rsidR="00DE2F14" w:rsidRPr="00D4311F">
        <w:rPr>
          <w:rFonts w:asciiTheme="majorHAnsi" w:hAnsiTheme="majorHAnsi" w:cstheme="majorHAnsi"/>
          <w:sz w:val="22"/>
          <w:szCs w:val="22"/>
          <w:lang w:val="en-US"/>
        </w:rPr>
        <w:t xml:space="preserve"> and</w:t>
      </w:r>
      <w:r w:rsidR="00801781" w:rsidRPr="00D4311F">
        <w:rPr>
          <w:rFonts w:asciiTheme="majorHAnsi" w:hAnsiTheme="majorHAnsi" w:cstheme="majorHAnsi"/>
          <w:sz w:val="22"/>
          <w:szCs w:val="22"/>
          <w:lang w:val="en-US"/>
        </w:rPr>
        <w:t xml:space="preserve"> comprehensive free trade agreement covering trade in goods, trade in services, investment, economic and technical cooperation, and new rules for </w:t>
      </w:r>
      <w:r w:rsidR="00DE2F14" w:rsidRPr="00D4311F">
        <w:rPr>
          <w:rFonts w:asciiTheme="majorHAnsi" w:hAnsiTheme="majorHAnsi" w:cstheme="majorHAnsi"/>
          <w:sz w:val="22"/>
          <w:szCs w:val="22"/>
          <w:lang w:val="en-US"/>
        </w:rPr>
        <w:t>electronic commerce,</w:t>
      </w:r>
      <w:r w:rsidR="00DE2F14" w:rsidRPr="00D4311F" w:rsidDel="00DE2F14">
        <w:rPr>
          <w:rFonts w:asciiTheme="majorHAnsi" w:hAnsiTheme="majorHAnsi" w:cstheme="majorHAnsi"/>
          <w:sz w:val="22"/>
          <w:szCs w:val="22"/>
          <w:lang w:val="en-US"/>
        </w:rPr>
        <w:t xml:space="preserve"> </w:t>
      </w:r>
      <w:r w:rsidR="00801781" w:rsidRPr="00D4311F">
        <w:rPr>
          <w:rFonts w:asciiTheme="majorHAnsi" w:hAnsiTheme="majorHAnsi" w:cstheme="majorHAnsi"/>
          <w:sz w:val="22"/>
          <w:szCs w:val="22"/>
          <w:lang w:val="en-US"/>
        </w:rPr>
        <w:t xml:space="preserve">intellectual property, </w:t>
      </w:r>
      <w:r w:rsidR="00E404CA" w:rsidRPr="00D4311F">
        <w:rPr>
          <w:rFonts w:asciiTheme="majorHAnsi" w:hAnsiTheme="majorHAnsi" w:cstheme="majorHAnsi"/>
          <w:sz w:val="22"/>
          <w:szCs w:val="22"/>
          <w:lang w:val="en-US"/>
        </w:rPr>
        <w:t xml:space="preserve">government procurement, </w:t>
      </w:r>
      <w:r w:rsidR="00801781" w:rsidRPr="00D4311F">
        <w:rPr>
          <w:rFonts w:asciiTheme="majorHAnsi" w:hAnsiTheme="majorHAnsi" w:cstheme="majorHAnsi"/>
          <w:sz w:val="22"/>
          <w:szCs w:val="22"/>
          <w:lang w:val="en-US"/>
        </w:rPr>
        <w:t>competition</w:t>
      </w:r>
      <w:r w:rsidR="00DE2F14" w:rsidRPr="00D4311F">
        <w:rPr>
          <w:rFonts w:asciiTheme="majorHAnsi" w:hAnsiTheme="majorHAnsi" w:cstheme="majorHAnsi"/>
          <w:sz w:val="22"/>
          <w:szCs w:val="22"/>
          <w:lang w:val="en-US"/>
        </w:rPr>
        <w:t>,</w:t>
      </w:r>
      <w:r w:rsidR="00801781" w:rsidRPr="00D4311F">
        <w:rPr>
          <w:rFonts w:asciiTheme="majorHAnsi" w:hAnsiTheme="majorHAnsi" w:cstheme="majorHAnsi"/>
          <w:sz w:val="22"/>
          <w:szCs w:val="22"/>
          <w:lang w:val="en-US"/>
        </w:rPr>
        <w:t xml:space="preserve"> </w:t>
      </w:r>
      <w:r w:rsidR="00E404CA" w:rsidRPr="00D4311F">
        <w:rPr>
          <w:rFonts w:asciiTheme="majorHAnsi" w:hAnsiTheme="majorHAnsi" w:cstheme="majorHAnsi"/>
          <w:sz w:val="22"/>
          <w:szCs w:val="22"/>
          <w:lang w:val="en-US"/>
        </w:rPr>
        <w:t>and</w:t>
      </w:r>
      <w:r w:rsidR="00E404CA" w:rsidRPr="00D4311F" w:rsidDel="00DE2F14">
        <w:rPr>
          <w:rFonts w:asciiTheme="majorHAnsi" w:hAnsiTheme="majorHAnsi" w:cstheme="majorHAnsi"/>
          <w:sz w:val="22"/>
          <w:szCs w:val="22"/>
          <w:lang w:val="en-US"/>
        </w:rPr>
        <w:t xml:space="preserve"> </w:t>
      </w:r>
      <w:r w:rsidR="00DE2F14" w:rsidRPr="00D4311F">
        <w:rPr>
          <w:rFonts w:asciiTheme="majorHAnsi" w:hAnsiTheme="majorHAnsi" w:cstheme="majorHAnsi"/>
          <w:sz w:val="22"/>
          <w:szCs w:val="22"/>
          <w:lang w:val="en-US"/>
        </w:rPr>
        <w:t>small and medium sized enterprises</w:t>
      </w:r>
      <w:r w:rsidR="00801781" w:rsidRPr="00D4311F">
        <w:rPr>
          <w:rFonts w:asciiTheme="majorHAnsi" w:hAnsiTheme="majorHAnsi" w:cstheme="majorHAnsi"/>
          <w:sz w:val="22"/>
          <w:szCs w:val="22"/>
          <w:lang w:val="en-US"/>
        </w:rPr>
        <w:t xml:space="preserve">. </w:t>
      </w:r>
    </w:p>
    <w:p w14:paraId="35B82FA6" w14:textId="77777777" w:rsidR="00D4311F" w:rsidRDefault="00D4311F" w:rsidP="002820BE">
      <w:pPr>
        <w:pStyle w:val="NormalWeb"/>
        <w:spacing w:before="0" w:beforeAutospacing="0" w:after="0" w:afterAutospacing="0"/>
        <w:jc w:val="both"/>
        <w:rPr>
          <w:rFonts w:asciiTheme="majorHAnsi" w:hAnsiTheme="majorHAnsi" w:cstheme="majorHAnsi"/>
          <w:sz w:val="22"/>
          <w:szCs w:val="22"/>
          <w:lang w:val="en-NZ"/>
        </w:rPr>
      </w:pPr>
    </w:p>
    <w:p w14:paraId="3E96E09E" w14:textId="51B33772" w:rsidR="00753CBD" w:rsidRDefault="00A36BAA" w:rsidP="00753CBD">
      <w:pPr>
        <w:pStyle w:val="NormalWeb"/>
        <w:spacing w:before="0" w:beforeAutospacing="0" w:after="0" w:afterAutospacing="0"/>
        <w:jc w:val="both"/>
        <w:rPr>
          <w:rFonts w:asciiTheme="majorHAnsi" w:hAnsiTheme="majorHAnsi" w:cstheme="majorHAnsi"/>
          <w:sz w:val="22"/>
          <w:szCs w:val="22"/>
          <w:lang w:val="en-NZ"/>
        </w:rPr>
      </w:pPr>
      <w:r w:rsidRPr="00822998">
        <w:rPr>
          <w:rFonts w:asciiTheme="majorHAnsi" w:hAnsiTheme="majorHAnsi" w:cstheme="majorHAnsi"/>
          <w:sz w:val="22"/>
          <w:szCs w:val="22"/>
          <w:lang w:val="en-NZ"/>
        </w:rPr>
        <w:t>RCEP</w:t>
      </w:r>
      <w:r w:rsidR="001C3A25" w:rsidRPr="00822998">
        <w:rPr>
          <w:rFonts w:asciiTheme="majorHAnsi" w:hAnsiTheme="majorHAnsi" w:cstheme="majorHAnsi"/>
          <w:sz w:val="22"/>
          <w:szCs w:val="22"/>
          <w:lang w:val="en-NZ"/>
        </w:rPr>
        <w:t xml:space="preserve"> n</w:t>
      </w:r>
      <w:r w:rsidR="00A03D10" w:rsidRPr="00822998">
        <w:rPr>
          <w:rFonts w:asciiTheme="majorHAnsi" w:hAnsiTheme="majorHAnsi" w:cstheme="majorHAnsi"/>
          <w:sz w:val="22"/>
          <w:szCs w:val="22"/>
          <w:lang w:val="en-NZ"/>
        </w:rPr>
        <w:t xml:space="preserve">egotiations </w:t>
      </w:r>
      <w:r w:rsidR="00427EC5" w:rsidRPr="00822998">
        <w:rPr>
          <w:rFonts w:asciiTheme="majorHAnsi" w:hAnsiTheme="majorHAnsi" w:cstheme="majorHAnsi"/>
          <w:sz w:val="22"/>
          <w:szCs w:val="22"/>
          <w:lang w:val="en-NZ"/>
        </w:rPr>
        <w:t xml:space="preserve">were launched in November 2012 </w:t>
      </w:r>
      <w:r w:rsidR="00154DC1" w:rsidRPr="00822998">
        <w:rPr>
          <w:rFonts w:asciiTheme="majorHAnsi" w:hAnsiTheme="majorHAnsi" w:cstheme="majorHAnsi"/>
          <w:sz w:val="22"/>
          <w:szCs w:val="22"/>
          <w:lang w:val="en-NZ"/>
        </w:rPr>
        <w:t>between</w:t>
      </w:r>
      <w:r w:rsidR="00427EC5" w:rsidRPr="00822998">
        <w:rPr>
          <w:rFonts w:asciiTheme="majorHAnsi" w:hAnsiTheme="majorHAnsi" w:cstheme="majorHAnsi"/>
          <w:sz w:val="22"/>
          <w:szCs w:val="22"/>
          <w:lang w:val="en-NZ"/>
        </w:rPr>
        <w:t xml:space="preserve"> </w:t>
      </w:r>
      <w:r w:rsidR="00C6045D" w:rsidRPr="00822998">
        <w:rPr>
          <w:rFonts w:asciiTheme="majorHAnsi" w:hAnsiTheme="majorHAnsi" w:cstheme="majorHAnsi"/>
          <w:sz w:val="22"/>
          <w:szCs w:val="22"/>
          <w:lang w:val="en-NZ"/>
        </w:rPr>
        <w:t>the Association of Southeast Asian Nations (</w:t>
      </w:r>
      <w:r w:rsidR="00427EC5" w:rsidRPr="00822998">
        <w:rPr>
          <w:rFonts w:asciiTheme="majorHAnsi" w:hAnsiTheme="majorHAnsi" w:cstheme="majorHAnsi"/>
          <w:sz w:val="22"/>
          <w:szCs w:val="22"/>
          <w:lang w:val="en-NZ"/>
        </w:rPr>
        <w:t>ASEAN</w:t>
      </w:r>
      <w:r w:rsidR="00C6045D" w:rsidRPr="00822998">
        <w:rPr>
          <w:rFonts w:asciiTheme="majorHAnsi" w:hAnsiTheme="majorHAnsi" w:cstheme="majorHAnsi"/>
          <w:sz w:val="22"/>
          <w:szCs w:val="22"/>
          <w:lang w:val="en-NZ"/>
        </w:rPr>
        <w:t xml:space="preserve"> </w:t>
      </w:r>
      <w:r w:rsidR="00021BAC" w:rsidRPr="00822998">
        <w:rPr>
          <w:rFonts w:asciiTheme="majorHAnsi" w:hAnsiTheme="majorHAnsi" w:cstheme="majorHAnsi"/>
          <w:sz w:val="22"/>
          <w:szCs w:val="22"/>
          <w:lang w:val="en-NZ"/>
        </w:rPr>
        <w:t>includes</w:t>
      </w:r>
      <w:r w:rsidR="00233575" w:rsidRPr="00822998">
        <w:rPr>
          <w:rFonts w:asciiTheme="majorHAnsi" w:hAnsiTheme="majorHAnsi" w:cstheme="majorHAnsi"/>
          <w:sz w:val="22"/>
          <w:szCs w:val="22"/>
          <w:lang w:val="en-NZ"/>
        </w:rPr>
        <w:t xml:space="preserve"> Brunei, Cambodia, Indonesia, Laos, Malaysia, Myanmar, Philippines, Singapore, Thailand, and Vietnam) and</w:t>
      </w:r>
      <w:r w:rsidR="00427EC5" w:rsidRPr="00822998">
        <w:rPr>
          <w:rFonts w:asciiTheme="majorHAnsi" w:hAnsiTheme="majorHAnsi" w:cstheme="majorHAnsi"/>
          <w:sz w:val="22"/>
          <w:szCs w:val="22"/>
          <w:lang w:val="en-NZ"/>
        </w:rPr>
        <w:t xml:space="preserve"> ASEAN’s free trade agreement partners</w:t>
      </w:r>
      <w:r w:rsidR="00233575" w:rsidRPr="00822998">
        <w:rPr>
          <w:rFonts w:asciiTheme="majorHAnsi" w:hAnsiTheme="majorHAnsi" w:cstheme="majorHAnsi"/>
          <w:sz w:val="22"/>
          <w:szCs w:val="22"/>
          <w:lang w:val="en-NZ"/>
        </w:rPr>
        <w:t xml:space="preserve"> (Australia, China, India, Japan, New Z</w:t>
      </w:r>
      <w:r w:rsidR="00154DC1" w:rsidRPr="00822998">
        <w:rPr>
          <w:rFonts w:asciiTheme="majorHAnsi" w:hAnsiTheme="majorHAnsi" w:cstheme="majorHAnsi"/>
          <w:sz w:val="22"/>
          <w:szCs w:val="22"/>
          <w:lang w:val="en-NZ"/>
        </w:rPr>
        <w:t xml:space="preserve">ealand and Republic of Korea). </w:t>
      </w:r>
      <w:r w:rsidR="00822998" w:rsidRPr="00822998">
        <w:rPr>
          <w:rFonts w:asciiTheme="majorHAnsi" w:hAnsiTheme="majorHAnsi" w:cstheme="majorHAnsi"/>
          <w:sz w:val="22"/>
          <w:szCs w:val="22"/>
          <w:lang w:val="en-NZ"/>
        </w:rPr>
        <w:t xml:space="preserve">On 15 November 2020, Ministers </w:t>
      </w:r>
      <w:r w:rsidR="003418F7" w:rsidRPr="00822998">
        <w:rPr>
          <w:rFonts w:asciiTheme="majorHAnsi" w:hAnsiTheme="majorHAnsi" w:cstheme="majorHAnsi"/>
          <w:sz w:val="22"/>
          <w:szCs w:val="22"/>
          <w:lang w:val="en-NZ"/>
        </w:rPr>
        <w:t xml:space="preserve">from 15 countries signed the </w:t>
      </w:r>
      <w:r w:rsidR="00A3096C" w:rsidRPr="00822998">
        <w:rPr>
          <w:rFonts w:asciiTheme="majorHAnsi" w:hAnsiTheme="majorHAnsi" w:cstheme="majorHAnsi"/>
          <w:sz w:val="22"/>
          <w:szCs w:val="22"/>
          <w:lang w:val="en-NZ"/>
        </w:rPr>
        <w:t xml:space="preserve">RCEP </w:t>
      </w:r>
      <w:r w:rsidR="003418F7" w:rsidRPr="00822998">
        <w:rPr>
          <w:rFonts w:asciiTheme="majorHAnsi" w:hAnsiTheme="majorHAnsi" w:cstheme="majorHAnsi"/>
          <w:sz w:val="22"/>
          <w:szCs w:val="22"/>
          <w:lang w:val="en-NZ"/>
        </w:rPr>
        <w:t>Agreement.</w:t>
      </w:r>
      <w:r w:rsidR="00A3096C" w:rsidRPr="00822998">
        <w:rPr>
          <w:rFonts w:asciiTheme="majorHAnsi" w:hAnsiTheme="majorHAnsi" w:cstheme="majorHAnsi"/>
          <w:sz w:val="22"/>
          <w:szCs w:val="22"/>
          <w:lang w:val="en-NZ"/>
        </w:rPr>
        <w:t>, which</w:t>
      </w:r>
      <w:r w:rsidR="00A3096C">
        <w:rPr>
          <w:rFonts w:asciiTheme="majorHAnsi" w:hAnsiTheme="majorHAnsi" w:cstheme="majorHAnsi"/>
          <w:sz w:val="22"/>
          <w:szCs w:val="22"/>
          <w:lang w:val="en-NZ"/>
        </w:rPr>
        <w:t xml:space="preserve"> will be the world</w:t>
      </w:r>
      <w:r w:rsidR="00822998">
        <w:rPr>
          <w:rFonts w:asciiTheme="majorHAnsi" w:hAnsiTheme="majorHAnsi" w:cstheme="majorHAnsi"/>
          <w:sz w:val="22"/>
          <w:szCs w:val="22"/>
          <w:lang w:val="en-NZ"/>
        </w:rPr>
        <w:t>’s largest free trade agreement</w:t>
      </w:r>
      <w:r w:rsidR="00A3096C">
        <w:rPr>
          <w:rFonts w:asciiTheme="majorHAnsi" w:hAnsiTheme="majorHAnsi" w:cstheme="majorHAnsi"/>
          <w:sz w:val="22"/>
          <w:szCs w:val="22"/>
          <w:lang w:val="en-NZ"/>
        </w:rPr>
        <w:t>.</w:t>
      </w:r>
      <w:r w:rsidR="00A3096C">
        <w:rPr>
          <w:rStyle w:val="FootnoteReference"/>
          <w:rFonts w:asciiTheme="majorHAnsi" w:hAnsiTheme="majorHAnsi" w:cstheme="majorHAnsi"/>
          <w:sz w:val="22"/>
          <w:szCs w:val="22"/>
          <w:lang w:val="en-NZ"/>
        </w:rPr>
        <w:footnoteReference w:id="1"/>
      </w:r>
    </w:p>
    <w:p w14:paraId="6362F651" w14:textId="77777777" w:rsidR="00753CBD" w:rsidRPr="00753CBD" w:rsidRDefault="00753CBD" w:rsidP="00753CBD">
      <w:pPr>
        <w:pStyle w:val="NormalWeb"/>
        <w:spacing w:before="0" w:beforeAutospacing="0" w:after="0" w:afterAutospacing="0"/>
        <w:jc w:val="both"/>
        <w:rPr>
          <w:rFonts w:asciiTheme="majorHAnsi" w:hAnsiTheme="majorHAnsi" w:cstheme="majorHAnsi"/>
          <w:sz w:val="22"/>
          <w:szCs w:val="22"/>
          <w:lang w:val="en-NZ"/>
        </w:rPr>
      </w:pPr>
    </w:p>
    <w:p w14:paraId="1A172387" w14:textId="1016017D" w:rsidR="00C050FD" w:rsidRPr="00297868" w:rsidRDefault="00C050FD" w:rsidP="00297868">
      <w:pPr>
        <w:pStyle w:val="Heading2"/>
      </w:pPr>
      <w:r w:rsidRPr="00297868">
        <w:t xml:space="preserve">Why is Australia a part of </w:t>
      </w:r>
      <w:r w:rsidR="00A36BAA" w:rsidRPr="00297868">
        <w:t>RCEP</w:t>
      </w:r>
      <w:r w:rsidRPr="00297868">
        <w:t>?</w:t>
      </w:r>
    </w:p>
    <w:p w14:paraId="15DA3C13" w14:textId="77777777" w:rsidR="00D4311F" w:rsidRDefault="00D4311F" w:rsidP="002820BE">
      <w:pPr>
        <w:spacing w:after="0" w:line="240" w:lineRule="auto"/>
        <w:jc w:val="both"/>
        <w:rPr>
          <w:rFonts w:asciiTheme="majorHAnsi" w:hAnsiTheme="majorHAnsi" w:cstheme="majorHAnsi"/>
        </w:rPr>
      </w:pPr>
    </w:p>
    <w:p w14:paraId="33E53837" w14:textId="2C2D5E53" w:rsidR="00154DC1" w:rsidRDefault="00154DC1" w:rsidP="002820BE">
      <w:pPr>
        <w:spacing w:after="0" w:line="240" w:lineRule="auto"/>
        <w:jc w:val="both"/>
        <w:rPr>
          <w:rFonts w:asciiTheme="majorHAnsi" w:hAnsiTheme="majorHAnsi" w:cstheme="majorHAnsi"/>
        </w:rPr>
      </w:pPr>
      <w:r w:rsidRPr="00D4311F">
        <w:rPr>
          <w:rFonts w:asciiTheme="majorHAnsi" w:hAnsiTheme="majorHAnsi" w:cstheme="majorHAnsi"/>
        </w:rPr>
        <w:t xml:space="preserve">Delivering new trade and investment opportunities for Australian business and strengthening regional economic architecture will be even more crucial as Australia </w:t>
      </w:r>
      <w:r w:rsidR="00DE2F14" w:rsidRPr="00D4311F">
        <w:rPr>
          <w:rFonts w:asciiTheme="majorHAnsi" w:hAnsiTheme="majorHAnsi" w:cstheme="majorHAnsi"/>
        </w:rPr>
        <w:t xml:space="preserve">and the region </w:t>
      </w:r>
      <w:r w:rsidRPr="00D4311F">
        <w:rPr>
          <w:rFonts w:asciiTheme="majorHAnsi" w:hAnsiTheme="majorHAnsi" w:cstheme="majorHAnsi"/>
        </w:rPr>
        <w:t>recover from the global COVID</w:t>
      </w:r>
      <w:r w:rsidRPr="00D4311F">
        <w:rPr>
          <w:rFonts w:asciiTheme="majorHAnsi" w:hAnsiTheme="majorHAnsi" w:cstheme="majorHAnsi"/>
        </w:rPr>
        <w:noBreakHyphen/>
        <w:t xml:space="preserve">19 pandemic. International trade and investment are critical to the Australian economy, providing </w:t>
      </w:r>
      <w:r w:rsidR="00EA25DF" w:rsidRPr="00D4311F">
        <w:rPr>
          <w:rFonts w:asciiTheme="majorHAnsi" w:hAnsiTheme="majorHAnsi" w:cstheme="majorHAnsi"/>
        </w:rPr>
        <w:t>jobs, prosperity,</w:t>
      </w:r>
      <w:r w:rsidRPr="00D4311F">
        <w:rPr>
          <w:rFonts w:asciiTheme="majorHAnsi" w:hAnsiTheme="majorHAnsi" w:cstheme="majorHAnsi"/>
        </w:rPr>
        <w:t xml:space="preserve"> and opening up opportunities for Australians to expand their businesses. FTAs can improve market access across all areas of trade — goods, services and investment — and help to maintain and stimulate the competitiveness of Australian firms. This </w:t>
      </w:r>
      <w:r w:rsidR="00DE2F14" w:rsidRPr="00D4311F">
        <w:rPr>
          <w:rFonts w:asciiTheme="majorHAnsi" w:hAnsiTheme="majorHAnsi" w:cstheme="majorHAnsi"/>
        </w:rPr>
        <w:t xml:space="preserve">also </w:t>
      </w:r>
      <w:r w:rsidRPr="00D4311F">
        <w:rPr>
          <w:rFonts w:asciiTheme="majorHAnsi" w:hAnsiTheme="majorHAnsi" w:cstheme="majorHAnsi"/>
        </w:rPr>
        <w:t>benefits Australian consumers through access to an increased range of better-value goods and services.</w:t>
      </w:r>
    </w:p>
    <w:p w14:paraId="63886C05" w14:textId="77777777" w:rsidR="00D4311F" w:rsidRPr="00D4311F" w:rsidRDefault="00D4311F" w:rsidP="002820BE">
      <w:pPr>
        <w:spacing w:after="0" w:line="240" w:lineRule="auto"/>
        <w:jc w:val="both"/>
        <w:rPr>
          <w:rFonts w:asciiTheme="majorHAnsi" w:hAnsiTheme="majorHAnsi" w:cstheme="majorHAnsi"/>
        </w:rPr>
      </w:pPr>
    </w:p>
    <w:p w14:paraId="16481412" w14:textId="30D3760A" w:rsidR="00154DC1" w:rsidRDefault="00154DC1" w:rsidP="002820BE">
      <w:pPr>
        <w:spacing w:after="0" w:line="240" w:lineRule="auto"/>
        <w:jc w:val="both"/>
        <w:rPr>
          <w:rFonts w:asciiTheme="majorHAnsi" w:hAnsiTheme="majorHAnsi" w:cstheme="majorHAnsi"/>
        </w:rPr>
      </w:pPr>
      <w:r w:rsidRPr="00D4311F">
        <w:rPr>
          <w:rFonts w:asciiTheme="majorHAnsi" w:hAnsiTheme="majorHAnsi" w:cstheme="majorHAnsi"/>
        </w:rPr>
        <w:t>RCEP has the potential to deliver significant opportunities for Australia. The 15 participating countries make up 29 per cent of world GDP and 30 per cent of the world´s population. The other 14 RCEP countries include nine of Australia´s top 15 trading partners and account for 58 per cent of Australia’s total two-way trade, and 6</w:t>
      </w:r>
      <w:r w:rsidR="00EE585E">
        <w:rPr>
          <w:rFonts w:asciiTheme="majorHAnsi" w:hAnsiTheme="majorHAnsi" w:cstheme="majorHAnsi"/>
        </w:rPr>
        <w:t>7</w:t>
      </w:r>
      <w:r w:rsidRPr="00D4311F">
        <w:rPr>
          <w:rFonts w:asciiTheme="majorHAnsi" w:hAnsiTheme="majorHAnsi" w:cstheme="majorHAnsi"/>
        </w:rPr>
        <w:t xml:space="preserve"> per cent of our exports. </w:t>
      </w:r>
    </w:p>
    <w:p w14:paraId="4CA68AF3" w14:textId="77777777" w:rsidR="00D4311F" w:rsidRPr="00D4311F" w:rsidRDefault="00D4311F" w:rsidP="002820BE">
      <w:pPr>
        <w:spacing w:after="0" w:line="240" w:lineRule="auto"/>
        <w:jc w:val="both"/>
        <w:rPr>
          <w:rFonts w:asciiTheme="majorHAnsi" w:hAnsiTheme="majorHAnsi" w:cstheme="majorHAnsi"/>
        </w:rPr>
      </w:pPr>
    </w:p>
    <w:p w14:paraId="6636C0B7" w14:textId="05C4842A" w:rsidR="00154DC1" w:rsidRDefault="00154DC1" w:rsidP="002820BE">
      <w:pPr>
        <w:pStyle w:val="CAB-NumberedParagraph"/>
        <w:spacing w:after="0" w:line="240" w:lineRule="auto"/>
        <w:ind w:left="0" w:firstLine="0"/>
        <w:jc w:val="both"/>
        <w:rPr>
          <w:rFonts w:asciiTheme="majorHAnsi" w:hAnsiTheme="majorHAnsi" w:cstheme="majorHAnsi"/>
        </w:rPr>
      </w:pPr>
      <w:r w:rsidRPr="00D4311F">
        <w:rPr>
          <w:rFonts w:asciiTheme="majorHAnsi" w:hAnsiTheme="majorHAnsi" w:cstheme="majorHAnsi"/>
        </w:rPr>
        <w:t xml:space="preserve">As these economies recover from COVID-19, </w:t>
      </w:r>
      <w:r w:rsidR="00A3096C">
        <w:rPr>
          <w:rFonts w:asciiTheme="majorHAnsi" w:hAnsiTheme="majorHAnsi" w:cstheme="majorHAnsi"/>
        </w:rPr>
        <w:t>the government</w:t>
      </w:r>
      <w:r w:rsidR="00A3096C" w:rsidRPr="00D4311F">
        <w:rPr>
          <w:rFonts w:asciiTheme="majorHAnsi" w:hAnsiTheme="majorHAnsi" w:cstheme="majorHAnsi"/>
        </w:rPr>
        <w:t xml:space="preserve"> </w:t>
      </w:r>
      <w:r w:rsidRPr="00D4311F">
        <w:rPr>
          <w:rFonts w:asciiTheme="majorHAnsi" w:hAnsiTheme="majorHAnsi" w:cstheme="majorHAnsi"/>
        </w:rPr>
        <w:t>want</w:t>
      </w:r>
      <w:r w:rsidR="00A3096C">
        <w:rPr>
          <w:rFonts w:asciiTheme="majorHAnsi" w:hAnsiTheme="majorHAnsi" w:cstheme="majorHAnsi"/>
        </w:rPr>
        <w:t>s</w:t>
      </w:r>
      <w:r w:rsidRPr="00D4311F">
        <w:rPr>
          <w:rFonts w:asciiTheme="majorHAnsi" w:hAnsiTheme="majorHAnsi" w:cstheme="majorHAnsi"/>
        </w:rPr>
        <w:t xml:space="preserve"> to ensure that opportunities for </w:t>
      </w:r>
      <w:r w:rsidR="00A3096C">
        <w:rPr>
          <w:rFonts w:asciiTheme="majorHAnsi" w:hAnsiTheme="majorHAnsi" w:cstheme="majorHAnsi"/>
        </w:rPr>
        <w:t>Australian</w:t>
      </w:r>
      <w:r w:rsidR="00A3096C" w:rsidRPr="00D4311F">
        <w:rPr>
          <w:rFonts w:asciiTheme="majorHAnsi" w:hAnsiTheme="majorHAnsi" w:cstheme="majorHAnsi"/>
        </w:rPr>
        <w:t xml:space="preserve"> </w:t>
      </w:r>
      <w:r w:rsidRPr="00D4311F">
        <w:rPr>
          <w:rFonts w:asciiTheme="majorHAnsi" w:hAnsiTheme="majorHAnsi" w:cstheme="majorHAnsi"/>
        </w:rPr>
        <w:t xml:space="preserve">investors and demand for </w:t>
      </w:r>
      <w:r w:rsidR="00A3096C">
        <w:rPr>
          <w:rFonts w:asciiTheme="majorHAnsi" w:hAnsiTheme="majorHAnsi" w:cstheme="majorHAnsi"/>
        </w:rPr>
        <w:t xml:space="preserve">Australian </w:t>
      </w:r>
      <w:r w:rsidRPr="00D4311F">
        <w:rPr>
          <w:rFonts w:asciiTheme="majorHAnsi" w:hAnsiTheme="majorHAnsi" w:cstheme="majorHAnsi"/>
        </w:rPr>
        <w:t>exports will rise, helping to create Australian jobs. RCEP will help stimulate growth and investment across our region, providing increased opportunities for Australian business.</w:t>
      </w:r>
    </w:p>
    <w:p w14:paraId="7CFCA85C" w14:textId="77777777" w:rsidR="00A3096C" w:rsidRPr="00D4311F" w:rsidRDefault="00A3096C" w:rsidP="002820BE">
      <w:pPr>
        <w:pStyle w:val="CAB-NumberedParagraph"/>
        <w:spacing w:after="0" w:line="240" w:lineRule="auto"/>
        <w:ind w:left="0" w:firstLine="0"/>
        <w:jc w:val="both"/>
        <w:rPr>
          <w:rFonts w:asciiTheme="majorHAnsi" w:hAnsiTheme="majorHAnsi" w:cstheme="majorHAnsi"/>
        </w:rPr>
      </w:pPr>
    </w:p>
    <w:p w14:paraId="13FDBED7" w14:textId="77777777" w:rsidR="00753CBD" w:rsidRDefault="00154DC1" w:rsidP="00822998">
      <w:pPr>
        <w:spacing w:after="0" w:line="240" w:lineRule="auto"/>
        <w:jc w:val="both"/>
        <w:rPr>
          <w:rFonts w:asciiTheme="majorHAnsi" w:hAnsiTheme="majorHAnsi" w:cstheme="majorHAnsi"/>
        </w:rPr>
      </w:pPr>
      <w:r w:rsidRPr="00D4311F">
        <w:rPr>
          <w:rFonts w:asciiTheme="majorHAnsi" w:hAnsiTheme="majorHAnsi" w:cstheme="majorHAnsi"/>
        </w:rPr>
        <w:t>A</w:t>
      </w:r>
      <w:r w:rsidR="00EA25DF" w:rsidRPr="00D4311F">
        <w:rPr>
          <w:rFonts w:asciiTheme="majorHAnsi" w:hAnsiTheme="majorHAnsi" w:cstheme="majorHAnsi"/>
        </w:rPr>
        <w:t>s</w:t>
      </w:r>
      <w:r w:rsidRPr="00D4311F">
        <w:rPr>
          <w:rFonts w:asciiTheme="majorHAnsi" w:hAnsiTheme="majorHAnsi" w:cstheme="majorHAnsi"/>
        </w:rPr>
        <w:t xml:space="preserve"> </w:t>
      </w:r>
      <w:r w:rsidR="003652AC" w:rsidRPr="00D4311F">
        <w:rPr>
          <w:rFonts w:asciiTheme="majorHAnsi" w:hAnsiTheme="majorHAnsi" w:cstheme="majorHAnsi"/>
        </w:rPr>
        <w:t xml:space="preserve">a </w:t>
      </w:r>
      <w:r w:rsidRPr="00D4311F">
        <w:rPr>
          <w:rFonts w:asciiTheme="majorHAnsi" w:hAnsiTheme="majorHAnsi" w:cstheme="majorHAnsi"/>
        </w:rPr>
        <w:t>modern, region-wide FTA</w:t>
      </w:r>
      <w:r w:rsidR="00EA25DF" w:rsidRPr="00D4311F">
        <w:rPr>
          <w:rFonts w:asciiTheme="majorHAnsi" w:hAnsiTheme="majorHAnsi" w:cstheme="majorHAnsi"/>
        </w:rPr>
        <w:t>, RCEP</w:t>
      </w:r>
      <w:r w:rsidRPr="00D4311F">
        <w:rPr>
          <w:rFonts w:asciiTheme="majorHAnsi" w:hAnsiTheme="majorHAnsi" w:cstheme="majorHAnsi"/>
        </w:rPr>
        <w:t xml:space="preserve"> will enhance our economic engagement in the Indo-Pacific through strengthened rules that build on AANZFTA and complement Australia’s bilateral FTAs with RCEP parties, as well as the Comprehensive and Progressive Agreement for Tr</w:t>
      </w:r>
      <w:r w:rsidR="00EA25DF" w:rsidRPr="00D4311F">
        <w:rPr>
          <w:rFonts w:asciiTheme="majorHAnsi" w:hAnsiTheme="majorHAnsi" w:cstheme="majorHAnsi"/>
        </w:rPr>
        <w:t>ans-Pacific Partnership (CPTPP)</w:t>
      </w:r>
      <w:r w:rsidRPr="00D4311F">
        <w:rPr>
          <w:rFonts w:asciiTheme="majorHAnsi" w:hAnsiTheme="majorHAnsi" w:cstheme="majorHAnsi"/>
        </w:rPr>
        <w:t>.</w:t>
      </w:r>
    </w:p>
    <w:p w14:paraId="1189D425" w14:textId="116ADFF5" w:rsidR="00297868" w:rsidRDefault="00297868">
      <w:pPr>
        <w:rPr>
          <w:rFonts w:asciiTheme="majorHAnsi" w:hAnsiTheme="majorHAnsi" w:cstheme="majorHAnsi"/>
        </w:rPr>
      </w:pPr>
      <w:r>
        <w:rPr>
          <w:rFonts w:asciiTheme="majorHAnsi" w:hAnsiTheme="majorHAnsi" w:cstheme="majorHAnsi"/>
        </w:rPr>
        <w:br w:type="page"/>
      </w:r>
    </w:p>
    <w:p w14:paraId="5C92886A" w14:textId="45D97F2D" w:rsidR="00822998" w:rsidRDefault="00822998" w:rsidP="00822998">
      <w:pPr>
        <w:spacing w:after="0" w:line="240" w:lineRule="auto"/>
        <w:jc w:val="both"/>
        <w:rPr>
          <w:rFonts w:asciiTheme="majorHAnsi" w:hAnsiTheme="majorHAnsi" w:cstheme="majorHAnsi"/>
        </w:rPr>
      </w:pPr>
      <w:r>
        <w:rPr>
          <w:rFonts w:asciiTheme="majorHAnsi" w:hAnsiTheme="majorHAnsi" w:cstheme="majorHAnsi"/>
        </w:rPr>
        <w:lastRenderedPageBreak/>
        <w:t>RCEP will provide:</w:t>
      </w:r>
    </w:p>
    <w:p w14:paraId="54698C0A" w14:textId="77777777" w:rsidR="00822998" w:rsidRDefault="00822998" w:rsidP="00822998">
      <w:pPr>
        <w:spacing w:after="0" w:line="240" w:lineRule="auto"/>
        <w:jc w:val="both"/>
        <w:rPr>
          <w:rFonts w:asciiTheme="majorHAnsi" w:hAnsiTheme="majorHAnsi" w:cstheme="majorHAnsi"/>
        </w:rPr>
      </w:pPr>
    </w:p>
    <w:p w14:paraId="303DC025" w14:textId="6AFAA03E" w:rsidR="00822998" w:rsidRDefault="00822998" w:rsidP="00822998">
      <w:pPr>
        <w:pStyle w:val="ListParagraph"/>
        <w:numPr>
          <w:ilvl w:val="0"/>
          <w:numId w:val="45"/>
        </w:numPr>
        <w:jc w:val="both"/>
        <w:rPr>
          <w:rFonts w:asciiTheme="majorHAnsi" w:hAnsiTheme="majorHAnsi" w:cstheme="majorHAnsi"/>
          <w:sz w:val="22"/>
          <w:szCs w:val="22"/>
        </w:rPr>
      </w:pPr>
      <w:r w:rsidRPr="00822998">
        <w:rPr>
          <w:rFonts w:asciiTheme="majorHAnsi" w:hAnsiTheme="majorHAnsi" w:cstheme="majorHAnsi"/>
          <w:caps/>
          <w:sz w:val="22"/>
          <w:szCs w:val="22"/>
        </w:rPr>
        <w:t>A</w:t>
      </w:r>
      <w:r w:rsidR="00DE2F14" w:rsidRPr="00822998">
        <w:rPr>
          <w:rFonts w:asciiTheme="majorHAnsi" w:hAnsiTheme="majorHAnsi" w:cstheme="majorHAnsi"/>
          <w:sz w:val="22"/>
          <w:szCs w:val="22"/>
        </w:rPr>
        <w:t xml:space="preserve"> single set of rules and procedures for Australian goods exporters to utilise RCEP’s preferential tariff outcomes across the region, and</w:t>
      </w:r>
      <w:r>
        <w:rPr>
          <w:rFonts w:asciiTheme="majorHAnsi" w:hAnsiTheme="majorHAnsi" w:cstheme="majorHAnsi"/>
          <w:sz w:val="22"/>
          <w:szCs w:val="22"/>
        </w:rPr>
        <w:t xml:space="preserve"> increased </w:t>
      </w:r>
      <w:r w:rsidR="00154DC1" w:rsidRPr="00822998">
        <w:rPr>
          <w:rFonts w:asciiTheme="majorHAnsi" w:hAnsiTheme="majorHAnsi" w:cstheme="majorHAnsi"/>
          <w:sz w:val="22"/>
          <w:szCs w:val="22"/>
        </w:rPr>
        <w:t xml:space="preserve">opportunities for Australian business to access regional value chains by allowing goods made in another RCEP party from Australian inputs to benefit from tariff preferences under RCEP when exported to a third RCEP party. </w:t>
      </w:r>
    </w:p>
    <w:p w14:paraId="2BE25D51" w14:textId="77777777" w:rsidR="00822998" w:rsidRDefault="00822998" w:rsidP="00822998">
      <w:pPr>
        <w:pStyle w:val="ListParagraph"/>
        <w:jc w:val="both"/>
        <w:rPr>
          <w:rFonts w:asciiTheme="majorHAnsi" w:hAnsiTheme="majorHAnsi" w:cstheme="majorHAnsi"/>
          <w:sz w:val="22"/>
          <w:szCs w:val="22"/>
        </w:rPr>
      </w:pPr>
    </w:p>
    <w:p w14:paraId="568C3451" w14:textId="2622AA65" w:rsidR="00822998" w:rsidRDefault="00822998" w:rsidP="00822998">
      <w:pPr>
        <w:pStyle w:val="ListParagraph"/>
        <w:numPr>
          <w:ilvl w:val="0"/>
          <w:numId w:val="45"/>
        </w:numPr>
        <w:jc w:val="both"/>
        <w:rPr>
          <w:rFonts w:asciiTheme="majorHAnsi" w:hAnsiTheme="majorHAnsi" w:cstheme="majorHAnsi"/>
          <w:sz w:val="22"/>
          <w:szCs w:val="22"/>
        </w:rPr>
      </w:pPr>
      <w:r w:rsidRPr="00822998">
        <w:rPr>
          <w:rFonts w:asciiTheme="majorHAnsi" w:hAnsiTheme="majorHAnsi" w:cstheme="majorHAnsi"/>
          <w:sz w:val="22"/>
          <w:szCs w:val="22"/>
        </w:rPr>
        <w:t>A</w:t>
      </w:r>
      <w:r w:rsidR="00154DC1" w:rsidRPr="00822998">
        <w:rPr>
          <w:rFonts w:asciiTheme="majorHAnsi" w:hAnsiTheme="majorHAnsi" w:cstheme="majorHAnsi"/>
          <w:sz w:val="22"/>
          <w:szCs w:val="22"/>
        </w:rPr>
        <w:t xml:space="preserve">venues for tackling non-tariff barriers, including in areas such as quarantine and technical standards, by promoting compliance with WTO rules and further improving cooperation and transparency. Rules on intellectual property and e-commerce will help create an enabling environment for business to trade digitally in the region and support consumer confidence in the online environment. </w:t>
      </w:r>
    </w:p>
    <w:p w14:paraId="1AEFA07D" w14:textId="77777777" w:rsidR="00822998" w:rsidRDefault="00822998" w:rsidP="00822998">
      <w:pPr>
        <w:pStyle w:val="ListParagraph"/>
        <w:jc w:val="both"/>
        <w:rPr>
          <w:rFonts w:asciiTheme="majorHAnsi" w:hAnsiTheme="majorHAnsi" w:cstheme="majorHAnsi"/>
          <w:sz w:val="22"/>
          <w:szCs w:val="22"/>
        </w:rPr>
      </w:pPr>
    </w:p>
    <w:p w14:paraId="3C41529F" w14:textId="6D4DA3A7" w:rsidR="00154DC1" w:rsidRPr="00822998" w:rsidRDefault="00822998" w:rsidP="00822998">
      <w:pPr>
        <w:pStyle w:val="ListParagraph"/>
        <w:numPr>
          <w:ilvl w:val="0"/>
          <w:numId w:val="45"/>
        </w:numPr>
        <w:jc w:val="both"/>
        <w:rPr>
          <w:rFonts w:asciiTheme="majorHAnsi" w:hAnsiTheme="majorHAnsi" w:cstheme="majorHAnsi"/>
          <w:sz w:val="22"/>
          <w:szCs w:val="22"/>
        </w:rPr>
      </w:pPr>
      <w:r w:rsidRPr="00822998">
        <w:rPr>
          <w:rFonts w:asciiTheme="majorHAnsi" w:hAnsiTheme="majorHAnsi" w:cstheme="majorHAnsi"/>
          <w:sz w:val="22"/>
          <w:szCs w:val="22"/>
        </w:rPr>
        <w:t>N</w:t>
      </w:r>
      <w:r w:rsidR="00154DC1" w:rsidRPr="00822998">
        <w:rPr>
          <w:rFonts w:asciiTheme="majorHAnsi" w:hAnsiTheme="majorHAnsi" w:cstheme="majorHAnsi"/>
          <w:sz w:val="22"/>
          <w:szCs w:val="22"/>
        </w:rPr>
        <w:t>ew market access commitments for service suppliers and investors in China and ASEAN markets such as Malaysia, the Philippines and Thailand, and provide an additional avenue through which exporters can access those markets in which we already enjoy high quality FTA commitments, including Japan, New Zealand, Republic of Korea and Singapore.</w:t>
      </w:r>
    </w:p>
    <w:p w14:paraId="2489794E" w14:textId="77777777" w:rsidR="00D32DD3" w:rsidRPr="00D4311F" w:rsidRDefault="00D32DD3" w:rsidP="002820BE">
      <w:pPr>
        <w:pStyle w:val="CAB-NumberedParagraph"/>
        <w:spacing w:after="0" w:line="240" w:lineRule="auto"/>
        <w:ind w:left="0" w:firstLine="0"/>
        <w:jc w:val="both"/>
        <w:rPr>
          <w:rFonts w:asciiTheme="majorHAnsi" w:hAnsiTheme="majorHAnsi" w:cstheme="majorHAnsi"/>
          <w:color w:val="000000"/>
        </w:rPr>
      </w:pPr>
    </w:p>
    <w:p w14:paraId="48FF791B" w14:textId="2CFAD171" w:rsidR="008F3AC2" w:rsidRPr="00D4311F" w:rsidRDefault="00D54805" w:rsidP="002820BE">
      <w:pPr>
        <w:pStyle w:val="CAB-NumberedParagraph"/>
        <w:spacing w:after="0" w:line="240" w:lineRule="auto"/>
        <w:ind w:left="0" w:firstLine="0"/>
        <w:jc w:val="both"/>
        <w:rPr>
          <w:rFonts w:asciiTheme="majorHAnsi" w:hAnsiTheme="majorHAnsi" w:cstheme="majorHAnsi"/>
          <w:b/>
        </w:rPr>
      </w:pPr>
      <w:r w:rsidRPr="00D4311F">
        <w:rPr>
          <w:rFonts w:asciiTheme="majorHAnsi" w:hAnsiTheme="majorHAnsi" w:cstheme="majorHAnsi"/>
          <w:b/>
        </w:rPr>
        <w:t>L</w:t>
      </w:r>
      <w:r w:rsidR="008F3AC2" w:rsidRPr="00D4311F">
        <w:rPr>
          <w:rFonts w:asciiTheme="majorHAnsi" w:hAnsiTheme="majorHAnsi" w:cstheme="majorHAnsi"/>
          <w:b/>
        </w:rPr>
        <w:t xml:space="preserve">onger term benefits for Australian participation in </w:t>
      </w:r>
      <w:r w:rsidR="00A36BAA" w:rsidRPr="00D4311F">
        <w:rPr>
          <w:rFonts w:asciiTheme="majorHAnsi" w:hAnsiTheme="majorHAnsi" w:cstheme="majorHAnsi"/>
          <w:b/>
        </w:rPr>
        <w:t>RCEP</w:t>
      </w:r>
    </w:p>
    <w:p w14:paraId="2515E6B1" w14:textId="77777777" w:rsidR="00D4311F" w:rsidRDefault="00D4311F" w:rsidP="002820BE">
      <w:pPr>
        <w:spacing w:after="0" w:line="240" w:lineRule="auto"/>
        <w:jc w:val="both"/>
        <w:rPr>
          <w:rFonts w:asciiTheme="majorHAnsi" w:hAnsiTheme="majorHAnsi" w:cstheme="majorHAnsi"/>
        </w:rPr>
      </w:pPr>
    </w:p>
    <w:p w14:paraId="54D7C926" w14:textId="7DF93550" w:rsidR="00154DC1" w:rsidRDefault="00154DC1" w:rsidP="002820BE">
      <w:pPr>
        <w:spacing w:after="0" w:line="240" w:lineRule="auto"/>
        <w:jc w:val="both"/>
        <w:rPr>
          <w:rFonts w:asciiTheme="majorHAnsi" w:hAnsiTheme="majorHAnsi" w:cstheme="majorHAnsi"/>
        </w:rPr>
      </w:pPr>
      <w:r w:rsidRPr="00D4311F">
        <w:rPr>
          <w:rFonts w:asciiTheme="majorHAnsi" w:hAnsiTheme="majorHAnsi" w:cstheme="majorHAnsi"/>
        </w:rPr>
        <w:t xml:space="preserve">RCEP will play an important role in delivering against the Foreign Policy White Paper objective of contributing to a stable and prosperous Indo-Pacific. Australia has a strategic interest in being part of a regional FTA that is centred on ASEAN and includes China, Japan, Korea and New Zealand. </w:t>
      </w:r>
    </w:p>
    <w:p w14:paraId="5C7F471B" w14:textId="77777777" w:rsidR="00A3096C" w:rsidRPr="00D4311F" w:rsidRDefault="00A3096C" w:rsidP="002820BE">
      <w:pPr>
        <w:spacing w:after="0" w:line="240" w:lineRule="auto"/>
        <w:jc w:val="both"/>
        <w:rPr>
          <w:rFonts w:asciiTheme="majorHAnsi" w:hAnsiTheme="majorHAnsi" w:cstheme="majorHAnsi"/>
          <w:strike/>
        </w:rPr>
      </w:pPr>
    </w:p>
    <w:p w14:paraId="60EB3721" w14:textId="58E83DFE" w:rsidR="00252FD1" w:rsidRPr="00D4311F" w:rsidRDefault="00A36BAA" w:rsidP="002820BE">
      <w:pPr>
        <w:pStyle w:val="CAB-NumberedParagraph"/>
        <w:spacing w:after="0" w:line="240" w:lineRule="auto"/>
        <w:ind w:left="0" w:firstLine="0"/>
        <w:jc w:val="both"/>
        <w:rPr>
          <w:rFonts w:asciiTheme="majorHAnsi" w:hAnsiTheme="majorHAnsi" w:cstheme="majorHAnsi"/>
        </w:rPr>
      </w:pPr>
      <w:r w:rsidRPr="00D4311F">
        <w:rPr>
          <w:rFonts w:asciiTheme="majorHAnsi" w:hAnsiTheme="majorHAnsi" w:cstheme="majorHAnsi"/>
        </w:rPr>
        <w:t>RCEP</w:t>
      </w:r>
      <w:r w:rsidR="00252FD1" w:rsidRPr="00D4311F">
        <w:rPr>
          <w:rFonts w:asciiTheme="majorHAnsi" w:hAnsiTheme="majorHAnsi" w:cstheme="majorHAnsi"/>
        </w:rPr>
        <w:t xml:space="preserve"> </w:t>
      </w:r>
      <w:r w:rsidR="00757E69" w:rsidRPr="00D4311F">
        <w:rPr>
          <w:rFonts w:asciiTheme="majorHAnsi" w:hAnsiTheme="majorHAnsi" w:cstheme="majorHAnsi"/>
        </w:rPr>
        <w:t xml:space="preserve">also </w:t>
      </w:r>
      <w:r w:rsidR="00252FD1" w:rsidRPr="00D4311F">
        <w:rPr>
          <w:rFonts w:asciiTheme="majorHAnsi" w:hAnsiTheme="majorHAnsi" w:cstheme="majorHAnsi"/>
        </w:rPr>
        <w:t>send</w:t>
      </w:r>
      <w:r w:rsidR="00D32DD3" w:rsidRPr="00D4311F">
        <w:rPr>
          <w:rFonts w:asciiTheme="majorHAnsi" w:hAnsiTheme="majorHAnsi" w:cstheme="majorHAnsi"/>
        </w:rPr>
        <w:t>s</w:t>
      </w:r>
      <w:r w:rsidR="00252FD1" w:rsidRPr="00D4311F">
        <w:rPr>
          <w:rFonts w:asciiTheme="majorHAnsi" w:hAnsiTheme="majorHAnsi" w:cstheme="majorHAnsi"/>
        </w:rPr>
        <w:t xml:space="preserve"> an important signal of support for trade liberalisation and rules</w:t>
      </w:r>
      <w:r w:rsidR="00252FD1" w:rsidRPr="00D4311F">
        <w:rPr>
          <w:rFonts w:asciiTheme="majorHAnsi" w:hAnsiTheme="majorHAnsi" w:cstheme="majorHAnsi"/>
        </w:rPr>
        <w:noBreakHyphen/>
        <w:t xml:space="preserve">based trading arrangements at a time of significant </w:t>
      </w:r>
      <w:r w:rsidR="00DF09DE" w:rsidRPr="00D4311F">
        <w:rPr>
          <w:rFonts w:asciiTheme="majorHAnsi" w:hAnsiTheme="majorHAnsi" w:cstheme="majorHAnsi"/>
        </w:rPr>
        <w:t xml:space="preserve">global </w:t>
      </w:r>
      <w:r w:rsidR="00252FD1" w:rsidRPr="00D4311F">
        <w:rPr>
          <w:rFonts w:asciiTheme="majorHAnsi" w:hAnsiTheme="majorHAnsi" w:cstheme="majorHAnsi"/>
        </w:rPr>
        <w:t>trade tensions</w:t>
      </w:r>
      <w:r w:rsidR="00D54805" w:rsidRPr="00D4311F">
        <w:rPr>
          <w:rFonts w:asciiTheme="majorHAnsi" w:hAnsiTheme="majorHAnsi" w:cstheme="majorHAnsi"/>
        </w:rPr>
        <w:t>,</w:t>
      </w:r>
      <w:r w:rsidR="00252FD1" w:rsidRPr="00D4311F">
        <w:rPr>
          <w:rFonts w:asciiTheme="majorHAnsi" w:hAnsiTheme="majorHAnsi" w:cstheme="majorHAnsi"/>
        </w:rPr>
        <w:t xml:space="preserve"> and when the W</w:t>
      </w:r>
      <w:r w:rsidR="00DF09DE" w:rsidRPr="00D4311F">
        <w:rPr>
          <w:rFonts w:asciiTheme="majorHAnsi" w:hAnsiTheme="majorHAnsi" w:cstheme="majorHAnsi"/>
        </w:rPr>
        <w:t xml:space="preserve">orld Trade </w:t>
      </w:r>
      <w:r w:rsidR="00D32DD3" w:rsidRPr="00D4311F">
        <w:rPr>
          <w:rFonts w:asciiTheme="majorHAnsi" w:hAnsiTheme="majorHAnsi" w:cstheme="majorHAnsi"/>
        </w:rPr>
        <w:t>O</w:t>
      </w:r>
      <w:r w:rsidR="00DF09DE" w:rsidRPr="00D4311F">
        <w:rPr>
          <w:rFonts w:asciiTheme="majorHAnsi" w:hAnsiTheme="majorHAnsi" w:cstheme="majorHAnsi"/>
        </w:rPr>
        <w:t>rgani</w:t>
      </w:r>
      <w:r w:rsidR="00D32DD3" w:rsidRPr="00D4311F">
        <w:rPr>
          <w:rFonts w:asciiTheme="majorHAnsi" w:hAnsiTheme="majorHAnsi" w:cstheme="majorHAnsi"/>
        </w:rPr>
        <w:t>z</w:t>
      </w:r>
      <w:r w:rsidR="00DF09DE" w:rsidRPr="00D4311F">
        <w:rPr>
          <w:rFonts w:asciiTheme="majorHAnsi" w:hAnsiTheme="majorHAnsi" w:cstheme="majorHAnsi"/>
        </w:rPr>
        <w:t xml:space="preserve">ation </w:t>
      </w:r>
      <w:r w:rsidR="00252FD1" w:rsidRPr="00D4311F">
        <w:rPr>
          <w:rFonts w:asciiTheme="majorHAnsi" w:hAnsiTheme="majorHAnsi" w:cstheme="majorHAnsi"/>
        </w:rPr>
        <w:t xml:space="preserve">is facing deep challenges. </w:t>
      </w:r>
      <w:r w:rsidRPr="00D4311F">
        <w:rPr>
          <w:rFonts w:asciiTheme="majorHAnsi" w:hAnsiTheme="majorHAnsi" w:cstheme="majorHAnsi"/>
        </w:rPr>
        <w:t xml:space="preserve"> </w:t>
      </w:r>
      <w:r w:rsidR="00DF09DE" w:rsidRPr="00D4311F">
        <w:rPr>
          <w:rFonts w:asciiTheme="majorHAnsi" w:hAnsiTheme="majorHAnsi" w:cstheme="majorHAnsi"/>
        </w:rPr>
        <w:t>A</w:t>
      </w:r>
      <w:r w:rsidR="00252FD1" w:rsidRPr="00D4311F">
        <w:rPr>
          <w:rFonts w:asciiTheme="majorHAnsi" w:hAnsiTheme="majorHAnsi" w:cstheme="majorHAnsi"/>
        </w:rPr>
        <w:t xml:space="preserve">greements </w:t>
      </w:r>
      <w:r w:rsidR="00A3096C">
        <w:rPr>
          <w:rFonts w:asciiTheme="majorHAnsi" w:hAnsiTheme="majorHAnsi" w:cstheme="majorHAnsi"/>
        </w:rPr>
        <w:t>such as</w:t>
      </w:r>
      <w:r w:rsidR="00A3096C" w:rsidRPr="00D4311F">
        <w:rPr>
          <w:rFonts w:asciiTheme="majorHAnsi" w:hAnsiTheme="majorHAnsi" w:cstheme="majorHAnsi"/>
        </w:rPr>
        <w:t xml:space="preserve"> </w:t>
      </w:r>
      <w:r w:rsidRPr="00D4311F">
        <w:rPr>
          <w:rFonts w:asciiTheme="majorHAnsi" w:hAnsiTheme="majorHAnsi" w:cstheme="majorHAnsi"/>
        </w:rPr>
        <w:t>RCEP</w:t>
      </w:r>
      <w:r w:rsidR="00252FD1" w:rsidRPr="00D4311F">
        <w:rPr>
          <w:rFonts w:asciiTheme="majorHAnsi" w:hAnsiTheme="majorHAnsi" w:cstheme="majorHAnsi"/>
        </w:rPr>
        <w:t xml:space="preserve"> play a critical role in resisting protectionism, and bolstering support for an open global economy supported by enforceable rules. </w:t>
      </w:r>
      <w:bookmarkStart w:id="1" w:name="_Toc21081445"/>
      <w:bookmarkStart w:id="2" w:name="_Toc21081869"/>
    </w:p>
    <w:bookmarkEnd w:id="1"/>
    <w:bookmarkEnd w:id="2"/>
    <w:p w14:paraId="373A5882" w14:textId="77777777" w:rsidR="00D4311F" w:rsidRPr="00297868" w:rsidRDefault="00D4311F" w:rsidP="00297868">
      <w:pPr>
        <w:pStyle w:val="Heading2"/>
      </w:pPr>
    </w:p>
    <w:p w14:paraId="3AAEC854" w14:textId="66E340D0" w:rsidR="008F3AC2" w:rsidRPr="00297868" w:rsidRDefault="003418F7" w:rsidP="00297868">
      <w:pPr>
        <w:pStyle w:val="Heading2"/>
      </w:pPr>
      <w:r w:rsidRPr="00297868">
        <w:t>RCEP as a platform for ongoing dialogue and economic cooperation</w:t>
      </w:r>
    </w:p>
    <w:p w14:paraId="4B69EFE2" w14:textId="77777777" w:rsidR="00D4311F" w:rsidRDefault="00D4311F" w:rsidP="002820BE">
      <w:pPr>
        <w:pStyle w:val="Background"/>
        <w:numPr>
          <w:ilvl w:val="0"/>
          <w:numId w:val="0"/>
        </w:numPr>
        <w:spacing w:before="0" w:after="0" w:line="240" w:lineRule="auto"/>
        <w:jc w:val="both"/>
        <w:rPr>
          <w:rFonts w:asciiTheme="majorHAnsi" w:hAnsiTheme="majorHAnsi" w:cstheme="majorHAnsi"/>
          <w:color w:val="auto"/>
          <w:sz w:val="22"/>
          <w:szCs w:val="22"/>
          <w:lang w:eastAsia="en-US"/>
        </w:rPr>
      </w:pPr>
    </w:p>
    <w:p w14:paraId="266285DB" w14:textId="4171F251" w:rsidR="003418F7" w:rsidRPr="00D4311F" w:rsidRDefault="003418F7" w:rsidP="002820BE">
      <w:pPr>
        <w:pStyle w:val="Background"/>
        <w:numPr>
          <w:ilvl w:val="0"/>
          <w:numId w:val="0"/>
        </w:numPr>
        <w:spacing w:before="0" w:after="0" w:line="240" w:lineRule="auto"/>
        <w:jc w:val="both"/>
        <w:rPr>
          <w:rFonts w:asciiTheme="majorHAnsi" w:hAnsiTheme="majorHAnsi" w:cstheme="majorHAnsi"/>
        </w:rPr>
      </w:pPr>
      <w:r w:rsidRPr="00D4311F">
        <w:rPr>
          <w:rFonts w:asciiTheme="majorHAnsi" w:hAnsiTheme="majorHAnsi" w:cstheme="majorHAnsi"/>
          <w:color w:val="auto"/>
          <w:sz w:val="22"/>
          <w:szCs w:val="22"/>
          <w:lang w:eastAsia="en-US"/>
        </w:rPr>
        <w:t xml:space="preserve">RCEP has the potential to act as forum for ongoing dialogue and cooperation on the range of trade and economic issues affecting the region. </w:t>
      </w:r>
      <w:r w:rsidR="0006668D" w:rsidRPr="00D4311F">
        <w:rPr>
          <w:rFonts w:asciiTheme="majorHAnsi" w:hAnsiTheme="majorHAnsi" w:cstheme="majorHAnsi"/>
          <w:color w:val="auto"/>
          <w:sz w:val="22"/>
          <w:szCs w:val="22"/>
          <w:lang w:eastAsia="en-US"/>
        </w:rPr>
        <w:t xml:space="preserve">Under the Regional Trade for Development Initiative Australia will provide </w:t>
      </w:r>
      <w:r w:rsidR="008F01A5" w:rsidRPr="00D4311F">
        <w:rPr>
          <w:rFonts w:asciiTheme="majorHAnsi" w:hAnsiTheme="majorHAnsi" w:cstheme="majorHAnsi"/>
          <w:color w:val="auto"/>
          <w:sz w:val="22"/>
          <w:szCs w:val="22"/>
          <w:lang w:eastAsia="en-US"/>
        </w:rPr>
        <w:t>up to $24 million from 2021</w:t>
      </w:r>
      <w:r w:rsidR="0006668D" w:rsidRPr="00D4311F">
        <w:rPr>
          <w:rFonts w:asciiTheme="majorHAnsi" w:hAnsiTheme="majorHAnsi" w:cstheme="majorHAnsi"/>
          <w:color w:val="auto"/>
          <w:sz w:val="22"/>
          <w:szCs w:val="22"/>
          <w:lang w:eastAsia="en-US"/>
        </w:rPr>
        <w:t>, to assist ODA-eligible ASEAN member states implement the RCEP commitments and ensure that the full benefits of the Agreement are realised.  It will support economic recovery from the impact of COVID-19 and strengthen public discourse on trade through effective partnerships, including with the non-government and private sectors.</w:t>
      </w:r>
      <w:r w:rsidR="0006668D" w:rsidRPr="00D4311F">
        <w:rPr>
          <w:rFonts w:asciiTheme="majorHAnsi" w:hAnsiTheme="majorHAnsi" w:cstheme="majorHAnsi"/>
        </w:rPr>
        <w:t xml:space="preserve"> </w:t>
      </w:r>
    </w:p>
    <w:p w14:paraId="5ACE8FDD" w14:textId="77777777" w:rsidR="00D4311F" w:rsidRPr="00297868" w:rsidRDefault="00D4311F" w:rsidP="00297868">
      <w:pPr>
        <w:pStyle w:val="Heading2"/>
      </w:pPr>
    </w:p>
    <w:p w14:paraId="5E480219" w14:textId="5462511C" w:rsidR="00427EC5" w:rsidRPr="00297868" w:rsidRDefault="00427EC5" w:rsidP="00297868">
      <w:pPr>
        <w:pStyle w:val="Heading2"/>
      </w:pPr>
      <w:r w:rsidRPr="00297868">
        <w:t xml:space="preserve">More information on Australia’s trade and investment relationship with other </w:t>
      </w:r>
      <w:r w:rsidR="00A36BAA" w:rsidRPr="00297868">
        <w:t>RCEP</w:t>
      </w:r>
      <w:r w:rsidRPr="00297868">
        <w:t xml:space="preserve"> countries</w:t>
      </w:r>
    </w:p>
    <w:p w14:paraId="329738A6" w14:textId="77777777" w:rsidR="00D4311F" w:rsidRDefault="00D4311F" w:rsidP="002820BE">
      <w:pPr>
        <w:pStyle w:val="NormalWeb"/>
        <w:spacing w:before="0" w:beforeAutospacing="0" w:after="0" w:afterAutospacing="0"/>
        <w:jc w:val="both"/>
        <w:rPr>
          <w:rFonts w:asciiTheme="majorHAnsi" w:hAnsiTheme="majorHAnsi" w:cstheme="majorHAnsi"/>
          <w:sz w:val="22"/>
          <w:szCs w:val="22"/>
          <w:lang w:val="en-US"/>
        </w:rPr>
      </w:pPr>
    </w:p>
    <w:p w14:paraId="11B56C77" w14:textId="136B5967" w:rsidR="0039123B" w:rsidRPr="00753CBD" w:rsidDel="00C93AF6" w:rsidRDefault="00427EC5" w:rsidP="00753CBD">
      <w:pPr>
        <w:pStyle w:val="NormalWeb"/>
        <w:spacing w:before="0" w:beforeAutospacing="0" w:after="0" w:afterAutospacing="0"/>
        <w:jc w:val="both"/>
        <w:rPr>
          <w:rFonts w:asciiTheme="majorHAnsi" w:hAnsiTheme="majorHAnsi" w:cstheme="majorHAnsi"/>
          <w:sz w:val="22"/>
          <w:szCs w:val="22"/>
          <w:lang w:val="en-US"/>
        </w:rPr>
      </w:pPr>
      <w:r w:rsidRPr="00D4311F">
        <w:rPr>
          <w:rFonts w:asciiTheme="majorHAnsi" w:hAnsiTheme="majorHAnsi" w:cstheme="majorHAnsi"/>
          <w:sz w:val="22"/>
          <w:szCs w:val="22"/>
          <w:lang w:val="en-US"/>
        </w:rPr>
        <w:t xml:space="preserve">The tables below provide more information on Australia’s two-way trade and investment relationship with other </w:t>
      </w:r>
      <w:r w:rsidR="00A36BAA" w:rsidRPr="00D4311F">
        <w:rPr>
          <w:rFonts w:asciiTheme="majorHAnsi" w:hAnsiTheme="majorHAnsi" w:cstheme="majorHAnsi"/>
          <w:sz w:val="22"/>
          <w:szCs w:val="22"/>
          <w:lang w:val="en-US"/>
        </w:rPr>
        <w:t>RCEP</w:t>
      </w:r>
      <w:r w:rsidR="003A7F12" w:rsidRPr="00D4311F">
        <w:rPr>
          <w:rFonts w:asciiTheme="majorHAnsi" w:hAnsiTheme="majorHAnsi" w:cstheme="majorHAnsi"/>
          <w:sz w:val="22"/>
          <w:szCs w:val="22"/>
          <w:lang w:val="en-US"/>
        </w:rPr>
        <w:t xml:space="preserve"> participating</w:t>
      </w:r>
      <w:r w:rsidRPr="00D4311F">
        <w:rPr>
          <w:rFonts w:asciiTheme="majorHAnsi" w:hAnsiTheme="majorHAnsi" w:cstheme="majorHAnsi"/>
          <w:sz w:val="22"/>
          <w:szCs w:val="22"/>
          <w:lang w:val="en-US"/>
        </w:rPr>
        <w:t xml:space="preserve"> countries.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81"/>
        <w:gridCol w:w="45"/>
      </w:tblGrid>
      <w:tr w:rsidR="0039123B" w:rsidRPr="00D4311F" w14:paraId="429989F5" w14:textId="77777777" w:rsidTr="002727E2">
        <w:trPr>
          <w:tblHeader/>
          <w:tblCellSpacing w:w="15" w:type="dxa"/>
        </w:trPr>
        <w:tc>
          <w:tcPr>
            <w:tcW w:w="0" w:type="auto"/>
            <w:gridSpan w:val="2"/>
            <w:tcBorders>
              <w:top w:val="nil"/>
              <w:left w:val="nil"/>
              <w:bottom w:val="nil"/>
              <w:right w:val="nil"/>
            </w:tcBorders>
            <w:vAlign w:val="center"/>
            <w:hideMark/>
          </w:tcPr>
          <w:p w14:paraId="780ED57D" w14:textId="7825F965" w:rsidR="0039123B" w:rsidRDefault="0039123B" w:rsidP="002820BE">
            <w:pPr>
              <w:spacing w:after="0" w:line="240" w:lineRule="auto"/>
              <w:jc w:val="both"/>
              <w:rPr>
                <w:rFonts w:asciiTheme="majorHAnsi" w:hAnsiTheme="majorHAnsi" w:cstheme="majorHAnsi"/>
              </w:rPr>
            </w:pPr>
            <w:r w:rsidRPr="00D4311F">
              <w:rPr>
                <w:rFonts w:asciiTheme="majorHAnsi" w:hAnsiTheme="majorHAnsi" w:cstheme="majorHAnsi"/>
              </w:rPr>
              <w:lastRenderedPageBreak/>
              <w:t>Table 1: Australia’s t</w:t>
            </w:r>
            <w:r w:rsidR="0006668D" w:rsidRPr="00D4311F">
              <w:rPr>
                <w:rFonts w:asciiTheme="majorHAnsi" w:hAnsiTheme="majorHAnsi" w:cstheme="majorHAnsi"/>
              </w:rPr>
              <w:t>otal goods and services t</w:t>
            </w:r>
            <w:r w:rsidRPr="00D4311F">
              <w:rPr>
                <w:rFonts w:asciiTheme="majorHAnsi" w:hAnsiTheme="majorHAnsi" w:cstheme="majorHAnsi"/>
              </w:rPr>
              <w:t xml:space="preserve">wo-way trade with other </w:t>
            </w:r>
            <w:r w:rsidRPr="00D4311F">
              <w:rPr>
                <w:rFonts w:asciiTheme="majorHAnsi" w:eastAsia="Times New Roman" w:hAnsiTheme="majorHAnsi" w:cstheme="majorHAnsi"/>
                <w:lang w:val="en-US" w:eastAsia="en-AU"/>
              </w:rPr>
              <w:t>Regional Comprehensive Economic Partnership</w:t>
            </w:r>
            <w:r w:rsidRPr="00D4311F">
              <w:rPr>
                <w:rFonts w:asciiTheme="majorHAnsi" w:hAnsiTheme="majorHAnsi" w:cstheme="majorHAnsi"/>
                <w:lang w:val="en-US"/>
              </w:rPr>
              <w:t xml:space="preserve"> countries</w:t>
            </w:r>
            <w:r w:rsidR="0006668D" w:rsidRPr="00D4311F">
              <w:rPr>
                <w:rFonts w:asciiTheme="majorHAnsi" w:hAnsiTheme="majorHAnsi" w:cstheme="majorHAnsi"/>
              </w:rPr>
              <w:t xml:space="preserve"> in 2019</w:t>
            </w:r>
          </w:p>
          <w:p w14:paraId="63DDA0CF" w14:textId="77777777" w:rsidR="006F0633" w:rsidRDefault="006F0633" w:rsidP="002820BE">
            <w:pPr>
              <w:spacing w:after="0" w:line="240" w:lineRule="auto"/>
              <w:jc w:val="both"/>
              <w:rPr>
                <w:rFonts w:asciiTheme="majorHAnsi" w:hAnsiTheme="majorHAnsi" w:cstheme="majorHAnsi"/>
              </w:rPr>
            </w:pPr>
          </w:p>
          <w:p w14:paraId="5F33C16C" w14:textId="5F9045EB" w:rsidR="00396359" w:rsidRPr="006F0633" w:rsidRDefault="00396359" w:rsidP="006F0633">
            <w:pPr>
              <w:pStyle w:val="Heading3"/>
            </w:pPr>
            <w:r w:rsidRPr="006F0633">
              <w:t>Total goods and services two-way trade</w:t>
            </w:r>
          </w:p>
          <w:tbl>
            <w:tblPr>
              <w:tblStyle w:val="GridTable1Light"/>
              <w:tblW w:w="0" w:type="auto"/>
              <w:tblLook w:val="04A0" w:firstRow="1" w:lastRow="0" w:firstColumn="1" w:lastColumn="0" w:noHBand="0" w:noVBand="1"/>
              <w:tblCaption w:val="Total Goods and Services Two-Way Trade"/>
              <w:tblDescription w:val="Table shows the breakdown of total goods and services two-way trade with ASEAN, Brunei, Cambodia, Indonesia, Laos, Malaysia, Myanmar, Philippines, Singapore, Thailand, Vietnam, China, Japan, New Zealand and the Republic of Korea"/>
            </w:tblPr>
            <w:tblGrid>
              <w:gridCol w:w="3254"/>
              <w:gridCol w:w="1978"/>
              <w:gridCol w:w="3462"/>
            </w:tblGrid>
            <w:tr w:rsidR="0006668D" w:rsidRPr="00D4311F" w14:paraId="00E583A8" w14:textId="77777777" w:rsidTr="003551F2">
              <w:trPr>
                <w:cnfStyle w:val="100000000000" w:firstRow="1" w:lastRow="0" w:firstColumn="0" w:lastColumn="0" w:oddVBand="0" w:evenVBand="0" w:oddHBand="0" w:evenHBand="0" w:firstRowFirstColumn="0" w:firstRowLastColumn="0" w:lastRowFirstColumn="0" w:lastRowLastColumn="0"/>
                <w:trHeight w:val="687"/>
                <w:tblHeader/>
              </w:trPr>
              <w:tc>
                <w:tcPr>
                  <w:cnfStyle w:val="001000000000" w:firstRow="0" w:lastRow="0" w:firstColumn="1" w:lastColumn="0" w:oddVBand="0" w:evenVBand="0" w:oddHBand="0" w:evenHBand="0" w:firstRowFirstColumn="0" w:firstRowLastColumn="0" w:lastRowFirstColumn="0" w:lastRowLastColumn="0"/>
                  <w:tcW w:w="3254" w:type="dxa"/>
                </w:tcPr>
                <w:p w14:paraId="15D66F77" w14:textId="3BDF45F4" w:rsidR="0006668D" w:rsidRPr="006F0633" w:rsidRDefault="006F0633" w:rsidP="006F0633">
                  <w:pPr>
                    <w:rPr>
                      <w:rFonts w:asciiTheme="majorHAnsi" w:hAnsiTheme="majorHAnsi" w:cstheme="majorHAnsi"/>
                    </w:rPr>
                  </w:pPr>
                  <w:r w:rsidRPr="006F0633">
                    <w:rPr>
                      <w:rFonts w:asciiTheme="majorHAnsi" w:hAnsiTheme="majorHAnsi" w:cstheme="majorHAnsi"/>
                    </w:rPr>
                    <w:t>Country</w:t>
                  </w:r>
                </w:p>
              </w:tc>
              <w:tc>
                <w:tcPr>
                  <w:tcW w:w="1978" w:type="dxa"/>
                </w:tcPr>
                <w:p w14:paraId="0BB90655" w14:textId="61E989E7" w:rsidR="0006668D" w:rsidRPr="00D4311F" w:rsidRDefault="0006668D" w:rsidP="006F0633">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rPr>
                  </w:pPr>
                  <w:proofErr w:type="spellStart"/>
                  <w:r w:rsidRPr="00D4311F">
                    <w:rPr>
                      <w:rFonts w:asciiTheme="majorHAnsi" w:hAnsiTheme="majorHAnsi" w:cstheme="majorHAnsi"/>
                      <w:color w:val="000000"/>
                    </w:rPr>
                    <w:t>A$m</w:t>
                  </w:r>
                  <w:proofErr w:type="spellEnd"/>
                </w:p>
              </w:tc>
              <w:tc>
                <w:tcPr>
                  <w:tcW w:w="3462" w:type="dxa"/>
                </w:tcPr>
                <w:p w14:paraId="5434992F" w14:textId="77777777" w:rsidR="0006668D" w:rsidRPr="00D4311F" w:rsidRDefault="0006668D" w:rsidP="006F0633">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Percentage share of total</w:t>
                  </w:r>
                </w:p>
              </w:tc>
            </w:tr>
            <w:tr w:rsidR="0006668D" w:rsidRPr="00D4311F" w14:paraId="3C70C478" w14:textId="77777777" w:rsidTr="006F0633">
              <w:trPr>
                <w:trHeight w:val="666"/>
              </w:trPr>
              <w:tc>
                <w:tcPr>
                  <w:cnfStyle w:val="001000000000" w:firstRow="0" w:lastRow="0" w:firstColumn="1" w:lastColumn="0" w:oddVBand="0" w:evenVBand="0" w:oddHBand="0" w:evenHBand="0" w:firstRowFirstColumn="0" w:firstRowLastColumn="0" w:lastRowFirstColumn="0" w:lastRowLastColumn="0"/>
                  <w:tcW w:w="3254" w:type="dxa"/>
                </w:tcPr>
                <w:p w14:paraId="31778188" w14:textId="0FF4B6E4" w:rsidR="0006668D" w:rsidRPr="00D4311F" w:rsidRDefault="0006668D" w:rsidP="002820BE">
                  <w:pPr>
                    <w:jc w:val="both"/>
                    <w:rPr>
                      <w:rFonts w:asciiTheme="majorHAnsi" w:hAnsiTheme="majorHAnsi" w:cstheme="majorHAnsi"/>
                      <w:color w:val="000000"/>
                    </w:rPr>
                  </w:pPr>
                  <w:r w:rsidRPr="00D4311F">
                    <w:rPr>
                      <w:rFonts w:asciiTheme="majorHAnsi" w:hAnsiTheme="majorHAnsi" w:cstheme="majorHAnsi"/>
                      <w:color w:val="000000"/>
                    </w:rPr>
                    <w:t>ASEAN (total)</w:t>
                  </w:r>
                </w:p>
              </w:tc>
              <w:tc>
                <w:tcPr>
                  <w:tcW w:w="1978" w:type="dxa"/>
                </w:tcPr>
                <w:p w14:paraId="50B1018B" w14:textId="3F3B5553" w:rsidR="0006668D" w:rsidRPr="00D4311F" w:rsidRDefault="0006668D"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121,966</w:t>
                  </w:r>
                </w:p>
              </w:tc>
              <w:tc>
                <w:tcPr>
                  <w:tcW w:w="3462" w:type="dxa"/>
                </w:tcPr>
                <w:p w14:paraId="319501BF" w14:textId="7D649FC2" w:rsidR="0006668D" w:rsidRPr="00D4311F" w:rsidRDefault="0006668D"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13.3</w:t>
                  </w:r>
                </w:p>
              </w:tc>
            </w:tr>
            <w:tr w:rsidR="0006668D" w:rsidRPr="00D4311F" w14:paraId="5468856A" w14:textId="77777777" w:rsidTr="006F0633">
              <w:trPr>
                <w:trHeight w:val="666"/>
              </w:trPr>
              <w:tc>
                <w:tcPr>
                  <w:cnfStyle w:val="001000000000" w:firstRow="0" w:lastRow="0" w:firstColumn="1" w:lastColumn="0" w:oddVBand="0" w:evenVBand="0" w:oddHBand="0" w:evenHBand="0" w:firstRowFirstColumn="0" w:firstRowLastColumn="0" w:lastRowFirstColumn="0" w:lastRowLastColumn="0"/>
                  <w:tcW w:w="3254" w:type="dxa"/>
                </w:tcPr>
                <w:p w14:paraId="2D0F9A56" w14:textId="6293A28F" w:rsidR="0006668D" w:rsidRPr="00D4311F" w:rsidRDefault="0006668D" w:rsidP="002820BE">
                  <w:pPr>
                    <w:jc w:val="both"/>
                    <w:rPr>
                      <w:rFonts w:asciiTheme="majorHAnsi" w:hAnsiTheme="majorHAnsi" w:cstheme="majorHAnsi"/>
                      <w:color w:val="000000"/>
                    </w:rPr>
                  </w:pPr>
                  <w:r w:rsidRPr="00D4311F">
                    <w:rPr>
                      <w:rFonts w:asciiTheme="majorHAnsi" w:hAnsiTheme="majorHAnsi" w:cstheme="majorHAnsi"/>
                      <w:color w:val="000000"/>
                    </w:rPr>
                    <w:t xml:space="preserve">Brunei </w:t>
                  </w:r>
                </w:p>
              </w:tc>
              <w:tc>
                <w:tcPr>
                  <w:tcW w:w="1978" w:type="dxa"/>
                </w:tcPr>
                <w:p w14:paraId="4AA09E99" w14:textId="37C30261"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1,369</w:t>
                  </w:r>
                </w:p>
              </w:tc>
              <w:tc>
                <w:tcPr>
                  <w:tcW w:w="3462" w:type="dxa"/>
                </w:tcPr>
                <w:p w14:paraId="0EF126C1" w14:textId="1BD56EF6"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0.1</w:t>
                  </w:r>
                </w:p>
              </w:tc>
            </w:tr>
            <w:tr w:rsidR="0006668D" w:rsidRPr="00D4311F" w14:paraId="384B916A" w14:textId="77777777" w:rsidTr="006F0633">
              <w:trPr>
                <w:trHeight w:val="666"/>
              </w:trPr>
              <w:tc>
                <w:tcPr>
                  <w:cnfStyle w:val="001000000000" w:firstRow="0" w:lastRow="0" w:firstColumn="1" w:lastColumn="0" w:oddVBand="0" w:evenVBand="0" w:oddHBand="0" w:evenHBand="0" w:firstRowFirstColumn="0" w:firstRowLastColumn="0" w:lastRowFirstColumn="0" w:lastRowLastColumn="0"/>
                  <w:tcW w:w="3254" w:type="dxa"/>
                </w:tcPr>
                <w:p w14:paraId="6FD90F50" w14:textId="3BD2FCCB" w:rsidR="0006668D" w:rsidRPr="00D4311F" w:rsidRDefault="0006668D" w:rsidP="002820BE">
                  <w:pPr>
                    <w:jc w:val="both"/>
                    <w:rPr>
                      <w:rFonts w:asciiTheme="majorHAnsi" w:hAnsiTheme="majorHAnsi" w:cstheme="majorHAnsi"/>
                      <w:color w:val="000000"/>
                    </w:rPr>
                  </w:pPr>
                  <w:r w:rsidRPr="00D4311F">
                    <w:rPr>
                      <w:rFonts w:asciiTheme="majorHAnsi" w:hAnsiTheme="majorHAnsi" w:cstheme="majorHAnsi"/>
                      <w:color w:val="000000"/>
                    </w:rPr>
                    <w:t>Cambodia</w:t>
                  </w:r>
                </w:p>
              </w:tc>
              <w:tc>
                <w:tcPr>
                  <w:tcW w:w="1978" w:type="dxa"/>
                </w:tcPr>
                <w:p w14:paraId="752D6A0B" w14:textId="44878AC2"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755</w:t>
                  </w:r>
                </w:p>
              </w:tc>
              <w:tc>
                <w:tcPr>
                  <w:tcW w:w="3462" w:type="dxa"/>
                </w:tcPr>
                <w:p w14:paraId="6A4A1D1B" w14:textId="5A0BC3BE"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0.1</w:t>
                  </w:r>
                </w:p>
              </w:tc>
            </w:tr>
            <w:tr w:rsidR="0006668D" w:rsidRPr="00D4311F" w14:paraId="34AEE76B" w14:textId="77777777" w:rsidTr="006F0633">
              <w:trPr>
                <w:trHeight w:val="666"/>
              </w:trPr>
              <w:tc>
                <w:tcPr>
                  <w:cnfStyle w:val="001000000000" w:firstRow="0" w:lastRow="0" w:firstColumn="1" w:lastColumn="0" w:oddVBand="0" w:evenVBand="0" w:oddHBand="0" w:evenHBand="0" w:firstRowFirstColumn="0" w:firstRowLastColumn="0" w:lastRowFirstColumn="0" w:lastRowLastColumn="0"/>
                  <w:tcW w:w="3254" w:type="dxa"/>
                </w:tcPr>
                <w:p w14:paraId="2AB4C970" w14:textId="023079E0" w:rsidR="0006668D" w:rsidRPr="00D4311F" w:rsidRDefault="0006668D" w:rsidP="002820BE">
                  <w:pPr>
                    <w:jc w:val="both"/>
                    <w:rPr>
                      <w:rFonts w:asciiTheme="majorHAnsi" w:hAnsiTheme="majorHAnsi" w:cstheme="majorHAnsi"/>
                      <w:color w:val="000000"/>
                    </w:rPr>
                  </w:pPr>
                  <w:r w:rsidRPr="00D4311F">
                    <w:rPr>
                      <w:rFonts w:asciiTheme="majorHAnsi" w:hAnsiTheme="majorHAnsi" w:cstheme="majorHAnsi"/>
                      <w:color w:val="000000"/>
                    </w:rPr>
                    <w:t>Indonesia</w:t>
                  </w:r>
                </w:p>
              </w:tc>
              <w:tc>
                <w:tcPr>
                  <w:tcW w:w="1978" w:type="dxa"/>
                </w:tcPr>
                <w:p w14:paraId="74A09145" w14:textId="1784D666"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17,703</w:t>
                  </w:r>
                </w:p>
              </w:tc>
              <w:tc>
                <w:tcPr>
                  <w:tcW w:w="3462" w:type="dxa"/>
                </w:tcPr>
                <w:p w14:paraId="4EF1FE20" w14:textId="4683DDEC"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1.9</w:t>
                  </w:r>
                </w:p>
              </w:tc>
            </w:tr>
            <w:tr w:rsidR="00871A52" w:rsidRPr="00D4311F" w14:paraId="78B7D19D" w14:textId="77777777" w:rsidTr="006F0633">
              <w:trPr>
                <w:trHeight w:val="666"/>
              </w:trPr>
              <w:tc>
                <w:tcPr>
                  <w:cnfStyle w:val="001000000000" w:firstRow="0" w:lastRow="0" w:firstColumn="1" w:lastColumn="0" w:oddVBand="0" w:evenVBand="0" w:oddHBand="0" w:evenHBand="0" w:firstRowFirstColumn="0" w:firstRowLastColumn="0" w:lastRowFirstColumn="0" w:lastRowLastColumn="0"/>
                  <w:tcW w:w="3254" w:type="dxa"/>
                </w:tcPr>
                <w:p w14:paraId="3E19ED57" w14:textId="407BFA5A" w:rsidR="00871A52" w:rsidRPr="00D4311F" w:rsidRDefault="00871A52" w:rsidP="002820BE">
                  <w:pPr>
                    <w:jc w:val="both"/>
                    <w:rPr>
                      <w:rFonts w:asciiTheme="majorHAnsi" w:hAnsiTheme="majorHAnsi" w:cstheme="majorHAnsi"/>
                      <w:color w:val="000000"/>
                    </w:rPr>
                  </w:pPr>
                  <w:r w:rsidRPr="00D4311F">
                    <w:rPr>
                      <w:rFonts w:asciiTheme="majorHAnsi" w:hAnsiTheme="majorHAnsi" w:cstheme="majorHAnsi"/>
                      <w:color w:val="000000"/>
                    </w:rPr>
                    <w:t>Laos</w:t>
                  </w:r>
                </w:p>
              </w:tc>
              <w:tc>
                <w:tcPr>
                  <w:tcW w:w="1978" w:type="dxa"/>
                </w:tcPr>
                <w:p w14:paraId="03B2FCF9" w14:textId="2B34EDD6" w:rsidR="00871A52"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137</w:t>
                  </w:r>
                </w:p>
              </w:tc>
              <w:tc>
                <w:tcPr>
                  <w:tcW w:w="3462" w:type="dxa"/>
                </w:tcPr>
                <w:p w14:paraId="049F922F" w14:textId="2894F419" w:rsidR="00871A52"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0</w:t>
                  </w:r>
                </w:p>
              </w:tc>
            </w:tr>
            <w:tr w:rsidR="0006668D" w:rsidRPr="00D4311F" w14:paraId="0A6E0716" w14:textId="77777777" w:rsidTr="006F0633">
              <w:trPr>
                <w:trHeight w:val="666"/>
              </w:trPr>
              <w:tc>
                <w:tcPr>
                  <w:cnfStyle w:val="001000000000" w:firstRow="0" w:lastRow="0" w:firstColumn="1" w:lastColumn="0" w:oddVBand="0" w:evenVBand="0" w:oddHBand="0" w:evenHBand="0" w:firstRowFirstColumn="0" w:firstRowLastColumn="0" w:lastRowFirstColumn="0" w:lastRowLastColumn="0"/>
                  <w:tcW w:w="3254" w:type="dxa"/>
                </w:tcPr>
                <w:p w14:paraId="7051FDEC" w14:textId="136D2A4E" w:rsidR="0006668D" w:rsidRPr="00D4311F" w:rsidRDefault="0006668D" w:rsidP="002820BE">
                  <w:pPr>
                    <w:jc w:val="both"/>
                    <w:rPr>
                      <w:rFonts w:asciiTheme="majorHAnsi" w:hAnsiTheme="majorHAnsi" w:cstheme="majorHAnsi"/>
                      <w:color w:val="000000"/>
                    </w:rPr>
                  </w:pPr>
                  <w:r w:rsidRPr="00D4311F">
                    <w:rPr>
                      <w:rFonts w:asciiTheme="majorHAnsi" w:hAnsiTheme="majorHAnsi" w:cstheme="majorHAnsi"/>
                      <w:color w:val="000000"/>
                    </w:rPr>
                    <w:t>Malaysia</w:t>
                  </w:r>
                </w:p>
              </w:tc>
              <w:tc>
                <w:tcPr>
                  <w:tcW w:w="1978" w:type="dxa"/>
                </w:tcPr>
                <w:p w14:paraId="1487394D" w14:textId="6D8E6806"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23,953</w:t>
                  </w:r>
                </w:p>
              </w:tc>
              <w:tc>
                <w:tcPr>
                  <w:tcW w:w="3462" w:type="dxa"/>
                </w:tcPr>
                <w:p w14:paraId="22AE0E79" w14:textId="61034CF8"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2.6</w:t>
                  </w:r>
                </w:p>
              </w:tc>
            </w:tr>
            <w:tr w:rsidR="0006668D" w:rsidRPr="00D4311F" w14:paraId="4249991A" w14:textId="77777777" w:rsidTr="006F0633">
              <w:trPr>
                <w:trHeight w:val="666"/>
              </w:trPr>
              <w:tc>
                <w:tcPr>
                  <w:cnfStyle w:val="001000000000" w:firstRow="0" w:lastRow="0" w:firstColumn="1" w:lastColumn="0" w:oddVBand="0" w:evenVBand="0" w:oddHBand="0" w:evenHBand="0" w:firstRowFirstColumn="0" w:firstRowLastColumn="0" w:lastRowFirstColumn="0" w:lastRowLastColumn="0"/>
                  <w:tcW w:w="3254" w:type="dxa"/>
                </w:tcPr>
                <w:p w14:paraId="79019C8D" w14:textId="3103E417" w:rsidR="0006668D" w:rsidRPr="00D4311F" w:rsidRDefault="0006668D" w:rsidP="002820BE">
                  <w:pPr>
                    <w:jc w:val="both"/>
                    <w:rPr>
                      <w:rFonts w:asciiTheme="majorHAnsi" w:hAnsiTheme="majorHAnsi" w:cstheme="majorHAnsi"/>
                      <w:color w:val="000000"/>
                    </w:rPr>
                  </w:pPr>
                  <w:r w:rsidRPr="00D4311F">
                    <w:rPr>
                      <w:rFonts w:asciiTheme="majorHAnsi" w:hAnsiTheme="majorHAnsi" w:cstheme="majorHAnsi"/>
                      <w:color w:val="000000"/>
                    </w:rPr>
                    <w:t>Myanmar</w:t>
                  </w:r>
                </w:p>
              </w:tc>
              <w:tc>
                <w:tcPr>
                  <w:tcW w:w="1978" w:type="dxa"/>
                </w:tcPr>
                <w:p w14:paraId="4DDFBF30" w14:textId="003BBEA4"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397</w:t>
                  </w:r>
                </w:p>
              </w:tc>
              <w:tc>
                <w:tcPr>
                  <w:tcW w:w="3462" w:type="dxa"/>
                </w:tcPr>
                <w:p w14:paraId="1BB678EB" w14:textId="0F0D4C15"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0</w:t>
                  </w:r>
                </w:p>
              </w:tc>
            </w:tr>
            <w:tr w:rsidR="0006668D" w:rsidRPr="00D4311F" w14:paraId="3F54CE92" w14:textId="77777777" w:rsidTr="006F0633">
              <w:trPr>
                <w:trHeight w:val="666"/>
              </w:trPr>
              <w:tc>
                <w:tcPr>
                  <w:cnfStyle w:val="001000000000" w:firstRow="0" w:lastRow="0" w:firstColumn="1" w:lastColumn="0" w:oddVBand="0" w:evenVBand="0" w:oddHBand="0" w:evenHBand="0" w:firstRowFirstColumn="0" w:firstRowLastColumn="0" w:lastRowFirstColumn="0" w:lastRowLastColumn="0"/>
                  <w:tcW w:w="3254" w:type="dxa"/>
                </w:tcPr>
                <w:p w14:paraId="22374D87" w14:textId="310BE39F" w:rsidR="0006668D" w:rsidRPr="00D4311F" w:rsidRDefault="00871A52" w:rsidP="002820BE">
                  <w:pPr>
                    <w:jc w:val="both"/>
                    <w:rPr>
                      <w:rFonts w:asciiTheme="majorHAnsi" w:hAnsiTheme="majorHAnsi" w:cstheme="majorHAnsi"/>
                      <w:color w:val="000000"/>
                    </w:rPr>
                  </w:pPr>
                  <w:r w:rsidRPr="00D4311F">
                    <w:rPr>
                      <w:rFonts w:asciiTheme="majorHAnsi" w:hAnsiTheme="majorHAnsi" w:cstheme="majorHAnsi"/>
                      <w:color w:val="000000"/>
                    </w:rPr>
                    <w:t>Philippines</w:t>
                  </w:r>
                </w:p>
              </w:tc>
              <w:tc>
                <w:tcPr>
                  <w:tcW w:w="1978" w:type="dxa"/>
                </w:tcPr>
                <w:p w14:paraId="3EA5F2FC" w14:textId="29FEF808"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5,893</w:t>
                  </w:r>
                </w:p>
              </w:tc>
              <w:tc>
                <w:tcPr>
                  <w:tcW w:w="3462" w:type="dxa"/>
                </w:tcPr>
                <w:p w14:paraId="7F677733" w14:textId="5217DA6B"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0.6</w:t>
                  </w:r>
                </w:p>
              </w:tc>
            </w:tr>
            <w:tr w:rsidR="0006668D" w:rsidRPr="00D4311F" w14:paraId="5E97ED88" w14:textId="77777777" w:rsidTr="006F0633">
              <w:trPr>
                <w:trHeight w:val="666"/>
              </w:trPr>
              <w:tc>
                <w:tcPr>
                  <w:cnfStyle w:val="001000000000" w:firstRow="0" w:lastRow="0" w:firstColumn="1" w:lastColumn="0" w:oddVBand="0" w:evenVBand="0" w:oddHBand="0" w:evenHBand="0" w:firstRowFirstColumn="0" w:firstRowLastColumn="0" w:lastRowFirstColumn="0" w:lastRowLastColumn="0"/>
                  <w:tcW w:w="3254" w:type="dxa"/>
                </w:tcPr>
                <w:p w14:paraId="703B2C45" w14:textId="581FC759" w:rsidR="0006668D" w:rsidRPr="00D4311F" w:rsidRDefault="00871A52" w:rsidP="002820BE">
                  <w:pPr>
                    <w:jc w:val="both"/>
                    <w:rPr>
                      <w:rFonts w:asciiTheme="majorHAnsi" w:hAnsiTheme="majorHAnsi" w:cstheme="majorHAnsi"/>
                      <w:color w:val="000000"/>
                    </w:rPr>
                  </w:pPr>
                  <w:r w:rsidRPr="00D4311F">
                    <w:rPr>
                      <w:rFonts w:asciiTheme="majorHAnsi" w:hAnsiTheme="majorHAnsi" w:cstheme="majorHAnsi"/>
                      <w:color w:val="000000"/>
                    </w:rPr>
                    <w:t>Singapore</w:t>
                  </w:r>
                </w:p>
              </w:tc>
              <w:tc>
                <w:tcPr>
                  <w:tcW w:w="1978" w:type="dxa"/>
                </w:tcPr>
                <w:p w14:paraId="291E3E4A" w14:textId="7E12D185"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33,181</w:t>
                  </w:r>
                </w:p>
              </w:tc>
              <w:tc>
                <w:tcPr>
                  <w:tcW w:w="3462" w:type="dxa"/>
                </w:tcPr>
                <w:p w14:paraId="08487407" w14:textId="42B979EF"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3.6</w:t>
                  </w:r>
                </w:p>
              </w:tc>
            </w:tr>
            <w:tr w:rsidR="0006668D" w:rsidRPr="00D4311F" w14:paraId="080A360E" w14:textId="77777777" w:rsidTr="006F0633">
              <w:trPr>
                <w:trHeight w:val="666"/>
              </w:trPr>
              <w:tc>
                <w:tcPr>
                  <w:cnfStyle w:val="001000000000" w:firstRow="0" w:lastRow="0" w:firstColumn="1" w:lastColumn="0" w:oddVBand="0" w:evenVBand="0" w:oddHBand="0" w:evenHBand="0" w:firstRowFirstColumn="0" w:firstRowLastColumn="0" w:lastRowFirstColumn="0" w:lastRowLastColumn="0"/>
                  <w:tcW w:w="3254" w:type="dxa"/>
                </w:tcPr>
                <w:p w14:paraId="3BFE51A5" w14:textId="38353364" w:rsidR="0006668D" w:rsidRPr="00D4311F" w:rsidRDefault="00871A52" w:rsidP="002820BE">
                  <w:pPr>
                    <w:jc w:val="both"/>
                    <w:rPr>
                      <w:rFonts w:asciiTheme="majorHAnsi" w:hAnsiTheme="majorHAnsi" w:cstheme="majorHAnsi"/>
                      <w:color w:val="000000"/>
                    </w:rPr>
                  </w:pPr>
                  <w:r w:rsidRPr="00D4311F">
                    <w:rPr>
                      <w:rFonts w:asciiTheme="majorHAnsi" w:hAnsiTheme="majorHAnsi" w:cstheme="majorHAnsi"/>
                      <w:color w:val="000000"/>
                    </w:rPr>
                    <w:t>Thailand</w:t>
                  </w:r>
                </w:p>
              </w:tc>
              <w:tc>
                <w:tcPr>
                  <w:tcW w:w="1978" w:type="dxa"/>
                </w:tcPr>
                <w:p w14:paraId="268EEAC1" w14:textId="1D04BCEC"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23,075</w:t>
                  </w:r>
                </w:p>
              </w:tc>
              <w:tc>
                <w:tcPr>
                  <w:tcW w:w="3462" w:type="dxa"/>
                </w:tcPr>
                <w:p w14:paraId="53D0B059" w14:textId="0D0B9A39" w:rsidR="0006668D"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2.5</w:t>
                  </w:r>
                </w:p>
              </w:tc>
            </w:tr>
            <w:tr w:rsidR="00871A52" w:rsidRPr="00D4311F" w14:paraId="661A0E1C" w14:textId="77777777" w:rsidTr="006F0633">
              <w:trPr>
                <w:trHeight w:val="666"/>
              </w:trPr>
              <w:tc>
                <w:tcPr>
                  <w:cnfStyle w:val="001000000000" w:firstRow="0" w:lastRow="0" w:firstColumn="1" w:lastColumn="0" w:oddVBand="0" w:evenVBand="0" w:oddHBand="0" w:evenHBand="0" w:firstRowFirstColumn="0" w:firstRowLastColumn="0" w:lastRowFirstColumn="0" w:lastRowLastColumn="0"/>
                  <w:tcW w:w="3254" w:type="dxa"/>
                </w:tcPr>
                <w:p w14:paraId="3BC6FC5F" w14:textId="496DB5B5" w:rsidR="00871A52" w:rsidRPr="00D4311F" w:rsidRDefault="00871A52" w:rsidP="002820BE">
                  <w:pPr>
                    <w:jc w:val="both"/>
                    <w:rPr>
                      <w:rFonts w:asciiTheme="majorHAnsi" w:hAnsiTheme="majorHAnsi" w:cstheme="majorHAnsi"/>
                      <w:color w:val="000000"/>
                    </w:rPr>
                  </w:pPr>
                  <w:r w:rsidRPr="00D4311F">
                    <w:rPr>
                      <w:rFonts w:asciiTheme="majorHAnsi" w:hAnsiTheme="majorHAnsi" w:cstheme="majorHAnsi"/>
                      <w:color w:val="000000"/>
                    </w:rPr>
                    <w:t>Vietnam</w:t>
                  </w:r>
                </w:p>
              </w:tc>
              <w:tc>
                <w:tcPr>
                  <w:tcW w:w="1978" w:type="dxa"/>
                </w:tcPr>
                <w:p w14:paraId="5BCC9B4F" w14:textId="0F178DC0" w:rsidR="00871A52"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15,504</w:t>
                  </w:r>
                </w:p>
              </w:tc>
              <w:tc>
                <w:tcPr>
                  <w:tcW w:w="3462" w:type="dxa"/>
                </w:tcPr>
                <w:p w14:paraId="536F0B87" w14:textId="4C5774FC" w:rsidR="00871A52" w:rsidRPr="00D4311F" w:rsidRDefault="00871A52"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1.7</w:t>
                  </w:r>
                </w:p>
              </w:tc>
            </w:tr>
            <w:tr w:rsidR="0006668D" w:rsidRPr="00D4311F" w14:paraId="114BEC54" w14:textId="77777777" w:rsidTr="006F0633">
              <w:trPr>
                <w:trHeight w:val="666"/>
              </w:trPr>
              <w:tc>
                <w:tcPr>
                  <w:cnfStyle w:val="001000000000" w:firstRow="0" w:lastRow="0" w:firstColumn="1" w:lastColumn="0" w:oddVBand="0" w:evenVBand="0" w:oddHBand="0" w:evenHBand="0" w:firstRowFirstColumn="0" w:firstRowLastColumn="0" w:lastRowFirstColumn="0" w:lastRowLastColumn="0"/>
                  <w:tcW w:w="3254" w:type="dxa"/>
                </w:tcPr>
                <w:p w14:paraId="7FF886DD" w14:textId="77777777" w:rsidR="0006668D" w:rsidRPr="00D4311F" w:rsidRDefault="0006668D" w:rsidP="002820BE">
                  <w:pPr>
                    <w:jc w:val="both"/>
                    <w:rPr>
                      <w:rFonts w:asciiTheme="majorHAnsi" w:hAnsiTheme="majorHAnsi" w:cstheme="majorHAnsi"/>
                      <w:color w:val="000000"/>
                    </w:rPr>
                  </w:pPr>
                  <w:r w:rsidRPr="00D4311F">
                    <w:rPr>
                      <w:rFonts w:asciiTheme="majorHAnsi" w:hAnsiTheme="majorHAnsi" w:cstheme="majorHAnsi"/>
                      <w:color w:val="000000"/>
                    </w:rPr>
                    <w:t>China</w:t>
                  </w:r>
                </w:p>
              </w:tc>
              <w:tc>
                <w:tcPr>
                  <w:tcW w:w="1978" w:type="dxa"/>
                </w:tcPr>
                <w:p w14:paraId="71E09D7E" w14:textId="5699D21B" w:rsidR="0006668D" w:rsidRPr="00D4311F" w:rsidRDefault="0006668D"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251,417</w:t>
                  </w:r>
                </w:p>
              </w:tc>
              <w:tc>
                <w:tcPr>
                  <w:tcW w:w="3462" w:type="dxa"/>
                </w:tcPr>
                <w:p w14:paraId="5106EA00" w14:textId="0926AE1D" w:rsidR="0006668D" w:rsidRPr="00D4311F" w:rsidRDefault="0006668D"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27.4</w:t>
                  </w:r>
                </w:p>
              </w:tc>
            </w:tr>
            <w:tr w:rsidR="0006668D" w:rsidRPr="00D4311F" w14:paraId="6A5FA3CE" w14:textId="77777777" w:rsidTr="006F0633">
              <w:trPr>
                <w:trHeight w:val="666"/>
              </w:trPr>
              <w:tc>
                <w:tcPr>
                  <w:cnfStyle w:val="001000000000" w:firstRow="0" w:lastRow="0" w:firstColumn="1" w:lastColumn="0" w:oddVBand="0" w:evenVBand="0" w:oddHBand="0" w:evenHBand="0" w:firstRowFirstColumn="0" w:firstRowLastColumn="0" w:lastRowFirstColumn="0" w:lastRowLastColumn="0"/>
                  <w:tcW w:w="3254" w:type="dxa"/>
                </w:tcPr>
                <w:p w14:paraId="179A0CBC" w14:textId="77777777" w:rsidR="0006668D" w:rsidRPr="00D4311F" w:rsidRDefault="0006668D" w:rsidP="002820BE">
                  <w:pPr>
                    <w:jc w:val="both"/>
                    <w:rPr>
                      <w:rFonts w:asciiTheme="majorHAnsi" w:hAnsiTheme="majorHAnsi" w:cstheme="majorHAnsi"/>
                      <w:color w:val="000000"/>
                    </w:rPr>
                  </w:pPr>
                  <w:r w:rsidRPr="00D4311F">
                    <w:rPr>
                      <w:rFonts w:asciiTheme="majorHAnsi" w:hAnsiTheme="majorHAnsi" w:cstheme="majorHAnsi"/>
                      <w:color w:val="000000"/>
                    </w:rPr>
                    <w:t>Japan</w:t>
                  </w:r>
                </w:p>
              </w:tc>
              <w:tc>
                <w:tcPr>
                  <w:tcW w:w="1978" w:type="dxa"/>
                </w:tcPr>
                <w:p w14:paraId="0A538547" w14:textId="5C137F96" w:rsidR="0006668D" w:rsidRPr="00D4311F" w:rsidRDefault="0006668D"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86,774</w:t>
                  </w:r>
                </w:p>
              </w:tc>
              <w:tc>
                <w:tcPr>
                  <w:tcW w:w="3462" w:type="dxa"/>
                </w:tcPr>
                <w:p w14:paraId="412CAFC3" w14:textId="4CEE5DE7" w:rsidR="0006668D" w:rsidRPr="00D4311F" w:rsidRDefault="0006668D"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9.5</w:t>
                  </w:r>
                </w:p>
              </w:tc>
            </w:tr>
            <w:tr w:rsidR="0006668D" w:rsidRPr="00D4311F" w14:paraId="6AF67843" w14:textId="77777777" w:rsidTr="006F0633">
              <w:trPr>
                <w:trHeight w:val="666"/>
              </w:trPr>
              <w:tc>
                <w:tcPr>
                  <w:cnfStyle w:val="001000000000" w:firstRow="0" w:lastRow="0" w:firstColumn="1" w:lastColumn="0" w:oddVBand="0" w:evenVBand="0" w:oddHBand="0" w:evenHBand="0" w:firstRowFirstColumn="0" w:firstRowLastColumn="0" w:lastRowFirstColumn="0" w:lastRowLastColumn="0"/>
                  <w:tcW w:w="3254" w:type="dxa"/>
                </w:tcPr>
                <w:p w14:paraId="07B772B3" w14:textId="77777777" w:rsidR="0006668D" w:rsidRPr="00D4311F" w:rsidRDefault="0006668D" w:rsidP="002820BE">
                  <w:pPr>
                    <w:jc w:val="both"/>
                    <w:rPr>
                      <w:rFonts w:asciiTheme="majorHAnsi" w:hAnsiTheme="majorHAnsi" w:cstheme="majorHAnsi"/>
                      <w:color w:val="000000"/>
                    </w:rPr>
                  </w:pPr>
                  <w:r w:rsidRPr="00D4311F">
                    <w:rPr>
                      <w:rFonts w:asciiTheme="majorHAnsi" w:hAnsiTheme="majorHAnsi" w:cstheme="majorHAnsi"/>
                      <w:color w:val="000000"/>
                    </w:rPr>
                    <w:t>New Zealand</w:t>
                  </w:r>
                </w:p>
              </w:tc>
              <w:tc>
                <w:tcPr>
                  <w:tcW w:w="1978" w:type="dxa"/>
                </w:tcPr>
                <w:p w14:paraId="2F05E541" w14:textId="3F3EDF3F" w:rsidR="0006668D" w:rsidRPr="00D4311F" w:rsidRDefault="0006668D"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31,108</w:t>
                  </w:r>
                </w:p>
              </w:tc>
              <w:tc>
                <w:tcPr>
                  <w:tcW w:w="3462" w:type="dxa"/>
                </w:tcPr>
                <w:p w14:paraId="1038B7F9" w14:textId="3314EC9F" w:rsidR="0006668D" w:rsidRPr="00D4311F" w:rsidRDefault="0006668D"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3.4</w:t>
                  </w:r>
                </w:p>
              </w:tc>
            </w:tr>
            <w:tr w:rsidR="0006668D" w:rsidRPr="00D4311F" w14:paraId="1F96F0AA" w14:textId="77777777" w:rsidTr="006F0633">
              <w:trPr>
                <w:trHeight w:val="666"/>
              </w:trPr>
              <w:tc>
                <w:tcPr>
                  <w:cnfStyle w:val="001000000000" w:firstRow="0" w:lastRow="0" w:firstColumn="1" w:lastColumn="0" w:oddVBand="0" w:evenVBand="0" w:oddHBand="0" w:evenHBand="0" w:firstRowFirstColumn="0" w:firstRowLastColumn="0" w:lastRowFirstColumn="0" w:lastRowLastColumn="0"/>
                  <w:tcW w:w="3254" w:type="dxa"/>
                </w:tcPr>
                <w:p w14:paraId="0C709402" w14:textId="77777777" w:rsidR="0006668D" w:rsidRPr="00D4311F" w:rsidRDefault="0006668D" w:rsidP="002820BE">
                  <w:pPr>
                    <w:jc w:val="both"/>
                    <w:rPr>
                      <w:rFonts w:asciiTheme="majorHAnsi" w:hAnsiTheme="majorHAnsi" w:cstheme="majorHAnsi"/>
                      <w:color w:val="000000"/>
                    </w:rPr>
                  </w:pPr>
                  <w:r w:rsidRPr="00D4311F">
                    <w:rPr>
                      <w:rFonts w:asciiTheme="majorHAnsi" w:hAnsiTheme="majorHAnsi" w:cstheme="majorHAnsi"/>
                      <w:color w:val="000000"/>
                    </w:rPr>
                    <w:t>Republic of Korea</w:t>
                  </w:r>
                </w:p>
              </w:tc>
              <w:tc>
                <w:tcPr>
                  <w:tcW w:w="1978" w:type="dxa"/>
                </w:tcPr>
                <w:p w14:paraId="079CA75D" w14:textId="6B0F62F1" w:rsidR="0006668D" w:rsidRPr="00D4311F" w:rsidRDefault="0006668D"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41,318</w:t>
                  </w:r>
                </w:p>
              </w:tc>
              <w:tc>
                <w:tcPr>
                  <w:tcW w:w="3462" w:type="dxa"/>
                </w:tcPr>
                <w:p w14:paraId="1FCD3C81" w14:textId="35C927CD" w:rsidR="0006668D" w:rsidRPr="00D4311F" w:rsidRDefault="0006668D"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4.5</w:t>
                  </w:r>
                </w:p>
              </w:tc>
            </w:tr>
          </w:tbl>
          <w:p w14:paraId="27BE1788" w14:textId="77777777" w:rsidR="0039123B" w:rsidRPr="00D4311F" w:rsidRDefault="0039123B" w:rsidP="002820BE">
            <w:pPr>
              <w:spacing w:after="0" w:line="240" w:lineRule="auto"/>
              <w:jc w:val="both"/>
              <w:rPr>
                <w:rFonts w:asciiTheme="majorHAnsi" w:hAnsiTheme="majorHAnsi" w:cstheme="majorHAnsi"/>
                <w:b/>
              </w:rPr>
            </w:pPr>
          </w:p>
        </w:tc>
      </w:tr>
      <w:tr w:rsidR="0039123B" w:rsidRPr="00D4311F" w14:paraId="5B81589D" w14:textId="77777777" w:rsidTr="002727E2">
        <w:trPr>
          <w:gridAfter w:val="1"/>
          <w:tblCellSpacing w:w="15" w:type="dxa"/>
        </w:trPr>
        <w:tc>
          <w:tcPr>
            <w:tcW w:w="0" w:type="auto"/>
            <w:vAlign w:val="center"/>
            <w:hideMark/>
          </w:tcPr>
          <w:p w14:paraId="4D980194" w14:textId="474417EB" w:rsidR="0039123B" w:rsidRPr="00D4311F" w:rsidRDefault="0039123B" w:rsidP="002820BE">
            <w:pPr>
              <w:spacing w:after="0" w:line="240" w:lineRule="auto"/>
              <w:jc w:val="both"/>
              <w:rPr>
                <w:rFonts w:asciiTheme="majorHAnsi" w:hAnsiTheme="majorHAnsi" w:cstheme="majorHAnsi"/>
              </w:rPr>
            </w:pPr>
            <w:r w:rsidRPr="00D4311F">
              <w:rPr>
                <w:rFonts w:asciiTheme="majorHAnsi" w:hAnsiTheme="majorHAnsi" w:cstheme="majorHAnsi"/>
              </w:rPr>
              <w:t xml:space="preserve">Source: </w:t>
            </w:r>
            <w:r w:rsidR="00871A52" w:rsidRPr="00D4311F">
              <w:rPr>
                <w:rFonts w:asciiTheme="majorHAnsi" w:hAnsiTheme="majorHAnsi" w:cstheme="majorHAnsi"/>
              </w:rPr>
              <w:t>DFAT publication 'Composition of Trade, Australia'</w:t>
            </w:r>
          </w:p>
        </w:tc>
      </w:tr>
    </w:tbl>
    <w:p w14:paraId="0C3174AD" w14:textId="77777777" w:rsidR="0039123B" w:rsidRPr="00D4311F" w:rsidRDefault="0039123B" w:rsidP="002820BE">
      <w:pPr>
        <w:spacing w:after="0" w:line="240" w:lineRule="auto"/>
        <w:jc w:val="both"/>
        <w:rPr>
          <w:rFonts w:asciiTheme="majorHAnsi" w:hAnsiTheme="majorHAnsi" w:cstheme="majorHAnsi"/>
        </w:rPr>
      </w:pPr>
    </w:p>
    <w:p w14:paraId="6055CB11" w14:textId="438C25C4" w:rsidR="0039123B" w:rsidRDefault="0039123B" w:rsidP="002820BE">
      <w:pPr>
        <w:spacing w:after="0" w:line="240" w:lineRule="auto"/>
        <w:jc w:val="both"/>
        <w:rPr>
          <w:rFonts w:asciiTheme="majorHAnsi" w:hAnsiTheme="majorHAnsi" w:cstheme="majorHAnsi"/>
        </w:rPr>
      </w:pPr>
      <w:r w:rsidRPr="00D4311F">
        <w:rPr>
          <w:rFonts w:asciiTheme="majorHAnsi" w:hAnsiTheme="majorHAnsi" w:cstheme="majorHAnsi"/>
        </w:rPr>
        <w:t>Table 2:  Total investment between Australia’s and other Regional Comprehensive Econom</w:t>
      </w:r>
      <w:r w:rsidR="00871A52" w:rsidRPr="00D4311F">
        <w:rPr>
          <w:rFonts w:asciiTheme="majorHAnsi" w:hAnsiTheme="majorHAnsi" w:cstheme="majorHAnsi"/>
        </w:rPr>
        <w:t>ic Partnership countries in 2019</w:t>
      </w:r>
    </w:p>
    <w:p w14:paraId="72919CA1" w14:textId="77777777" w:rsidR="006F0633" w:rsidRDefault="006F0633" w:rsidP="002820BE">
      <w:pPr>
        <w:spacing w:after="0" w:line="240" w:lineRule="auto"/>
        <w:jc w:val="both"/>
        <w:rPr>
          <w:rFonts w:asciiTheme="majorHAnsi" w:hAnsiTheme="majorHAnsi" w:cstheme="majorHAnsi"/>
        </w:rPr>
      </w:pPr>
    </w:p>
    <w:p w14:paraId="0151BAE4" w14:textId="106E7C42" w:rsidR="0039123B" w:rsidRPr="006F0633" w:rsidRDefault="006F0633" w:rsidP="006F0633">
      <w:pPr>
        <w:pStyle w:val="Heading3"/>
      </w:pPr>
      <w:r w:rsidRPr="006F0633">
        <w:t xml:space="preserve">Total foreign investment </w:t>
      </w:r>
      <w:r w:rsidR="002D312B">
        <w:t xml:space="preserve">stock </w:t>
      </w:r>
      <w:r w:rsidRPr="006F0633">
        <w:t>in Australia</w:t>
      </w:r>
    </w:p>
    <w:tbl>
      <w:tblPr>
        <w:tblStyle w:val="GridTable1Light"/>
        <w:tblW w:w="7083" w:type="dxa"/>
        <w:tblLook w:val="04A0" w:firstRow="1" w:lastRow="0" w:firstColumn="1" w:lastColumn="0" w:noHBand="0" w:noVBand="1"/>
        <w:tblCaption w:val="Total foreign investment in Australia and Total Australian investment"/>
        <w:tblDescription w:val="Table shows a breakdown of total investment in Australia and total Australian investment with ASEAN, China, Japan, New Zealand and Republic of Korea."/>
      </w:tblPr>
      <w:tblGrid>
        <w:gridCol w:w="2263"/>
        <w:gridCol w:w="1701"/>
        <w:gridCol w:w="3119"/>
      </w:tblGrid>
      <w:tr w:rsidR="006F0633" w:rsidRPr="00D4311F" w14:paraId="49E9E121" w14:textId="77777777" w:rsidTr="003551F2">
        <w:trPr>
          <w:cnfStyle w:val="100000000000" w:firstRow="1" w:lastRow="0" w:firstColumn="0" w:lastColumn="0" w:oddVBand="0" w:evenVBand="0" w:oddHBand="0" w:evenHBand="0" w:firstRowFirstColumn="0" w:firstRowLastColumn="0" w:lastRowFirstColumn="0" w:lastRowLastColumn="0"/>
          <w:trHeight w:val="752"/>
          <w:tblHeader/>
        </w:trPr>
        <w:tc>
          <w:tcPr>
            <w:cnfStyle w:val="001000000000" w:firstRow="0" w:lastRow="0" w:firstColumn="1" w:lastColumn="0" w:oddVBand="0" w:evenVBand="0" w:oddHBand="0" w:evenHBand="0" w:firstRowFirstColumn="0" w:firstRowLastColumn="0" w:lastRowFirstColumn="0" w:lastRowLastColumn="0"/>
            <w:tcW w:w="2263" w:type="dxa"/>
          </w:tcPr>
          <w:p w14:paraId="2C213241" w14:textId="36A0B57B" w:rsidR="006F0633" w:rsidRPr="006F0633" w:rsidRDefault="006F0633" w:rsidP="002820BE">
            <w:pPr>
              <w:jc w:val="both"/>
              <w:rPr>
                <w:rFonts w:asciiTheme="majorHAnsi" w:hAnsiTheme="majorHAnsi" w:cstheme="majorHAnsi"/>
              </w:rPr>
            </w:pPr>
            <w:r w:rsidRPr="006F0633">
              <w:rPr>
                <w:rFonts w:asciiTheme="majorHAnsi" w:hAnsiTheme="majorHAnsi" w:cstheme="majorHAnsi"/>
              </w:rPr>
              <w:t>Country</w:t>
            </w:r>
          </w:p>
        </w:tc>
        <w:tc>
          <w:tcPr>
            <w:tcW w:w="1701" w:type="dxa"/>
          </w:tcPr>
          <w:p w14:paraId="1091B04C" w14:textId="4239B7DE" w:rsidR="006F0633" w:rsidRPr="00D4311F" w:rsidRDefault="006F0633" w:rsidP="002820BE">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rPr>
            </w:pPr>
            <w:proofErr w:type="spellStart"/>
            <w:r w:rsidRPr="00D4311F">
              <w:rPr>
                <w:rFonts w:asciiTheme="majorHAnsi" w:hAnsiTheme="majorHAnsi" w:cstheme="majorHAnsi"/>
                <w:color w:val="000000"/>
              </w:rPr>
              <w:t>A$m</w:t>
            </w:r>
            <w:proofErr w:type="spellEnd"/>
          </w:p>
        </w:tc>
        <w:tc>
          <w:tcPr>
            <w:tcW w:w="3119" w:type="dxa"/>
          </w:tcPr>
          <w:p w14:paraId="40251CD1" w14:textId="77777777" w:rsidR="006F0633" w:rsidRPr="00D4311F" w:rsidRDefault="006F0633" w:rsidP="002820BE">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Percentage share of total</w:t>
            </w:r>
          </w:p>
        </w:tc>
      </w:tr>
      <w:tr w:rsidR="006F0633" w:rsidRPr="00D4311F" w14:paraId="5AC3736B" w14:textId="77777777" w:rsidTr="006F0633">
        <w:trPr>
          <w:trHeight w:val="485"/>
        </w:trPr>
        <w:tc>
          <w:tcPr>
            <w:cnfStyle w:val="001000000000" w:firstRow="0" w:lastRow="0" w:firstColumn="1" w:lastColumn="0" w:oddVBand="0" w:evenVBand="0" w:oddHBand="0" w:evenHBand="0" w:firstRowFirstColumn="0" w:firstRowLastColumn="0" w:lastRowFirstColumn="0" w:lastRowLastColumn="0"/>
            <w:tcW w:w="2263" w:type="dxa"/>
          </w:tcPr>
          <w:p w14:paraId="2A6D5D28" w14:textId="071B267E" w:rsidR="006F0633" w:rsidRPr="00D4311F" w:rsidRDefault="006F0633" w:rsidP="002820BE">
            <w:pPr>
              <w:jc w:val="both"/>
              <w:rPr>
                <w:rFonts w:asciiTheme="majorHAnsi" w:hAnsiTheme="majorHAnsi" w:cstheme="majorHAnsi"/>
                <w:color w:val="000000"/>
              </w:rPr>
            </w:pPr>
            <w:r w:rsidRPr="00D4311F">
              <w:rPr>
                <w:rFonts w:asciiTheme="majorHAnsi" w:hAnsiTheme="majorHAnsi" w:cstheme="majorHAnsi"/>
                <w:color w:val="000000"/>
              </w:rPr>
              <w:t>ASEAN</w:t>
            </w:r>
          </w:p>
        </w:tc>
        <w:tc>
          <w:tcPr>
            <w:tcW w:w="1701" w:type="dxa"/>
          </w:tcPr>
          <w:p w14:paraId="409B9DED" w14:textId="55CBFEC9" w:rsidR="006F0633" w:rsidRPr="00D4311F" w:rsidRDefault="006F0633"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134,653</w:t>
            </w:r>
          </w:p>
        </w:tc>
        <w:tc>
          <w:tcPr>
            <w:tcW w:w="3119" w:type="dxa"/>
          </w:tcPr>
          <w:p w14:paraId="2D065122" w14:textId="3F3AC0E7" w:rsidR="006F0633" w:rsidRPr="00D4311F" w:rsidRDefault="006F0633"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3.5</w:t>
            </w:r>
          </w:p>
        </w:tc>
      </w:tr>
      <w:tr w:rsidR="006F0633" w:rsidRPr="00D4311F" w14:paraId="0B52F5C1" w14:textId="77777777" w:rsidTr="006F0633">
        <w:trPr>
          <w:trHeight w:val="497"/>
        </w:trPr>
        <w:tc>
          <w:tcPr>
            <w:cnfStyle w:val="001000000000" w:firstRow="0" w:lastRow="0" w:firstColumn="1" w:lastColumn="0" w:oddVBand="0" w:evenVBand="0" w:oddHBand="0" w:evenHBand="0" w:firstRowFirstColumn="0" w:firstRowLastColumn="0" w:lastRowFirstColumn="0" w:lastRowLastColumn="0"/>
            <w:tcW w:w="2263" w:type="dxa"/>
          </w:tcPr>
          <w:p w14:paraId="2C6E9664" w14:textId="77777777" w:rsidR="006F0633" w:rsidRPr="00D4311F" w:rsidRDefault="006F0633" w:rsidP="002820BE">
            <w:pPr>
              <w:jc w:val="both"/>
              <w:rPr>
                <w:rFonts w:asciiTheme="majorHAnsi" w:hAnsiTheme="majorHAnsi" w:cstheme="majorHAnsi"/>
                <w:color w:val="000000"/>
              </w:rPr>
            </w:pPr>
            <w:r w:rsidRPr="00D4311F">
              <w:rPr>
                <w:rFonts w:asciiTheme="majorHAnsi" w:hAnsiTheme="majorHAnsi" w:cstheme="majorHAnsi"/>
                <w:color w:val="000000"/>
              </w:rPr>
              <w:t>China</w:t>
            </w:r>
          </w:p>
        </w:tc>
        <w:tc>
          <w:tcPr>
            <w:tcW w:w="1701" w:type="dxa"/>
          </w:tcPr>
          <w:p w14:paraId="298C4748" w14:textId="01066666" w:rsidR="006F0633" w:rsidRPr="00D4311F" w:rsidRDefault="006F0633"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78,152</w:t>
            </w:r>
          </w:p>
        </w:tc>
        <w:tc>
          <w:tcPr>
            <w:tcW w:w="3119" w:type="dxa"/>
          </w:tcPr>
          <w:p w14:paraId="05975D8A" w14:textId="21CCB39E" w:rsidR="006F0633" w:rsidRPr="00D4311F" w:rsidRDefault="006F0633"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2</w:t>
            </w:r>
          </w:p>
        </w:tc>
      </w:tr>
      <w:tr w:rsidR="006F0633" w:rsidRPr="00D4311F" w14:paraId="55A71CAF" w14:textId="77777777" w:rsidTr="006F0633">
        <w:trPr>
          <w:trHeight w:val="497"/>
        </w:trPr>
        <w:tc>
          <w:tcPr>
            <w:cnfStyle w:val="001000000000" w:firstRow="0" w:lastRow="0" w:firstColumn="1" w:lastColumn="0" w:oddVBand="0" w:evenVBand="0" w:oddHBand="0" w:evenHBand="0" w:firstRowFirstColumn="0" w:firstRowLastColumn="0" w:lastRowFirstColumn="0" w:lastRowLastColumn="0"/>
            <w:tcW w:w="2263" w:type="dxa"/>
          </w:tcPr>
          <w:p w14:paraId="07468BA1" w14:textId="77777777" w:rsidR="006F0633" w:rsidRPr="00D4311F" w:rsidRDefault="006F0633" w:rsidP="002820BE">
            <w:pPr>
              <w:jc w:val="both"/>
              <w:rPr>
                <w:rFonts w:asciiTheme="majorHAnsi" w:hAnsiTheme="majorHAnsi" w:cstheme="majorHAnsi"/>
                <w:color w:val="000000"/>
              </w:rPr>
            </w:pPr>
            <w:r w:rsidRPr="00D4311F">
              <w:rPr>
                <w:rFonts w:asciiTheme="majorHAnsi" w:hAnsiTheme="majorHAnsi" w:cstheme="majorHAnsi"/>
                <w:color w:val="000000"/>
              </w:rPr>
              <w:t>Japan</w:t>
            </w:r>
          </w:p>
        </w:tc>
        <w:tc>
          <w:tcPr>
            <w:tcW w:w="1701" w:type="dxa"/>
          </w:tcPr>
          <w:p w14:paraId="38674840" w14:textId="2906C28B" w:rsidR="006F0633" w:rsidRPr="00D4311F" w:rsidRDefault="006F0633"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241,091</w:t>
            </w:r>
          </w:p>
        </w:tc>
        <w:tc>
          <w:tcPr>
            <w:tcW w:w="3119" w:type="dxa"/>
          </w:tcPr>
          <w:p w14:paraId="6D4B91E5" w14:textId="60294D93" w:rsidR="006F0633" w:rsidRPr="00D4311F" w:rsidRDefault="006F0633"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6.3</w:t>
            </w:r>
          </w:p>
        </w:tc>
      </w:tr>
      <w:tr w:rsidR="006F0633" w:rsidRPr="00D4311F" w14:paraId="67E086B6" w14:textId="77777777" w:rsidTr="006F0633">
        <w:trPr>
          <w:trHeight w:val="752"/>
        </w:trPr>
        <w:tc>
          <w:tcPr>
            <w:cnfStyle w:val="001000000000" w:firstRow="0" w:lastRow="0" w:firstColumn="1" w:lastColumn="0" w:oddVBand="0" w:evenVBand="0" w:oddHBand="0" w:evenHBand="0" w:firstRowFirstColumn="0" w:firstRowLastColumn="0" w:lastRowFirstColumn="0" w:lastRowLastColumn="0"/>
            <w:tcW w:w="2263" w:type="dxa"/>
          </w:tcPr>
          <w:p w14:paraId="0921B5BF" w14:textId="77777777" w:rsidR="006F0633" w:rsidRPr="00D4311F" w:rsidRDefault="006F0633" w:rsidP="002820BE">
            <w:pPr>
              <w:jc w:val="both"/>
              <w:rPr>
                <w:rFonts w:asciiTheme="majorHAnsi" w:hAnsiTheme="majorHAnsi" w:cstheme="majorHAnsi"/>
                <w:color w:val="000000"/>
              </w:rPr>
            </w:pPr>
            <w:r w:rsidRPr="00D4311F">
              <w:rPr>
                <w:rFonts w:asciiTheme="majorHAnsi" w:hAnsiTheme="majorHAnsi" w:cstheme="majorHAnsi"/>
                <w:color w:val="000000"/>
              </w:rPr>
              <w:t>New Zealand</w:t>
            </w:r>
          </w:p>
        </w:tc>
        <w:tc>
          <w:tcPr>
            <w:tcW w:w="1701" w:type="dxa"/>
          </w:tcPr>
          <w:p w14:paraId="6D46077F" w14:textId="23931328" w:rsidR="006F0633" w:rsidRPr="00D4311F" w:rsidRDefault="006F0633"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64,360</w:t>
            </w:r>
          </w:p>
        </w:tc>
        <w:tc>
          <w:tcPr>
            <w:tcW w:w="3119" w:type="dxa"/>
          </w:tcPr>
          <w:p w14:paraId="329A8C4C" w14:textId="63E650BF" w:rsidR="006F0633" w:rsidRPr="00D4311F" w:rsidRDefault="006F0633"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1.7</w:t>
            </w:r>
          </w:p>
        </w:tc>
      </w:tr>
      <w:tr w:rsidR="006F0633" w:rsidRPr="00D4311F" w14:paraId="54B1F132" w14:textId="77777777" w:rsidTr="006F0633">
        <w:trPr>
          <w:trHeight w:val="752"/>
        </w:trPr>
        <w:tc>
          <w:tcPr>
            <w:cnfStyle w:val="001000000000" w:firstRow="0" w:lastRow="0" w:firstColumn="1" w:lastColumn="0" w:oddVBand="0" w:evenVBand="0" w:oddHBand="0" w:evenHBand="0" w:firstRowFirstColumn="0" w:firstRowLastColumn="0" w:lastRowFirstColumn="0" w:lastRowLastColumn="0"/>
            <w:tcW w:w="2263" w:type="dxa"/>
          </w:tcPr>
          <w:p w14:paraId="2B9CD035" w14:textId="77777777" w:rsidR="006F0633" w:rsidRPr="00D4311F" w:rsidRDefault="006F0633" w:rsidP="002820BE">
            <w:pPr>
              <w:jc w:val="both"/>
              <w:rPr>
                <w:rFonts w:asciiTheme="majorHAnsi" w:hAnsiTheme="majorHAnsi" w:cstheme="majorHAnsi"/>
                <w:color w:val="000000"/>
              </w:rPr>
            </w:pPr>
            <w:r w:rsidRPr="00D4311F">
              <w:rPr>
                <w:rFonts w:asciiTheme="majorHAnsi" w:hAnsiTheme="majorHAnsi" w:cstheme="majorHAnsi"/>
                <w:color w:val="000000"/>
              </w:rPr>
              <w:t>Republic of Korea</w:t>
            </w:r>
          </w:p>
        </w:tc>
        <w:tc>
          <w:tcPr>
            <w:tcW w:w="1701" w:type="dxa"/>
          </w:tcPr>
          <w:p w14:paraId="39EC3DCC" w14:textId="25064797" w:rsidR="006F0633" w:rsidRPr="00D4311F" w:rsidRDefault="006F0633"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31,377</w:t>
            </w:r>
          </w:p>
        </w:tc>
        <w:tc>
          <w:tcPr>
            <w:tcW w:w="3119" w:type="dxa"/>
          </w:tcPr>
          <w:p w14:paraId="370B8BF5" w14:textId="77777777" w:rsidR="006F0633" w:rsidRPr="00D4311F" w:rsidRDefault="006F0633" w:rsidP="002820BE">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0.8</w:t>
            </w:r>
          </w:p>
        </w:tc>
      </w:tr>
    </w:tbl>
    <w:tbl>
      <w:tblPr>
        <w:tblW w:w="9290" w:type="dxa"/>
        <w:tblCellSpacing w:w="15" w:type="dxa"/>
        <w:tblCellMar>
          <w:top w:w="15" w:type="dxa"/>
          <w:left w:w="15" w:type="dxa"/>
          <w:bottom w:w="15" w:type="dxa"/>
          <w:right w:w="15" w:type="dxa"/>
        </w:tblCellMar>
        <w:tblLook w:val="04A0" w:firstRow="1" w:lastRow="0" w:firstColumn="1" w:lastColumn="0" w:noHBand="0" w:noVBand="1"/>
        <w:tblCaption w:val="Total foreign investment in Australia and Total Australian investment"/>
        <w:tblDescription w:val="Table shows a breakdown of total investment in Australia and total Australian investment with ASEAN, China, Japan, New Zealand and Republic of Korea."/>
      </w:tblPr>
      <w:tblGrid>
        <w:gridCol w:w="9290"/>
      </w:tblGrid>
      <w:tr w:rsidR="00871A52" w:rsidRPr="00D4311F" w14:paraId="1D504380" w14:textId="77777777" w:rsidTr="006F0633">
        <w:trPr>
          <w:tblCellSpacing w:w="15" w:type="dxa"/>
        </w:trPr>
        <w:tc>
          <w:tcPr>
            <w:tcW w:w="9230" w:type="dxa"/>
            <w:vAlign w:val="center"/>
            <w:hideMark/>
          </w:tcPr>
          <w:p w14:paraId="4289C8CE" w14:textId="77777777" w:rsidR="006F0633" w:rsidRDefault="006F0633" w:rsidP="002820BE">
            <w:pPr>
              <w:spacing w:after="0" w:line="240" w:lineRule="auto"/>
              <w:jc w:val="both"/>
              <w:rPr>
                <w:rFonts w:asciiTheme="majorHAnsi" w:hAnsiTheme="majorHAnsi" w:cstheme="majorHAnsi"/>
                <w:color w:val="000000"/>
              </w:rPr>
            </w:pPr>
          </w:p>
          <w:p w14:paraId="2AB6BC8A" w14:textId="5F985551" w:rsidR="006F0633" w:rsidRDefault="006F0633" w:rsidP="006F0633">
            <w:pPr>
              <w:pStyle w:val="Heading3"/>
            </w:pPr>
            <w:r w:rsidRPr="00D4311F">
              <w:t>Total Australian investment</w:t>
            </w:r>
            <w:r w:rsidR="002D312B">
              <w:t xml:space="preserve"> stock abroad</w:t>
            </w:r>
          </w:p>
          <w:tbl>
            <w:tblPr>
              <w:tblStyle w:val="GridTable1Light"/>
              <w:tblW w:w="7038" w:type="dxa"/>
              <w:tblLook w:val="04A0" w:firstRow="1" w:lastRow="0" w:firstColumn="1" w:lastColumn="0" w:noHBand="0" w:noVBand="1"/>
              <w:tblCaption w:val="Total foreign investment in Australia and Total Australian investment"/>
              <w:tblDescription w:val="Table shows a breakdown of total investment in Australia and total Australian investment with ASEAN, China, Japan, New Zealand and Republic of Korea."/>
            </w:tblPr>
            <w:tblGrid>
              <w:gridCol w:w="2218"/>
              <w:gridCol w:w="1701"/>
              <w:gridCol w:w="3119"/>
            </w:tblGrid>
            <w:tr w:rsidR="006F0633" w:rsidRPr="00D4311F" w14:paraId="4DA938D8" w14:textId="77777777" w:rsidTr="003551F2">
              <w:trPr>
                <w:cnfStyle w:val="100000000000" w:firstRow="1" w:lastRow="0" w:firstColumn="0" w:lastColumn="0" w:oddVBand="0" w:evenVBand="0" w:oddHBand="0" w:evenHBand="0" w:firstRowFirstColumn="0" w:firstRowLastColumn="0" w:lastRowFirstColumn="0" w:lastRowLastColumn="0"/>
                <w:trHeight w:val="752"/>
                <w:tblHeader/>
              </w:trPr>
              <w:tc>
                <w:tcPr>
                  <w:cnfStyle w:val="001000000000" w:firstRow="0" w:lastRow="0" w:firstColumn="1" w:lastColumn="0" w:oddVBand="0" w:evenVBand="0" w:oddHBand="0" w:evenHBand="0" w:firstRowFirstColumn="0" w:firstRowLastColumn="0" w:lastRowFirstColumn="0" w:lastRowLastColumn="0"/>
                  <w:tcW w:w="2218" w:type="dxa"/>
                </w:tcPr>
                <w:p w14:paraId="54AC96A2" w14:textId="7B0DC04B" w:rsidR="006F0633" w:rsidRPr="006F0633" w:rsidRDefault="006F0633" w:rsidP="006F0633">
                  <w:pPr>
                    <w:jc w:val="both"/>
                    <w:rPr>
                      <w:rFonts w:asciiTheme="majorHAnsi" w:hAnsiTheme="majorHAnsi" w:cstheme="majorHAnsi"/>
                    </w:rPr>
                  </w:pPr>
                  <w:r w:rsidRPr="006F0633">
                    <w:rPr>
                      <w:rFonts w:asciiTheme="majorHAnsi" w:hAnsiTheme="majorHAnsi" w:cstheme="majorHAnsi"/>
                    </w:rPr>
                    <w:t>Country</w:t>
                  </w:r>
                </w:p>
              </w:tc>
              <w:tc>
                <w:tcPr>
                  <w:tcW w:w="1701" w:type="dxa"/>
                </w:tcPr>
                <w:p w14:paraId="47AF44E1" w14:textId="77777777" w:rsidR="006F0633" w:rsidRPr="00D4311F" w:rsidRDefault="006F0633" w:rsidP="006F0633">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rPr>
                  </w:pPr>
                  <w:proofErr w:type="spellStart"/>
                  <w:r w:rsidRPr="00D4311F">
                    <w:rPr>
                      <w:rFonts w:asciiTheme="majorHAnsi" w:hAnsiTheme="majorHAnsi" w:cstheme="majorHAnsi"/>
                      <w:color w:val="000000"/>
                    </w:rPr>
                    <w:t>A$m</w:t>
                  </w:r>
                  <w:proofErr w:type="spellEnd"/>
                </w:p>
              </w:tc>
              <w:tc>
                <w:tcPr>
                  <w:tcW w:w="3119" w:type="dxa"/>
                </w:tcPr>
                <w:p w14:paraId="29F240B5" w14:textId="77777777" w:rsidR="006F0633" w:rsidRPr="00D4311F" w:rsidRDefault="006F0633" w:rsidP="006F0633">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Percentage share of total</w:t>
                  </w:r>
                </w:p>
              </w:tc>
            </w:tr>
            <w:tr w:rsidR="006F0633" w:rsidRPr="00D4311F" w14:paraId="0099F6C0" w14:textId="77777777" w:rsidTr="006F0633">
              <w:trPr>
                <w:trHeight w:val="485"/>
              </w:trPr>
              <w:tc>
                <w:tcPr>
                  <w:cnfStyle w:val="001000000000" w:firstRow="0" w:lastRow="0" w:firstColumn="1" w:lastColumn="0" w:oddVBand="0" w:evenVBand="0" w:oddHBand="0" w:evenHBand="0" w:firstRowFirstColumn="0" w:firstRowLastColumn="0" w:lastRowFirstColumn="0" w:lastRowLastColumn="0"/>
                  <w:tcW w:w="2218" w:type="dxa"/>
                </w:tcPr>
                <w:p w14:paraId="6FF68F2E" w14:textId="77777777" w:rsidR="006F0633" w:rsidRPr="00D4311F" w:rsidRDefault="006F0633" w:rsidP="006F0633">
                  <w:pPr>
                    <w:jc w:val="both"/>
                    <w:rPr>
                      <w:rFonts w:asciiTheme="majorHAnsi" w:hAnsiTheme="majorHAnsi" w:cstheme="majorHAnsi"/>
                      <w:color w:val="000000"/>
                    </w:rPr>
                  </w:pPr>
                  <w:r w:rsidRPr="00D4311F">
                    <w:rPr>
                      <w:rFonts w:asciiTheme="majorHAnsi" w:hAnsiTheme="majorHAnsi" w:cstheme="majorHAnsi"/>
                      <w:color w:val="000000"/>
                    </w:rPr>
                    <w:t>ASEAN</w:t>
                  </w:r>
                </w:p>
              </w:tc>
              <w:tc>
                <w:tcPr>
                  <w:tcW w:w="1701" w:type="dxa"/>
                </w:tcPr>
                <w:p w14:paraId="1A62F1FA" w14:textId="77777777" w:rsidR="006F0633" w:rsidRPr="00D4311F" w:rsidRDefault="006F0633" w:rsidP="006F063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124,683</w:t>
                  </w:r>
                </w:p>
              </w:tc>
              <w:tc>
                <w:tcPr>
                  <w:tcW w:w="3119" w:type="dxa"/>
                </w:tcPr>
                <w:p w14:paraId="60E9B38C" w14:textId="77777777" w:rsidR="006F0633" w:rsidRPr="00D4311F" w:rsidRDefault="006F0633" w:rsidP="006F063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4.2</w:t>
                  </w:r>
                </w:p>
              </w:tc>
            </w:tr>
            <w:tr w:rsidR="006F0633" w:rsidRPr="00D4311F" w14:paraId="070230A2" w14:textId="77777777" w:rsidTr="006F0633">
              <w:trPr>
                <w:trHeight w:val="497"/>
              </w:trPr>
              <w:tc>
                <w:tcPr>
                  <w:cnfStyle w:val="001000000000" w:firstRow="0" w:lastRow="0" w:firstColumn="1" w:lastColumn="0" w:oddVBand="0" w:evenVBand="0" w:oddHBand="0" w:evenHBand="0" w:firstRowFirstColumn="0" w:firstRowLastColumn="0" w:lastRowFirstColumn="0" w:lastRowLastColumn="0"/>
                  <w:tcW w:w="2218" w:type="dxa"/>
                </w:tcPr>
                <w:p w14:paraId="2D9BE504" w14:textId="77777777" w:rsidR="006F0633" w:rsidRPr="00D4311F" w:rsidRDefault="006F0633" w:rsidP="006F0633">
                  <w:pPr>
                    <w:jc w:val="both"/>
                    <w:rPr>
                      <w:rFonts w:asciiTheme="majorHAnsi" w:hAnsiTheme="majorHAnsi" w:cstheme="majorHAnsi"/>
                      <w:color w:val="000000"/>
                    </w:rPr>
                  </w:pPr>
                  <w:r w:rsidRPr="00D4311F">
                    <w:rPr>
                      <w:rFonts w:asciiTheme="majorHAnsi" w:hAnsiTheme="majorHAnsi" w:cstheme="majorHAnsi"/>
                      <w:color w:val="000000"/>
                    </w:rPr>
                    <w:t>China</w:t>
                  </w:r>
                </w:p>
              </w:tc>
              <w:tc>
                <w:tcPr>
                  <w:tcW w:w="1701" w:type="dxa"/>
                </w:tcPr>
                <w:p w14:paraId="77BEA13A" w14:textId="77777777" w:rsidR="006F0633" w:rsidRPr="00D4311F" w:rsidRDefault="006F0633" w:rsidP="006F063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85,268</w:t>
                  </w:r>
                </w:p>
              </w:tc>
              <w:tc>
                <w:tcPr>
                  <w:tcW w:w="3119" w:type="dxa"/>
                </w:tcPr>
                <w:p w14:paraId="673C1518" w14:textId="77777777" w:rsidR="006F0633" w:rsidRPr="00D4311F" w:rsidRDefault="006F0633" w:rsidP="006F063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2.9</w:t>
                  </w:r>
                </w:p>
              </w:tc>
            </w:tr>
            <w:tr w:rsidR="006F0633" w:rsidRPr="00D4311F" w14:paraId="36F5AD58" w14:textId="77777777" w:rsidTr="006F0633">
              <w:trPr>
                <w:trHeight w:val="497"/>
              </w:trPr>
              <w:tc>
                <w:tcPr>
                  <w:cnfStyle w:val="001000000000" w:firstRow="0" w:lastRow="0" w:firstColumn="1" w:lastColumn="0" w:oddVBand="0" w:evenVBand="0" w:oddHBand="0" w:evenHBand="0" w:firstRowFirstColumn="0" w:firstRowLastColumn="0" w:lastRowFirstColumn="0" w:lastRowLastColumn="0"/>
                  <w:tcW w:w="2218" w:type="dxa"/>
                </w:tcPr>
                <w:p w14:paraId="7A107470" w14:textId="77777777" w:rsidR="006F0633" w:rsidRPr="00D4311F" w:rsidRDefault="006F0633" w:rsidP="006F0633">
                  <w:pPr>
                    <w:jc w:val="both"/>
                    <w:rPr>
                      <w:rFonts w:asciiTheme="majorHAnsi" w:hAnsiTheme="majorHAnsi" w:cstheme="majorHAnsi"/>
                      <w:color w:val="000000"/>
                    </w:rPr>
                  </w:pPr>
                  <w:r w:rsidRPr="00D4311F">
                    <w:rPr>
                      <w:rFonts w:asciiTheme="majorHAnsi" w:hAnsiTheme="majorHAnsi" w:cstheme="majorHAnsi"/>
                      <w:color w:val="000000"/>
                    </w:rPr>
                    <w:t>Japan</w:t>
                  </w:r>
                </w:p>
              </w:tc>
              <w:tc>
                <w:tcPr>
                  <w:tcW w:w="1701" w:type="dxa"/>
                </w:tcPr>
                <w:p w14:paraId="5C0E1A7C" w14:textId="77777777" w:rsidR="006F0633" w:rsidRPr="00D4311F" w:rsidRDefault="006F0633" w:rsidP="006F063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139,567</w:t>
                  </w:r>
                </w:p>
              </w:tc>
              <w:tc>
                <w:tcPr>
                  <w:tcW w:w="3119" w:type="dxa"/>
                </w:tcPr>
                <w:p w14:paraId="241AE5FC" w14:textId="77777777" w:rsidR="006F0633" w:rsidRPr="00D4311F" w:rsidRDefault="006F0633" w:rsidP="006F063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4.7</w:t>
                  </w:r>
                </w:p>
              </w:tc>
            </w:tr>
            <w:tr w:rsidR="006F0633" w:rsidRPr="00D4311F" w14:paraId="58349BCC" w14:textId="77777777" w:rsidTr="006F0633">
              <w:trPr>
                <w:trHeight w:val="752"/>
              </w:trPr>
              <w:tc>
                <w:tcPr>
                  <w:cnfStyle w:val="001000000000" w:firstRow="0" w:lastRow="0" w:firstColumn="1" w:lastColumn="0" w:oddVBand="0" w:evenVBand="0" w:oddHBand="0" w:evenHBand="0" w:firstRowFirstColumn="0" w:firstRowLastColumn="0" w:lastRowFirstColumn="0" w:lastRowLastColumn="0"/>
                  <w:tcW w:w="2218" w:type="dxa"/>
                </w:tcPr>
                <w:p w14:paraId="0A07D6AC" w14:textId="77777777" w:rsidR="006F0633" w:rsidRPr="00D4311F" w:rsidRDefault="006F0633" w:rsidP="006F0633">
                  <w:pPr>
                    <w:jc w:val="both"/>
                    <w:rPr>
                      <w:rFonts w:asciiTheme="majorHAnsi" w:hAnsiTheme="majorHAnsi" w:cstheme="majorHAnsi"/>
                      <w:color w:val="000000"/>
                    </w:rPr>
                  </w:pPr>
                  <w:r w:rsidRPr="00D4311F">
                    <w:rPr>
                      <w:rFonts w:asciiTheme="majorHAnsi" w:hAnsiTheme="majorHAnsi" w:cstheme="majorHAnsi"/>
                      <w:color w:val="000000"/>
                    </w:rPr>
                    <w:t>New Zealand</w:t>
                  </w:r>
                </w:p>
              </w:tc>
              <w:tc>
                <w:tcPr>
                  <w:tcW w:w="1701" w:type="dxa"/>
                </w:tcPr>
                <w:p w14:paraId="3FD8A0CC" w14:textId="77777777" w:rsidR="006F0633" w:rsidRPr="00D4311F" w:rsidRDefault="006F0633" w:rsidP="006F063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130,451</w:t>
                  </w:r>
                </w:p>
              </w:tc>
              <w:tc>
                <w:tcPr>
                  <w:tcW w:w="3119" w:type="dxa"/>
                </w:tcPr>
                <w:p w14:paraId="749D78EA" w14:textId="77777777" w:rsidR="006F0633" w:rsidRPr="00D4311F" w:rsidRDefault="006F0633" w:rsidP="006F063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4.4</w:t>
                  </w:r>
                </w:p>
              </w:tc>
            </w:tr>
            <w:tr w:rsidR="006F0633" w:rsidRPr="00D4311F" w14:paraId="7A97B347" w14:textId="77777777" w:rsidTr="006F0633">
              <w:trPr>
                <w:trHeight w:val="752"/>
              </w:trPr>
              <w:tc>
                <w:tcPr>
                  <w:cnfStyle w:val="001000000000" w:firstRow="0" w:lastRow="0" w:firstColumn="1" w:lastColumn="0" w:oddVBand="0" w:evenVBand="0" w:oddHBand="0" w:evenHBand="0" w:firstRowFirstColumn="0" w:firstRowLastColumn="0" w:lastRowFirstColumn="0" w:lastRowLastColumn="0"/>
                  <w:tcW w:w="2218" w:type="dxa"/>
                </w:tcPr>
                <w:p w14:paraId="7549C56F" w14:textId="77777777" w:rsidR="006F0633" w:rsidRPr="00D4311F" w:rsidRDefault="006F0633" w:rsidP="006F0633">
                  <w:pPr>
                    <w:jc w:val="both"/>
                    <w:rPr>
                      <w:rFonts w:asciiTheme="majorHAnsi" w:hAnsiTheme="majorHAnsi" w:cstheme="majorHAnsi"/>
                      <w:color w:val="000000"/>
                    </w:rPr>
                  </w:pPr>
                  <w:r w:rsidRPr="00D4311F">
                    <w:rPr>
                      <w:rFonts w:asciiTheme="majorHAnsi" w:hAnsiTheme="majorHAnsi" w:cstheme="majorHAnsi"/>
                      <w:color w:val="000000"/>
                    </w:rPr>
                    <w:t>Republic of Korea</w:t>
                  </w:r>
                </w:p>
              </w:tc>
              <w:tc>
                <w:tcPr>
                  <w:tcW w:w="1701" w:type="dxa"/>
                </w:tcPr>
                <w:p w14:paraId="02B6567B" w14:textId="77777777" w:rsidR="006F0633" w:rsidRPr="00D4311F" w:rsidRDefault="006F0633" w:rsidP="006F063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22,704</w:t>
                  </w:r>
                </w:p>
              </w:tc>
              <w:tc>
                <w:tcPr>
                  <w:tcW w:w="3119" w:type="dxa"/>
                </w:tcPr>
                <w:p w14:paraId="28204F87" w14:textId="77777777" w:rsidR="006F0633" w:rsidRPr="00D4311F" w:rsidRDefault="006F0633" w:rsidP="006F063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rPr>
                  </w:pPr>
                  <w:r w:rsidRPr="00D4311F">
                    <w:rPr>
                      <w:rFonts w:asciiTheme="majorHAnsi" w:hAnsiTheme="majorHAnsi" w:cstheme="majorHAnsi"/>
                      <w:color w:val="000000"/>
                    </w:rPr>
                    <w:t>0.8</w:t>
                  </w:r>
                </w:p>
              </w:tc>
            </w:tr>
          </w:tbl>
          <w:p w14:paraId="53FA6259" w14:textId="455E9349" w:rsidR="006F0633" w:rsidRDefault="006F0633" w:rsidP="002820BE">
            <w:pPr>
              <w:spacing w:after="0" w:line="240" w:lineRule="auto"/>
              <w:jc w:val="both"/>
              <w:rPr>
                <w:rFonts w:asciiTheme="majorHAnsi" w:hAnsiTheme="majorHAnsi" w:cstheme="majorHAnsi"/>
              </w:rPr>
            </w:pPr>
          </w:p>
          <w:p w14:paraId="4D0A4044" w14:textId="43489EA1" w:rsidR="00871A52" w:rsidRPr="00D4311F" w:rsidRDefault="00871A52" w:rsidP="002820BE">
            <w:pPr>
              <w:spacing w:after="0" w:line="240" w:lineRule="auto"/>
              <w:jc w:val="both"/>
              <w:rPr>
                <w:rFonts w:asciiTheme="majorHAnsi" w:hAnsiTheme="majorHAnsi" w:cstheme="majorHAnsi"/>
              </w:rPr>
            </w:pPr>
            <w:r w:rsidRPr="00D4311F">
              <w:rPr>
                <w:rFonts w:asciiTheme="majorHAnsi" w:hAnsiTheme="majorHAnsi" w:cstheme="majorHAnsi"/>
              </w:rPr>
              <w:t>Source: DFAT publication</w:t>
            </w:r>
          </w:p>
        </w:tc>
      </w:tr>
    </w:tbl>
    <w:p w14:paraId="5737FBE4" w14:textId="5860119B" w:rsidR="000944A4" w:rsidRPr="00D4311F" w:rsidRDefault="000944A4" w:rsidP="002820BE">
      <w:pPr>
        <w:spacing w:after="0" w:line="240" w:lineRule="auto"/>
        <w:jc w:val="both"/>
        <w:rPr>
          <w:rFonts w:asciiTheme="majorHAnsi" w:hAnsiTheme="majorHAnsi" w:cstheme="majorHAnsi"/>
          <w:lang w:val="en-US"/>
        </w:rPr>
      </w:pPr>
    </w:p>
    <w:sectPr w:rsidR="000944A4" w:rsidRPr="00D4311F" w:rsidSect="00A96F7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B886E" w14:textId="77777777" w:rsidR="00930479" w:rsidRDefault="00930479" w:rsidP="00707D5D">
      <w:pPr>
        <w:spacing w:after="0" w:line="240" w:lineRule="auto"/>
      </w:pPr>
      <w:r>
        <w:separator/>
      </w:r>
    </w:p>
  </w:endnote>
  <w:endnote w:type="continuationSeparator" w:id="0">
    <w:p w14:paraId="39C581F2" w14:textId="77777777" w:rsidR="00930479" w:rsidRDefault="00930479" w:rsidP="0070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43F7A" w14:textId="77777777" w:rsidR="00F75028" w:rsidRDefault="00F75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EFD8" w14:textId="6CDD699E" w:rsidR="00A96F7A" w:rsidRDefault="00A96F7A">
    <w:pPr>
      <w:pStyle w:val="Footer"/>
    </w:pPr>
    <w:r w:rsidRPr="00F11373">
      <w:rPr>
        <w:rFonts w:asciiTheme="majorHAnsi" w:hAnsiTheme="majorHAnsi" w:cstheme="majorHAnsi"/>
        <w:sz w:val="20"/>
        <w:szCs w:val="20"/>
      </w:rPr>
      <w:t xml:space="preserve">Fact Sheet last update: 15 November </w:t>
    </w:r>
    <w:r>
      <w:rPr>
        <w:rFonts w:asciiTheme="majorHAnsi" w:hAnsiTheme="majorHAnsi" w:cstheme="majorHAnsi"/>
        <w:sz w:val="20"/>
        <w:szCs w:val="20"/>
      </w:rPr>
      <w:t xml:space="preserve">2020 </w:t>
    </w:r>
    <w:r>
      <w:rPr>
        <w:rFonts w:asciiTheme="majorHAnsi" w:hAnsiTheme="majorHAnsi" w:cstheme="majorHAnsi"/>
        <w:sz w:val="20"/>
        <w:szCs w:val="20"/>
      </w:rPr>
      <w:tab/>
    </w:r>
    <w:r>
      <w:rPr>
        <w:rFonts w:asciiTheme="majorHAnsi" w:hAnsiTheme="majorHAnsi" w:cstheme="majorHAnsi"/>
        <w:sz w:val="20"/>
        <w:szCs w:val="20"/>
      </w:rPr>
      <w:tab/>
    </w:r>
    <w:r>
      <w:rPr>
        <w:noProof/>
        <w:lang w:eastAsia="en-AU"/>
      </w:rPr>
      <w:drawing>
        <wp:inline distT="0" distB="0" distL="0" distR="0" wp14:anchorId="39E0A3B7" wp14:editId="602B73AA">
          <wp:extent cx="1399035" cy="701041"/>
          <wp:effectExtent l="0" t="0" r="0" b="3810"/>
          <wp:docPr id="6" name="Picture 6" descr="a picture of the Commonwealth Coat of Arms, consisting of a shield and symbols of Australia's six states being held up by the native Australian animals the kangaroo and the emu. The words 'Australian Government' are displayed underneath." title="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stralian Government stack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9035" cy="70104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12AF" w14:textId="6147A24B" w:rsidR="00A96F7A" w:rsidRDefault="00A96F7A" w:rsidP="00A96F7A">
    <w:pPr>
      <w:pStyle w:val="Footer"/>
      <w:tabs>
        <w:tab w:val="left" w:pos="360"/>
      </w:tabs>
    </w:pPr>
    <w:r>
      <w:tab/>
    </w:r>
    <w:r w:rsidRPr="00F11373">
      <w:rPr>
        <w:rFonts w:asciiTheme="majorHAnsi" w:hAnsiTheme="majorHAnsi" w:cstheme="majorHAnsi"/>
        <w:sz w:val="20"/>
        <w:szCs w:val="20"/>
      </w:rPr>
      <w:t>Fact Sheet last update: 15 November 2020</w:t>
    </w:r>
    <w:r w:rsidR="00753CBD">
      <w:rPr>
        <w:rFonts w:asciiTheme="majorHAnsi" w:hAnsiTheme="majorHAnsi" w:cstheme="majorHAnsi"/>
        <w:sz w:val="24"/>
        <w:szCs w:val="24"/>
      </w:rPr>
      <w:tab/>
    </w:r>
    <w:r w:rsidR="00753CBD">
      <w:rPr>
        <w:rFonts w:asciiTheme="majorHAnsi" w:hAnsiTheme="majorHAnsi" w:cstheme="majorHAnsi"/>
        <w:sz w:val="24"/>
        <w:szCs w:val="24"/>
      </w:rPr>
      <w:tab/>
    </w:r>
    <w:r>
      <w:rPr>
        <w:noProof/>
        <w:lang w:eastAsia="en-AU"/>
      </w:rPr>
      <w:drawing>
        <wp:inline distT="0" distB="0" distL="0" distR="0" wp14:anchorId="1B4DC4D8" wp14:editId="732E3389">
          <wp:extent cx="1399035" cy="701041"/>
          <wp:effectExtent l="0" t="0" r="0" b="3810"/>
          <wp:docPr id="8" name="Picture 8" descr="a picture of the Commonwealth Coat of Arms, consisting of a shield and symbols of Australia's six states being held up by the native Australian animals the kangaroo and the emu. The words 'Australian Government' are displayed underneath." title="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stralian Government stack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9035" cy="7010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A2657" w14:textId="77777777" w:rsidR="00930479" w:rsidRDefault="00930479" w:rsidP="00707D5D">
      <w:pPr>
        <w:spacing w:after="0" w:line="240" w:lineRule="auto"/>
      </w:pPr>
      <w:r>
        <w:separator/>
      </w:r>
    </w:p>
  </w:footnote>
  <w:footnote w:type="continuationSeparator" w:id="0">
    <w:p w14:paraId="75850232" w14:textId="77777777" w:rsidR="00930479" w:rsidRDefault="00930479" w:rsidP="00707D5D">
      <w:pPr>
        <w:spacing w:after="0" w:line="240" w:lineRule="auto"/>
      </w:pPr>
      <w:r>
        <w:continuationSeparator/>
      </w:r>
    </w:p>
  </w:footnote>
  <w:footnote w:id="1">
    <w:p w14:paraId="60574011" w14:textId="16F5F299" w:rsidR="00A3096C" w:rsidRPr="00822998" w:rsidRDefault="00A3096C">
      <w:pPr>
        <w:pStyle w:val="FootnoteText"/>
        <w:rPr>
          <w:rFonts w:asciiTheme="majorHAnsi" w:hAnsiTheme="majorHAnsi" w:cstheme="majorHAnsi"/>
        </w:rPr>
      </w:pPr>
      <w:r w:rsidRPr="00822998">
        <w:rPr>
          <w:rStyle w:val="FootnoteReference"/>
          <w:rFonts w:asciiTheme="majorHAnsi" w:hAnsiTheme="majorHAnsi" w:cstheme="majorHAnsi"/>
        </w:rPr>
        <w:footnoteRef/>
      </w:r>
      <w:r w:rsidRPr="00822998">
        <w:rPr>
          <w:rFonts w:asciiTheme="majorHAnsi" w:hAnsiTheme="majorHAnsi" w:cstheme="majorHAnsi"/>
        </w:rPr>
        <w:t xml:space="preserve"> India had indicated it would not be in a position to sign the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2E6B6" w14:textId="77777777" w:rsidR="00F75028" w:rsidRDefault="00F750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5873B" w14:textId="30833356" w:rsidR="00AF1E86" w:rsidRDefault="00A96F7A">
    <w:pPr>
      <w:pStyle w:val="Header"/>
    </w:pPr>
    <w:r>
      <w:rPr>
        <w:noProof/>
        <w:lang w:eastAsia="en-AU"/>
      </w:rPr>
      <w:drawing>
        <wp:inline distT="0" distB="0" distL="0" distR="0" wp14:anchorId="345544C2" wp14:editId="27C414B7">
          <wp:extent cx="5741035" cy="1100455"/>
          <wp:effectExtent l="0" t="0" r="0" b="0"/>
          <wp:docPr id="5" name="Picture 5" descr="A banner showing a world globe with Australia highlighted." title="RCEP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CEP secondary.png"/>
                  <pic:cNvPicPr/>
                </pic:nvPicPr>
                <pic:blipFill>
                  <a:blip r:embed="rId1">
                    <a:extLst>
                      <a:ext uri="{28A0092B-C50C-407E-A947-70E740481C1C}">
                        <a14:useLocalDpi xmlns:a14="http://schemas.microsoft.com/office/drawing/2010/main" val="0"/>
                      </a:ext>
                    </a:extLst>
                  </a:blip>
                  <a:stretch>
                    <a:fillRect/>
                  </a:stretch>
                </pic:blipFill>
                <pic:spPr>
                  <a:xfrm>
                    <a:off x="0" y="0"/>
                    <a:ext cx="5741035" cy="11004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36E22" w14:textId="6EEF4D9C" w:rsidR="00A96F7A" w:rsidRDefault="00A96F7A">
    <w:pPr>
      <w:pStyle w:val="Header"/>
    </w:pPr>
    <w:r>
      <w:rPr>
        <w:noProof/>
        <w:lang w:eastAsia="en-AU"/>
      </w:rPr>
      <w:drawing>
        <wp:inline distT="0" distB="0" distL="0" distR="0" wp14:anchorId="6D813FA6" wp14:editId="103DC505">
          <wp:extent cx="5731510" cy="1050925"/>
          <wp:effectExtent l="0" t="0" r="2540" b="0"/>
          <wp:docPr id="7" name="Picture 7" descr="A banner showing a world globe with Australia highlighted, with the words Regional Comprehensive Economic Partnership." title="RCEP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EP bann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050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1020" w:hanging="356"/>
      </w:pPr>
      <w:rPr>
        <w:rFonts w:ascii="Times New Roman" w:hAnsi="Times New Roman" w:cs="Times New Roman"/>
        <w:b w:val="0"/>
        <w:bCs w:val="0"/>
        <w:spacing w:val="-6"/>
        <w:w w:val="99"/>
        <w:sz w:val="24"/>
        <w:szCs w:val="24"/>
      </w:rPr>
    </w:lvl>
    <w:lvl w:ilvl="1">
      <w:numFmt w:val="bullet"/>
      <w:lvlText w:val="•"/>
      <w:lvlJc w:val="left"/>
      <w:pPr>
        <w:ind w:left="2007" w:hanging="356"/>
      </w:pPr>
    </w:lvl>
    <w:lvl w:ilvl="2">
      <w:numFmt w:val="bullet"/>
      <w:lvlText w:val="•"/>
      <w:lvlJc w:val="left"/>
      <w:pPr>
        <w:ind w:left="2995" w:hanging="356"/>
      </w:pPr>
    </w:lvl>
    <w:lvl w:ilvl="3">
      <w:numFmt w:val="bullet"/>
      <w:lvlText w:val="•"/>
      <w:lvlJc w:val="left"/>
      <w:pPr>
        <w:ind w:left="3983" w:hanging="356"/>
      </w:pPr>
    </w:lvl>
    <w:lvl w:ilvl="4">
      <w:numFmt w:val="bullet"/>
      <w:lvlText w:val="•"/>
      <w:lvlJc w:val="left"/>
      <w:pPr>
        <w:ind w:left="4971" w:hanging="356"/>
      </w:pPr>
    </w:lvl>
    <w:lvl w:ilvl="5">
      <w:numFmt w:val="bullet"/>
      <w:lvlText w:val="•"/>
      <w:lvlJc w:val="left"/>
      <w:pPr>
        <w:ind w:left="5959" w:hanging="356"/>
      </w:pPr>
    </w:lvl>
    <w:lvl w:ilvl="6">
      <w:numFmt w:val="bullet"/>
      <w:lvlText w:val="•"/>
      <w:lvlJc w:val="left"/>
      <w:pPr>
        <w:ind w:left="6947" w:hanging="356"/>
      </w:pPr>
    </w:lvl>
    <w:lvl w:ilvl="7">
      <w:numFmt w:val="bullet"/>
      <w:lvlText w:val="•"/>
      <w:lvlJc w:val="left"/>
      <w:pPr>
        <w:ind w:left="7935" w:hanging="356"/>
      </w:pPr>
    </w:lvl>
    <w:lvl w:ilvl="8">
      <w:numFmt w:val="bullet"/>
      <w:lvlText w:val="•"/>
      <w:lvlJc w:val="left"/>
      <w:pPr>
        <w:ind w:left="8923" w:hanging="356"/>
      </w:pPr>
    </w:lvl>
  </w:abstractNum>
  <w:abstractNum w:abstractNumId="1" w15:restartNumberingAfterBreak="0">
    <w:nsid w:val="04781D70"/>
    <w:multiLevelType w:val="multilevel"/>
    <w:tmpl w:val="1A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B6010"/>
    <w:multiLevelType w:val="hybridMultilevel"/>
    <w:tmpl w:val="DC6834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3" w:hanging="360"/>
      </w:pPr>
      <w:rPr>
        <w:rFonts w:ascii="Courier New" w:hAnsi="Courier New" w:cs="Courier New" w:hint="default"/>
      </w:rPr>
    </w:lvl>
    <w:lvl w:ilvl="2" w:tplc="8A708E1A">
      <w:numFmt w:val="bullet"/>
      <w:lvlText w:val="-"/>
      <w:lvlJc w:val="left"/>
      <w:pPr>
        <w:ind w:left="1083" w:hanging="360"/>
      </w:pPr>
      <w:rPr>
        <w:rFonts w:ascii="Calibri" w:eastAsiaTheme="minorHAnsi" w:hAnsi="Calibri" w:cs="Calibri" w:hint="default"/>
      </w:rPr>
    </w:lvl>
    <w:lvl w:ilvl="3" w:tplc="0C090001">
      <w:start w:val="1"/>
      <w:numFmt w:val="bullet"/>
      <w:lvlText w:val=""/>
      <w:lvlJc w:val="left"/>
      <w:pPr>
        <w:ind w:left="1803" w:hanging="360"/>
      </w:pPr>
      <w:rPr>
        <w:rFonts w:ascii="Symbol" w:hAnsi="Symbol" w:hint="default"/>
      </w:rPr>
    </w:lvl>
    <w:lvl w:ilvl="4" w:tplc="0C090003">
      <w:start w:val="1"/>
      <w:numFmt w:val="bullet"/>
      <w:lvlText w:val="o"/>
      <w:lvlJc w:val="left"/>
      <w:pPr>
        <w:ind w:left="2523" w:hanging="360"/>
      </w:pPr>
      <w:rPr>
        <w:rFonts w:ascii="Courier New" w:hAnsi="Courier New" w:cs="Courier New" w:hint="default"/>
      </w:rPr>
    </w:lvl>
    <w:lvl w:ilvl="5" w:tplc="0C090005">
      <w:start w:val="1"/>
      <w:numFmt w:val="bullet"/>
      <w:lvlText w:val=""/>
      <w:lvlJc w:val="left"/>
      <w:pPr>
        <w:ind w:left="3243" w:hanging="360"/>
      </w:pPr>
      <w:rPr>
        <w:rFonts w:ascii="Wingdings" w:hAnsi="Wingdings" w:hint="default"/>
      </w:rPr>
    </w:lvl>
    <w:lvl w:ilvl="6" w:tplc="0C090001">
      <w:start w:val="1"/>
      <w:numFmt w:val="bullet"/>
      <w:lvlText w:val=""/>
      <w:lvlJc w:val="left"/>
      <w:pPr>
        <w:ind w:left="3963" w:hanging="360"/>
      </w:pPr>
      <w:rPr>
        <w:rFonts w:ascii="Symbol" w:hAnsi="Symbol" w:hint="default"/>
      </w:rPr>
    </w:lvl>
    <w:lvl w:ilvl="7" w:tplc="0C090003">
      <w:start w:val="1"/>
      <w:numFmt w:val="bullet"/>
      <w:lvlText w:val="o"/>
      <w:lvlJc w:val="left"/>
      <w:pPr>
        <w:ind w:left="4683" w:hanging="360"/>
      </w:pPr>
      <w:rPr>
        <w:rFonts w:ascii="Courier New" w:hAnsi="Courier New" w:cs="Courier New" w:hint="default"/>
      </w:rPr>
    </w:lvl>
    <w:lvl w:ilvl="8" w:tplc="0C090005">
      <w:start w:val="1"/>
      <w:numFmt w:val="bullet"/>
      <w:lvlText w:val=""/>
      <w:lvlJc w:val="left"/>
      <w:pPr>
        <w:ind w:left="5403" w:hanging="360"/>
      </w:pPr>
      <w:rPr>
        <w:rFonts w:ascii="Wingdings" w:hAnsi="Wingdings" w:hint="default"/>
      </w:rPr>
    </w:lvl>
  </w:abstractNum>
  <w:abstractNum w:abstractNumId="3" w15:restartNumberingAfterBreak="0">
    <w:nsid w:val="06C61B70"/>
    <w:multiLevelType w:val="hybridMultilevel"/>
    <w:tmpl w:val="8C00523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AF63D7"/>
    <w:multiLevelType w:val="hybridMultilevel"/>
    <w:tmpl w:val="7DEA1682"/>
    <w:lvl w:ilvl="0" w:tplc="1E06330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576005"/>
    <w:multiLevelType w:val="hybridMultilevel"/>
    <w:tmpl w:val="96825EB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EE6B91"/>
    <w:multiLevelType w:val="multilevel"/>
    <w:tmpl w:val="02663A0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AE159B"/>
    <w:multiLevelType w:val="hybridMultilevel"/>
    <w:tmpl w:val="53F42C76"/>
    <w:lvl w:ilvl="0" w:tplc="34A4EC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44578C"/>
    <w:multiLevelType w:val="hybridMultilevel"/>
    <w:tmpl w:val="C39CA9E2"/>
    <w:lvl w:ilvl="0" w:tplc="A1DE297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1E4596"/>
    <w:multiLevelType w:val="hybridMultilevel"/>
    <w:tmpl w:val="01E404AA"/>
    <w:lvl w:ilvl="0" w:tplc="637E2CC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123BB2"/>
    <w:multiLevelType w:val="multilevel"/>
    <w:tmpl w:val="A634C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068EB"/>
    <w:multiLevelType w:val="hybridMultilevel"/>
    <w:tmpl w:val="8320D99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2D804FD7"/>
    <w:multiLevelType w:val="multilevel"/>
    <w:tmpl w:val="71C0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9726A6"/>
    <w:multiLevelType w:val="hybridMultilevel"/>
    <w:tmpl w:val="D5A264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2C57E3C"/>
    <w:multiLevelType w:val="multilevel"/>
    <w:tmpl w:val="3280E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6F0237"/>
    <w:multiLevelType w:val="hybridMultilevel"/>
    <w:tmpl w:val="28189DD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266803"/>
    <w:multiLevelType w:val="hybridMultilevel"/>
    <w:tmpl w:val="13DC5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0833DA"/>
    <w:multiLevelType w:val="hybridMultilevel"/>
    <w:tmpl w:val="DD3A9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441C34"/>
    <w:multiLevelType w:val="hybridMultilevel"/>
    <w:tmpl w:val="40F0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826F5D"/>
    <w:multiLevelType w:val="hybridMultilevel"/>
    <w:tmpl w:val="7DC425CC"/>
    <w:lvl w:ilvl="0" w:tplc="034E3DFC">
      <w:start w:val="1"/>
      <w:numFmt w:val="decimal"/>
      <w:pStyle w:val="Background"/>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39C86936"/>
    <w:multiLevelType w:val="hybridMultilevel"/>
    <w:tmpl w:val="8C00523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F11B4B"/>
    <w:multiLevelType w:val="hybridMultilevel"/>
    <w:tmpl w:val="E2AA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BB4575"/>
    <w:multiLevelType w:val="multilevel"/>
    <w:tmpl w:val="12A6BF7E"/>
    <w:lvl w:ilvl="0">
      <w:start w:val="1"/>
      <w:numFmt w:val="decimal"/>
      <w:lvlText w:val="%1"/>
      <w:lvlJc w:val="left"/>
      <w:pPr>
        <w:ind w:left="360" w:hanging="360"/>
      </w:pPr>
      <w:rPr>
        <w:rFonts w:hint="default"/>
        <w:sz w:val="28"/>
      </w:rPr>
    </w:lvl>
    <w:lvl w:ilvl="1">
      <w:start w:val="1"/>
      <w:numFmt w:val="decimal"/>
      <w:lvlText w:val="%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600A15"/>
    <w:multiLevelType w:val="hybridMultilevel"/>
    <w:tmpl w:val="0AD29A5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4" w15:restartNumberingAfterBreak="0">
    <w:nsid w:val="43CD546F"/>
    <w:multiLevelType w:val="hybridMultilevel"/>
    <w:tmpl w:val="AD2606F6"/>
    <w:lvl w:ilvl="0" w:tplc="585081E4">
      <w:start w:val="1"/>
      <w:numFmt w:val="bullet"/>
      <w:pStyle w:val="Bullet1"/>
      <w:lvlText w:val=""/>
      <w:lvlJc w:val="left"/>
      <w:pPr>
        <w:ind w:left="567" w:hanging="567"/>
      </w:pPr>
      <w:rPr>
        <w:rFonts w:ascii="Symbol" w:hAnsi="Symbol" w:hint="default"/>
      </w:rPr>
    </w:lvl>
    <w:lvl w:ilvl="1" w:tplc="62A492FA">
      <w:start w:val="1"/>
      <w:numFmt w:val="bullet"/>
      <w:lvlText w:val="-"/>
      <w:lvlJc w:val="left"/>
      <w:pPr>
        <w:ind w:left="1080" w:hanging="360"/>
      </w:pPr>
      <w:rPr>
        <w:rFonts w:ascii="Courier New" w:hAnsi="Courier New" w:cs="Times New Roman" w:hint="default"/>
      </w:rPr>
    </w:lvl>
    <w:lvl w:ilvl="2" w:tplc="97681144">
      <w:start w:val="1"/>
      <w:numFmt w:val="bullet"/>
      <w:lvlText w:val=":"/>
      <w:lvlJc w:val="left"/>
      <w:pPr>
        <w:ind w:left="1800" w:hanging="180"/>
      </w:pPr>
      <w:rPr>
        <w:rFonts w:ascii="Courier New" w:hAnsi="Courier New" w:cs="Times New Roman" w:hint="default"/>
      </w:r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5" w15:restartNumberingAfterBreak="0">
    <w:nsid w:val="463232C3"/>
    <w:multiLevelType w:val="hybridMultilevel"/>
    <w:tmpl w:val="3856B4D4"/>
    <w:lvl w:ilvl="0" w:tplc="A95E27C6">
      <w:start w:val="1"/>
      <w:numFmt w:val="decimal"/>
      <w:lvlText w:val="%1."/>
      <w:lvlJc w:val="left"/>
      <w:pPr>
        <w:ind w:left="360" w:hanging="360"/>
      </w:pPr>
      <w:rPr>
        <w:b w:val="0"/>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 w15:restartNumberingAfterBreak="0">
    <w:nsid w:val="4E351399"/>
    <w:multiLevelType w:val="hybridMultilevel"/>
    <w:tmpl w:val="F84AE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E26D30"/>
    <w:multiLevelType w:val="hybridMultilevel"/>
    <w:tmpl w:val="4E0A6A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FF81C5E"/>
    <w:multiLevelType w:val="hybridMultilevel"/>
    <w:tmpl w:val="EF16C056"/>
    <w:lvl w:ilvl="0" w:tplc="D3FCF0E0">
      <w:start w:val="1"/>
      <w:numFmt w:val="bullet"/>
      <w:lvlText w:val=""/>
      <w:lvlJc w:val="left"/>
      <w:pPr>
        <w:tabs>
          <w:tab w:val="num" w:pos="1080"/>
        </w:tabs>
        <w:ind w:left="1080" w:hanging="360"/>
      </w:pPr>
      <w:rPr>
        <w:rFonts w:ascii="Symbol" w:hAnsi="Symbol" w:hint="default"/>
        <w:b w:val="0"/>
      </w:rPr>
    </w:lvl>
    <w:lvl w:ilvl="1" w:tplc="4C9EDBAE">
      <w:start w:val="1"/>
      <w:numFmt w:val="bullet"/>
      <w:lvlText w:val=""/>
      <w:lvlJc w:val="left"/>
      <w:pPr>
        <w:tabs>
          <w:tab w:val="num" w:pos="1080"/>
        </w:tabs>
        <w:ind w:left="1080" w:hanging="360"/>
      </w:pPr>
      <w:rPr>
        <w:rFonts w:ascii="Symbol" w:hAnsi="Symbol" w:hint="default"/>
        <w:b w:val="0"/>
      </w:rPr>
    </w:lvl>
    <w:lvl w:ilvl="2" w:tplc="265A9AC4">
      <w:start w:val="1"/>
      <w:numFmt w:val="bullet"/>
      <w:lvlText w:val=""/>
      <w:lvlJc w:val="left"/>
      <w:pPr>
        <w:tabs>
          <w:tab w:val="num" w:pos="2520"/>
        </w:tabs>
        <w:ind w:left="2520" w:hanging="360"/>
      </w:pPr>
      <w:rPr>
        <w:rFonts w:ascii="Symbol" w:hAnsi="Symbol" w:hint="default"/>
        <w:b w:val="0"/>
      </w:rPr>
    </w:lvl>
    <w:lvl w:ilvl="3" w:tplc="E25C818C">
      <w:start w:val="1"/>
      <w:numFmt w:val="bullet"/>
      <w:lvlText w:val="o"/>
      <w:lvlJc w:val="left"/>
      <w:pPr>
        <w:tabs>
          <w:tab w:val="num" w:pos="3240"/>
        </w:tabs>
        <w:ind w:left="3240" w:hanging="360"/>
      </w:pPr>
      <w:rPr>
        <w:rFonts w:ascii="Courier New" w:hAnsi="Courier New" w:cs="Courier New" w:hint="default"/>
        <w:b w:val="0"/>
      </w:rPr>
    </w:lvl>
    <w:lvl w:ilvl="4" w:tplc="7B12F9E8">
      <w:start w:val="4"/>
      <w:numFmt w:val="bullet"/>
      <w:lvlText w:val="-"/>
      <w:lvlJc w:val="left"/>
      <w:pPr>
        <w:tabs>
          <w:tab w:val="num" w:pos="4140"/>
        </w:tabs>
        <w:ind w:left="4140" w:hanging="540"/>
      </w:pPr>
      <w:rPr>
        <w:rFonts w:ascii="Times New Roman" w:eastAsia="Times New Roman" w:hAnsi="Times New Roman" w:cs="Times New Roman" w:hint="default"/>
      </w:rPr>
    </w:lvl>
    <w:lvl w:ilvl="5" w:tplc="DAE89F72">
      <w:start w:val="1"/>
      <w:numFmt w:val="bullet"/>
      <w:lvlText w:val=""/>
      <w:lvlJc w:val="left"/>
      <w:pPr>
        <w:tabs>
          <w:tab w:val="num" w:pos="4680"/>
        </w:tabs>
        <w:ind w:left="4680" w:hanging="360"/>
      </w:pPr>
      <w:rPr>
        <w:rFonts w:ascii="Wingdings" w:hAnsi="Wingdings" w:hint="default"/>
      </w:rPr>
    </w:lvl>
    <w:lvl w:ilvl="6" w:tplc="66D43C52">
      <w:start w:val="1"/>
      <w:numFmt w:val="bullet"/>
      <w:lvlText w:val=""/>
      <w:lvlJc w:val="left"/>
      <w:pPr>
        <w:tabs>
          <w:tab w:val="num" w:pos="5400"/>
        </w:tabs>
        <w:ind w:left="5400" w:hanging="360"/>
      </w:pPr>
      <w:rPr>
        <w:rFonts w:ascii="Symbol" w:hAnsi="Symbol" w:hint="default"/>
      </w:rPr>
    </w:lvl>
    <w:lvl w:ilvl="7" w:tplc="8A06716E">
      <w:start w:val="1"/>
      <w:numFmt w:val="bullet"/>
      <w:lvlText w:val="o"/>
      <w:lvlJc w:val="left"/>
      <w:pPr>
        <w:tabs>
          <w:tab w:val="num" w:pos="6120"/>
        </w:tabs>
        <w:ind w:left="6120" w:hanging="360"/>
      </w:pPr>
      <w:rPr>
        <w:rFonts w:ascii="Courier New" w:hAnsi="Courier New" w:cs="Courier New" w:hint="default"/>
      </w:rPr>
    </w:lvl>
    <w:lvl w:ilvl="8" w:tplc="2846642A">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5E80064"/>
    <w:multiLevelType w:val="multilevel"/>
    <w:tmpl w:val="76D4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B0F2F"/>
    <w:multiLevelType w:val="hybridMultilevel"/>
    <w:tmpl w:val="A7BA0D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79422E3"/>
    <w:multiLevelType w:val="hybridMultilevel"/>
    <w:tmpl w:val="D9B0EDF6"/>
    <w:lvl w:ilvl="0" w:tplc="BC3E3E4A">
      <w:start w:val="1"/>
      <w:numFmt w:val="lowerLetter"/>
      <w:lvlText w:val="%1"/>
      <w:lvlJc w:val="left"/>
      <w:pPr>
        <w:tabs>
          <w:tab w:val="num" w:pos="1980"/>
        </w:tabs>
        <w:ind w:left="1980" w:hanging="360"/>
      </w:pPr>
      <w:rPr>
        <w:rFonts w:hint="default"/>
        <w:b w:val="0"/>
      </w:rPr>
    </w:lvl>
    <w:lvl w:ilvl="1" w:tplc="14B82060">
      <w:start w:val="1"/>
      <w:numFmt w:val="bullet"/>
      <w:lvlText w:val=""/>
      <w:lvlJc w:val="left"/>
      <w:pPr>
        <w:tabs>
          <w:tab w:val="num" w:pos="2628"/>
        </w:tabs>
        <w:ind w:left="2628" w:hanging="360"/>
      </w:pPr>
      <w:rPr>
        <w:rFonts w:ascii="Symbol" w:hAnsi="Symbol" w:hint="default"/>
        <w:b w:val="0"/>
      </w:rPr>
    </w:lvl>
    <w:lvl w:ilvl="2" w:tplc="57C0D004">
      <w:start w:val="1"/>
      <w:numFmt w:val="bullet"/>
      <w:lvlText w:val=""/>
      <w:lvlJc w:val="left"/>
      <w:pPr>
        <w:tabs>
          <w:tab w:val="num" w:pos="3420"/>
        </w:tabs>
        <w:ind w:left="3420" w:hanging="360"/>
      </w:pPr>
      <w:rPr>
        <w:rFonts w:ascii="Symbol" w:hAnsi="Symbol" w:hint="default"/>
        <w:b w:val="0"/>
      </w:rPr>
    </w:lvl>
    <w:lvl w:ilvl="3" w:tplc="B656B80E">
      <w:start w:val="1"/>
      <w:numFmt w:val="bullet"/>
      <w:lvlText w:val=""/>
      <w:lvlJc w:val="left"/>
      <w:pPr>
        <w:tabs>
          <w:tab w:val="num" w:pos="4140"/>
        </w:tabs>
        <w:ind w:left="4140" w:hanging="360"/>
      </w:pPr>
      <w:rPr>
        <w:rFonts w:ascii="Symbol" w:hAnsi="Symbol" w:hint="default"/>
        <w:b w:val="0"/>
      </w:rPr>
    </w:lvl>
    <w:lvl w:ilvl="4" w:tplc="A2CE369A">
      <w:start w:val="4"/>
      <w:numFmt w:val="bullet"/>
      <w:lvlText w:val="-"/>
      <w:lvlJc w:val="left"/>
      <w:pPr>
        <w:tabs>
          <w:tab w:val="num" w:pos="5040"/>
        </w:tabs>
        <w:ind w:left="5040" w:hanging="540"/>
      </w:pPr>
      <w:rPr>
        <w:rFonts w:ascii="Times New Roman" w:eastAsia="Times New Roman" w:hAnsi="Times New Roman" w:cs="Times New Roman" w:hint="default"/>
      </w:rPr>
    </w:lvl>
    <w:lvl w:ilvl="5" w:tplc="144C1272" w:tentative="1">
      <w:start w:val="1"/>
      <w:numFmt w:val="bullet"/>
      <w:lvlText w:val=""/>
      <w:lvlJc w:val="left"/>
      <w:pPr>
        <w:tabs>
          <w:tab w:val="num" w:pos="5580"/>
        </w:tabs>
        <w:ind w:left="5580" w:hanging="360"/>
      </w:pPr>
      <w:rPr>
        <w:rFonts w:ascii="Wingdings" w:hAnsi="Wingdings" w:hint="default"/>
      </w:rPr>
    </w:lvl>
    <w:lvl w:ilvl="6" w:tplc="E02EDCF8" w:tentative="1">
      <w:start w:val="1"/>
      <w:numFmt w:val="bullet"/>
      <w:lvlText w:val=""/>
      <w:lvlJc w:val="left"/>
      <w:pPr>
        <w:tabs>
          <w:tab w:val="num" w:pos="6300"/>
        </w:tabs>
        <w:ind w:left="6300" w:hanging="360"/>
      </w:pPr>
      <w:rPr>
        <w:rFonts w:ascii="Symbol" w:hAnsi="Symbol" w:hint="default"/>
      </w:rPr>
    </w:lvl>
    <w:lvl w:ilvl="7" w:tplc="92DC7112" w:tentative="1">
      <w:start w:val="1"/>
      <w:numFmt w:val="bullet"/>
      <w:lvlText w:val="o"/>
      <w:lvlJc w:val="left"/>
      <w:pPr>
        <w:tabs>
          <w:tab w:val="num" w:pos="7020"/>
        </w:tabs>
        <w:ind w:left="7020" w:hanging="360"/>
      </w:pPr>
      <w:rPr>
        <w:rFonts w:ascii="Courier New" w:hAnsi="Courier New" w:cs="Courier New" w:hint="default"/>
      </w:rPr>
    </w:lvl>
    <w:lvl w:ilvl="8" w:tplc="2B8284BE" w:tentative="1">
      <w:start w:val="1"/>
      <w:numFmt w:val="bullet"/>
      <w:lvlText w:val=""/>
      <w:lvlJc w:val="left"/>
      <w:pPr>
        <w:tabs>
          <w:tab w:val="num" w:pos="7740"/>
        </w:tabs>
        <w:ind w:left="7740" w:hanging="360"/>
      </w:pPr>
      <w:rPr>
        <w:rFonts w:ascii="Wingdings" w:hAnsi="Wingdings" w:hint="default"/>
      </w:rPr>
    </w:lvl>
  </w:abstractNum>
  <w:abstractNum w:abstractNumId="32" w15:restartNumberingAfterBreak="0">
    <w:nsid w:val="591C495F"/>
    <w:multiLevelType w:val="hybridMultilevel"/>
    <w:tmpl w:val="788C1A98"/>
    <w:lvl w:ilvl="0" w:tplc="9ED859FA">
      <w:start w:val="1"/>
      <w:numFmt w:val="bullet"/>
      <w:pStyle w:val="2BulletStyleList"/>
      <w:lvlText w:val=""/>
      <w:lvlJc w:val="left"/>
      <w:pPr>
        <w:ind w:left="502" w:hanging="360"/>
      </w:pPr>
      <w:rPr>
        <w:rFonts w:ascii="Symbol" w:hAnsi="Symbol" w:hint="default"/>
        <w:color w:val="auto"/>
        <w:sz w:val="24"/>
        <w:szCs w:val="24"/>
      </w:rPr>
    </w:lvl>
    <w:lvl w:ilvl="1" w:tplc="8A708E1A">
      <w:numFmt w:val="bullet"/>
      <w:lvlText w:val="-"/>
      <w:lvlJc w:val="left"/>
      <w:pPr>
        <w:ind w:left="1437" w:hanging="360"/>
      </w:pPr>
      <w:rPr>
        <w:rFonts w:ascii="Calibri" w:eastAsiaTheme="minorHAnsi" w:hAnsi="Calibri" w:cs="Calibri" w:hint="default"/>
      </w:rPr>
    </w:lvl>
    <w:lvl w:ilvl="2" w:tplc="0C090005">
      <w:start w:val="1"/>
      <w:numFmt w:val="bullet"/>
      <w:lvlText w:val=""/>
      <w:lvlJc w:val="left"/>
      <w:pPr>
        <w:ind w:left="2157" w:hanging="360"/>
      </w:pPr>
      <w:rPr>
        <w:rFonts w:ascii="Wingdings" w:hAnsi="Wingdings" w:hint="default"/>
      </w:rPr>
    </w:lvl>
    <w:lvl w:ilvl="3" w:tplc="0C090001">
      <w:start w:val="1"/>
      <w:numFmt w:val="bullet"/>
      <w:lvlText w:val=""/>
      <w:lvlJc w:val="left"/>
      <w:pPr>
        <w:ind w:left="2877" w:hanging="360"/>
      </w:pPr>
      <w:rPr>
        <w:rFonts w:ascii="Symbol" w:hAnsi="Symbol" w:hint="default"/>
      </w:rPr>
    </w:lvl>
    <w:lvl w:ilvl="4" w:tplc="0C090003">
      <w:start w:val="1"/>
      <w:numFmt w:val="bullet"/>
      <w:lvlText w:val="o"/>
      <w:lvlJc w:val="left"/>
      <w:pPr>
        <w:ind w:left="3597" w:hanging="360"/>
      </w:pPr>
      <w:rPr>
        <w:rFonts w:ascii="Courier New" w:hAnsi="Courier New" w:cs="Courier New" w:hint="default"/>
      </w:rPr>
    </w:lvl>
    <w:lvl w:ilvl="5" w:tplc="0C090005">
      <w:start w:val="1"/>
      <w:numFmt w:val="bullet"/>
      <w:lvlText w:val=""/>
      <w:lvlJc w:val="left"/>
      <w:pPr>
        <w:ind w:left="4317" w:hanging="360"/>
      </w:pPr>
      <w:rPr>
        <w:rFonts w:ascii="Wingdings" w:hAnsi="Wingdings" w:hint="default"/>
      </w:rPr>
    </w:lvl>
    <w:lvl w:ilvl="6" w:tplc="0C090001">
      <w:start w:val="1"/>
      <w:numFmt w:val="bullet"/>
      <w:lvlText w:val=""/>
      <w:lvlJc w:val="left"/>
      <w:pPr>
        <w:ind w:left="5037" w:hanging="360"/>
      </w:pPr>
      <w:rPr>
        <w:rFonts w:ascii="Symbol" w:hAnsi="Symbol" w:hint="default"/>
      </w:rPr>
    </w:lvl>
    <w:lvl w:ilvl="7" w:tplc="0C090003">
      <w:start w:val="1"/>
      <w:numFmt w:val="bullet"/>
      <w:lvlText w:val="o"/>
      <w:lvlJc w:val="left"/>
      <w:pPr>
        <w:ind w:left="5757" w:hanging="360"/>
      </w:pPr>
      <w:rPr>
        <w:rFonts w:ascii="Courier New" w:hAnsi="Courier New" w:cs="Courier New" w:hint="default"/>
      </w:rPr>
    </w:lvl>
    <w:lvl w:ilvl="8" w:tplc="0C090005">
      <w:start w:val="1"/>
      <w:numFmt w:val="bullet"/>
      <w:lvlText w:val=""/>
      <w:lvlJc w:val="left"/>
      <w:pPr>
        <w:ind w:left="6477" w:hanging="360"/>
      </w:pPr>
      <w:rPr>
        <w:rFonts w:ascii="Wingdings" w:hAnsi="Wingdings" w:hint="default"/>
      </w:rPr>
    </w:lvl>
  </w:abstractNum>
  <w:abstractNum w:abstractNumId="33" w15:restartNumberingAfterBreak="0">
    <w:nsid w:val="5946164E"/>
    <w:multiLevelType w:val="hybridMultilevel"/>
    <w:tmpl w:val="28189DD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06655B"/>
    <w:multiLevelType w:val="hybridMultilevel"/>
    <w:tmpl w:val="1E3C3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73B0937"/>
    <w:multiLevelType w:val="hybridMultilevel"/>
    <w:tmpl w:val="8E2CCD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5E3BC5"/>
    <w:multiLevelType w:val="multilevel"/>
    <w:tmpl w:val="12A6BF7E"/>
    <w:lvl w:ilvl="0">
      <w:start w:val="1"/>
      <w:numFmt w:val="decimal"/>
      <w:lvlText w:val="%1"/>
      <w:lvlJc w:val="left"/>
      <w:pPr>
        <w:ind w:left="360" w:hanging="360"/>
      </w:pPr>
      <w:rPr>
        <w:rFonts w:hint="default"/>
        <w:sz w:val="28"/>
      </w:rPr>
    </w:lvl>
    <w:lvl w:ilvl="1">
      <w:start w:val="1"/>
      <w:numFmt w:val="decimal"/>
      <w:lvlText w:val="%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080BCB"/>
    <w:multiLevelType w:val="hybridMultilevel"/>
    <w:tmpl w:val="28189DD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ED6F2A"/>
    <w:multiLevelType w:val="hybridMultilevel"/>
    <w:tmpl w:val="F1A0235C"/>
    <w:lvl w:ilvl="0" w:tplc="0C09000F">
      <w:start w:val="1"/>
      <w:numFmt w:val="decimal"/>
      <w:lvlText w:val="%1."/>
      <w:lvlJc w:val="left"/>
      <w:pPr>
        <w:ind w:left="360" w:hanging="360"/>
      </w:pPr>
    </w:lvl>
    <w:lvl w:ilvl="1" w:tplc="883E471A">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00A0C56"/>
    <w:multiLevelType w:val="hybridMultilevel"/>
    <w:tmpl w:val="F69C8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D20AEF"/>
    <w:multiLevelType w:val="hybridMultilevel"/>
    <w:tmpl w:val="13DC5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00548A"/>
    <w:multiLevelType w:val="multilevel"/>
    <w:tmpl w:val="12A6BF7E"/>
    <w:lvl w:ilvl="0">
      <w:start w:val="1"/>
      <w:numFmt w:val="decimal"/>
      <w:lvlText w:val="%1"/>
      <w:lvlJc w:val="left"/>
      <w:pPr>
        <w:ind w:left="360" w:hanging="360"/>
      </w:pPr>
      <w:rPr>
        <w:rFonts w:hint="default"/>
        <w:sz w:val="28"/>
      </w:rPr>
    </w:lvl>
    <w:lvl w:ilvl="1">
      <w:start w:val="1"/>
      <w:numFmt w:val="decimal"/>
      <w:lvlText w:val="%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F26231"/>
    <w:multiLevelType w:val="hybridMultilevel"/>
    <w:tmpl w:val="F0906452"/>
    <w:lvl w:ilvl="0" w:tplc="F2902DAC">
      <w:start w:val="1"/>
      <w:numFmt w:val="bullet"/>
      <w:lvlText w:val=""/>
      <w:lvlJc w:val="left"/>
      <w:pPr>
        <w:ind w:left="284" w:hanging="284"/>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31"/>
  </w:num>
  <w:num w:numId="5">
    <w:abstractNumId w:val="28"/>
  </w:num>
  <w:num w:numId="6">
    <w:abstractNumId w:val="8"/>
  </w:num>
  <w:num w:numId="7">
    <w:abstractNumId w:val="38"/>
  </w:num>
  <w:num w:numId="8">
    <w:abstractNumId w:val="22"/>
  </w:num>
  <w:num w:numId="9">
    <w:abstractNumId w:val="42"/>
  </w:num>
  <w:num w:numId="10">
    <w:abstractNumId w:val="34"/>
  </w:num>
  <w:num w:numId="11">
    <w:abstractNumId w:val="30"/>
  </w:num>
  <w:num w:numId="12">
    <w:abstractNumId w:val="27"/>
  </w:num>
  <w:num w:numId="13">
    <w:abstractNumId w:val="5"/>
  </w:num>
  <w:num w:numId="14">
    <w:abstractNumId w:val="37"/>
  </w:num>
  <w:num w:numId="15">
    <w:abstractNumId w:val="33"/>
  </w:num>
  <w:num w:numId="16">
    <w:abstractNumId w:val="41"/>
  </w:num>
  <w:num w:numId="17">
    <w:abstractNumId w:val="3"/>
  </w:num>
  <w:num w:numId="18">
    <w:abstractNumId w:val="20"/>
  </w:num>
  <w:num w:numId="19">
    <w:abstractNumId w:val="15"/>
  </w:num>
  <w:num w:numId="20">
    <w:abstractNumId w:val="36"/>
  </w:num>
  <w:num w:numId="21">
    <w:abstractNumId w:val="13"/>
  </w:num>
  <w:num w:numId="22">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9"/>
  </w:num>
  <w:num w:numId="26">
    <w:abstractNumId w:val="12"/>
  </w:num>
  <w:num w:numId="27">
    <w:abstractNumId w:val="7"/>
  </w:num>
  <w:num w:numId="28">
    <w:abstractNumId w:val="29"/>
  </w:num>
  <w:num w:numId="29">
    <w:abstractNumId w:val="21"/>
  </w:num>
  <w:num w:numId="30">
    <w:abstractNumId w:val="16"/>
  </w:num>
  <w:num w:numId="31">
    <w:abstractNumId w:val="35"/>
  </w:num>
  <w:num w:numId="32">
    <w:abstractNumId w:val="40"/>
  </w:num>
  <w:num w:numId="33">
    <w:abstractNumId w:val="23"/>
  </w:num>
  <w:num w:numId="34">
    <w:abstractNumId w:val="0"/>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7"/>
  </w:num>
  <w:num w:numId="39">
    <w:abstractNumId w:val="26"/>
  </w:num>
  <w:num w:numId="40">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3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C5"/>
    <w:rsid w:val="00003AF6"/>
    <w:rsid w:val="00020E44"/>
    <w:rsid w:val="00021BAC"/>
    <w:rsid w:val="00057781"/>
    <w:rsid w:val="0006668D"/>
    <w:rsid w:val="0007239A"/>
    <w:rsid w:val="00073C31"/>
    <w:rsid w:val="00074CC9"/>
    <w:rsid w:val="000944A4"/>
    <w:rsid w:val="000E303A"/>
    <w:rsid w:val="000F088B"/>
    <w:rsid w:val="00142AC5"/>
    <w:rsid w:val="00154DC1"/>
    <w:rsid w:val="00160425"/>
    <w:rsid w:val="001A7369"/>
    <w:rsid w:val="001C3A25"/>
    <w:rsid w:val="001E4652"/>
    <w:rsid w:val="00205DE2"/>
    <w:rsid w:val="00214FB7"/>
    <w:rsid w:val="00233575"/>
    <w:rsid w:val="00252FD1"/>
    <w:rsid w:val="00260204"/>
    <w:rsid w:val="002802C1"/>
    <w:rsid w:val="002820BE"/>
    <w:rsid w:val="00290669"/>
    <w:rsid w:val="0029095A"/>
    <w:rsid w:val="00297868"/>
    <w:rsid w:val="002D312B"/>
    <w:rsid w:val="003418F7"/>
    <w:rsid w:val="003551F2"/>
    <w:rsid w:val="003652AC"/>
    <w:rsid w:val="00373A52"/>
    <w:rsid w:val="0039123B"/>
    <w:rsid w:val="00396359"/>
    <w:rsid w:val="003A7D15"/>
    <w:rsid w:val="003A7F12"/>
    <w:rsid w:val="003D0251"/>
    <w:rsid w:val="003D05E7"/>
    <w:rsid w:val="003E3B54"/>
    <w:rsid w:val="004161F7"/>
    <w:rsid w:val="00427EC5"/>
    <w:rsid w:val="00483B06"/>
    <w:rsid w:val="004A1583"/>
    <w:rsid w:val="004A24E6"/>
    <w:rsid w:val="005051ED"/>
    <w:rsid w:val="005068A8"/>
    <w:rsid w:val="00510ED5"/>
    <w:rsid w:val="005164E7"/>
    <w:rsid w:val="00550709"/>
    <w:rsid w:val="00566583"/>
    <w:rsid w:val="0058650E"/>
    <w:rsid w:val="00610FFA"/>
    <w:rsid w:val="006261F5"/>
    <w:rsid w:val="00640F64"/>
    <w:rsid w:val="00693CF6"/>
    <w:rsid w:val="006F0633"/>
    <w:rsid w:val="00707D5D"/>
    <w:rsid w:val="00753CBD"/>
    <w:rsid w:val="00757E69"/>
    <w:rsid w:val="0078432A"/>
    <w:rsid w:val="0078612A"/>
    <w:rsid w:val="007B37E1"/>
    <w:rsid w:val="007B539D"/>
    <w:rsid w:val="00801781"/>
    <w:rsid w:val="00822998"/>
    <w:rsid w:val="00833FBA"/>
    <w:rsid w:val="00871A52"/>
    <w:rsid w:val="008B4995"/>
    <w:rsid w:val="008E2E01"/>
    <w:rsid w:val="008F01A5"/>
    <w:rsid w:val="008F3AC2"/>
    <w:rsid w:val="008F50BA"/>
    <w:rsid w:val="0092545D"/>
    <w:rsid w:val="00930479"/>
    <w:rsid w:val="00935185"/>
    <w:rsid w:val="00954112"/>
    <w:rsid w:val="00960580"/>
    <w:rsid w:val="00971B5A"/>
    <w:rsid w:val="00982738"/>
    <w:rsid w:val="0099759D"/>
    <w:rsid w:val="00A00DC1"/>
    <w:rsid w:val="00A03D10"/>
    <w:rsid w:val="00A04060"/>
    <w:rsid w:val="00A3096C"/>
    <w:rsid w:val="00A36BAA"/>
    <w:rsid w:val="00A63978"/>
    <w:rsid w:val="00A77A3A"/>
    <w:rsid w:val="00A878E9"/>
    <w:rsid w:val="00A95672"/>
    <w:rsid w:val="00A96F7A"/>
    <w:rsid w:val="00AA71F5"/>
    <w:rsid w:val="00AC2B23"/>
    <w:rsid w:val="00AF1E86"/>
    <w:rsid w:val="00AF4FBE"/>
    <w:rsid w:val="00B2534C"/>
    <w:rsid w:val="00B70D6F"/>
    <w:rsid w:val="00B750A1"/>
    <w:rsid w:val="00B92D2B"/>
    <w:rsid w:val="00BB6287"/>
    <w:rsid w:val="00BE15B5"/>
    <w:rsid w:val="00C050FD"/>
    <w:rsid w:val="00C42BF0"/>
    <w:rsid w:val="00C45670"/>
    <w:rsid w:val="00C6045D"/>
    <w:rsid w:val="00C65B42"/>
    <w:rsid w:val="00C87953"/>
    <w:rsid w:val="00CD7449"/>
    <w:rsid w:val="00D02316"/>
    <w:rsid w:val="00D1188D"/>
    <w:rsid w:val="00D12FE7"/>
    <w:rsid w:val="00D32DD3"/>
    <w:rsid w:val="00D4311F"/>
    <w:rsid w:val="00D44909"/>
    <w:rsid w:val="00D54805"/>
    <w:rsid w:val="00DE2F14"/>
    <w:rsid w:val="00DE76E6"/>
    <w:rsid w:val="00DF09DE"/>
    <w:rsid w:val="00DF6EBF"/>
    <w:rsid w:val="00E00208"/>
    <w:rsid w:val="00E32937"/>
    <w:rsid w:val="00E35463"/>
    <w:rsid w:val="00E404CA"/>
    <w:rsid w:val="00E468D8"/>
    <w:rsid w:val="00E53BE8"/>
    <w:rsid w:val="00E54A2A"/>
    <w:rsid w:val="00EA25DF"/>
    <w:rsid w:val="00EE585E"/>
    <w:rsid w:val="00F5472B"/>
    <w:rsid w:val="00F66E72"/>
    <w:rsid w:val="00F75028"/>
    <w:rsid w:val="00FA49D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7FDFA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33"/>
  </w:style>
  <w:style w:type="paragraph" w:styleId="Heading1">
    <w:name w:val="heading 1"/>
    <w:aliases w:val="Heading 1 Cab"/>
    <w:basedOn w:val="Normal"/>
    <w:next w:val="Normal"/>
    <w:link w:val="Heading1Char"/>
    <w:uiPriority w:val="4"/>
    <w:qFormat/>
    <w:rsid w:val="00707D5D"/>
    <w:pPr>
      <w:keepNext/>
      <w:keepLines/>
      <w:spacing w:before="240" w:after="0"/>
      <w:jc w:val="center"/>
      <w:outlineLvl w:val="0"/>
    </w:pPr>
    <w:rPr>
      <w:rFonts w:asciiTheme="majorHAnsi" w:eastAsiaTheme="majorEastAsia" w:hAnsiTheme="majorHAnsi" w:cstheme="majorBidi"/>
      <w:color w:val="2E74B5" w:themeColor="accent1" w:themeShade="BF"/>
      <w:sz w:val="36"/>
      <w:szCs w:val="32"/>
    </w:rPr>
  </w:style>
  <w:style w:type="paragraph" w:styleId="Heading2">
    <w:name w:val="heading 2"/>
    <w:aliases w:val="Heading 2 Cab"/>
    <w:basedOn w:val="Normal"/>
    <w:link w:val="Heading2Char"/>
    <w:uiPriority w:val="4"/>
    <w:qFormat/>
    <w:rsid w:val="00297868"/>
    <w:pPr>
      <w:spacing w:after="0" w:line="240" w:lineRule="auto"/>
      <w:jc w:val="both"/>
      <w:outlineLvl w:val="1"/>
    </w:pPr>
    <w:rPr>
      <w:rFonts w:asciiTheme="majorHAnsi" w:eastAsia="Times New Roman" w:hAnsiTheme="majorHAnsi" w:cstheme="majorHAnsi"/>
      <w:b/>
      <w:lang w:val="en-NZ" w:eastAsia="en-AU"/>
    </w:rPr>
  </w:style>
  <w:style w:type="paragraph" w:styleId="Heading3">
    <w:name w:val="heading 3"/>
    <w:basedOn w:val="Normal"/>
    <w:next w:val="Normal"/>
    <w:link w:val="Heading3Char"/>
    <w:uiPriority w:val="9"/>
    <w:unhideWhenUsed/>
    <w:qFormat/>
    <w:rsid w:val="006F0633"/>
    <w:pPr>
      <w:spacing w:after="0" w:line="240" w:lineRule="auto"/>
      <w:jc w:val="both"/>
      <w:outlineLvl w:val="2"/>
    </w:pPr>
    <w:rPr>
      <w:rFonts w:asciiTheme="majorHAnsi" w:hAnsiTheme="majorHAnsi" w:cstheme="majorHAnsi"/>
      <w:b/>
      <w:color w:val="000000"/>
      <w:sz w:val="24"/>
    </w:rPr>
  </w:style>
  <w:style w:type="paragraph" w:styleId="Heading4">
    <w:name w:val="heading 4"/>
    <w:basedOn w:val="Normal"/>
    <w:next w:val="Normal"/>
    <w:link w:val="Heading4Char"/>
    <w:uiPriority w:val="9"/>
    <w:unhideWhenUsed/>
    <w:qFormat/>
    <w:rsid w:val="00707D5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ab Char"/>
    <w:basedOn w:val="DefaultParagraphFont"/>
    <w:link w:val="Heading2"/>
    <w:uiPriority w:val="4"/>
    <w:rsid w:val="00297868"/>
    <w:rPr>
      <w:rFonts w:asciiTheme="majorHAnsi" w:eastAsia="Times New Roman" w:hAnsiTheme="majorHAnsi" w:cstheme="majorHAnsi"/>
      <w:b/>
      <w:lang w:val="en-NZ" w:eastAsia="en-AU"/>
    </w:rPr>
  </w:style>
  <w:style w:type="paragraph" w:styleId="NormalWeb">
    <w:name w:val="Normal (Web)"/>
    <w:basedOn w:val="Normal"/>
    <w:uiPriority w:val="99"/>
    <w:unhideWhenUsed/>
    <w:rsid w:val="00427EC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427EC5"/>
    <w:rPr>
      <w:color w:val="0000FF"/>
      <w:u w:val="single"/>
    </w:rPr>
  </w:style>
  <w:style w:type="paragraph" w:customStyle="1" w:styleId="more">
    <w:name w:val="more"/>
    <w:basedOn w:val="Normal"/>
    <w:rsid w:val="00427EC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Bulleted Para,Bulletr List Paragraph,FooterText,L,List Paragraph1,List Paragraph11,List Paragraph2,List Paragraph21,Listeafsnit1,NFP GP Bulleted List,Paragraphe de liste1,Parágrafo da Lista1,Recommendation,Text,numbered,リスト段落1,列出段落,列出段落1"/>
    <w:basedOn w:val="Normal"/>
    <w:link w:val="ListParagraphChar"/>
    <w:uiPriority w:val="34"/>
    <w:qFormat/>
    <w:rsid w:val="00427EC5"/>
    <w:pPr>
      <w:spacing w:after="0" w:line="240" w:lineRule="auto"/>
      <w:ind w:left="720"/>
    </w:pPr>
    <w:rPr>
      <w:rFonts w:ascii="Times New Roman" w:eastAsia="Times New Roman" w:hAnsi="Times New Roman" w:cs="Times New Roman"/>
      <w:sz w:val="24"/>
      <w:szCs w:val="24"/>
      <w:lang w:eastAsia="en-AU"/>
    </w:rPr>
  </w:style>
  <w:style w:type="character" w:customStyle="1" w:styleId="ListParagraphChar">
    <w:name w:val="List Paragraph Char"/>
    <w:aliases w:val="Bulleted Para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qFormat/>
    <w:locked/>
    <w:rsid w:val="00427EC5"/>
    <w:rPr>
      <w:rFonts w:ascii="Times New Roman" w:eastAsia="Times New Roman" w:hAnsi="Times New Roman" w:cs="Times New Roman"/>
      <w:sz w:val="24"/>
      <w:szCs w:val="24"/>
      <w:lang w:eastAsia="en-AU"/>
    </w:rPr>
  </w:style>
  <w:style w:type="table" w:styleId="TableGrid">
    <w:name w:val="Table Grid"/>
    <w:basedOn w:val="TableNormal"/>
    <w:uiPriority w:val="39"/>
    <w:rsid w:val="00427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Cab Char"/>
    <w:basedOn w:val="DefaultParagraphFont"/>
    <w:link w:val="Heading1"/>
    <w:uiPriority w:val="4"/>
    <w:rsid w:val="00707D5D"/>
    <w:rPr>
      <w:rFonts w:asciiTheme="majorHAnsi" w:eastAsiaTheme="majorEastAsia" w:hAnsiTheme="majorHAnsi" w:cstheme="majorBidi"/>
      <w:color w:val="2E74B5" w:themeColor="accent1" w:themeShade="BF"/>
      <w:sz w:val="36"/>
      <w:szCs w:val="32"/>
    </w:rPr>
  </w:style>
  <w:style w:type="character" w:customStyle="1" w:styleId="Heading3Char">
    <w:name w:val="Heading 3 Char"/>
    <w:basedOn w:val="DefaultParagraphFont"/>
    <w:link w:val="Heading3"/>
    <w:uiPriority w:val="9"/>
    <w:rsid w:val="006F0633"/>
    <w:rPr>
      <w:rFonts w:asciiTheme="majorHAnsi" w:hAnsiTheme="majorHAnsi" w:cstheme="majorHAnsi"/>
      <w:b/>
      <w:color w:val="000000"/>
      <w:sz w:val="24"/>
    </w:rPr>
  </w:style>
  <w:style w:type="character" w:customStyle="1" w:styleId="Heading4Char">
    <w:name w:val="Heading 4 Char"/>
    <w:basedOn w:val="DefaultParagraphFont"/>
    <w:link w:val="Heading4"/>
    <w:uiPriority w:val="9"/>
    <w:rsid w:val="00707D5D"/>
    <w:rPr>
      <w:rFonts w:asciiTheme="majorHAnsi" w:eastAsiaTheme="majorEastAsia" w:hAnsiTheme="majorHAnsi" w:cstheme="majorBidi"/>
      <w:i/>
      <w:iCs/>
      <w:color w:val="2E74B5" w:themeColor="accent1" w:themeShade="BF"/>
    </w:rPr>
  </w:style>
  <w:style w:type="paragraph" w:styleId="BodyText">
    <w:name w:val="Body Text"/>
    <w:aliases w:val="CAB - Body Text,Body Text Cab"/>
    <w:link w:val="BodyTextChar"/>
    <w:qFormat/>
    <w:rsid w:val="00707D5D"/>
    <w:pPr>
      <w:spacing w:before="120" w:after="0" w:line="240" w:lineRule="auto"/>
    </w:pPr>
    <w:rPr>
      <w:rFonts w:ascii="Arial" w:hAnsi="Arial"/>
    </w:rPr>
  </w:style>
  <w:style w:type="character" w:customStyle="1" w:styleId="BodyTextChar">
    <w:name w:val="Body Text Char"/>
    <w:aliases w:val="CAB - Body Text Char,Body Text Cab Char"/>
    <w:basedOn w:val="DefaultParagraphFont"/>
    <w:link w:val="BodyText"/>
    <w:rsid w:val="00707D5D"/>
    <w:rPr>
      <w:rFonts w:ascii="Arial" w:hAnsi="Arial"/>
    </w:rPr>
  </w:style>
  <w:style w:type="paragraph" w:customStyle="1" w:styleId="TableTextCab">
    <w:name w:val="Table Text Cab"/>
    <w:basedOn w:val="BodyText"/>
    <w:uiPriority w:val="8"/>
    <w:qFormat/>
    <w:rsid w:val="00707D5D"/>
    <w:pPr>
      <w:spacing w:before="50" w:after="50"/>
    </w:pPr>
    <w:rPr>
      <w:sz w:val="20"/>
      <w:szCs w:val="20"/>
    </w:rPr>
  </w:style>
  <w:style w:type="paragraph" w:customStyle="1" w:styleId="TableHeadingCab">
    <w:name w:val="Table Heading Cab"/>
    <w:basedOn w:val="TableTextCab"/>
    <w:uiPriority w:val="7"/>
    <w:rsid w:val="00707D5D"/>
    <w:rPr>
      <w:b/>
    </w:rPr>
  </w:style>
  <w:style w:type="paragraph" w:customStyle="1" w:styleId="BorderCab">
    <w:name w:val="Border Cab"/>
    <w:basedOn w:val="BodyText"/>
    <w:uiPriority w:val="6"/>
    <w:rsid w:val="00707D5D"/>
    <w:pPr>
      <w:pBdr>
        <w:top w:val="single" w:sz="18" w:space="1" w:color="7599BB"/>
      </w:pBdr>
      <w:spacing w:before="240" w:line="20" w:lineRule="exact"/>
    </w:pPr>
  </w:style>
  <w:style w:type="paragraph" w:customStyle="1" w:styleId="CAB-NumberedParagraph">
    <w:name w:val="CAB - Numbered Paragraph"/>
    <w:basedOn w:val="Normal"/>
    <w:uiPriority w:val="98"/>
    <w:rsid w:val="00707D5D"/>
    <w:pPr>
      <w:spacing w:after="200" w:line="276" w:lineRule="auto"/>
      <w:ind w:left="567" w:hanging="567"/>
    </w:pPr>
    <w:rPr>
      <w:rFonts w:ascii="Arial" w:hAnsi="Arial"/>
    </w:rPr>
  </w:style>
  <w:style w:type="character" w:customStyle="1" w:styleId="TOCLevel2Char">
    <w:name w:val="TOCLevel2 Char"/>
    <w:basedOn w:val="DefaultParagraphFont"/>
    <w:link w:val="TOCLevel2"/>
    <w:uiPriority w:val="98"/>
    <w:locked/>
    <w:rsid w:val="00707D5D"/>
    <w:rPr>
      <w:rFonts w:ascii="Arial" w:eastAsiaTheme="majorEastAsia" w:hAnsi="Arial" w:cstheme="majorBidi"/>
      <w:b/>
      <w:bCs/>
      <w:color w:val="003865"/>
      <w:sz w:val="24"/>
      <w:szCs w:val="28"/>
    </w:rPr>
  </w:style>
  <w:style w:type="paragraph" w:customStyle="1" w:styleId="TOCLevel2">
    <w:name w:val="TOCLevel2"/>
    <w:basedOn w:val="Normal"/>
    <w:link w:val="TOCLevel2Char"/>
    <w:uiPriority w:val="98"/>
    <w:qFormat/>
    <w:rsid w:val="00707D5D"/>
    <w:pPr>
      <w:keepNext/>
      <w:keepLines/>
      <w:tabs>
        <w:tab w:val="left" w:pos="567"/>
      </w:tabs>
      <w:spacing w:before="240" w:after="200" w:line="240" w:lineRule="auto"/>
      <w:jc w:val="center"/>
      <w:outlineLvl w:val="0"/>
    </w:pPr>
    <w:rPr>
      <w:rFonts w:ascii="Arial" w:eastAsiaTheme="majorEastAsia" w:hAnsi="Arial" w:cstheme="majorBidi"/>
      <w:b/>
      <w:bCs/>
      <w:color w:val="003865"/>
      <w:sz w:val="24"/>
      <w:szCs w:val="28"/>
    </w:rPr>
  </w:style>
  <w:style w:type="paragraph" w:styleId="Header">
    <w:name w:val="header"/>
    <w:basedOn w:val="Normal"/>
    <w:link w:val="HeaderChar"/>
    <w:uiPriority w:val="99"/>
    <w:unhideWhenUsed/>
    <w:rsid w:val="00707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D5D"/>
  </w:style>
  <w:style w:type="paragraph" w:styleId="Footer">
    <w:name w:val="footer"/>
    <w:basedOn w:val="Normal"/>
    <w:link w:val="FooterChar"/>
    <w:uiPriority w:val="99"/>
    <w:unhideWhenUsed/>
    <w:rsid w:val="00707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D5D"/>
  </w:style>
  <w:style w:type="paragraph" w:styleId="BalloonText">
    <w:name w:val="Balloon Text"/>
    <w:basedOn w:val="Normal"/>
    <w:link w:val="BalloonTextChar"/>
    <w:uiPriority w:val="99"/>
    <w:semiHidden/>
    <w:unhideWhenUsed/>
    <w:rsid w:val="00707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D5D"/>
    <w:rPr>
      <w:rFonts w:ascii="Segoe UI" w:hAnsi="Segoe UI" w:cs="Segoe UI"/>
      <w:sz w:val="18"/>
      <w:szCs w:val="18"/>
    </w:rPr>
  </w:style>
  <w:style w:type="paragraph" w:styleId="Title">
    <w:name w:val="Title"/>
    <w:basedOn w:val="Normal"/>
    <w:next w:val="Normal"/>
    <w:link w:val="TitleChar"/>
    <w:uiPriority w:val="10"/>
    <w:qFormat/>
    <w:rsid w:val="00707D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D5D"/>
    <w:rPr>
      <w:rFonts w:asciiTheme="majorHAnsi" w:eastAsiaTheme="majorEastAsia" w:hAnsiTheme="majorHAnsi" w:cstheme="majorBidi"/>
      <w:spacing w:val="-10"/>
      <w:kern w:val="28"/>
      <w:sz w:val="56"/>
      <w:szCs w:val="56"/>
    </w:rPr>
  </w:style>
  <w:style w:type="paragraph" w:customStyle="1" w:styleId="Default">
    <w:name w:val="Default"/>
    <w:rsid w:val="00707D5D"/>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707D5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07D5D"/>
    <w:rPr>
      <w:rFonts w:ascii="Calibri" w:hAnsi="Calibri"/>
      <w:szCs w:val="21"/>
    </w:rPr>
  </w:style>
  <w:style w:type="character" w:styleId="Emphasis">
    <w:name w:val="Emphasis"/>
    <w:basedOn w:val="DefaultParagraphFont"/>
    <w:uiPriority w:val="20"/>
    <w:qFormat/>
    <w:rsid w:val="00707D5D"/>
    <w:rPr>
      <w:i/>
      <w:iCs/>
    </w:rPr>
  </w:style>
  <w:style w:type="character" w:styleId="CommentReference">
    <w:name w:val="annotation reference"/>
    <w:basedOn w:val="DefaultParagraphFont"/>
    <w:uiPriority w:val="99"/>
    <w:semiHidden/>
    <w:unhideWhenUsed/>
    <w:rsid w:val="00707D5D"/>
    <w:rPr>
      <w:sz w:val="16"/>
      <w:szCs w:val="16"/>
    </w:rPr>
  </w:style>
  <w:style w:type="paragraph" w:styleId="CommentText">
    <w:name w:val="annotation text"/>
    <w:basedOn w:val="Normal"/>
    <w:link w:val="CommentTextChar"/>
    <w:uiPriority w:val="99"/>
    <w:semiHidden/>
    <w:unhideWhenUsed/>
    <w:rsid w:val="00707D5D"/>
    <w:pPr>
      <w:spacing w:line="240" w:lineRule="auto"/>
    </w:pPr>
    <w:rPr>
      <w:sz w:val="20"/>
      <w:szCs w:val="20"/>
    </w:rPr>
  </w:style>
  <w:style w:type="character" w:customStyle="1" w:styleId="CommentTextChar">
    <w:name w:val="Comment Text Char"/>
    <w:basedOn w:val="DefaultParagraphFont"/>
    <w:link w:val="CommentText"/>
    <w:uiPriority w:val="99"/>
    <w:semiHidden/>
    <w:rsid w:val="00707D5D"/>
    <w:rPr>
      <w:sz w:val="20"/>
      <w:szCs w:val="20"/>
    </w:rPr>
  </w:style>
  <w:style w:type="paragraph" w:styleId="CommentSubject">
    <w:name w:val="annotation subject"/>
    <w:basedOn w:val="CommentText"/>
    <w:next w:val="CommentText"/>
    <w:link w:val="CommentSubjectChar"/>
    <w:uiPriority w:val="99"/>
    <w:semiHidden/>
    <w:unhideWhenUsed/>
    <w:rsid w:val="00707D5D"/>
    <w:rPr>
      <w:b/>
      <w:bCs/>
    </w:rPr>
  </w:style>
  <w:style w:type="character" w:customStyle="1" w:styleId="CommentSubjectChar">
    <w:name w:val="Comment Subject Char"/>
    <w:basedOn w:val="CommentTextChar"/>
    <w:link w:val="CommentSubject"/>
    <w:uiPriority w:val="99"/>
    <w:semiHidden/>
    <w:rsid w:val="00707D5D"/>
    <w:rPr>
      <w:b/>
      <w:bCs/>
      <w:sz w:val="20"/>
      <w:szCs w:val="20"/>
    </w:rPr>
  </w:style>
  <w:style w:type="character" w:customStyle="1" w:styleId="BulletChar">
    <w:name w:val="Bullet Char"/>
    <w:basedOn w:val="DefaultParagraphFont"/>
    <w:link w:val="Bullet"/>
    <w:locked/>
    <w:rsid w:val="00707D5D"/>
  </w:style>
  <w:style w:type="paragraph" w:customStyle="1" w:styleId="Bullet">
    <w:name w:val="Bullet"/>
    <w:basedOn w:val="Normal"/>
    <w:link w:val="BulletChar"/>
    <w:rsid w:val="00707D5D"/>
    <w:pPr>
      <w:numPr>
        <w:numId w:val="22"/>
      </w:numPr>
      <w:spacing w:after="200" w:line="276" w:lineRule="auto"/>
    </w:pPr>
  </w:style>
  <w:style w:type="paragraph" w:customStyle="1" w:styleId="Dash">
    <w:name w:val="Dash"/>
    <w:basedOn w:val="Normal"/>
    <w:uiPriority w:val="99"/>
    <w:rsid w:val="00707D5D"/>
    <w:pPr>
      <w:numPr>
        <w:ilvl w:val="1"/>
        <w:numId w:val="22"/>
      </w:numPr>
      <w:spacing w:after="200" w:line="276" w:lineRule="auto"/>
    </w:pPr>
    <w:rPr>
      <w:rFonts w:ascii="Calibri" w:hAnsi="Calibri" w:cs="Calibri"/>
    </w:rPr>
  </w:style>
  <w:style w:type="paragraph" w:customStyle="1" w:styleId="DoubleDot">
    <w:name w:val="Double Dot"/>
    <w:basedOn w:val="Normal"/>
    <w:uiPriority w:val="99"/>
    <w:rsid w:val="00707D5D"/>
    <w:pPr>
      <w:numPr>
        <w:ilvl w:val="2"/>
        <w:numId w:val="22"/>
      </w:numPr>
      <w:spacing w:after="200" w:line="276" w:lineRule="auto"/>
    </w:pPr>
    <w:rPr>
      <w:rFonts w:ascii="Calibri" w:hAnsi="Calibri" w:cs="Calibri"/>
    </w:rPr>
  </w:style>
  <w:style w:type="numbering" w:customStyle="1" w:styleId="NoList1">
    <w:name w:val="No List1"/>
    <w:next w:val="NoList"/>
    <w:uiPriority w:val="99"/>
    <w:semiHidden/>
    <w:unhideWhenUsed/>
    <w:rsid w:val="00707D5D"/>
  </w:style>
  <w:style w:type="paragraph" w:customStyle="1" w:styleId="TableTextform">
    <w:name w:val="TableText form"/>
    <w:basedOn w:val="Normal"/>
    <w:qFormat/>
    <w:rsid w:val="00707D5D"/>
    <w:pPr>
      <w:spacing w:before="40" w:after="240" w:line="240" w:lineRule="auto"/>
    </w:pPr>
    <w:rPr>
      <w:rFonts w:ascii="Arial" w:eastAsiaTheme="majorEastAsia" w:hAnsi="Arial" w:cs="Arial"/>
      <w:bCs/>
      <w:sz w:val="20"/>
      <w:szCs w:val="20"/>
    </w:rPr>
  </w:style>
  <w:style w:type="paragraph" w:styleId="Revision">
    <w:name w:val="Revision"/>
    <w:hidden/>
    <w:uiPriority w:val="99"/>
    <w:semiHidden/>
    <w:rsid w:val="00707D5D"/>
    <w:pPr>
      <w:spacing w:after="0" w:line="240" w:lineRule="auto"/>
    </w:pPr>
    <w:rPr>
      <w:rFonts w:ascii="Arial" w:hAnsi="Arial"/>
    </w:rPr>
  </w:style>
  <w:style w:type="paragraph" w:customStyle="1" w:styleId="ProtectiveMarking">
    <w:name w:val="Protective Marking"/>
    <w:uiPriority w:val="15"/>
    <w:semiHidden/>
    <w:qFormat/>
    <w:rsid w:val="00707D5D"/>
    <w:pPr>
      <w:spacing w:after="0" w:line="240" w:lineRule="auto"/>
      <w:jc w:val="center"/>
    </w:pPr>
    <w:rPr>
      <w:rFonts w:ascii="Arial" w:hAnsi="Arial"/>
      <w:b/>
      <w:color w:val="FF0000"/>
      <w:sz w:val="30"/>
    </w:rPr>
  </w:style>
  <w:style w:type="paragraph" w:customStyle="1" w:styleId="CABNETParagraphAtt">
    <w:name w:val="CABNET Paragraph Att"/>
    <w:basedOn w:val="Normal"/>
    <w:link w:val="CABNETParagraphAttChar"/>
    <w:qFormat/>
    <w:rsid w:val="00707D5D"/>
    <w:pPr>
      <w:spacing w:before="120" w:after="120" w:line="240" w:lineRule="auto"/>
    </w:pPr>
    <w:rPr>
      <w:rFonts w:eastAsia="Times New Roman" w:cs="Times New Roman"/>
      <w:szCs w:val="24"/>
      <w:lang w:eastAsia="en-AU"/>
    </w:rPr>
  </w:style>
  <w:style w:type="character" w:customStyle="1" w:styleId="CABNETParagraphAttChar">
    <w:name w:val="CABNET Paragraph Att Char"/>
    <w:basedOn w:val="DefaultParagraphFont"/>
    <w:link w:val="CABNETParagraphAtt"/>
    <w:rsid w:val="00707D5D"/>
    <w:rPr>
      <w:rFonts w:eastAsia="Times New Roman" w:cs="Times New Roman"/>
      <w:szCs w:val="24"/>
      <w:lang w:eastAsia="en-AU"/>
    </w:rPr>
  </w:style>
  <w:style w:type="paragraph" w:customStyle="1" w:styleId="CABNETFooterAtt">
    <w:name w:val="CABNET Footer Att"/>
    <w:basedOn w:val="CABNETParagraphAtt"/>
    <w:rsid w:val="00707D5D"/>
    <w:pPr>
      <w:tabs>
        <w:tab w:val="right" w:pos="7513"/>
      </w:tabs>
      <w:spacing w:before="0" w:after="0"/>
      <w:ind w:right="357"/>
      <w:jc w:val="center"/>
    </w:pPr>
    <w:rPr>
      <w:sz w:val="18"/>
    </w:rPr>
  </w:style>
  <w:style w:type="table" w:customStyle="1" w:styleId="TableGrid1">
    <w:name w:val="Table Grid1"/>
    <w:basedOn w:val="TableNormal"/>
    <w:next w:val="TableGrid"/>
    <w:uiPriority w:val="39"/>
    <w:rsid w:val="00707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07D5D"/>
    <w:pPr>
      <w:autoSpaceDE w:val="0"/>
      <w:autoSpaceDN w:val="0"/>
      <w:adjustRightInd w:val="0"/>
      <w:spacing w:before="117" w:after="0" w:line="240" w:lineRule="auto"/>
      <w:ind w:left="199"/>
    </w:pPr>
    <w:rPr>
      <w:rFonts w:ascii="Times New Roman" w:hAnsi="Times New Roman" w:cs="Times New Roman"/>
      <w:sz w:val="24"/>
      <w:szCs w:val="24"/>
    </w:rPr>
  </w:style>
  <w:style w:type="paragraph" w:styleId="TOCHeading">
    <w:name w:val="TOC Heading"/>
    <w:basedOn w:val="Heading1"/>
    <w:next w:val="Normal"/>
    <w:uiPriority w:val="39"/>
    <w:unhideWhenUsed/>
    <w:qFormat/>
    <w:rsid w:val="00707D5D"/>
    <w:pPr>
      <w:pageBreakBefore/>
      <w:jc w:val="left"/>
      <w:outlineLvl w:val="9"/>
    </w:pPr>
    <w:rPr>
      <w:sz w:val="32"/>
      <w:lang w:val="en-US"/>
    </w:rPr>
  </w:style>
  <w:style w:type="paragraph" w:styleId="TOC1">
    <w:name w:val="toc 1"/>
    <w:basedOn w:val="Normal"/>
    <w:next w:val="Normal"/>
    <w:autoRedefine/>
    <w:uiPriority w:val="39"/>
    <w:unhideWhenUsed/>
    <w:rsid w:val="00707D5D"/>
    <w:pPr>
      <w:tabs>
        <w:tab w:val="left" w:pos="440"/>
        <w:tab w:val="right" w:leader="dot" w:pos="9016"/>
      </w:tabs>
      <w:spacing w:before="100" w:after="100" w:line="276" w:lineRule="auto"/>
    </w:pPr>
    <w:rPr>
      <w:rFonts w:ascii="Arial" w:hAnsi="Arial"/>
      <w:sz w:val="10"/>
    </w:rPr>
  </w:style>
  <w:style w:type="paragraph" w:styleId="TOC3">
    <w:name w:val="toc 3"/>
    <w:basedOn w:val="Normal"/>
    <w:next w:val="Normal"/>
    <w:autoRedefine/>
    <w:uiPriority w:val="39"/>
    <w:unhideWhenUsed/>
    <w:rsid w:val="00707D5D"/>
    <w:pPr>
      <w:spacing w:after="100" w:line="276" w:lineRule="auto"/>
      <w:ind w:left="720"/>
    </w:pPr>
    <w:rPr>
      <w:rFonts w:ascii="Arial" w:hAnsi="Arial"/>
      <w:sz w:val="10"/>
    </w:rPr>
  </w:style>
  <w:style w:type="paragraph" w:styleId="TOC2">
    <w:name w:val="toc 2"/>
    <w:basedOn w:val="Normal"/>
    <w:next w:val="Normal"/>
    <w:autoRedefine/>
    <w:uiPriority w:val="39"/>
    <w:unhideWhenUsed/>
    <w:rsid w:val="00707D5D"/>
    <w:pPr>
      <w:spacing w:after="100" w:line="276" w:lineRule="auto"/>
      <w:ind w:left="720"/>
    </w:pPr>
    <w:rPr>
      <w:rFonts w:ascii="Arial" w:hAnsi="Arial"/>
      <w:i/>
      <w:sz w:val="10"/>
    </w:rPr>
  </w:style>
  <w:style w:type="paragraph" w:styleId="FootnoteText">
    <w:name w:val="footnote text"/>
    <w:basedOn w:val="Normal"/>
    <w:link w:val="FootnoteTextChar"/>
    <w:uiPriority w:val="99"/>
    <w:semiHidden/>
    <w:unhideWhenUsed/>
    <w:rsid w:val="00707D5D"/>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707D5D"/>
    <w:rPr>
      <w:rFonts w:ascii="Arial" w:hAnsi="Arial"/>
      <w:sz w:val="20"/>
      <w:szCs w:val="20"/>
    </w:rPr>
  </w:style>
  <w:style w:type="character" w:styleId="FootnoteReference">
    <w:name w:val="footnote reference"/>
    <w:basedOn w:val="DefaultParagraphFont"/>
    <w:uiPriority w:val="99"/>
    <w:semiHidden/>
    <w:unhideWhenUsed/>
    <w:rsid w:val="00707D5D"/>
    <w:rPr>
      <w:vertAlign w:val="superscript"/>
    </w:rPr>
  </w:style>
  <w:style w:type="character" w:customStyle="1" w:styleId="Bullet1Char">
    <w:name w:val="Bullet 1 Char"/>
    <w:aliases w:val="List Bullet Cab Char,CAB - List Bullet Char,3 Char,Bullet Points Char,Colorful List - Accent 11 Char,Indicator Text Char,Issue Action POC Char,List Paragraph Char Char Char Char"/>
    <w:basedOn w:val="DefaultParagraphFont"/>
    <w:link w:val="Bullet1"/>
    <w:uiPriority w:val="99"/>
    <w:qFormat/>
    <w:locked/>
    <w:rsid w:val="003418F7"/>
    <w:rPr>
      <w:rFonts w:ascii="Calibri" w:hAnsi="Calibri" w:cs="Calibri"/>
      <w:sz w:val="24"/>
      <w:szCs w:val="25"/>
    </w:rPr>
  </w:style>
  <w:style w:type="paragraph" w:customStyle="1" w:styleId="Bullet1">
    <w:name w:val="Bullet 1"/>
    <w:basedOn w:val="Normal"/>
    <w:link w:val="Bullet1Char"/>
    <w:uiPriority w:val="99"/>
    <w:qFormat/>
    <w:rsid w:val="003418F7"/>
    <w:pPr>
      <w:numPr>
        <w:numId w:val="40"/>
      </w:numPr>
      <w:tabs>
        <w:tab w:val="left" w:pos="567"/>
      </w:tabs>
      <w:suppressAutoHyphens/>
      <w:spacing w:before="60" w:after="60" w:line="260" w:lineRule="atLeast"/>
    </w:pPr>
    <w:rPr>
      <w:rFonts w:ascii="Calibri" w:hAnsi="Calibri" w:cs="Calibri"/>
      <w:sz w:val="24"/>
      <w:szCs w:val="25"/>
    </w:rPr>
  </w:style>
  <w:style w:type="character" w:customStyle="1" w:styleId="2BulletStyleListChar">
    <w:name w:val="2. Bullet Style List Char"/>
    <w:basedOn w:val="DefaultParagraphFont"/>
    <w:link w:val="2BulletStyleList"/>
    <w:locked/>
    <w:rsid w:val="003418F7"/>
    <w:rPr>
      <w:rFonts w:asciiTheme="majorHAnsi" w:hAnsiTheme="majorHAnsi" w:cs="Calibri Light"/>
      <w:color w:val="595959" w:themeColor="text1" w:themeTint="A6"/>
      <w:kern w:val="20"/>
      <w:sz w:val="24"/>
      <w:lang w:eastAsia="ja-JP"/>
    </w:rPr>
  </w:style>
  <w:style w:type="paragraph" w:customStyle="1" w:styleId="2BulletStyleList">
    <w:name w:val="2. Bullet Style List"/>
    <w:basedOn w:val="ListParagraph"/>
    <w:link w:val="2BulletStyleListChar"/>
    <w:qFormat/>
    <w:rsid w:val="003418F7"/>
    <w:pPr>
      <w:numPr>
        <w:numId w:val="42"/>
      </w:numPr>
      <w:spacing w:after="120"/>
    </w:pPr>
    <w:rPr>
      <w:rFonts w:asciiTheme="majorHAnsi" w:eastAsiaTheme="minorHAnsi" w:hAnsiTheme="majorHAnsi" w:cs="Calibri Light"/>
      <w:color w:val="595959" w:themeColor="text1" w:themeTint="A6"/>
      <w:kern w:val="20"/>
      <w:szCs w:val="22"/>
      <w:lang w:eastAsia="ja-JP"/>
    </w:rPr>
  </w:style>
  <w:style w:type="paragraph" w:customStyle="1" w:styleId="Background">
    <w:name w:val="Background"/>
    <w:basedOn w:val="Normal"/>
    <w:uiPriority w:val="99"/>
    <w:rsid w:val="0006668D"/>
    <w:pPr>
      <w:numPr>
        <w:numId w:val="43"/>
      </w:numPr>
      <w:spacing w:before="120" w:after="360" w:line="288" w:lineRule="auto"/>
    </w:pPr>
    <w:rPr>
      <w:rFonts w:ascii="Calibri Light" w:hAnsi="Calibri Light" w:cs="Calibri Light"/>
      <w:color w:val="595959"/>
      <w:sz w:val="24"/>
      <w:szCs w:val="24"/>
      <w:lang w:eastAsia="ja-JP"/>
    </w:rPr>
  </w:style>
  <w:style w:type="table" w:styleId="GridTable1Light">
    <w:name w:val="Grid Table 1 Light"/>
    <w:basedOn w:val="TableNormal"/>
    <w:uiPriority w:val="46"/>
    <w:rsid w:val="006F06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220619">
      <w:bodyDiv w:val="1"/>
      <w:marLeft w:val="0"/>
      <w:marRight w:val="0"/>
      <w:marTop w:val="0"/>
      <w:marBottom w:val="0"/>
      <w:divBdr>
        <w:top w:val="none" w:sz="0" w:space="0" w:color="auto"/>
        <w:left w:val="none" w:sz="0" w:space="0" w:color="auto"/>
        <w:bottom w:val="none" w:sz="0" w:space="0" w:color="auto"/>
        <w:right w:val="none" w:sz="0" w:space="0" w:color="auto"/>
      </w:divBdr>
    </w:div>
    <w:div w:id="456224319">
      <w:bodyDiv w:val="1"/>
      <w:marLeft w:val="0"/>
      <w:marRight w:val="0"/>
      <w:marTop w:val="0"/>
      <w:marBottom w:val="0"/>
      <w:divBdr>
        <w:top w:val="none" w:sz="0" w:space="0" w:color="auto"/>
        <w:left w:val="none" w:sz="0" w:space="0" w:color="auto"/>
        <w:bottom w:val="none" w:sz="0" w:space="0" w:color="auto"/>
        <w:right w:val="none" w:sz="0" w:space="0" w:color="auto"/>
      </w:divBdr>
    </w:div>
    <w:div w:id="955021102">
      <w:bodyDiv w:val="1"/>
      <w:marLeft w:val="0"/>
      <w:marRight w:val="0"/>
      <w:marTop w:val="0"/>
      <w:marBottom w:val="0"/>
      <w:divBdr>
        <w:top w:val="none" w:sz="0" w:space="0" w:color="auto"/>
        <w:left w:val="none" w:sz="0" w:space="0" w:color="auto"/>
        <w:bottom w:val="none" w:sz="0" w:space="0" w:color="auto"/>
        <w:right w:val="none" w:sz="0" w:space="0" w:color="auto"/>
      </w:divBdr>
    </w:div>
    <w:div w:id="1069378436">
      <w:bodyDiv w:val="1"/>
      <w:marLeft w:val="0"/>
      <w:marRight w:val="0"/>
      <w:marTop w:val="0"/>
      <w:marBottom w:val="0"/>
      <w:divBdr>
        <w:top w:val="none" w:sz="0" w:space="0" w:color="auto"/>
        <w:left w:val="none" w:sz="0" w:space="0" w:color="auto"/>
        <w:bottom w:val="none" w:sz="0" w:space="0" w:color="auto"/>
        <w:right w:val="none" w:sz="0" w:space="0" w:color="auto"/>
      </w:divBdr>
    </w:div>
    <w:div w:id="1214004944">
      <w:bodyDiv w:val="1"/>
      <w:marLeft w:val="0"/>
      <w:marRight w:val="0"/>
      <w:marTop w:val="0"/>
      <w:marBottom w:val="0"/>
      <w:divBdr>
        <w:top w:val="none" w:sz="0" w:space="0" w:color="auto"/>
        <w:left w:val="none" w:sz="0" w:space="0" w:color="auto"/>
        <w:bottom w:val="none" w:sz="0" w:space="0" w:color="auto"/>
        <w:right w:val="none" w:sz="0" w:space="0" w:color="auto"/>
      </w:divBdr>
    </w:div>
    <w:div w:id="1470174264">
      <w:bodyDiv w:val="1"/>
      <w:marLeft w:val="0"/>
      <w:marRight w:val="0"/>
      <w:marTop w:val="0"/>
      <w:marBottom w:val="0"/>
      <w:divBdr>
        <w:top w:val="none" w:sz="0" w:space="0" w:color="auto"/>
        <w:left w:val="none" w:sz="0" w:space="0" w:color="auto"/>
        <w:bottom w:val="none" w:sz="0" w:space="0" w:color="auto"/>
        <w:right w:val="none" w:sz="0" w:space="0" w:color="auto"/>
      </w:divBdr>
    </w:div>
    <w:div w:id="1505625946">
      <w:bodyDiv w:val="1"/>
      <w:marLeft w:val="0"/>
      <w:marRight w:val="0"/>
      <w:marTop w:val="0"/>
      <w:marBottom w:val="0"/>
      <w:divBdr>
        <w:top w:val="none" w:sz="0" w:space="0" w:color="auto"/>
        <w:left w:val="none" w:sz="0" w:space="0" w:color="auto"/>
        <w:bottom w:val="none" w:sz="0" w:space="0" w:color="auto"/>
        <w:right w:val="none" w:sz="0" w:space="0" w:color="auto"/>
      </w:divBdr>
    </w:div>
    <w:div w:id="1572884419">
      <w:bodyDiv w:val="1"/>
      <w:marLeft w:val="0"/>
      <w:marRight w:val="0"/>
      <w:marTop w:val="0"/>
      <w:marBottom w:val="0"/>
      <w:divBdr>
        <w:top w:val="none" w:sz="0" w:space="0" w:color="auto"/>
        <w:left w:val="none" w:sz="0" w:space="0" w:color="auto"/>
        <w:bottom w:val="none" w:sz="0" w:space="0" w:color="auto"/>
        <w:right w:val="none" w:sz="0" w:space="0" w:color="auto"/>
      </w:divBdr>
    </w:div>
    <w:div w:id="1572999861">
      <w:bodyDiv w:val="1"/>
      <w:marLeft w:val="0"/>
      <w:marRight w:val="0"/>
      <w:marTop w:val="0"/>
      <w:marBottom w:val="0"/>
      <w:divBdr>
        <w:top w:val="none" w:sz="0" w:space="0" w:color="auto"/>
        <w:left w:val="none" w:sz="0" w:space="0" w:color="auto"/>
        <w:bottom w:val="none" w:sz="0" w:space="0" w:color="auto"/>
        <w:right w:val="none" w:sz="0" w:space="0" w:color="auto"/>
      </w:divBdr>
    </w:div>
    <w:div w:id="203734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ABD37-435A-4D79-896D-1A0EB650F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2020-11-15T23:46:00Z</dcterms:created>
  <dcterms:modified xsi:type="dcterms:W3CDTF">2020-11-15T23:46:00Z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99512578-dd5c-4195-b198-ae1bb9b007f4</vt:lpwstr>
  </property>
  <property fmtid="{D5CDD505-2E9C-101B-9397-08002B2CF9AE}" pid="3" name="SEC">
    <vt:lpwstr>OFFICIAL</vt:lpwstr>
  </property>
</Properties>
</file>