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6A2C" w14:textId="6ECF676C" w:rsidR="001024CD" w:rsidRDefault="001024CD">
      <w:r w:rsidRPr="00CD5485">
        <w:rPr>
          <w:noProof/>
        </w:rPr>
        <w:drawing>
          <wp:anchor distT="0" distB="0" distL="114300" distR="114300" simplePos="0" relativeHeight="251658240" behindDoc="1" locked="0" layoutInCell="1" allowOverlap="1" wp14:anchorId="61021A23" wp14:editId="0CFA44CE">
            <wp:simplePos x="0" y="0"/>
            <wp:positionH relativeFrom="page">
              <wp:posOffset>19050</wp:posOffset>
            </wp:positionH>
            <wp:positionV relativeFrom="paragraph">
              <wp:posOffset>-904875</wp:posOffset>
            </wp:positionV>
            <wp:extent cx="7513093" cy="1614805"/>
            <wp:effectExtent l="0" t="0" r="0" b="4445"/>
            <wp:wrapNone/>
            <wp:docPr id="1047799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99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093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>
        <w:br w:type="textWrapping" w:clear="all"/>
      </w:r>
    </w:p>
    <w:p w14:paraId="28173F2E" w14:textId="77E1877D" w:rsidR="00F4126A" w:rsidRDefault="00F4126A" w:rsidP="00F4126A">
      <w:pPr>
        <w:pStyle w:val="Heading1"/>
        <w:spacing w:line="240" w:lineRule="atLeast"/>
      </w:pPr>
      <w:r>
        <w:t xml:space="preserve">Quick guide to </w:t>
      </w:r>
      <w:r w:rsidRPr="00F4126A">
        <w:t>Australia-Singapore Cross-Border Electricity Trade Framework</w:t>
      </w:r>
    </w:p>
    <w:p w14:paraId="25BF8EC0" w14:textId="085E6361" w:rsidR="001024CD" w:rsidRPr="00FE41D1" w:rsidRDefault="001024CD" w:rsidP="00F4126A">
      <w:pPr>
        <w:spacing w:before="240" w:after="120" w:line="240" w:lineRule="atLeast"/>
        <w:rPr>
          <w:sz w:val="23"/>
          <w:szCs w:val="26"/>
        </w:rPr>
      </w:pPr>
      <w:r w:rsidRPr="00CD5485">
        <w:rPr>
          <w:sz w:val="23"/>
          <w:szCs w:val="26"/>
        </w:rPr>
        <w:t>Australia and Singapore have developed the Cross-Border Electricity Trade Framework based</w:t>
      </w:r>
      <w:r>
        <w:rPr>
          <w:sz w:val="23"/>
          <w:szCs w:val="26"/>
        </w:rPr>
        <w:t xml:space="preserve"> </w:t>
      </w:r>
      <w:r w:rsidRPr="00FE41D1">
        <w:rPr>
          <w:sz w:val="23"/>
          <w:szCs w:val="26"/>
        </w:rPr>
        <w:t>on the T</w:t>
      </w:r>
      <w:r w:rsidRPr="00CD5485">
        <w:rPr>
          <w:sz w:val="23"/>
          <w:szCs w:val="26"/>
        </w:rPr>
        <w:t xml:space="preserve">en Principles to Guide the Development of Cross-Border Electricity Trade </w:t>
      </w:r>
      <w:r w:rsidRPr="00FE41D1">
        <w:rPr>
          <w:sz w:val="23"/>
          <w:szCs w:val="26"/>
        </w:rPr>
        <w:t>announced by the Prime Ministers of both countries during the 9th Singapore-Australia Annual Leaders’</w:t>
      </w:r>
      <w:r>
        <w:rPr>
          <w:sz w:val="23"/>
          <w:szCs w:val="26"/>
        </w:rPr>
        <w:t xml:space="preserve"> </w:t>
      </w:r>
      <w:r w:rsidRPr="00FE41D1">
        <w:rPr>
          <w:sz w:val="23"/>
          <w:szCs w:val="26"/>
        </w:rPr>
        <w:t>Meeting</w:t>
      </w:r>
      <w:r>
        <w:rPr>
          <w:sz w:val="23"/>
          <w:szCs w:val="26"/>
        </w:rPr>
        <w:t xml:space="preserve"> </w:t>
      </w:r>
      <w:r w:rsidRPr="00CD5485">
        <w:rPr>
          <w:sz w:val="23"/>
          <w:szCs w:val="26"/>
        </w:rPr>
        <w:t>in March 2024.</w:t>
      </w:r>
    </w:p>
    <w:p w14:paraId="40D4209C" w14:textId="77777777" w:rsidR="001024CD" w:rsidRPr="001024CD" w:rsidRDefault="001024CD" w:rsidP="001024CD">
      <w:pPr>
        <w:spacing w:before="120" w:after="120" w:line="240" w:lineRule="atLeast"/>
        <w:ind w:left="20" w:right="431"/>
        <w:rPr>
          <w:rFonts w:ascii="AU Sans BETA Text Light"/>
          <w:b/>
          <w:bCs/>
          <w:sz w:val="23"/>
          <w:szCs w:val="26"/>
        </w:rPr>
      </w:pPr>
      <w:r w:rsidRPr="001024CD">
        <w:rPr>
          <w:rFonts w:ascii="AU Sans BETA Text Light"/>
          <w:b/>
          <w:bCs/>
          <w:sz w:val="23"/>
          <w:szCs w:val="26"/>
        </w:rPr>
        <w:t>We recognise the benefits that cross-border electricity trade in Southeast Asia can bring for all countries involved and the region at large including through the ASEAN Power Grid.</w:t>
      </w:r>
    </w:p>
    <w:p w14:paraId="24F3D7BE" w14:textId="77777777" w:rsidR="001024CD" w:rsidRPr="00F4126A" w:rsidRDefault="001024CD" w:rsidP="00F4126A">
      <w:pPr>
        <w:pStyle w:val="Heading2"/>
      </w:pPr>
      <w:r w:rsidRPr="00F4126A">
        <w:rPr>
          <w:rStyle w:val="IntenseEmphasis"/>
          <w:i w:val="0"/>
          <w:iCs w:val="0"/>
        </w:rPr>
        <w:t>Boost to growth and industry</w:t>
      </w:r>
    </w:p>
    <w:p w14:paraId="39A84A0C" w14:textId="77777777" w:rsidR="001024CD" w:rsidRPr="00CD5485" w:rsidRDefault="001024CD" w:rsidP="001024CD">
      <w:pPr>
        <w:spacing w:before="120" w:after="120" w:line="240" w:lineRule="atLeast"/>
        <w:rPr>
          <w:rFonts w:ascii="AU Sans BETA Text Light" w:hAnsi="AU Sans BETA Text Light"/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Accelerates growth; catalyses financing for clean energy; creates high-quality green jobs for local communities; generates revenue for exporting and transit countries.</w:t>
      </w:r>
    </w:p>
    <w:p w14:paraId="082D86C7" w14:textId="77777777" w:rsidR="001024CD" w:rsidRPr="00F4126A" w:rsidRDefault="001024CD" w:rsidP="00F4126A">
      <w:pPr>
        <w:pStyle w:val="Heading2"/>
      </w:pPr>
      <w:r w:rsidRPr="00F4126A">
        <w:t>Enhanced energy access and security</w:t>
      </w:r>
    </w:p>
    <w:p w14:paraId="559840A8" w14:textId="77777777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rFonts w:ascii="AU Sans BETA Text Light" w:hAnsi="AU Sans BETA Text Light"/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Moves surplus energy to areas with demand; sharing of reserve capacities; integrating grids with different energy mixes; diversifying energy sources.</w:t>
      </w:r>
    </w:p>
    <w:p w14:paraId="4CF547FE" w14:textId="77777777" w:rsidR="001024CD" w:rsidRPr="00F4126A" w:rsidRDefault="001024CD" w:rsidP="00F4126A">
      <w:pPr>
        <w:pStyle w:val="Heading2"/>
      </w:pPr>
      <w:r w:rsidRPr="00F4126A">
        <w:rPr>
          <w:rStyle w:val="IntenseEmphasis"/>
          <w:i w:val="0"/>
          <w:iCs w:val="0"/>
        </w:rPr>
        <w:t>Pathway to net-zero</w:t>
      </w:r>
    </w:p>
    <w:p w14:paraId="78D7C8BE" w14:textId="193B44B5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Harnessing the region’s wealth of renewable resources to promote our collective decarboni</w:t>
      </w:r>
      <w:r w:rsidR="002C554B">
        <w:rPr>
          <w:rFonts w:ascii="AU Sans BETA Text Light" w:hAnsi="AU Sans BETA Text Light"/>
          <w:sz w:val="23"/>
          <w:szCs w:val="26"/>
        </w:rPr>
        <w:t>s</w:t>
      </w:r>
      <w:r w:rsidRPr="00CD5485">
        <w:rPr>
          <w:rFonts w:ascii="AU Sans BETA Text Light" w:hAnsi="AU Sans BETA Text Light"/>
          <w:sz w:val="23"/>
          <w:szCs w:val="26"/>
        </w:rPr>
        <w:t>ation.</w:t>
      </w:r>
    </w:p>
    <w:p w14:paraId="093D0954" w14:textId="77777777" w:rsidR="001024CD" w:rsidRPr="001024CD" w:rsidRDefault="001024CD" w:rsidP="001024CD">
      <w:pPr>
        <w:spacing w:before="120" w:after="120" w:line="240" w:lineRule="atLeast"/>
        <w:ind w:left="20" w:right="431"/>
        <w:rPr>
          <w:rFonts w:ascii="AU Sans BETA Text Light"/>
          <w:b/>
          <w:bCs/>
          <w:sz w:val="23"/>
          <w:szCs w:val="26"/>
        </w:rPr>
      </w:pPr>
      <w:r w:rsidRPr="001024CD">
        <w:rPr>
          <w:rFonts w:ascii="AU Sans BETA Text Light"/>
          <w:b/>
          <w:bCs/>
          <w:sz w:val="23"/>
          <w:szCs w:val="26"/>
        </w:rPr>
        <w:t>Singapore and Australia will partner the region to put in place these key enablers for cross-border electricity trade.</w:t>
      </w:r>
    </w:p>
    <w:p w14:paraId="059B8900" w14:textId="77777777" w:rsidR="001024CD" w:rsidRPr="00F4126A" w:rsidRDefault="001024CD" w:rsidP="00F4126A">
      <w:pPr>
        <w:pStyle w:val="Heading2"/>
      </w:pPr>
      <w:r w:rsidRPr="00F4126A">
        <w:rPr>
          <w:rStyle w:val="IntenseEmphasis"/>
          <w:i w:val="0"/>
          <w:iCs w:val="0"/>
        </w:rPr>
        <w:t>Harmonisation and regulations</w:t>
      </w:r>
    </w:p>
    <w:p w14:paraId="3AE3824B" w14:textId="77777777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Implementing predictable, consistent, and transparent policies and regulations to improve project bankability; instituting of policies a framework to facilitate cross-border subsea power cable activities; and upholding commitments in bilateral and multilateral agreements as well as international law.</w:t>
      </w:r>
    </w:p>
    <w:p w14:paraId="450A410D" w14:textId="77777777" w:rsidR="001024CD" w:rsidRPr="00F4126A" w:rsidRDefault="001024CD" w:rsidP="00F4126A">
      <w:pPr>
        <w:pStyle w:val="Heading2"/>
      </w:pPr>
      <w:r w:rsidRPr="00F4126A">
        <w:rPr>
          <w:rStyle w:val="IntenseEmphasis"/>
          <w:i w:val="0"/>
          <w:iCs w:val="0"/>
        </w:rPr>
        <w:t>Governance</w:t>
      </w:r>
    </w:p>
    <w:p w14:paraId="356E6657" w14:textId="77777777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Promoting accountability and transparency through a robust governance framework.</w:t>
      </w:r>
    </w:p>
    <w:p w14:paraId="6758F08B" w14:textId="77777777" w:rsidR="001024CD" w:rsidRPr="00F4126A" w:rsidRDefault="001024CD" w:rsidP="00F4126A">
      <w:pPr>
        <w:pStyle w:val="Heading2"/>
      </w:pPr>
      <w:r w:rsidRPr="00F4126A">
        <w:rPr>
          <w:rStyle w:val="IntenseEmphasis"/>
          <w:i w:val="0"/>
          <w:iCs w:val="0"/>
        </w:rPr>
        <w:t>Accounting</w:t>
      </w:r>
    </w:p>
    <w:p w14:paraId="5A10F5A3" w14:textId="328F8695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Facilitating international recognition of renewable energy certificates (RECs) associated with cross-border electricity trade; and incorporating best practices from embedded emissions accounting protocols.</w:t>
      </w:r>
    </w:p>
    <w:p w14:paraId="57AC52B1" w14:textId="77777777" w:rsidR="001024CD" w:rsidRPr="00F4126A" w:rsidRDefault="001024CD" w:rsidP="00F4126A">
      <w:pPr>
        <w:pStyle w:val="Heading2"/>
      </w:pPr>
      <w:r w:rsidRPr="00F4126A">
        <w:t>Knowledge-sharing and Partnerships</w:t>
      </w:r>
    </w:p>
    <w:p w14:paraId="08ED4066" w14:textId="77777777" w:rsidR="001024CD" w:rsidRPr="00CD5485" w:rsidRDefault="001024CD" w:rsidP="001024CD">
      <w:pPr>
        <w:tabs>
          <w:tab w:val="left" w:pos="3481"/>
        </w:tabs>
        <w:spacing w:before="120" w:after="120" w:line="240" w:lineRule="atLeast"/>
        <w:rPr>
          <w:rFonts w:ascii="AU Sans BETA Text Light" w:hAnsi="AU Sans BETA Text Light"/>
          <w:sz w:val="23"/>
          <w:szCs w:val="26"/>
        </w:rPr>
      </w:pPr>
      <w:r w:rsidRPr="00CD5485">
        <w:rPr>
          <w:rFonts w:ascii="AU Sans BETA Text Light" w:hAnsi="AU Sans BETA Text Light"/>
          <w:sz w:val="23"/>
          <w:szCs w:val="26"/>
        </w:rPr>
        <w:t>Sharing information and advancing partnerships with stakeholders at the bilateral, regional and international levels.</w:t>
      </w:r>
    </w:p>
    <w:sectPr w:rsidR="001024CD" w:rsidRPr="00CD5485" w:rsidSect="004D49A4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210C" w14:textId="77777777" w:rsidR="00D45828" w:rsidRDefault="00D45828" w:rsidP="00B87C8E">
      <w:pPr>
        <w:spacing w:after="0" w:line="240" w:lineRule="auto"/>
      </w:pPr>
      <w:r>
        <w:separator/>
      </w:r>
    </w:p>
  </w:endnote>
  <w:endnote w:type="continuationSeparator" w:id="0">
    <w:p w14:paraId="0D459A69" w14:textId="77777777" w:rsidR="00D45828" w:rsidRDefault="00D45828" w:rsidP="00B8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Sans BETA Text Light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C0B3" w14:textId="77777777" w:rsidR="00D45828" w:rsidRDefault="00D45828" w:rsidP="00B87C8E">
      <w:pPr>
        <w:spacing w:after="0" w:line="240" w:lineRule="auto"/>
      </w:pPr>
      <w:r>
        <w:separator/>
      </w:r>
    </w:p>
  </w:footnote>
  <w:footnote w:type="continuationSeparator" w:id="0">
    <w:p w14:paraId="0EBF5AA8" w14:textId="77777777" w:rsidR="00D45828" w:rsidRDefault="00D45828" w:rsidP="00B87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CD"/>
    <w:rsid w:val="001024CD"/>
    <w:rsid w:val="002724B4"/>
    <w:rsid w:val="0028163F"/>
    <w:rsid w:val="002C554B"/>
    <w:rsid w:val="00441DBE"/>
    <w:rsid w:val="00444E10"/>
    <w:rsid w:val="004D49A4"/>
    <w:rsid w:val="006236CC"/>
    <w:rsid w:val="006875D9"/>
    <w:rsid w:val="00B5382C"/>
    <w:rsid w:val="00B6119C"/>
    <w:rsid w:val="00B87C8E"/>
    <w:rsid w:val="00D45828"/>
    <w:rsid w:val="00DE518E"/>
    <w:rsid w:val="00F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17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26A"/>
    <w:pPr>
      <w:keepNext/>
      <w:keepLines/>
      <w:spacing w:before="120" w:after="120" w:line="240" w:lineRule="atLeas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1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4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CC"/>
  </w:style>
  <w:style w:type="paragraph" w:styleId="Footer">
    <w:name w:val="footer"/>
    <w:basedOn w:val="Normal"/>
    <w:link w:val="FooterChar"/>
    <w:uiPriority w:val="99"/>
    <w:unhideWhenUsed/>
    <w:rsid w:val="0062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CC"/>
  </w:style>
  <w:style w:type="paragraph" w:styleId="Revision">
    <w:name w:val="Revision"/>
    <w:hidden/>
    <w:uiPriority w:val="99"/>
    <w:semiHidden/>
    <w:rsid w:val="002C5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1715</Characters>
  <Application>Microsoft Office Word</Application>
  <DocSecurity>0</DocSecurity>
  <Lines>37</Lines>
  <Paragraphs>18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 Australia-Singapore Cross-Border Electricity Trade Framework</dc:title>
  <dc:subject/>
  <dc:creator/>
  <cp:keywords>[SEC=OFFICIAL]</cp:keywords>
  <dc:description/>
  <cp:lastModifiedBy/>
  <cp:revision>1</cp:revision>
  <dcterms:created xsi:type="dcterms:W3CDTF">2026-01-28T04:39:00Z</dcterms:created>
  <dcterms:modified xsi:type="dcterms:W3CDTF">2026-01-28T04:40:00Z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Expires">
    <vt:lpwstr/>
  </property>
  <property fmtid="{D5CDD505-2E9C-101B-9397-08002B2CF9AE}" pid="3" name="PM_DisplayValueSecClassificationWithQualifier">
    <vt:lpwstr>OFFICIAL</vt:lpwstr>
  </property>
  <property fmtid="{D5CDD505-2E9C-101B-9397-08002B2CF9AE}" pid="4" name="PM_OriginationTimeStamp">
    <vt:lpwstr>2025-11-17T21:56:34Z</vt:lpwstr>
  </property>
  <property fmtid="{D5CDD505-2E9C-101B-9397-08002B2CF9AE}" pid="5" name="PM_ProtectiveMarkingValue_Header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ing_FileId">
    <vt:lpwstr>557873F3A02F45C8B102E80A85DC7397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D9F6E5C82DFAF7AB6E3D596D48DD43C72EDFDAB4</vt:lpwstr>
  </property>
  <property fmtid="{D5CDD505-2E9C-101B-9397-08002B2CF9AE}" pid="10" name="PM_Display">
    <vt:lpwstr>OFFICIAL</vt:lpwstr>
  </property>
  <property fmtid="{D5CDD505-2E9C-101B-9397-08002B2CF9AE}" pid="11" name="PM_OriginatorUserAccountName_SHA256">
    <vt:lpwstr>3E9DB5AB808CA91EB3E8EC398CDB7F67B110581D6BB28BC88565729DCE387350</vt:lpwstr>
  </property>
  <property fmtid="{D5CDD505-2E9C-101B-9397-08002B2CF9AE}" pid="12" name="PM_OriginatorDomainName_SHA256">
    <vt:lpwstr>6F3591835F3B2A8A025B00B5BA6418010DA3A17C9C26EA9C049FFD28039489A2</vt:lpwstr>
  </property>
  <property fmtid="{D5CDD505-2E9C-101B-9397-08002B2CF9AE}" pid="13" name="PMUuid">
    <vt:lpwstr>v=2022.2;d=gov.au;g=46DD6D7C-8107-577B-BC6E-F348953B2E44</vt:lpwstr>
  </property>
  <property fmtid="{D5CDD505-2E9C-101B-9397-08002B2CF9AE}" pid="14" name="PM_Hash_Version">
    <vt:lpwstr>2022.1</vt:lpwstr>
  </property>
  <property fmtid="{D5CDD505-2E9C-101B-9397-08002B2CF9AE}" pid="15" name="PM_Hash_Salt_Prev">
    <vt:lpwstr>9B9ECD6A06B50859C03E8F16F2B16E07</vt:lpwstr>
  </property>
  <property fmtid="{D5CDD505-2E9C-101B-9397-08002B2CF9AE}" pid="16" name="PM_Hash_Salt">
    <vt:lpwstr>714F576F92F06AB9147881400CC83A43</vt:lpwstr>
  </property>
  <property fmtid="{D5CDD505-2E9C-101B-9397-08002B2CF9AE}" pid="17" name="PM_Hash_SHA1">
    <vt:lpwstr>ACBCB24DB96B05DEFA5E9BA4CE00A6CBD8536CB3</vt:lpwstr>
  </property>
  <property fmtid="{D5CDD505-2E9C-101B-9397-08002B2CF9AE}" pid="18" name="PM_Qualifier">
    <vt:lpwstr/>
  </property>
  <property fmtid="{D5CDD505-2E9C-101B-9397-08002B2CF9AE}" pid="19" name="PMHMAC">
    <vt:lpwstr>v=2022.1;a=SHA256;h=D2774B80CD932C647CB30DF9D4D468136AC0AB93D61ED81202049607F596DEC4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_Note">
    <vt:lpwstr/>
  </property>
  <property fmtid="{D5CDD505-2E9C-101B-9397-08002B2CF9AE}" pid="26" name="PM_Markers">
    <vt:lpwstr/>
  </property>
  <property fmtid="{D5CDD505-2E9C-101B-9397-08002B2CF9AE}" pid="27" name="PM_Caveats_Count">
    <vt:lpwstr>0</vt:lpwstr>
  </property>
  <property fmtid="{D5CDD505-2E9C-101B-9397-08002B2CF9AE}" pid="28" name="PM_DownTo">
    <vt:lpwstr/>
  </property>
</Properties>
</file>